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BB5C2D">
      <w:pPr>
        <w:divId w:val="1515146141"/>
        <w:rPr>
          <w:rFonts w:eastAsia="Times New Roman"/>
          <w:vanish/>
        </w:rPr>
      </w:pPr>
      <w:r>
        <w:rPr>
          <w:rFonts w:eastAsia="Times New Roman"/>
          <w:vanish/>
        </w:rPr>
        <w:t>0001037038false2022FYP3YP3YP3YP10YP3Yhttp://fasb.org/us-gaap/2021-01-31#PropertyPlantAndEquipmentNethttp://fasb.org/us-gaap/2021-01-31#PropertyPlantAndEquipmentNet</w:t>
      </w:r>
      <w:r>
        <w:rPr>
          <w:rFonts w:eastAsia="Times New Roman"/>
          <w:vanish/>
        </w:rPr>
        <w:t>http://fasb.org/us-gaap/2021-01-31#OtherLiabilitiesCurrenthttp://fasb.org/us-gaap/2021-01-31#OtherLiabilitiesCurrent00010370382021-03-282022-04-0200010370382021-09-24iso4217:USD0001037038us-gaap:CommonClassAMember2022-05-18xbrli:shares0001037038us-gaap:Com</w:t>
      </w:r>
      <w:r>
        <w:rPr>
          <w:rFonts w:eastAsia="Times New Roman"/>
          <w:vanish/>
        </w:rPr>
        <w:t>monClassBMember2022-05-1800010370382022-04-0200010370382021-03-270001037038us-gaap:CommonClassAMember2021-03-27iso4217:USDxbrli:shares0001037038us-gaap:CommonClassAMember2022-04-020001037038us-gaap:CommonClassBMember2021-03-270001037038us-gaap:CommonClassB</w:t>
      </w:r>
      <w:r>
        <w:rPr>
          <w:rFonts w:eastAsia="Times New Roman"/>
          <w:vanish/>
        </w:rPr>
        <w:t>Member2022-04-0200010370382020-03-292021-03-2700010370382019-03-312020-03-2800010370382020-03-2800010370382019-03-300001037038us-gaap:CommonStockMember2019-03-300001037038us-gaap:AdditionalPaidInCapitalMember2019-03-300001037038us-gaap:RetainedEarningsMemb</w:t>
      </w:r>
      <w:r>
        <w:rPr>
          <w:rFonts w:eastAsia="Times New Roman"/>
          <w:vanish/>
        </w:rPr>
        <w:t>er2019-03-300001037038us-gaap:TreasuryStockMember2019-03-300001037038us-gaap:AccumulatedOtherComprehensiveIncomeMember2019-03-300001037038us-gaap:RetainedEarningsMember2019-03-312020-03-280001037038us-gaap:AccumulatedOtherComprehensiveIncomeMember2019-03-3</w:t>
      </w:r>
      <w:r>
        <w:rPr>
          <w:rFonts w:eastAsia="Times New Roman"/>
          <w:vanish/>
        </w:rPr>
        <w:t>12020-03-280001037038us-gaap:TreasuryStockMember2019-03-312020-03-280001037038us-gaap:AdditionalPaidInCapitalMember2019-03-312020-03-280001037038us-gaap:CommonStockMember2019-03-312020-03-280001037038us-gaap:CommonStockMember2020-03-280001037038us-gaap:Add</w:t>
      </w:r>
      <w:r>
        <w:rPr>
          <w:rFonts w:eastAsia="Times New Roman"/>
          <w:vanish/>
        </w:rPr>
        <w:t>itionalPaidInCapitalMember2020-03-280001037038us-gaap:RetainedEarningsMember2020-03-280001037038us-gaap:TreasuryStockMember2020-03-280001037038us-gaap:AccumulatedOtherComprehensiveIncomeMember2020-03-280001037038us-gaap:RetainedEarningsMember2020-03-292021</w:t>
      </w:r>
      <w:r>
        <w:rPr>
          <w:rFonts w:eastAsia="Times New Roman"/>
          <w:vanish/>
        </w:rPr>
        <w:t>-03-270001037038us-gaap:AccumulatedOtherComprehensiveIncomeMember2020-03-292021-03-270001037038us-gaap:TreasuryStockMember2020-03-292021-03-270001037038us-gaap:AdditionalPaidInCapitalMember2020-03-292021-03-270001037038us-gaap:CommonStockMember2020-03-2920</w:t>
      </w:r>
      <w:r>
        <w:rPr>
          <w:rFonts w:eastAsia="Times New Roman"/>
          <w:vanish/>
        </w:rPr>
        <w:t>21-03-270001037038us-gaap:CommonStockMember2021-03-270001037038us-gaap:AdditionalPaidInCapitalMember2021-03-270001037038us-gaap:RetainedEarningsMember2021-03-270001037038us-gaap:TreasuryStockMember2021-03-270001037038us-gaap:AccumulatedOtherComprehensiveIn</w:t>
      </w:r>
      <w:r>
        <w:rPr>
          <w:rFonts w:eastAsia="Times New Roman"/>
          <w:vanish/>
        </w:rPr>
        <w:t>comeMember2021-03-270001037038us-gaap:RetainedEarningsMember2021-03-282022-04-020001037038us-gaap:AccumulatedOtherComprehensiveIncomeMember2021-03-282022-04-020001037038us-gaap:TreasuryStockMember2021-03-282022-04-020001037038us-gaap:AdditionalPaidInCapita</w:t>
      </w:r>
      <w:r>
        <w:rPr>
          <w:rFonts w:eastAsia="Times New Roman"/>
          <w:vanish/>
        </w:rPr>
        <w:t>lMember2021-03-282022-04-020001037038us-gaap:CommonStockMember2021-03-282022-04-020001037038us-gaap:CommonStockMember2022-04-020001037038us-gaap:AdditionalPaidInCapitalMember2022-04-020001037038us-gaap:RetainedEarningsMember2022-04-020001037038us-gaap:Trea</w:t>
      </w:r>
      <w:r>
        <w:rPr>
          <w:rFonts w:eastAsia="Times New Roman"/>
          <w:vanish/>
        </w:rPr>
        <w:t>suryStockMember2022-04-020001037038us-gaap:AccumulatedOtherComprehensiveIncomeMember2022-04-02rl:Segment0001037038rl:A17002950SeniorNotesMember2022-04-020001037038us-gaap:RetailMemberus-gaap:TransferredAtPointInTimeMemberrl:NorthAmericaSegmentMember2021-03</w:t>
      </w:r>
      <w:r>
        <w:rPr>
          <w:rFonts w:eastAsia="Times New Roman"/>
          <w:vanish/>
        </w:rPr>
        <w:t>-282022-04-020001037038us-gaap:RetailMemberrl:EuropeSegmentMemberus-gaap:TransferredAtPointInTimeMember2021-03-282022-04-020001037038us-gaap:RetailMemberrl:AsiaSegmentMemberus-gaap:TransferredAtPointInTimeMember2021-03-282022-04-020001037038us-gaap:RetailM</w:t>
      </w:r>
      <w:r>
        <w:rPr>
          <w:rFonts w:eastAsia="Times New Roman"/>
          <w:vanish/>
        </w:rPr>
        <w:t>emberus-gaap:TransferredAtPointInTimeMemberrl:OtherNonReportableSegmentRelatedMember2021-03-282022-04-020001037038us-gaap:RetailMemberus-gaap:TransferredAtPointInTimeMember2021-03-282022-04-020001037038us-gaap:TransferredAtPointInTimeMemberrl:WholesaleMemb</w:t>
      </w:r>
      <w:r>
        <w:rPr>
          <w:rFonts w:eastAsia="Times New Roman"/>
          <w:vanish/>
        </w:rPr>
        <w:t>errl:NorthAmericaSegmentMember2021-03-282022-04-020001037038rl:EuropeSegmentMemberus-gaap:TransferredAtPointInTimeMemberrl:WholesaleMember2021-03-282022-04-020001037038rl:AsiaSegmentMemberus-gaap:TransferredAtPointInTimeMemberrl:WholesaleMember2021-03-2820</w:t>
      </w:r>
      <w:r>
        <w:rPr>
          <w:rFonts w:eastAsia="Times New Roman"/>
          <w:vanish/>
        </w:rPr>
        <w:t>22-04-020001037038us-gaap:TransferredAtPointInTimeMemberrl:OtherNonReportableSegmentRelatedMemberrl:WholesaleMember2021-03-282022-04-020001037038us-gaap:TransferredAtPointInTimeMemberrl:WholesaleMember2021-03-282022-04-020001037038us-gaap:TransferredOverTi</w:t>
      </w:r>
      <w:r>
        <w:rPr>
          <w:rFonts w:eastAsia="Times New Roman"/>
          <w:vanish/>
        </w:rPr>
        <w:t>meMemberus-gaap:LicensingAgreementsMemberrl:NorthAmericaSegmentMember2021-03-282022-04-020001037038us-gaap:TransferredOverTimeMemberrl:EuropeSegmentMemberus-gaap:LicensingAgreementsMember2021-03-282022-04-020001037038rl:AsiaSegmentMemberus-gaap:Transferred</w:t>
      </w:r>
      <w:r>
        <w:rPr>
          <w:rFonts w:eastAsia="Times New Roman"/>
          <w:vanish/>
        </w:rPr>
        <w:t>OverTimeMemberus-gaap:LicensingAgreementsMember2021-03-282022-04-020001037038us-gaap:TransferredOverTimeMemberus-gaap:LicensingAgreementsMemberrl:OtherNonReportableSegmentRelatedMember2021-03-282022-04-020001037038us-gaap:TransferredOverTimeMemberus-gaap:L</w:t>
      </w:r>
      <w:r>
        <w:rPr>
          <w:rFonts w:eastAsia="Times New Roman"/>
          <w:vanish/>
        </w:rPr>
        <w:t>icensingAgreementsMember2021-03-282022-04-020001037038rl:NorthAmericaSegmentMember2021-03-282022-04-020001037038rl:EuropeSegmentMember2021-03-282022-04-020001037038rl:AsiaSegmentMember2021-03-282022-04-020001037038rl:OtherNonReportableSegmentRelatedMember2</w:t>
      </w:r>
      <w:r>
        <w:rPr>
          <w:rFonts w:eastAsia="Times New Roman"/>
          <w:vanish/>
        </w:rPr>
        <w:t>021-03-282022-04-020001037038us-gaap:RetailMemberus-gaap:TransferredAtPointInTimeMemberrl:NorthAmericaSegmentMember2020-03-292021-03-270001037038us-gaap:RetailMemberrl:EuropeSegmentMemberus-gaap:TransferredAtPointInTimeMember2020-03-292021-03-270001037038u</w:t>
      </w:r>
      <w:r>
        <w:rPr>
          <w:rFonts w:eastAsia="Times New Roman"/>
          <w:vanish/>
        </w:rPr>
        <w:t>s-gaap:RetailMemberrl:AsiaSegmentMemberus-gaap:TransferredAtPointInTimeMember2020-03-292021-03-270001037038us-gaap:RetailMemberus-gaap:TransferredAtPointInTimeMemberrl:OtherNonReportableSegmentRelatedMember2020-03-292021-03-270001037038us-gaap:RetailMember</w:t>
      </w:r>
      <w:r>
        <w:rPr>
          <w:rFonts w:eastAsia="Times New Roman"/>
          <w:vanish/>
        </w:rPr>
        <w:t>us-gaap:TransferredAtPointInTimeMember2020-03-292021-03-270001037038us-gaap:TransferredAtPointInTimeMemberrl:WholesaleMemberrl:NorthAmericaSegmentMember2020-03-292021-03-270001037038rl:EuropeSegmentMemberus-gaap:TransferredAtPointInTimeMemberrl:WholesaleMe</w:t>
      </w:r>
      <w:r>
        <w:rPr>
          <w:rFonts w:eastAsia="Times New Roman"/>
          <w:vanish/>
        </w:rPr>
        <w:t>mber2020-03-292021-03-270001037038rl:AsiaSegmentMemberus-gaap:TransferredAtPointInTimeMemberrl:WholesaleMember2020-03-292021-03-270001037038us-gaap:TransferredAtPointInTimeMemberrl:OtherNonReportableSegmentRelatedMemberrl:WholesaleMember2020-03-292021-03-2</w:t>
      </w:r>
      <w:r>
        <w:rPr>
          <w:rFonts w:eastAsia="Times New Roman"/>
          <w:vanish/>
        </w:rPr>
        <w:t>70001037038us-gaap:TransferredAtPointInTimeMemberrl:WholesaleMember2020-03-292021-03-270001037038us-gaap:TransferredOverTimeMemberus-gaap:LicensingAgreementsMemberrl:NorthAmericaSegmentMember2020-03-292021-03-270001037038us-gaap:TransferredOverTimeMemberrl</w:t>
      </w:r>
      <w:r>
        <w:rPr>
          <w:rFonts w:eastAsia="Times New Roman"/>
          <w:vanish/>
        </w:rPr>
        <w:t>:EuropeSegmentMemberus-gaap:LicensingAgreementsMember2020-03-292021-03-270001037038rl:AsiaSegmentMemberus-gaap:TransferredOverTimeMemberus-gaap:LicensingAgreementsMember2020-03-292021-03-270001037038us-gaap:TransferredOverTimeMemberus-gaap:LicensingAgreeme</w:t>
      </w:r>
      <w:r>
        <w:rPr>
          <w:rFonts w:eastAsia="Times New Roman"/>
          <w:vanish/>
        </w:rPr>
        <w:t>ntsMemberrl:OtherNonReportableSegmentRelatedMember2020-03-292021-03-270001037038us-gaap:TransferredOverTimeMemberus-gaap:LicensingAgreementsMember2020-03-292021-03-270001037038rl:NorthAmericaSegmentMember2020-03-292021-03-270001037038rl:EuropeSegmentMember</w:t>
      </w:r>
      <w:r>
        <w:rPr>
          <w:rFonts w:eastAsia="Times New Roman"/>
          <w:vanish/>
        </w:rPr>
        <w:t>2020-03-292021-03-270001037038rl:AsiaSegmentMember2020-03-292021-03-270001037038rl:OtherNonReportableSegmentRelatedMember2020-03-292021-03-270001037038us-gaap:RetailMemberus-gaap:TransferredAtPointInTimeMemberrl:NorthAmericaSegmentMember2019-03-312020-03-2</w:t>
      </w:r>
      <w:r>
        <w:rPr>
          <w:rFonts w:eastAsia="Times New Roman"/>
          <w:vanish/>
        </w:rPr>
        <w:t>80001037038us-gaap:RetailMemberrl:EuropeSegmentMemberus-gaap:TransferredAtPointInTimeMember2019-03-312020-03-280001037038us-gaap:RetailMemberrl:AsiaSegmentMemberus-gaap:TransferredAtPointInTimeMember2019-03-312020-03-280001037038us-gaap:RetailMemberus-gaap</w:t>
      </w:r>
      <w:r>
        <w:rPr>
          <w:rFonts w:eastAsia="Times New Roman"/>
          <w:vanish/>
        </w:rPr>
        <w:t>:TransferredAtPointInTimeMemberrl:OtherNonReportableSegmentRelatedMember2019-03-312020-03-280001037038us-gaap:RetailMemberus-gaap:TransferredAtPointInTimeMember2019-03-312020-03-280001037038us-gaap:TransferredAtPointInTimeMemberrl:WholesaleMemberrl:NorthAm</w:t>
      </w:r>
      <w:r>
        <w:rPr>
          <w:rFonts w:eastAsia="Times New Roman"/>
          <w:vanish/>
        </w:rPr>
        <w:t>ericaSegmentMember2019-03-312020-03-280001037038rl:EuropeSegmentMemberus-gaap:TransferredAtPointInTimeMemberrl:WholesaleMember2019-03-312020-03-280001037038rl:AsiaSegmentMemberus-gaap:TransferredAtPointInTimeMemberrl:WholesaleMember2019-03-312020-03-280001</w:t>
      </w:r>
      <w:r>
        <w:rPr>
          <w:rFonts w:eastAsia="Times New Roman"/>
          <w:vanish/>
        </w:rPr>
        <w:t>037038us-gaap:TransferredAtPointInTimeMemberrl:OtherNonReportableSegmentRelatedMemberrl:WholesaleMember2019-03-312020-03-280001037038us-gaap:TransferredAtPointInTimeMemberrl:WholesaleMember2019-03-312020-03-280001037038us-gaap:TransferredOverTimeMemberus-g</w:t>
      </w:r>
      <w:r>
        <w:rPr>
          <w:rFonts w:eastAsia="Times New Roman"/>
          <w:vanish/>
        </w:rPr>
        <w:t>aap:LicensingAgreementsMemberrl:NorthAmericaSegmentMember2019-03-312020-03-280001037038us-gaap:TransferredOverTimeMemberrl:EuropeSegmentMemberus-gaap:LicensingAgreementsMember2019-03-312020-03-280001037038rl:AsiaSegmentMemberus-gaap:TransferredOverTimeMemb</w:t>
      </w:r>
      <w:r>
        <w:rPr>
          <w:rFonts w:eastAsia="Times New Roman"/>
          <w:vanish/>
        </w:rPr>
        <w:t>erus-gaap:LicensingAgreementsMember2019-03-312020-03-280001037038us-gaap:TransferredOverTimeMemberus-gaap:LicensingAgreementsMemberrl:OtherNonReportableSegmentRelatedMember2019-03-312020-03-280001037038us-gaap:TransferredOverTimeMemberus-gaap:LicensingAgre</w:t>
      </w:r>
      <w:r>
        <w:rPr>
          <w:rFonts w:eastAsia="Times New Roman"/>
          <w:vanish/>
        </w:rPr>
        <w:t>ementsMember2019-03-312020-03-280001037038rl:NorthAmericaSegmentMember2019-03-312020-03-280001037038rl:EuropeSegmentMember2019-03-312020-03-280001037038rl:AsiaSegmentMember2019-03-312020-03-280001037038rl:OtherNonReportableSegmentRelatedMember2019-03-31202</w:t>
      </w:r>
      <w:r>
        <w:rPr>
          <w:rFonts w:eastAsia="Times New Roman"/>
          <w:vanish/>
        </w:rPr>
        <w:t>0-03-280001037038us-gaap:SalesReturnsAndAllowancesMember2021-03-282022-04-020001037038us-gaap:SalesReturnsAndAllowancesMember2021-03-270001037038us-gaap:SalesReturnsAndAllowancesMember2020-03-280001037038us-gaap:SalesReturnsAndAllowancesMember2019-03-30000</w:t>
      </w:r>
      <w:r>
        <w:rPr>
          <w:rFonts w:eastAsia="Times New Roman"/>
          <w:vanish/>
        </w:rPr>
        <w:t>1037038us-gaap:SalesReturnsAndAllowancesMember2020-03-292021-03-270001037038us-gaap:SalesReturnsAndAllowancesMember2019-03-312020-03-280001037038us-gaap:SalesReturnsAndAllowancesMember2022-04-020001037038us-gaap:AllowanceForCreditLossMember2021-03-282022-0</w:t>
      </w:r>
      <w:r>
        <w:rPr>
          <w:rFonts w:eastAsia="Times New Roman"/>
          <w:vanish/>
        </w:rPr>
        <w:t>4-020001037038us-gaap:AllowanceForCreditLossMember2021-03-270001037038us-gaap:AllowanceForCreditLossMember2020-03-280001037038us-gaap:AllowanceForCreditLossMember2019-03-300001037038us-gaap:AllowanceForCreditLossMember2020-03-292021-03-270001037038us-gaap:</w:t>
      </w:r>
      <w:r>
        <w:rPr>
          <w:rFonts w:eastAsia="Times New Roman"/>
          <w:vanish/>
        </w:rPr>
        <w:t>AllowanceForCreditLossMember2019-03-312020-03-280001037038us-gaap:AllowanceForCreditLossMember2022-04-02rl:Customer0001037038rl:ThreeLargestWholesaleCustomersMemberus-gaap:SalesRevenueNetMemberus-gaap:CustomerConcentrationRiskMember2021-03-282022-04-02xbrl</w:t>
      </w:r>
      <w:r>
        <w:rPr>
          <w:rFonts w:eastAsia="Times New Roman"/>
          <w:vanish/>
        </w:rPr>
        <w:t>i:pure0001037038us-gaap:AccountsReceivableMemberrl:ThreeLargestWholesaleCustomersMemberus-gaap:CustomerConcentrationRiskMember2021-03-282022-04-020001037038rl:ComputerSoftwareEquipmentMembersrt:MinimumMember2021-03-282022-04-020001037038us-gaap:MachineryAn</w:t>
      </w:r>
      <w:r>
        <w:rPr>
          <w:rFonts w:eastAsia="Times New Roman"/>
          <w:vanish/>
        </w:rPr>
        <w:t>dEquipmentMembersrt:MinimumMember2021-03-282022-04-020001037038us-gaap:FurnitureAndFixturesMembersrt:MinimumMember2021-03-282022-04-020001037038rl:ComputerSoftwareEquipmentMembersrt:MaximumMember2021-03-282022-04-020001037038us-gaap:FurnitureAndFixturesMem</w:t>
      </w:r>
      <w:r>
        <w:rPr>
          <w:rFonts w:eastAsia="Times New Roman"/>
          <w:vanish/>
        </w:rPr>
        <w:t>bersrt:MaximumMember2021-03-282022-04-020001037038us-gaap:MachineryAndEquipmentMembersrt:MaximumMember2021-03-282022-04-020001037038us-gaap:BuildingAndBuildingImprovementsMembersrt:MinimumMember2021-03-282022-04-020001037038us-gaap:BuildingAndBuildingImpro</w:t>
      </w:r>
      <w:r>
        <w:rPr>
          <w:rFonts w:eastAsia="Times New Roman"/>
          <w:vanish/>
        </w:rPr>
        <w:t>vementsMembersrt:MaximumMember2021-03-282022-04-020001037038srt:MinimumMember2022-04-020001037038srt:MaximumMember2022-04-020001037038rl:NorthAmericaSegmentMember2020-03-280001037038rl:EuropeSegmentMember2020-03-280001037038rl:AsiaSegmentMember2020-03-2800</w:t>
      </w:r>
      <w:r>
        <w:rPr>
          <w:rFonts w:eastAsia="Times New Roman"/>
          <w:vanish/>
        </w:rPr>
        <w:t>01037038us-gaap:AllOtherSegmentsMember2020-03-280001037038us-gaap:AllOtherSegmentsMember2020-03-292021-03-270001037038rl:NorthAmericaSegmentMember2021-03-270001037038rl:EuropeSegmentMember2021-03-270001037038rl:AsiaSegmentMember2021-03-270001037038us-gaap:</w:t>
      </w:r>
      <w:r>
        <w:rPr>
          <w:rFonts w:eastAsia="Times New Roman"/>
          <w:vanish/>
        </w:rPr>
        <w:t>AllOtherSegmentsMember2021-03-270001037038us-gaap:AllOtherSegmentsMember2021-03-282022-04-020001037038rl:NorthAmericaSegmentMember2022-04-020001037038rl:EuropeSegmentMember2022-04-020001037038rl:AsiaSegmentMember2022-04-020001037038us-gaap:AllOtherSegments</w:t>
      </w:r>
      <w:r>
        <w:rPr>
          <w:rFonts w:eastAsia="Times New Roman"/>
          <w:vanish/>
        </w:rPr>
        <w:t>Member2022-04-020001037038rl:ReacquiredLicensedTrademarksMember2022-04-020001037038rl:ReacquiredLicensedTrademarksMember2021-03-270001037038us-gaap:CustomerRelationshipsMember2022-04-020001037038us-gaap:CustomerRelationshipsMember2021-03-270001037038us-gaa</w:t>
      </w:r>
      <w:r>
        <w:rPr>
          <w:rFonts w:eastAsia="Times New Roman"/>
          <w:vanish/>
        </w:rPr>
        <w:t>p:OtherIntangibleAssetsMember2022-04-020001037038us-gaap:OtherIntangibleAssetsMember2021-03-270001037038rl:ReacquiredLicensedTrademarksMember2021-03-282022-04-020001037038us-gaap:CustomerRelationshipsMember2021-03-282022-04-020001037038rl:RestructuringPlan</w:t>
      </w:r>
      <w:r>
        <w:rPr>
          <w:rFonts w:eastAsia="Times New Roman"/>
          <w:vanish/>
        </w:rPr>
        <w:t>RelatedMember2020-03-292021-03-270001037038rl:UnderperformingStoresMemberrl:OthernonrestructuringrelatedMember2020-03-292021-03-270001037038rl:PreviouslyExitedRealEstateLocationsForWhichTheRelatedLeaseAgreementHaveNotYetExpiredMemberrl:Othernonrestructurin</w:t>
      </w:r>
      <w:r>
        <w:rPr>
          <w:rFonts w:eastAsia="Times New Roman"/>
          <w:vanish/>
        </w:rPr>
        <w:t>grelatedMember2020-03-292021-03-270001037038rl:RestructuringPlanRelatedMember2019-03-312020-03-280001037038rl:UnderperformingStoresMemberrl:OthernonrestructuringrelatedMember2019-03-312020-03-280001037038rl:Fiscal2021StrategicRealignmentPlanMembersrt:Minim</w:t>
      </w:r>
      <w:r>
        <w:rPr>
          <w:rFonts w:eastAsia="Times New Roman"/>
          <w:vanish/>
        </w:rPr>
        <w:t>umMember2022-04-020001037038rl:CashRelatedRestructuringChargesMemberrl:Fiscal2021StrategicRealignmentPlanMembersrt:MinimumMember2022-04-020001037038rl:NonCashRelatedRestructuringChargesMemberrl:Fiscal2021StrategicRealignmentPlanMembersrt:MinimumMember2022-</w:t>
      </w:r>
      <w:r>
        <w:rPr>
          <w:rFonts w:eastAsia="Times New Roman"/>
          <w:vanish/>
        </w:rPr>
        <w:t>04-020001037038rl:Fiscal2021StrategicRealignmentPlanMember2021-03-282022-04-020001037038us-gaap:EmployeeSeveranceMemberrl:Fiscal2021StrategicRealignmentPlanMember2021-03-282022-04-020001037038us-gaap:EmployeeSeveranceMemberrl:Fiscal2021StrategicRealignment</w:t>
      </w:r>
      <w:r>
        <w:rPr>
          <w:rFonts w:eastAsia="Times New Roman"/>
          <w:vanish/>
        </w:rPr>
        <w:t>PlanMember2020-03-292021-03-270001037038us-gaap:EmployeeSeveranceMemberrl:Fiscal2021StrategicRealignmentPlanMember2022-04-020001037038us-gaap:OtherRestructuringMemberrl:Fiscal2021StrategicRealignmentPlanMember2021-03-282022-04-020001037038us-gaap:OtherRest</w:t>
      </w:r>
      <w:r>
        <w:rPr>
          <w:rFonts w:eastAsia="Times New Roman"/>
          <w:vanish/>
        </w:rPr>
        <w:t>ructuringMemberrl:Fiscal2021StrategicRealignmentPlanMember2020-03-292021-03-270001037038us-gaap:OtherRestructuringMemberrl:Fiscal2021StrategicRealignmentPlanMember2022-04-020001037038rl:Fiscal2021StrategicRealignmentPlanMember2020-03-292021-03-270001037038</w:t>
      </w:r>
      <w:r>
        <w:rPr>
          <w:rFonts w:eastAsia="Times New Roman"/>
          <w:vanish/>
        </w:rPr>
        <w:t>rl:Fiscal2021StrategicRealignmentPlanMember2022-04-020001037038rl:Fiscal2021StrategicRealignmentPlanMemberrl:ImpairmentofAssetsMember2021-03-282022-04-020001037038rl:Fiscal2021StrategicRealignmentPlanMemberrl:ImpairmentofAssetsMember2020-03-292021-03-27000</w:t>
      </w:r>
      <w:r>
        <w:rPr>
          <w:rFonts w:eastAsia="Times New Roman"/>
          <w:vanish/>
        </w:rPr>
        <w:t>1037038rl:Fiscal2021StrategicRealignmentPlanMemberrl:ImpairmentofAssetsMember2022-04-020001037038us-gaap:InventoriesMemberrl:Fiscal2021StrategicRealignmentPlanMember2021-03-282022-04-020001037038us-gaap:InventoriesMemberrl:Fiscal2021StrategicRealignmentPla</w:t>
      </w:r>
      <w:r>
        <w:rPr>
          <w:rFonts w:eastAsia="Times New Roman"/>
          <w:vanish/>
        </w:rPr>
        <w:t>nMember2020-03-292021-03-270001037038us-gaap:InventoriesMemberrl:Fiscal2021StrategicRealignmentPlanMember2022-04-020001037038rl:AcceleratedstockbasedcompensationexpenseMemberrl:Fiscal2021StrategicRealignmentPlanMember2021-03-282022-04-020001037038rl:Accele</w:t>
      </w:r>
      <w:r>
        <w:rPr>
          <w:rFonts w:eastAsia="Times New Roman"/>
          <w:vanish/>
        </w:rPr>
        <w:t>ratedstockbasedcompensationexpenseMemberrl:Fiscal2021StrategicRealignmentPlanMember2020-03-292021-03-270001037038rl:AcceleratedstockbasedcompensationexpenseMemberrl:Fiscal2021StrategicRealignmentPlanMember2022-04-020001037038rl:Fiscal2021StrategicRealignme</w:t>
      </w:r>
      <w:r>
        <w:rPr>
          <w:rFonts w:eastAsia="Times New Roman"/>
          <w:vanish/>
        </w:rPr>
        <w:t>ntPlanMemberrl:CharitableDonationMember2021-03-282022-04-020001037038us-gaap:EmployeeSeveranceMemberrl:Fiscal2021StrategicRealignmentPlanMember2020-03-280001037038us-gaap:OtherRestructuringMemberrl:Fiscal2021StrategicRealignmentPlanMember2020-03-2800010370</w:t>
      </w:r>
      <w:r>
        <w:rPr>
          <w:rFonts w:eastAsia="Times New Roman"/>
          <w:vanish/>
        </w:rPr>
        <w:t>38rl:Fiscal2021StrategicRealignmentPlanMember2020-03-280001037038us-gaap:EmployeeSeveranceMemberrl:Fiscal2021StrategicRealignmentPlanMember2021-03-270001037038us-gaap:OtherRestructuringMemberrl:Fiscal2021StrategicRealignmentPlanMember2021-03-270001037038rl</w:t>
      </w:r>
      <w:r>
        <w:rPr>
          <w:rFonts w:eastAsia="Times New Roman"/>
          <w:vanish/>
        </w:rPr>
        <w:t>:Fiscal2021StrategicRealignmentPlanMember2021-03-270001037038rl:Fiscal2019RestructuringPlanMember2021-03-282022-04-020001037038rl:Fiscal2019RestructuringPlanMemberus-gaap:EmployeeSeveranceMember2019-03-312020-03-280001037038rl:Fiscal2019RestructuringPlanMe</w:t>
      </w:r>
      <w:r>
        <w:rPr>
          <w:rFonts w:eastAsia="Times New Roman"/>
          <w:vanish/>
        </w:rPr>
        <w:t>mberus-gaap:EmployeeSeveranceMember2022-04-020001037038rl:Fiscal2019RestructuringPlanMemberus-gaap:FacilityClosingMember2019-03-312020-03-280001037038rl:Fiscal2019RestructuringPlanMemberus-gaap:FacilityClosingMember2022-04-020001037038rl:Fiscal2019Restruct</w:t>
      </w:r>
      <w:r>
        <w:rPr>
          <w:rFonts w:eastAsia="Times New Roman"/>
          <w:vanish/>
        </w:rPr>
        <w:t>uringPlanMemberus-gaap:OtherRestructuringMember2019-03-312020-03-280001037038rl:Fiscal2019RestructuringPlanMemberus-gaap:OtherRestructuringMember2022-04-020001037038rl:Fiscal2019RestructuringPlanMember2019-03-312020-03-280001037038rl:Fiscal2019Restructurin</w:t>
      </w:r>
      <w:r>
        <w:rPr>
          <w:rFonts w:eastAsia="Times New Roman"/>
          <w:vanish/>
        </w:rPr>
        <w:t>gPlanMember2022-04-020001037038rl:Fiscal2019RestructuringPlanMemberrl:ImpairmentofAssetsMember2019-03-312020-03-280001037038rl:Fiscal2019RestructuringPlanMemberrl:ImpairmentofAssetsMember2022-04-020001037038us-gaap:InventoriesMemberrl:Fiscal2019Restructuri</w:t>
      </w:r>
      <w:r>
        <w:rPr>
          <w:rFonts w:eastAsia="Times New Roman"/>
          <w:vanish/>
        </w:rPr>
        <w:t>ngPlanMember2019-03-312020-03-280001037038us-gaap:InventoriesMemberrl:Fiscal2019RestructuringPlanMember2022-04-020001037038rl:Fiscal2019RestructuringPlanMemberrl:AcceleratedstockbasedcompensationexpenseMember2019-03-312020-03-280001037038rl:Fiscal2019Restr</w:t>
      </w:r>
      <w:r>
        <w:rPr>
          <w:rFonts w:eastAsia="Times New Roman"/>
          <w:vanish/>
        </w:rPr>
        <w:t>ucturingPlanMemberrl:AcceleratedstockbasedcompensationexpenseMember2022-04-020001037038rl:Fiscal2019RestructuringPlanMemberrl:LossonsaleofpropertyMember2019-03-312020-03-280001037038rl:Fiscal2019RestructuringPlanMemberrl:LossonsaleofpropertyMember2022-04-0</w:t>
      </w:r>
      <w:r>
        <w:rPr>
          <w:rFonts w:eastAsia="Times New Roman"/>
          <w:vanish/>
        </w:rPr>
        <w:t>200010370382018-04-012019-03-300001037038rl:Fiscal2019RestructuringPlanMemberus-gaap:EmployeeSeveranceMember2019-03-300001037038rl:Fiscal2019RestructuringPlanMemberus-gaap:FacilityClosingMember2019-03-300001037038rl:Fiscal2019RestructuringPlanMemberus-gaap</w:t>
      </w:r>
      <w:r>
        <w:rPr>
          <w:rFonts w:eastAsia="Times New Roman"/>
          <w:vanish/>
        </w:rPr>
        <w:t>:OtherRestructuringMember2019-03-300001037038rl:Fiscal2019RestructuringPlanMember2019-03-300001037038rl:Fiscal2019RestructuringPlanMemberus-gaap:EmployeeSeveranceMember2020-03-280001037038rl:Fiscal2019RestructuringPlanMemberus-gaap:FacilityClosingMember202</w:t>
      </w:r>
      <w:r>
        <w:rPr>
          <w:rFonts w:eastAsia="Times New Roman"/>
          <w:vanish/>
        </w:rPr>
        <w:t>0-03-280001037038rl:Fiscal2019RestructuringPlanMemberus-gaap:OtherRestructuringMember2020-03-280001037038rl:Fiscal2019RestructuringPlanMember2020-03-280001037038rl:Fiscal2019RestructuringPlanMemberus-gaap:EmployeeSeveranceMember2020-03-292021-03-2700010370</w:t>
      </w:r>
      <w:r>
        <w:rPr>
          <w:rFonts w:eastAsia="Times New Roman"/>
          <w:vanish/>
        </w:rPr>
        <w:t>38rl:Fiscal2019RestructuringPlanMemberus-gaap:FacilityClosingMember2020-03-292021-03-270001037038rl:Fiscal2019RestructuringPlanMemberus-gaap:OtherRestructuringMember2020-03-292021-03-270001037038rl:Fiscal2019RestructuringPlanMember2020-03-292021-03-2700010</w:t>
      </w:r>
      <w:r>
        <w:rPr>
          <w:rFonts w:eastAsia="Times New Roman"/>
          <w:vanish/>
        </w:rPr>
        <w:t>37038rl:Fiscal2019RestructuringPlanMemberus-gaap:EmployeeSeveranceMember2021-03-270001037038rl:Fiscal2019RestructuringPlanMemberus-gaap:FacilityClosingMember2021-03-270001037038rl:Fiscal2019RestructuringPlanMemberus-gaap:OtherRestructuringMember2021-03-270</w:t>
      </w:r>
      <w:r>
        <w:rPr>
          <w:rFonts w:eastAsia="Times New Roman"/>
          <w:vanish/>
        </w:rPr>
        <w:t>001037038rl:Fiscal2019RestructuringPlanMember2021-03-270001037038rl:Fiscal2019RestructuringPlanMemberus-gaap:EmployeeSeveranceMember2021-03-282022-04-020001037038rl:Fiscal2019RestructuringPlanMemberus-gaap:FacilityClosingMember2021-03-282022-04-02000103703</w:t>
      </w:r>
      <w:r>
        <w:rPr>
          <w:rFonts w:eastAsia="Times New Roman"/>
          <w:vanish/>
        </w:rPr>
        <w:t>8rl:Fiscal2019RestructuringPlanMemberus-gaap:OtherRestructuringMember2021-03-282022-04-020001037038rl:ChargesprimarilyrelatedtorentandoccupancycostsassociatedwithpreviouslyexitedrealestatelocationsMember2021-03-282022-04-020001037038rl:Chargesprimarilyrela</w:t>
      </w:r>
      <w:r>
        <w:rPr>
          <w:rFonts w:eastAsia="Times New Roman"/>
          <w:vanish/>
        </w:rPr>
        <w:t>tedtorentandoccupancycostsassociatedwithpreviouslyexitedrealestatelocationsMember2020-03-292021-03-270001037038rl:ChargesprimarilyrelatedtorentandoccupancycostsassociatedwithpreviouslyexitedrealestatelocationsMember2019-03-312020-03-280001037038rl:Corporat</w:t>
      </w:r>
      <w:r>
        <w:rPr>
          <w:rFonts w:eastAsia="Times New Roman"/>
          <w:vanish/>
        </w:rPr>
        <w:t>eJetDonationMember2019-03-312020-03-280001037038us-gaap:DomesticCountryMember2022-04-020001037038us-gaap:StateAndLocalJurisdictionMember2022-04-020001037038us-gaap:ForeignCountryMember2022-04-020001037038us-gaap:StateAndLocalJurisdictionMember2021-03-28202</w:t>
      </w:r>
      <w:r>
        <w:rPr>
          <w:rFonts w:eastAsia="Times New Roman"/>
          <w:vanish/>
        </w:rPr>
        <w:t>2-04-020001037038us-gaap:ForeignCountryMember2021-03-282022-04-020001037038rl:A3.750SeniorNotesMemberMember2022-04-020001037038rl:A3.750SeniorNotesMemberMember2021-03-270001037038rl:A1700SeniorNotesMember2022-04-020001037038rl:A1700SeniorNotesMember2021-03</w:t>
      </w:r>
      <w:r>
        <w:rPr>
          <w:rFonts w:eastAsia="Times New Roman"/>
          <w:vanish/>
        </w:rPr>
        <w:t>-270001037038rl:A2950SeniorNotesMember2022-04-020001037038rl:A2950SeniorNotesMember2021-03-270001037038rl:A3.750SeniorNotesMemberMember2021-03-282022-04-020001037038rl:A2.125SeniorNotesMember2018-09-260001037038rl:A2.125SeniorNotesMember2021-03-282022-04-0</w:t>
      </w:r>
      <w:r>
        <w:rPr>
          <w:rFonts w:eastAsia="Times New Roman"/>
          <w:vanish/>
        </w:rPr>
        <w:t>20001037038rl:A1700SeniorNotesMember2021-03-282022-04-020001037038rl:A2950SeniorNotesMember2021-03-282022-04-020001037038rl:GlobalCreditFacilityMember2019-03-312020-03-280001037038rl:A2.625SeniorNotesMember2022-04-020001037038rl:A2.625SeniorNotesMember2021</w:t>
      </w:r>
      <w:r>
        <w:rPr>
          <w:rFonts w:eastAsia="Times New Roman"/>
          <w:vanish/>
        </w:rPr>
        <w:t>-03-282022-04-020001037038us-gaap:SeniorNotesMember2021-03-282022-04-020001037038us-gaap:CommercialPaperMember2022-04-020001037038us-gaap:CommercialPaperMembersrt:MaximumMember2021-03-282022-04-020001037038rl:GlobalCreditFacilityMember2022-04-020001037038r</w:t>
      </w:r>
      <w:r>
        <w:rPr>
          <w:rFonts w:eastAsia="Times New Roman"/>
          <w:vanish/>
        </w:rPr>
        <w:t>l:GlobalCreditFacilityMember2021-03-282022-04-020001037038rl:GlobalCreditFacilityMemberrl:WeightedAverageOvernightFederalFundsRateMember2021-03-282022-04-020001037038rl:GlobalCreditFacilityMemberus-gaap:LondonInterbankOfferedRateLIBORMember2021-03-282022-0</w:t>
      </w:r>
      <w:r>
        <w:rPr>
          <w:rFonts w:eastAsia="Times New Roman"/>
          <w:vanish/>
        </w:rPr>
        <w:t>4-020001037038rl:GlobalCreditFacilityMemberrl:AdjustedLondonInterbankOfferedRateMember2021-03-282022-04-02rl:Quarter0001037038rl:GlobalCreditFacilityThirdAmendmentMemberrl:FederalReserveBankOfNewYorkMember2021-03-282022-04-020001037038rl:GlobalCreditFacili</w:t>
      </w:r>
      <w:r>
        <w:rPr>
          <w:rFonts w:eastAsia="Times New Roman"/>
          <w:vanish/>
        </w:rPr>
        <w:t>tyThirdAmendmentMemberrl:AdjustedTermSecuredOvernightFinancingRateMember2021-03-282022-04-020001037038rl:DailySimpleSecuredOvernightFinancingRateMemberrl:GlobalCreditFacilityThirdAmendmentMember2021-03-282022-04-020001037038rl:GlobalCreditFacilityMember202</w:t>
      </w:r>
      <w:r>
        <w:rPr>
          <w:rFonts w:eastAsia="Times New Roman"/>
          <w:vanish/>
        </w:rPr>
        <w:t>1-03-270001037038rl:ChineseCreditFacilityMember2022-04-02iso4217:CNY0001037038rl:ChineseCreditFacilityMember2021-03-282022-04-020001037038rl:ChineseCreditFacilityMemberus-gaap:SubsequentEventMember2022-04-290001037038rl:SouthKoreaCreditFacilityMember2022-0</w:t>
      </w:r>
      <w:r>
        <w:rPr>
          <w:rFonts w:eastAsia="Times New Roman"/>
          <w:vanish/>
        </w:rPr>
        <w:t>4-02iso4217:KRW0001037038rl:SouthKoreaCreditFacilityMember2021-03-282022-04-020001037038rl:JapanOverdraftFacilityMember2022-04-02iso4217:JPY0001037038rl:JapanOverdraftFacilityMember2021-03-282022-04-020001037038rl:PanAsiaBorrowingFacilitiesMember2021-03-27</w:t>
      </w:r>
      <w:r>
        <w:rPr>
          <w:rFonts w:eastAsia="Times New Roman"/>
          <w:vanish/>
        </w:rPr>
        <w:t>0001037038rl:PanAsiaBorrowingFacilitiesMember2022-04-020001037038us-gaap:FairValueInputsLevel2Memberus-gaap:FairValueMeasurementsRecurringMember2022-04-020001037038us-gaap:FairValueInputsLevel2Memberus-gaap:FairValueMeasurementsRecurringMember2021-03-27000</w:t>
      </w:r>
      <w:r>
        <w:rPr>
          <w:rFonts w:eastAsia="Times New Roman"/>
          <w:vanish/>
        </w:rPr>
        <w:t>1037038rl:A3.750SeniorNotesMemberMemberus-gaap:FairValueInputsLevel2Member2022-04-020001037038rl:A3.750SeniorNotesMemberMemberus-gaap:FairValueInputsLevel2Member2021-03-270001037038us-gaap:FairValueInputsLevel2Memberrl:A1700SeniorNotesMember2022-04-0200010</w:t>
      </w:r>
      <w:r>
        <w:rPr>
          <w:rFonts w:eastAsia="Times New Roman"/>
          <w:vanish/>
        </w:rPr>
        <w:t>37038us-gaap:FairValueInputsLevel2Memberrl:A1700SeniorNotesMember2021-03-270001037038rl:A2950SeniorNotesMemberus-gaap:FairValueInputsLevel2Member2022-04-020001037038rl:A2950SeniorNotesMemberus-gaap:FairValueInputsLevel2Member2021-03-270001037038us-gaap:Pro</w:t>
      </w:r>
      <w:r>
        <w:rPr>
          <w:rFonts w:eastAsia="Times New Roman"/>
          <w:vanish/>
        </w:rPr>
        <w:t>pertyPlantAndEquipmentMember2021-03-282022-04-020001037038us-gaap:PropertyPlantAndEquipmentMember2020-03-292021-03-270001037038us-gaap:PropertyPlantAndEquipmentMember2019-03-312020-03-280001037038rl:OperatingLeaseRightofUseAssetMember2021-03-282022-04-0200</w:t>
      </w:r>
      <w:r>
        <w:rPr>
          <w:rFonts w:eastAsia="Times New Roman"/>
          <w:vanish/>
        </w:rPr>
        <w:t>01037038rl:OperatingLeaseRightofUseAssetMember2020-03-292021-03-270001037038rl:OperatingLeaseRightofUseAssetMember2019-03-312020-03-280001037038us-gaap:EquityMethodInvestmentsMember2021-03-282022-04-020001037038us-gaap:EquityMethodInvestmentsMember2020-03-</w:t>
      </w:r>
      <w:r>
        <w:rPr>
          <w:rFonts w:eastAsia="Times New Roman"/>
          <w:vanish/>
        </w:rPr>
        <w:t>292021-03-270001037038us-gaap:EquityMethodInvestmentsMember2019-03-312020-03-280001037038rl:OperatingLeaseRightofUseAssetMemberus-gaap:AccountingStandardsUpdate201602Member2019-03-310001037038us-gaap:ForeignExchangeForwardMemberus-gaap:CashFlowHedgingMembe</w:t>
      </w:r>
      <w:r>
        <w:rPr>
          <w:rFonts w:eastAsia="Times New Roman"/>
          <w:vanish/>
        </w:rPr>
        <w:t>rus-gaap:DesignatedAsHedgingInstrumentMember2022-04-020001037038us-gaap:ForeignExchangeForwardMemberus-gaap:CashFlowHedgingMemberus-gaap:DesignatedAsHedgingInstrumentMember2021-03-270001037038us-gaap:ForeignExchangeForwardMemberus-gaap:PrepaidExpensesAndOt</w:t>
      </w:r>
      <w:r>
        <w:rPr>
          <w:rFonts w:eastAsia="Times New Roman"/>
          <w:vanish/>
        </w:rPr>
        <w:t>herCurrentAssetsMemberus-gaap:CashFlowHedgingMemberus-gaap:DesignatedAsHedgingInstrumentMember2022-04-020001037038us-gaap:ForeignExchangeForwardMemberus-gaap:PrepaidExpensesAndOtherCurrentAssetsMemberus-gaap:CashFlowHedgingMemberus-gaap:DesignatedAsHedging</w:t>
      </w:r>
      <w:r>
        <w:rPr>
          <w:rFonts w:eastAsia="Times New Roman"/>
          <w:vanish/>
        </w:rPr>
        <w:t>InstrumentMember2021-03-270001037038us-gaap:NetInvestmentHedgingMemberus-gaap:DesignatedAsHedgingInstrumentMember2022-04-020001037038us-gaap:NetInvestmentHedgingMemberus-gaap:DesignatedAsHedgingInstrumentMember2021-03-270001037038us-gaap:OtherNoncurrentAss</w:t>
      </w:r>
      <w:r>
        <w:rPr>
          <w:rFonts w:eastAsia="Times New Roman"/>
          <w:vanish/>
        </w:rPr>
        <w:t>etsMemberus-gaap:NetInvestmentHedgingMemberus-gaap:DesignatedAsHedgingInstrumentMember2022-04-020001037038us-gaap:OtherNoncurrentAssetsMemberus-gaap:NetInvestmentHedgingMemberus-gaap:DesignatedAsHedgingInstrumentMember2021-03-270001037038us-gaap:NetInvestm</w:t>
      </w:r>
      <w:r>
        <w:rPr>
          <w:rFonts w:eastAsia="Times New Roman"/>
          <w:vanish/>
        </w:rPr>
        <w:t>entHedgingMemberus-gaap:OtherNoncurrentLiabilitiesMemberus-gaap:DesignatedAsHedgingInstrumentMember2022-04-020001037038us-gaap:NetInvestmentHedgingMemberus-gaap:OtherNoncurrentLiabilitiesMemberus-gaap:DesignatedAsHedgingInstrumentMember2021-03-270001037038</w:t>
      </w:r>
      <w:r>
        <w:rPr>
          <w:rFonts w:eastAsia="Times New Roman"/>
          <w:vanish/>
        </w:rPr>
        <w:t>us-gaap:DesignatedAsHedgingInstrumentMember2022-04-020001037038us-gaap:DesignatedAsHedgingInstrumentMember2021-03-270001037038us-gaap:ForeignExchangeForwardMemberus-gaap:NondesignatedMember2022-04-020001037038us-gaap:ForeignExchangeForwardMemberus-gaap:Non</w:t>
      </w:r>
      <w:r>
        <w:rPr>
          <w:rFonts w:eastAsia="Times New Roman"/>
          <w:vanish/>
        </w:rPr>
        <w:t>designatedMember2021-03-270001037038us-gaap:ForeignExchangeForwardMemberus-gaap:PrepaidExpensesAndOtherCurrentAssetsMemberus-gaap:NondesignatedMember2022-04-020001037038us-gaap:ForeignExchangeForwardMemberus-gaap:PrepaidExpensesAndOtherCurrentAssetsMemberu</w:t>
      </w:r>
      <w:r>
        <w:rPr>
          <w:rFonts w:eastAsia="Times New Roman"/>
          <w:vanish/>
        </w:rPr>
        <w:t>s-gaap:NondesignatedMember2021-03-270001037038us-gaap:ForeignExchangeForwardMemberrl:AccruedExpensesandOtherCurrentLiabilitiesMemberus-gaap:NondesignatedMember2022-04-020001037038us-gaap:ForeignExchangeForwardMemberrl:AccruedExpensesandOtherCurrentLiabilit</w:t>
      </w:r>
      <w:r>
        <w:rPr>
          <w:rFonts w:eastAsia="Times New Roman"/>
          <w:vanish/>
        </w:rPr>
        <w:t>iesMemberus-gaap:NondesignatedMember2021-03-27rl:counterparty0001037038us-gaap:ForeignExchangeForwardMemberus-gaap:CashFlowHedgingMemberus-gaap:DesignatedAsHedgingInstrumentMember2021-03-282022-04-020001037038us-gaap:ForeignExchangeForwardMemberus-gaap:Cas</w:t>
      </w:r>
      <w:r>
        <w:rPr>
          <w:rFonts w:eastAsia="Times New Roman"/>
          <w:vanish/>
        </w:rPr>
        <w:t>hFlowHedgingMemberus-gaap:DesignatedAsHedgingInstrumentMember2020-03-292021-03-270001037038us-gaap:ForeignExchangeForwardMemberus-gaap:CashFlowHedgingMemberus-gaap:DesignatedAsHedgingInstrumentMember2019-03-312020-03-280001037038rl:EffectiveportionMemberus</w:t>
      </w:r>
      <w:r>
        <w:rPr>
          <w:rFonts w:eastAsia="Times New Roman"/>
          <w:vanish/>
        </w:rPr>
        <w:t>-gaap:NetInvestmentHedgingMemberus-gaap:DesignatedAsHedgingInstrumentMember2021-03-282022-04-020001037038rl:EffectiveportionMemberus-gaap:NetInvestmentHedgingMemberus-gaap:DesignatedAsHedgingInstrumentMember2020-03-292021-03-270001037038rl:Effectiveportion</w:t>
      </w:r>
      <w:r>
        <w:rPr>
          <w:rFonts w:eastAsia="Times New Roman"/>
          <w:vanish/>
        </w:rPr>
        <w:t>Memberus-gaap:NetInvestmentHedgingMemberus-gaap:DesignatedAsHedgingInstrumentMember2019-03-312020-03-280001037038rl:PortionexcludedfromassessmentofhedgeeffectivenessMemberus-gaap:NetInvestmentHedgingMemberus-gaap:DesignatedAsHedgingInstrumentMember2021-03-</w:t>
      </w:r>
      <w:r>
        <w:rPr>
          <w:rFonts w:eastAsia="Times New Roman"/>
          <w:vanish/>
        </w:rPr>
        <w:t>282022-04-020001037038rl:PortionexcludedfromassessmentofhedgeeffectivenessMemberus-gaap:NetInvestmentHedgingMemberus-gaap:DesignatedAsHedgingInstrumentMember2020-03-292021-03-270001037038rl:PortionexcludedfromassessmentofhedgeeffectivenessMemberus-gaap:Net</w:t>
      </w:r>
      <w:r>
        <w:rPr>
          <w:rFonts w:eastAsia="Times New Roman"/>
          <w:vanish/>
        </w:rPr>
        <w:t>InvestmentHedgingMemberus-gaap:DesignatedAsHedgingInstrumentMember2019-03-312020-03-280001037038us-gaap:DesignatedAsHedgingInstrumentMember2021-03-282022-04-020001037038us-gaap:DesignatedAsHedgingInstrumentMember2020-03-292021-03-270001037038us-gaap:Design</w:t>
      </w:r>
      <w:r>
        <w:rPr>
          <w:rFonts w:eastAsia="Times New Roman"/>
          <w:vanish/>
        </w:rPr>
        <w:t>atedAsHedgingInstrumentMember2019-03-312020-03-280001037038us-gaap:ForeignExchangeForwardMemberus-gaap:CashFlowHedgingMemberus-gaap:ReclassificationOutOfAccumulatedOtherComprehensiveIncomeMemberus-gaap:DesignatedAsHedgingInstrumentMember2021-03-282022-04-0</w:t>
      </w:r>
      <w:r>
        <w:rPr>
          <w:rFonts w:eastAsia="Times New Roman"/>
          <w:vanish/>
        </w:rPr>
        <w:t>20001037038us-gaap:ForeignExchangeForwardMemberus-gaap:CashFlowHedgingMemberus-gaap:ReclassificationOutOfAccumulatedOtherComprehensiveIncomeMemberus-gaap:DesignatedAsHedgingInstrumentMember2020-03-292021-03-270001037038us-gaap:ForeignExchangeForwardMemberu</w:t>
      </w:r>
      <w:r>
        <w:rPr>
          <w:rFonts w:eastAsia="Times New Roman"/>
          <w:vanish/>
        </w:rPr>
        <w:t>s-gaap:CashFlowHedgingMemberus-gaap:ReclassificationOutOfAccumulatedOtherComprehensiveIncomeMemberus-gaap:DesignatedAsHedgingInstrumentMember2019-03-312020-03-280001037038us-gaap:NetInvestmentHedgingMemberus-gaap:DesignatedAsHedgingInstrumentMember2021-03-</w:t>
      </w:r>
      <w:r>
        <w:rPr>
          <w:rFonts w:eastAsia="Times New Roman"/>
          <w:vanish/>
        </w:rPr>
        <w:t>282022-04-020001037038us-gaap:NetInvestmentHedgingMemberus-gaap:DesignatedAsHedgingInstrumentMember2020-03-292021-03-270001037038us-gaap:NetInvestmentHedgingMemberus-gaap:DesignatedAsHedgingInstrumentMember2019-03-312020-03-280001037038us-gaap:ForeignExcha</w:t>
      </w:r>
      <w:r>
        <w:rPr>
          <w:rFonts w:eastAsia="Times New Roman"/>
          <w:vanish/>
        </w:rPr>
        <w:t>ngeForwardMember2021-03-282022-04-020001037038us-gaap:ForeignExchangeForwardMember2020-03-292021-03-270001037038us-gaap:ForeignExchangeForwardMember2019-03-312020-03-280001037038us-gaap:ForeignExchangeForwardMembersrt:MinimumMember2021-03-282022-04-0200010</w:t>
      </w:r>
      <w:r>
        <w:rPr>
          <w:rFonts w:eastAsia="Times New Roman"/>
          <w:vanish/>
        </w:rPr>
        <w:t>37038us-gaap:ForeignExchangeForwardMembersrt:MaximumMember2021-03-282022-04-020001037038us-gaap:BankTimeDepositsMember2022-04-020001037038us-gaap:BankTimeDepositsMember2021-03-270001037038us-gaap:SellingGeneralAndAdministrativeExpensesMember2021-03-282022-</w:t>
      </w:r>
      <w:r>
        <w:rPr>
          <w:rFonts w:eastAsia="Times New Roman"/>
          <w:vanish/>
        </w:rPr>
        <w:t>04-020001037038us-gaap:SellingGeneralAndAdministrativeExpensesMember2020-03-292021-03-270001037038us-gaap:SellingGeneralAndAdministrativeExpensesMember2019-03-312020-03-280001037038us-gaap:InterestExpenseMember2021-03-282022-04-020001037038us-gaap:Interest</w:t>
      </w:r>
      <w:r>
        <w:rPr>
          <w:rFonts w:eastAsia="Times New Roman"/>
          <w:vanish/>
        </w:rPr>
        <w:t>ExpenseMember2020-03-292021-03-270001037038us-gaap:InterestExpenseMember2019-03-312020-03-280001037038us-gaap:RestructuringChargesMember2021-03-282022-04-020001037038us-gaap:RestructuringChargesMember2020-03-292021-03-270001037038us-gaap:RestructuringCharg</w:t>
      </w:r>
      <w:r>
        <w:rPr>
          <w:rFonts w:eastAsia="Times New Roman"/>
          <w:vanish/>
        </w:rPr>
        <w:t>esMember2019-03-312020-03-280001037038us-gaap:CostOfSalesMember2021-03-282022-04-020001037038us-gaap:CostOfSalesMember2020-03-292021-03-270001037038us-gaap:CostOfSalesMember2019-03-312020-03-280001037038rl:USTaxReformMember2021-03-282022-04-020001037038rl:</w:t>
      </w:r>
      <w:r>
        <w:rPr>
          <w:rFonts w:eastAsia="Times New Roman"/>
          <w:vanish/>
        </w:rPr>
        <w:t>USTaxReformMember2022-04-020001037038us-gaap:InventoriesMember2022-04-020001037038us-gaap:InterestExpenseMember2022-04-020001037038rl:OtherCommitmentsMember2022-04-02rl:class_of_stock0001037038us-gaap:CommonClassAMember2021-03-282022-04-020001037038us-gaap</w:t>
      </w:r>
      <w:r>
        <w:rPr>
          <w:rFonts w:eastAsia="Times New Roman"/>
          <w:vanish/>
        </w:rPr>
        <w:t>:CommonClassBMember2021-03-282022-04-020001037038rl:GeneralRepurchaseProgramMember2021-03-282022-04-020001037038rl:GeneralRepurchaseProgramMember2020-03-292021-03-270001037038rl:GeneralRepurchaseProgramMember2019-03-312020-03-280001037038rl:WithholdingInSa</w:t>
      </w:r>
      <w:r>
        <w:rPr>
          <w:rFonts w:eastAsia="Times New Roman"/>
          <w:vanish/>
        </w:rPr>
        <w:t>tisfactionOfTaxesOnVestedEquityAwardMember2021-03-282022-04-020001037038rl:WithholdingInSatisfactionOfTaxesOnVestedEquityAwardMember2020-03-292021-03-270001037038rl:WithholdingInSatisfactionOfTaxesOnVestedEquityAwardMember2019-03-312020-03-2800010370382020</w:t>
      </w:r>
      <w:r>
        <w:rPr>
          <w:rFonts w:eastAsia="Times New Roman"/>
          <w:vanish/>
        </w:rPr>
        <w:t>-03-292020-06-270001037038us-gaap:SubsequentEventMember2022-05-182022-05-180001037038us-gaap:AccumulatedTranslationAdjustmentMember2019-03-300001037038us-gaap:AccumulatedNetGainLossFromDesignatedOrQualifyingCashFlowHedgesMember2019-03-300001037038us-gaap:A</w:t>
      </w:r>
      <w:r>
        <w:rPr>
          <w:rFonts w:eastAsia="Times New Roman"/>
          <w:vanish/>
        </w:rPr>
        <w:t>ccumulatedDefinedBenefitPlansAdjustmentMember2019-03-300001037038us-gaap:AccumulatedTranslationAdjustmentMember2019-03-312020-03-280001037038us-gaap:AccumulatedNetGainLossFromDesignatedOrQualifyingCashFlowHedgesMember2019-03-312020-03-280001037038us-gaap:A</w:t>
      </w:r>
      <w:r>
        <w:rPr>
          <w:rFonts w:eastAsia="Times New Roman"/>
          <w:vanish/>
        </w:rPr>
        <w:t>ccumulatedDefinedBenefitPlansAdjustmentMember2019-03-312020-03-280001037038us-gaap:AccumulatedTranslationAdjustmentMember2020-03-280001037038us-gaap:AccumulatedNetGainLossFromDesignatedOrQualifyingCashFlowHedgesMember2020-03-280001037038us-gaap:Accumulated</w:t>
      </w:r>
      <w:r>
        <w:rPr>
          <w:rFonts w:eastAsia="Times New Roman"/>
          <w:vanish/>
        </w:rPr>
        <w:t>DefinedBenefitPlansAdjustmentMember2020-03-280001037038us-gaap:AccumulatedTranslationAdjustmentMember2020-03-292021-03-270001037038us-gaap:AccumulatedNetGainLossFromDesignatedOrQualifyingCashFlowHedgesMember2020-03-292021-03-270001037038us-gaap:Accumulated</w:t>
      </w:r>
      <w:r>
        <w:rPr>
          <w:rFonts w:eastAsia="Times New Roman"/>
          <w:vanish/>
        </w:rPr>
        <w:t>DefinedBenefitPlansAdjustmentMember2020-03-292021-03-270001037038us-gaap:AccumulatedTranslationAdjustmentMember2021-03-270001037038us-gaap:AccumulatedNetGainLossFromDesignatedOrQualifyingCashFlowHedgesMember2021-03-270001037038us-gaap:AccumulatedDefinedBen</w:t>
      </w:r>
      <w:r>
        <w:rPr>
          <w:rFonts w:eastAsia="Times New Roman"/>
          <w:vanish/>
        </w:rPr>
        <w:t>efitPlansAdjustmentMember2021-03-270001037038us-gaap:AccumulatedTranslationAdjustmentMember2021-03-282022-04-020001037038us-gaap:AccumulatedNetGainLossFromDesignatedOrQualifyingCashFlowHedgesMember2021-03-282022-04-020001037038us-gaap:AccumulatedDefinedBen</w:t>
      </w:r>
      <w:r>
        <w:rPr>
          <w:rFonts w:eastAsia="Times New Roman"/>
          <w:vanish/>
        </w:rPr>
        <w:t>efitPlansAdjustmentMember2021-03-282022-04-020001037038us-gaap:AccumulatedTranslationAdjustmentMember2022-04-020001037038us-gaap:AccumulatedNetGainLossFromDesignatedOrQualifyingCashFlowHedgesMember2022-04-020001037038us-gaap:AccumulatedDefinedBenefitPlansA</w:t>
      </w:r>
      <w:r>
        <w:rPr>
          <w:rFonts w:eastAsia="Times New Roman"/>
          <w:vanish/>
        </w:rPr>
        <w:t>djustmentMember2022-04-020001037038us-gaap:CashFlowHedgingMemberus-gaap:ReclassificationOutOfAccumulatedOtherComprehensiveIncomeMember2021-03-282022-04-020001037038us-gaap:CashFlowHedgingMemberus-gaap:ReclassificationOutOfAccumulatedOtherComprehensiveIncom</w:t>
      </w:r>
      <w:r>
        <w:rPr>
          <w:rFonts w:eastAsia="Times New Roman"/>
          <w:vanish/>
        </w:rPr>
        <w:t>eMember2020-03-292021-03-270001037038us-gaap:CashFlowHedgingMemberus-gaap:ReclassificationOutOfAccumulatedOtherComprehensiveIncomeMember2019-03-312020-03-280001037038rl:A2019LongTermStockIncentivePlanMember2019-03-312020-03-280001037038rl:A2010LongTermStoc</w:t>
      </w:r>
      <w:r>
        <w:rPr>
          <w:rFonts w:eastAsia="Times New Roman"/>
          <w:vanish/>
        </w:rPr>
        <w:t>kIncentivePlanMember2019-08-010001037038us-gaap:RestrictedStockUnitsRSUMember2021-03-282022-04-020001037038rl:RestrictedStockAndServiceBasedRestrictedStockUnitsMember2021-03-282022-04-020001037038us-gaap:RestrictedStockUnitsRSUMember2021-03-270001037038us-</w:t>
      </w:r>
      <w:r>
        <w:rPr>
          <w:rFonts w:eastAsia="Times New Roman"/>
          <w:vanish/>
        </w:rPr>
        <w:t>gaap:RestrictedStockUnitsRSUMember2022-04-020001037038us-gaap:RestrictedStockUnitsRSUMember2020-03-292021-03-270001037038us-gaap:RestrictedStockUnitsRSUMember2019-03-312020-03-280001037038us-gaap:PerformanceSharesMember2021-03-282022-04-020001037038us-gaap</w:t>
      </w:r>
      <w:r>
        <w:rPr>
          <w:rFonts w:eastAsia="Times New Roman"/>
          <w:vanish/>
        </w:rPr>
        <w:t>:PerformanceSharesMembersrt:MinimumMember2021-03-282022-04-020001037038us-gaap:PerformanceSharesMembersrt:MaximumMember2021-03-282022-04-020001037038rl:TSRSharesMember2021-03-282022-04-020001037038rl:TSRSharesMembersrt:MinimumMember2021-03-282022-04-020001</w:t>
      </w:r>
      <w:r>
        <w:rPr>
          <w:rFonts w:eastAsia="Times New Roman"/>
          <w:vanish/>
        </w:rPr>
        <w:t>037038rl:TSRSharesMembersrt:MaximumMember2021-03-282022-04-020001037038rl:TSRSharesMember2019-03-312020-03-280001037038us-gaap:PerformanceSharesMember2021-03-270001037038us-gaap:PerformanceSharesMember2022-04-020001037038us-gaap:PerformanceSharesMember2019</w:t>
      </w:r>
      <w:r>
        <w:rPr>
          <w:rFonts w:eastAsia="Times New Roman"/>
          <w:vanish/>
        </w:rPr>
        <w:t>-03-312020-03-280001037038us-gaap:PerformanceSharesMember2020-03-292021-03-270001037038us-gaap:EmployeeStockOptionMember2021-03-282022-04-020001037038us-gaap:EmployeeStockOptionMember2022-04-020001037038rl:AbovetargetperformanceminimummatchMember2021-03-28</w:t>
      </w:r>
      <w:r>
        <w:rPr>
          <w:rFonts w:eastAsia="Times New Roman"/>
          <w:vanish/>
        </w:rPr>
        <w:t>2022-04-020001037038rl:AbovetargetperformancemaximummatchMember2021-03-282022-04-020001037038us-gaap:AllOtherSegmentsMember2019-03-312020-03-280001037038rl:TotalOperatingSegmentsMember2021-03-282022-04-020001037038rl:TotalOperatingSegmentsMember2020-03-292</w:t>
      </w:r>
      <w:r>
        <w:rPr>
          <w:rFonts w:eastAsia="Times New Roman"/>
          <w:vanish/>
        </w:rPr>
        <w:t>021-03-270001037038rl:TotalOperatingSegmentsMember2019-03-312020-03-280001037038us-gaap:MaterialReconcilingItemsMember2021-03-282022-04-020001037038us-gaap:MaterialReconcilingItemsMember2020-03-292021-03-270001037038us-gaap:MaterialReconcilingItemsMember20</w:t>
      </w:r>
      <w:r>
        <w:rPr>
          <w:rFonts w:eastAsia="Times New Roman"/>
          <w:vanish/>
        </w:rPr>
        <w:t>19-03-312020-03-280001037038rl:NorthAmericaRelatedMember2021-03-282022-04-020001037038rl:NorthAmericaRelatedMember2020-03-292021-03-270001037038rl:NorthAmericaRelatedMember2019-03-312020-03-280001037038rl:EuropeRelatedMember2021-03-282022-04-020001037038rl</w:t>
      </w:r>
      <w:r>
        <w:rPr>
          <w:rFonts w:eastAsia="Times New Roman"/>
          <w:vanish/>
        </w:rPr>
        <w:t>:EuropeRelatedMember2020-03-292021-03-270001037038rl:EuropeRelatedMember2019-03-312020-03-280001037038rl:AsiaRelatedMember2021-03-282022-04-020001037038rl:AsiaRelatedMember2020-03-292021-03-270001037038rl:AsiaRelatedMember2019-03-312020-03-280001037038rl:C</w:t>
      </w:r>
      <w:r>
        <w:rPr>
          <w:rFonts w:eastAsia="Times New Roman"/>
          <w:vanish/>
        </w:rPr>
        <w:t>orporateRelatedMember2021-03-282022-04-020001037038rl:CorporateRelatedMember2020-03-292021-03-270001037038rl:CorporateRelatedMember2019-03-312020-03-280001037038rl:UnallocatedCorporateMember2021-03-282022-04-020001037038rl:UnallocatedCorporateMember2020-03</w:t>
      </w:r>
      <w:r>
        <w:rPr>
          <w:rFonts w:eastAsia="Times New Roman"/>
          <w:vanish/>
        </w:rPr>
        <w:t>-292021-03-270001037038rl:UnallocatedCorporateMember2019-03-312020-03-280001037038srt:AmericasMember2021-03-282022-04-020001037038srt:AmericasMember2020-03-292021-03-270001037038srt:AmericasMember2019-03-312020-03-280001037038srt:EuropeMember2021-03-282022</w:t>
      </w:r>
      <w:r>
        <w:rPr>
          <w:rFonts w:eastAsia="Times New Roman"/>
          <w:vanish/>
        </w:rPr>
        <w:t>-04-020001037038srt:EuropeMember2020-03-292021-03-270001037038srt:EuropeMember2019-03-312020-03-280001037038srt:AsiaMember2021-03-282022-04-020001037038srt:AsiaMember2020-03-292021-03-270001037038srt:AsiaMember2019-03-312020-03-280001037038srt:AmericasMemb</w:t>
      </w:r>
      <w:r>
        <w:rPr>
          <w:rFonts w:eastAsia="Times New Roman"/>
          <w:vanish/>
        </w:rPr>
        <w:t>er2022-04-020001037038srt:AmericasMember2021-03-270001037038srt:EuropeMember2022-04-020001037038srt:EuropeMember2021-03-270001037038srt:AsiaMember2022-04-020001037038srt:AsiaMember2021-03-270001037038country:US2021-03-282022-04-020001037038country:US2020-0</w:t>
      </w:r>
      <w:r>
        <w:rPr>
          <w:rFonts w:eastAsia="Times New Roman"/>
          <w:vanish/>
        </w:rPr>
        <w:t>3-292021-03-270001037038country:US2019-03-312020-03-280001037038country:US2022-04-020001037038country:US2021-03-27</w:t>
      </w:r>
    </w:p>
    <w:p w:rsidR="00000000" w:rsidRDefault="00BB5C2D">
      <w:pPr>
        <w:divId w:val="147845561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377320893"/>
        </w:trPr>
        <w:tc>
          <w:tcPr>
            <w:tcW w:w="50" w:type="pct"/>
            <w:vAlign w:val="center"/>
            <w:hideMark/>
          </w:tcPr>
          <w:p w:rsidR="00000000" w:rsidRDefault="00BB5C2D">
            <w:pPr>
              <w:rPr>
                <w:rFonts w:eastAsia="Times New Roman"/>
              </w:rPr>
            </w:pPr>
          </w:p>
        </w:tc>
        <w:tc>
          <w:tcPr>
            <w:tcW w:w="494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377320893"/>
          <w:trHeight w:val="100"/>
        </w:trPr>
        <w:tc>
          <w:tcPr>
            <w:tcW w:w="0" w:type="auto"/>
            <w:gridSpan w:val="3"/>
            <w:tcBorders>
              <w:bottom w:val="single" w:sz="1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r>
    </w:tbl>
    <w:p w:rsidR="00000000" w:rsidRDefault="00BB5C2D">
      <w:pPr>
        <w:divId w:val="66418818"/>
        <w:rPr>
          <w:rFonts w:eastAsia="Times New Roman"/>
        </w:rPr>
      </w:pPr>
    </w:p>
    <w:p w:rsidR="00000000" w:rsidRDefault="00BB5C2D">
      <w:pPr>
        <w:jc w:val="center"/>
        <w:rPr>
          <w:rFonts w:eastAsia="Times New Roman"/>
        </w:rPr>
      </w:pPr>
      <w:r>
        <w:rPr>
          <w:rFonts w:eastAsia="Times New Roman"/>
          <w:b/>
          <w:bCs/>
          <w:color w:val="000000"/>
          <w:sz w:val="27"/>
          <w:szCs w:val="27"/>
        </w:rPr>
        <w:t>UNITED STATES</w:t>
      </w:r>
    </w:p>
    <w:p w:rsidR="00000000" w:rsidRDefault="00BB5C2D">
      <w:pPr>
        <w:jc w:val="center"/>
        <w:rPr>
          <w:rFonts w:eastAsia="Times New Roman"/>
        </w:rPr>
      </w:pPr>
      <w:r>
        <w:rPr>
          <w:rFonts w:eastAsia="Times New Roman"/>
          <w:b/>
          <w:bCs/>
          <w:color w:val="000000"/>
          <w:sz w:val="27"/>
          <w:szCs w:val="27"/>
        </w:rPr>
        <w:t>SECURITIES AND EXCHANGE COMMISSION</w:t>
      </w:r>
    </w:p>
    <w:p w:rsidR="00000000" w:rsidRDefault="00BB5C2D">
      <w:pPr>
        <w:jc w:val="center"/>
        <w:rPr>
          <w:rFonts w:eastAsia="Times New Roman"/>
        </w:rPr>
      </w:pPr>
      <w:r>
        <w:rPr>
          <w:rFonts w:eastAsia="Times New Roman"/>
          <w:b/>
          <w:bCs/>
          <w:color w:val="000000"/>
        </w:rPr>
        <w:t>Washington, D.C. 20549</w:t>
      </w:r>
    </w:p>
    <w:p w:rsidR="00000000" w:rsidRDefault="00BB5C2D">
      <w:pPr>
        <w:jc w:val="center"/>
        <w:divId w:val="1004627646"/>
        <w:rPr>
          <w:rFonts w:eastAsia="Times New Roman"/>
        </w:rPr>
      </w:pPr>
      <w:r>
        <w:rPr>
          <w:rFonts w:eastAsia="Times New Roman"/>
          <w:b/>
          <w:bCs/>
          <w:color w:val="000000"/>
          <w:sz w:val="36"/>
          <w:szCs w:val="36"/>
        </w:rPr>
        <w:t xml:space="preserve">Form 10-K </w:t>
      </w:r>
    </w:p>
    <w:p w:rsidR="00000000" w:rsidRDefault="00BB5C2D">
      <w:pPr>
        <w:divId w:val="996496723"/>
        <w:rPr>
          <w:rFonts w:eastAsia="Times New Roman"/>
        </w:rPr>
      </w:pPr>
      <w:r>
        <w:rPr>
          <w:rFonts w:eastAsia="Times New Roman"/>
          <w:color w:val="000000"/>
          <w:sz w:val="18"/>
          <w:szCs w:val="18"/>
        </w:rPr>
        <w:t>(Mark One)</w:t>
      </w:r>
    </w:p>
    <w:tbl>
      <w:tblPr>
        <w:tblW w:w="5000" w:type="pct"/>
        <w:tblCellMar>
          <w:top w:w="15" w:type="dxa"/>
          <w:left w:w="15" w:type="dxa"/>
          <w:bottom w:w="15" w:type="dxa"/>
          <w:right w:w="15" w:type="dxa"/>
        </w:tblCellMar>
        <w:tblLook w:val="04A0" w:firstRow="1" w:lastRow="0" w:firstColumn="1" w:lastColumn="0" w:noHBand="0" w:noVBand="1"/>
      </w:tblPr>
      <w:tblGrid>
        <w:gridCol w:w="69"/>
        <w:gridCol w:w="506"/>
        <w:gridCol w:w="36"/>
        <w:gridCol w:w="69"/>
        <w:gridCol w:w="7590"/>
        <w:gridCol w:w="36"/>
      </w:tblGrid>
      <w:tr w:rsidR="00000000">
        <w:trPr>
          <w:divId w:val="1983923429"/>
        </w:trPr>
        <w:tc>
          <w:tcPr>
            <w:tcW w:w="50" w:type="pct"/>
            <w:vAlign w:val="center"/>
            <w:hideMark/>
          </w:tcPr>
          <w:p w:rsidR="00000000" w:rsidRDefault="00BB5C2D">
            <w:pPr>
              <w:rPr>
                <w:rFonts w:eastAsia="Times New Roman"/>
              </w:rPr>
            </w:pPr>
          </w:p>
        </w:tc>
        <w:tc>
          <w:tcPr>
            <w:tcW w:w="313"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57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983923429"/>
        </w:trPr>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ascii="Segoe UI Emoji" w:eastAsia="Times New Roman" w:hAnsi="Segoe UI Emoji" w:cs="Segoe UI Emoji"/>
                <w:b/>
                <w:bCs/>
                <w:color w:val="000000"/>
                <w:sz w:val="20"/>
                <w:szCs w:val="20"/>
              </w:rPr>
              <w:t>☑</w:t>
            </w:r>
          </w:p>
        </w:tc>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b/>
                <w:bCs/>
                <w:color w:val="000000"/>
                <w:sz w:val="19"/>
                <w:szCs w:val="19"/>
              </w:rPr>
              <w:t xml:space="preserve">ANNUAL REPORT PURSUANT TO SECTION 13 OR 15(d) OF THE SECURITIES EXCHANGE ACT OF 1934 </w:t>
            </w:r>
          </w:p>
        </w:tc>
      </w:tr>
    </w:tbl>
    <w:p w:rsidR="00000000" w:rsidRDefault="00BB5C2D">
      <w:pPr>
        <w:divId w:val="545945972"/>
        <w:rPr>
          <w:rFonts w:eastAsia="Times New Roman"/>
        </w:rPr>
      </w:pPr>
      <w:r>
        <w:rPr>
          <w:rFonts w:eastAsia="Times New Roman"/>
          <w:b/>
          <w:bCs/>
          <w:color w:val="000000"/>
          <w:sz w:val="19"/>
          <w:szCs w:val="19"/>
        </w:rPr>
        <w:t>     For the fiscal year ended April 2, 2022</w:t>
      </w:r>
    </w:p>
    <w:p w:rsidR="00000000" w:rsidRDefault="00BB5C2D">
      <w:pPr>
        <w:jc w:val="center"/>
        <w:rPr>
          <w:rFonts w:eastAsia="Times New Roman"/>
        </w:rPr>
      </w:pPr>
      <w:r>
        <w:rPr>
          <w:rFonts w:eastAsia="Times New Roman"/>
          <w:b/>
          <w:bCs/>
          <w:color w:val="000000"/>
          <w:sz w:val="20"/>
          <w:szCs w:val="20"/>
        </w:rPr>
        <w:t>or</w:t>
      </w:r>
    </w:p>
    <w:tbl>
      <w:tblPr>
        <w:tblW w:w="5000" w:type="pct"/>
        <w:tblCellMar>
          <w:top w:w="15" w:type="dxa"/>
          <w:left w:w="15" w:type="dxa"/>
          <w:bottom w:w="15" w:type="dxa"/>
          <w:right w:w="15" w:type="dxa"/>
        </w:tblCellMar>
        <w:tblLook w:val="04A0" w:firstRow="1" w:lastRow="0" w:firstColumn="1" w:lastColumn="0" w:noHBand="0" w:noVBand="1"/>
      </w:tblPr>
      <w:tblGrid>
        <w:gridCol w:w="69"/>
        <w:gridCol w:w="506"/>
        <w:gridCol w:w="36"/>
        <w:gridCol w:w="69"/>
        <w:gridCol w:w="7590"/>
        <w:gridCol w:w="36"/>
      </w:tblGrid>
      <w:tr w:rsidR="00000000">
        <w:trPr>
          <w:divId w:val="307369799"/>
        </w:trPr>
        <w:tc>
          <w:tcPr>
            <w:tcW w:w="50" w:type="pct"/>
            <w:vAlign w:val="center"/>
            <w:hideMark/>
          </w:tcPr>
          <w:p w:rsidR="00000000" w:rsidRDefault="00BB5C2D">
            <w:pPr>
              <w:jc w:val="center"/>
              <w:rPr>
                <w:rFonts w:eastAsia="Times New Roman"/>
              </w:rPr>
            </w:pPr>
          </w:p>
        </w:tc>
        <w:tc>
          <w:tcPr>
            <w:tcW w:w="313"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57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307369799"/>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ascii="Segoe UI Symbol" w:eastAsia="Times New Roman" w:hAnsi="Segoe UI Symbol" w:cs="Segoe UI Symbol"/>
                <w:b/>
                <w:bCs/>
                <w:color w:val="000000"/>
                <w:sz w:val="20"/>
                <w:szCs w:val="20"/>
              </w:rPr>
              <w:t>☐</w:t>
            </w:r>
          </w:p>
        </w:tc>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b/>
                <w:bCs/>
                <w:color w:val="000000"/>
                <w:sz w:val="19"/>
                <w:szCs w:val="19"/>
              </w:rPr>
              <w:t>TRANSITION REPORT PURSUANT TO SECTION 13 OR 15(d) OF THE SECURITIES EXCHANGE ACT OF 1934</w:t>
            </w:r>
          </w:p>
        </w:tc>
      </w:tr>
    </w:tbl>
    <w:p w:rsidR="00000000" w:rsidRDefault="00BB5C2D">
      <w:pPr>
        <w:jc w:val="center"/>
        <w:divId w:val="155464079"/>
        <w:rPr>
          <w:rFonts w:eastAsia="Times New Roman"/>
        </w:rPr>
      </w:pPr>
      <w:r>
        <w:rPr>
          <w:rFonts w:eastAsia="Times New Roman"/>
          <w:b/>
          <w:bCs/>
          <w:color w:val="000000"/>
          <w:sz w:val="20"/>
          <w:szCs w:val="20"/>
        </w:rPr>
        <w:t xml:space="preserve">Commission File Number: 001-13057 </w:t>
      </w:r>
    </w:p>
    <w:p w:rsidR="00000000" w:rsidRDefault="00BB5C2D">
      <w:pPr>
        <w:jc w:val="center"/>
        <w:rPr>
          <w:rFonts w:eastAsia="Times New Roman"/>
        </w:rPr>
      </w:pPr>
      <w:r>
        <w:rPr>
          <w:rFonts w:eastAsia="Times New Roman"/>
          <w:b/>
          <w:bCs/>
          <w:color w:val="000000"/>
          <w:sz w:val="46"/>
          <w:szCs w:val="46"/>
        </w:rPr>
        <w:t xml:space="preserve">RALPH LAUREN CORPORATION </w:t>
      </w:r>
    </w:p>
    <w:p w:rsidR="00000000" w:rsidRDefault="00BB5C2D">
      <w:pPr>
        <w:jc w:val="center"/>
        <w:rPr>
          <w:rFonts w:eastAsia="Times New Roman"/>
        </w:rPr>
      </w:pPr>
      <w:r>
        <w:rPr>
          <w:rFonts w:eastAsia="Times New Roman"/>
          <w:i/>
          <w:iCs/>
          <w:color w:val="000000"/>
          <w:sz w:val="16"/>
          <w:szCs w:val="16"/>
        </w:rPr>
        <w:t>(Exact name of registrant as specified in its charter)</w:t>
      </w:r>
    </w:p>
    <w:tbl>
      <w:tblPr>
        <w:tblW w:w="5000" w:type="pct"/>
        <w:tblCellMar>
          <w:top w:w="15" w:type="dxa"/>
          <w:left w:w="15" w:type="dxa"/>
          <w:bottom w:w="15" w:type="dxa"/>
          <w:right w:w="15" w:type="dxa"/>
        </w:tblCellMar>
        <w:tblLook w:val="04A0" w:firstRow="1" w:lastRow="0" w:firstColumn="1" w:lastColumn="0" w:noHBand="0" w:noVBand="1"/>
      </w:tblPr>
      <w:tblGrid>
        <w:gridCol w:w="68"/>
        <w:gridCol w:w="1509"/>
        <w:gridCol w:w="38"/>
        <w:gridCol w:w="69"/>
        <w:gridCol w:w="690"/>
        <w:gridCol w:w="37"/>
        <w:gridCol w:w="69"/>
        <w:gridCol w:w="875"/>
        <w:gridCol w:w="37"/>
        <w:gridCol w:w="69"/>
        <w:gridCol w:w="1428"/>
        <w:gridCol w:w="36"/>
        <w:gridCol w:w="69"/>
        <w:gridCol w:w="3275"/>
        <w:gridCol w:w="37"/>
      </w:tblGrid>
      <w:tr w:rsidR="00000000">
        <w:trPr>
          <w:divId w:val="1015811615"/>
        </w:trPr>
        <w:tc>
          <w:tcPr>
            <w:tcW w:w="50" w:type="pct"/>
            <w:vAlign w:val="center"/>
            <w:hideMark/>
          </w:tcPr>
          <w:p w:rsidR="00000000" w:rsidRDefault="00BB5C2D">
            <w:pPr>
              <w:jc w:val="center"/>
              <w:rPr>
                <w:rFonts w:eastAsia="Times New Roman"/>
              </w:rPr>
            </w:pPr>
          </w:p>
        </w:tc>
        <w:tc>
          <w:tcPr>
            <w:tcW w:w="91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2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3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86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97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015811615"/>
        </w:trPr>
        <w:tc>
          <w:tcPr>
            <w:tcW w:w="0" w:type="auto"/>
            <w:gridSpan w:val="9"/>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b/>
                <w:bCs/>
                <w:color w:val="000000"/>
                <w:sz w:val="20"/>
                <w:szCs w:val="20"/>
              </w:rPr>
              <w:t>Delaware</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b/>
                <w:bCs/>
                <w:color w:val="000000"/>
                <w:sz w:val="20"/>
                <w:szCs w:val="20"/>
              </w:rPr>
              <w:t>13-2622036</w:t>
            </w:r>
          </w:p>
        </w:tc>
      </w:tr>
      <w:tr w:rsidR="00000000">
        <w:trPr>
          <w:divId w:val="1015811615"/>
        </w:trPr>
        <w:tc>
          <w:tcPr>
            <w:tcW w:w="0" w:type="auto"/>
            <w:gridSpan w:val="9"/>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i/>
                <w:iCs/>
                <w:color w:val="000000"/>
                <w:sz w:val="16"/>
                <w:szCs w:val="16"/>
              </w:rPr>
              <w:t>(State or other jurisdiction of incorporation or organization)</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i/>
                <w:iCs/>
                <w:color w:val="000000"/>
                <w:sz w:val="16"/>
                <w:szCs w:val="16"/>
              </w:rPr>
              <w:t>(I.R.S. Employer Identification No.)</w:t>
            </w:r>
          </w:p>
        </w:tc>
      </w:tr>
      <w:tr w:rsidR="00000000">
        <w:trPr>
          <w:divId w:val="1015811615"/>
        </w:trPr>
        <w:tc>
          <w:tcPr>
            <w:tcW w:w="0" w:type="auto"/>
            <w:gridSpan w:val="3"/>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b/>
                <w:bCs/>
                <w:color w:val="000000"/>
                <w:sz w:val="20"/>
                <w:szCs w:val="20"/>
              </w:rPr>
              <w:t>650 Madison Avenue,</w:t>
            </w:r>
          </w:p>
        </w:tc>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b/>
                <w:bCs/>
                <w:color w:val="000000"/>
                <w:sz w:val="20"/>
                <w:szCs w:val="20"/>
              </w:rPr>
              <w:t>New York,</w:t>
            </w:r>
          </w:p>
        </w:tc>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b/>
                <w:bCs/>
                <w:color w:val="000000"/>
                <w:sz w:val="20"/>
                <w:szCs w:val="20"/>
              </w:rPr>
              <w:t>New York</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20"/>
                <w:szCs w:val="20"/>
              </w:rPr>
              <w:t>10022</w:t>
            </w:r>
          </w:p>
        </w:tc>
      </w:tr>
      <w:tr w:rsidR="00000000">
        <w:trPr>
          <w:divId w:val="1015811615"/>
        </w:trPr>
        <w:tc>
          <w:tcPr>
            <w:tcW w:w="0" w:type="auto"/>
            <w:gridSpan w:val="9"/>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i/>
                <w:iCs/>
                <w:color w:val="000000"/>
                <w:sz w:val="16"/>
                <w:szCs w:val="16"/>
              </w:rPr>
              <w:t>(Address of principal executive offices)</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i/>
                <w:iCs/>
                <w:color w:val="000000"/>
                <w:sz w:val="16"/>
                <w:szCs w:val="16"/>
              </w:rPr>
              <w:t>(Zip Code)</w:t>
            </w:r>
          </w:p>
        </w:tc>
      </w:tr>
    </w:tbl>
    <w:p w:rsidR="00000000" w:rsidRDefault="00BB5C2D">
      <w:pPr>
        <w:jc w:val="center"/>
        <w:rPr>
          <w:rFonts w:eastAsia="Times New Roman"/>
        </w:rPr>
      </w:pPr>
      <w:r>
        <w:rPr>
          <w:rFonts w:eastAsia="Times New Roman"/>
          <w:b/>
          <w:bCs/>
          <w:color w:val="000000"/>
          <w:sz w:val="20"/>
          <w:szCs w:val="20"/>
        </w:rPr>
        <w:t xml:space="preserve">(212) 318-7000 </w:t>
      </w:r>
    </w:p>
    <w:p w:rsidR="00000000" w:rsidRDefault="00BB5C2D">
      <w:pPr>
        <w:jc w:val="center"/>
        <w:rPr>
          <w:rFonts w:eastAsia="Times New Roman"/>
        </w:rPr>
      </w:pPr>
      <w:r>
        <w:rPr>
          <w:rFonts w:eastAsia="Times New Roman"/>
          <w:i/>
          <w:iCs/>
          <w:color w:val="000000"/>
          <w:sz w:val="16"/>
          <w:szCs w:val="16"/>
        </w:rPr>
        <w:t>(Registrant's telephone number, including area code)</w:t>
      </w:r>
    </w:p>
    <w:p w:rsidR="00000000" w:rsidRDefault="00BB5C2D">
      <w:pPr>
        <w:jc w:val="center"/>
        <w:divId w:val="1288242462"/>
        <w:rPr>
          <w:rFonts w:eastAsia="Times New Roman"/>
        </w:rPr>
      </w:pPr>
      <w:r>
        <w:rPr>
          <w:rFonts w:eastAsia="Times New Roman"/>
          <w:b/>
          <w:bCs/>
          <w:color w:val="000000"/>
          <w:sz w:val="20"/>
          <w:szCs w:val="20"/>
        </w:rPr>
        <w:t>Securities registered pursuant to Section 12(b) of the Act:</w:t>
      </w:r>
    </w:p>
    <w:tbl>
      <w:tblPr>
        <w:tblW w:w="10785" w:type="dxa"/>
        <w:jc w:val="center"/>
        <w:tblCellMar>
          <w:top w:w="15" w:type="dxa"/>
          <w:left w:w="15" w:type="dxa"/>
          <w:bottom w:w="15" w:type="dxa"/>
          <w:right w:w="15" w:type="dxa"/>
        </w:tblCellMar>
        <w:tblLook w:val="04A0" w:firstRow="1" w:lastRow="0" w:firstColumn="1" w:lastColumn="0" w:noHBand="0" w:noVBand="1"/>
      </w:tblPr>
      <w:tblGrid>
        <w:gridCol w:w="36"/>
        <w:gridCol w:w="4314"/>
        <w:gridCol w:w="36"/>
        <w:gridCol w:w="36"/>
        <w:gridCol w:w="1940"/>
        <w:gridCol w:w="36"/>
        <w:gridCol w:w="36"/>
        <w:gridCol w:w="4315"/>
        <w:gridCol w:w="36"/>
      </w:tblGrid>
      <w:tr w:rsidR="00000000">
        <w:trPr>
          <w:divId w:val="661084427"/>
          <w:jc w:val="center"/>
        </w:trPr>
        <w:tc>
          <w:tcPr>
            <w:tcW w:w="20" w:type="dxa"/>
            <w:vAlign w:val="center"/>
            <w:hideMark/>
          </w:tcPr>
          <w:p w:rsidR="00000000" w:rsidRDefault="00BB5C2D">
            <w:pPr>
              <w:jc w:val="center"/>
              <w:rPr>
                <w:rFonts w:eastAsia="Times New Roman"/>
              </w:rPr>
            </w:pPr>
          </w:p>
        </w:tc>
        <w:tc>
          <w:tcPr>
            <w:tcW w:w="4355" w:type="dxa"/>
            <w:vAlign w:val="center"/>
            <w:hideMark/>
          </w:tcPr>
          <w:p w:rsidR="00000000" w:rsidRDefault="00BB5C2D">
            <w:pPr>
              <w:spacing w:after="100"/>
              <w:rPr>
                <w:rFonts w:eastAsia="Times New Roman"/>
                <w:sz w:val="20"/>
                <w:szCs w:val="20"/>
              </w:rPr>
            </w:pPr>
          </w:p>
        </w:tc>
        <w:tc>
          <w:tcPr>
            <w:tcW w:w="20" w:type="dxa"/>
            <w:vAlign w:val="center"/>
            <w:hideMark/>
          </w:tcPr>
          <w:p w:rsidR="00000000" w:rsidRDefault="00BB5C2D">
            <w:pPr>
              <w:spacing w:after="100"/>
              <w:rPr>
                <w:rFonts w:eastAsia="Times New Roman"/>
                <w:sz w:val="20"/>
                <w:szCs w:val="20"/>
              </w:rPr>
            </w:pPr>
          </w:p>
        </w:tc>
        <w:tc>
          <w:tcPr>
            <w:tcW w:w="20" w:type="dxa"/>
            <w:vAlign w:val="center"/>
            <w:hideMark/>
          </w:tcPr>
          <w:p w:rsidR="00000000" w:rsidRDefault="00BB5C2D">
            <w:pPr>
              <w:spacing w:after="100"/>
              <w:rPr>
                <w:rFonts w:eastAsia="Times New Roman"/>
                <w:sz w:val="20"/>
                <w:szCs w:val="20"/>
              </w:rPr>
            </w:pPr>
          </w:p>
        </w:tc>
        <w:tc>
          <w:tcPr>
            <w:tcW w:w="1955" w:type="dxa"/>
            <w:vAlign w:val="center"/>
            <w:hideMark/>
          </w:tcPr>
          <w:p w:rsidR="00000000" w:rsidRDefault="00BB5C2D">
            <w:pPr>
              <w:spacing w:after="100"/>
              <w:rPr>
                <w:rFonts w:eastAsia="Times New Roman"/>
                <w:sz w:val="20"/>
                <w:szCs w:val="20"/>
              </w:rPr>
            </w:pPr>
          </w:p>
        </w:tc>
        <w:tc>
          <w:tcPr>
            <w:tcW w:w="20" w:type="dxa"/>
            <w:vAlign w:val="center"/>
            <w:hideMark/>
          </w:tcPr>
          <w:p w:rsidR="00000000" w:rsidRDefault="00BB5C2D">
            <w:pPr>
              <w:spacing w:after="100"/>
              <w:rPr>
                <w:rFonts w:eastAsia="Times New Roman"/>
                <w:sz w:val="20"/>
                <w:szCs w:val="20"/>
              </w:rPr>
            </w:pPr>
          </w:p>
        </w:tc>
        <w:tc>
          <w:tcPr>
            <w:tcW w:w="20" w:type="dxa"/>
            <w:vAlign w:val="center"/>
            <w:hideMark/>
          </w:tcPr>
          <w:p w:rsidR="00000000" w:rsidRDefault="00BB5C2D">
            <w:pPr>
              <w:spacing w:after="100"/>
              <w:rPr>
                <w:rFonts w:eastAsia="Times New Roman"/>
                <w:sz w:val="20"/>
                <w:szCs w:val="20"/>
              </w:rPr>
            </w:pPr>
          </w:p>
        </w:tc>
        <w:tc>
          <w:tcPr>
            <w:tcW w:w="4355" w:type="dxa"/>
            <w:vAlign w:val="center"/>
            <w:hideMark/>
          </w:tcPr>
          <w:p w:rsidR="00000000" w:rsidRDefault="00BB5C2D">
            <w:pPr>
              <w:spacing w:after="100"/>
              <w:rPr>
                <w:rFonts w:eastAsia="Times New Roman"/>
                <w:sz w:val="20"/>
                <w:szCs w:val="20"/>
              </w:rPr>
            </w:pPr>
          </w:p>
        </w:tc>
        <w:tc>
          <w:tcPr>
            <w:tcW w:w="20" w:type="dxa"/>
            <w:vAlign w:val="center"/>
            <w:hideMark/>
          </w:tcPr>
          <w:p w:rsidR="00000000" w:rsidRDefault="00BB5C2D">
            <w:pPr>
              <w:spacing w:after="100"/>
              <w:rPr>
                <w:rFonts w:eastAsia="Times New Roman"/>
                <w:sz w:val="20"/>
                <w:szCs w:val="20"/>
              </w:rPr>
            </w:pPr>
          </w:p>
        </w:tc>
      </w:tr>
      <w:tr w:rsidR="00000000">
        <w:trPr>
          <w:divId w:val="661084427"/>
          <w:trHeight w:val="240"/>
          <w:jc w:val="center"/>
        </w:trPr>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u w:val="single"/>
              </w:rPr>
              <w:t>Title of Each Class</w:t>
            </w: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u w:val="single"/>
              </w:rPr>
              <w:t>Trading Symbol(s)</w:t>
            </w: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u w:val="single"/>
              </w:rPr>
              <w:t>Name of Each Exchange on which Registered</w:t>
            </w:r>
          </w:p>
        </w:tc>
      </w:tr>
      <w:tr w:rsidR="00000000">
        <w:trPr>
          <w:divId w:val="661084427"/>
          <w:trHeight w:val="240"/>
          <w:jc w:val="center"/>
        </w:trPr>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20"/>
                <w:szCs w:val="20"/>
              </w:rPr>
              <w:t>Class A Common Stock, $.01 par value</w:t>
            </w: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20"/>
                <w:szCs w:val="20"/>
              </w:rPr>
              <w:t>RL</w:t>
            </w: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20"/>
                <w:szCs w:val="20"/>
              </w:rPr>
              <w:t>New York Stock Exchange</w:t>
            </w:r>
          </w:p>
        </w:tc>
      </w:tr>
    </w:tbl>
    <w:p w:rsidR="00000000" w:rsidRDefault="00BB5C2D">
      <w:pPr>
        <w:jc w:val="center"/>
        <w:divId w:val="611402387"/>
        <w:rPr>
          <w:rFonts w:eastAsia="Times New Roman"/>
        </w:rPr>
      </w:pPr>
      <w:r>
        <w:rPr>
          <w:rFonts w:eastAsia="Times New Roman"/>
          <w:b/>
          <w:bCs/>
          <w:color w:val="000000"/>
          <w:sz w:val="18"/>
          <w:szCs w:val="18"/>
        </w:rPr>
        <w:t>Securities registered pursuant to Section 12(g) of the Act: None</w:t>
      </w:r>
    </w:p>
    <w:p w:rsidR="00000000" w:rsidRDefault="00BB5C2D">
      <w:pPr>
        <w:ind w:firstLine="360"/>
        <w:divId w:val="753549360"/>
        <w:rPr>
          <w:rFonts w:eastAsia="Times New Roman"/>
        </w:rPr>
      </w:pPr>
      <w:r>
        <w:rPr>
          <w:rFonts w:eastAsia="Times New Roman"/>
          <w:color w:val="000000"/>
          <w:sz w:val="18"/>
          <w:szCs w:val="18"/>
        </w:rPr>
        <w:t xml:space="preserve">Indicate by check mark if the registrant is a well-known seasoned issuer, as defined in Rule 405 of the Securities Act.     Yes </w:t>
      </w:r>
      <w:r>
        <w:rPr>
          <w:rFonts w:ascii="Segoe UI Emoji" w:eastAsia="Times New Roman" w:hAnsi="Segoe UI Emoji" w:cs="Segoe UI Emoji"/>
          <w:color w:val="000000"/>
          <w:sz w:val="20"/>
          <w:szCs w:val="20"/>
        </w:rPr>
        <w:t>☑</w:t>
      </w:r>
      <w:r>
        <w:rPr>
          <w:rFonts w:ascii="Arial Unicode MS" w:eastAsia="Times New Roman" w:hAnsi="Arial Unicode MS"/>
          <w:color w:val="000000"/>
          <w:sz w:val="18"/>
          <w:szCs w:val="18"/>
        </w:rPr>
        <w:t xml:space="preserve"> </w:t>
      </w:r>
      <w:r>
        <w:rPr>
          <w:rFonts w:eastAsia="Times New Roman"/>
          <w:color w:val="000000"/>
          <w:sz w:val="18"/>
          <w:szCs w:val="18"/>
        </w:rPr>
        <w:t xml:space="preserve">No </w:t>
      </w:r>
      <w:r>
        <w:rPr>
          <w:rFonts w:ascii="Segoe UI Symbol" w:eastAsia="Times New Roman" w:hAnsi="Segoe UI Symbol" w:cs="Segoe UI Symbol"/>
          <w:color w:val="000000"/>
          <w:sz w:val="20"/>
          <w:szCs w:val="20"/>
        </w:rPr>
        <w:t>☐</w:t>
      </w:r>
    </w:p>
    <w:p w:rsidR="00000000" w:rsidRDefault="00BB5C2D">
      <w:pPr>
        <w:ind w:firstLine="360"/>
        <w:divId w:val="5525685"/>
        <w:rPr>
          <w:rFonts w:eastAsia="Times New Roman"/>
        </w:rPr>
      </w:pPr>
      <w:r>
        <w:rPr>
          <w:rFonts w:eastAsia="Times New Roman"/>
          <w:color w:val="000000"/>
          <w:sz w:val="18"/>
          <w:szCs w:val="18"/>
        </w:rPr>
        <w:t xml:space="preserve">Indicate by check mark if the registrant is not required to file reports pursuant to Section 13 or 15(d) of the Act.     Yes </w:t>
      </w:r>
      <w:r>
        <w:rPr>
          <w:rFonts w:ascii="Segoe UI Symbol" w:eastAsia="Times New Roman" w:hAnsi="Segoe UI Symbol" w:cs="Segoe UI Symbol"/>
          <w:color w:val="000000"/>
          <w:sz w:val="20"/>
          <w:szCs w:val="20"/>
        </w:rPr>
        <w:t>☐</w:t>
      </w:r>
      <w:r>
        <w:rPr>
          <w:rFonts w:ascii="Arial Unicode MS" w:eastAsia="Times New Roman" w:hAnsi="Arial Unicode MS"/>
          <w:color w:val="000000"/>
          <w:sz w:val="18"/>
          <w:szCs w:val="18"/>
        </w:rPr>
        <w:t xml:space="preserve"> </w:t>
      </w:r>
      <w:r>
        <w:rPr>
          <w:rFonts w:eastAsia="Times New Roman"/>
          <w:color w:val="000000"/>
          <w:sz w:val="18"/>
          <w:szCs w:val="18"/>
        </w:rPr>
        <w:t xml:space="preserve">No </w:t>
      </w:r>
      <w:r>
        <w:rPr>
          <w:rFonts w:ascii="Segoe UI Emoji" w:eastAsia="Times New Roman" w:hAnsi="Segoe UI Emoji" w:cs="Segoe UI Emoji"/>
          <w:color w:val="000000"/>
          <w:sz w:val="20"/>
          <w:szCs w:val="20"/>
        </w:rPr>
        <w:t>☑</w:t>
      </w:r>
    </w:p>
    <w:p w:rsidR="00000000" w:rsidRDefault="00BB5C2D">
      <w:pPr>
        <w:ind w:firstLine="360"/>
        <w:jc w:val="both"/>
        <w:divId w:val="1567255943"/>
        <w:rPr>
          <w:rFonts w:eastAsia="Times New Roman"/>
        </w:rPr>
      </w:pPr>
      <w:r>
        <w:rPr>
          <w:rFonts w:eastAsia="Times New Roman"/>
          <w:color w:val="000000"/>
          <w:sz w:val="18"/>
          <w:szCs w:val="18"/>
        </w:rPr>
        <w:t>Indicate by check mark whether the registrant (1) has filed all reports required to be filed by Section 13 or 15(d) of the S</w:t>
      </w:r>
      <w:r>
        <w:rPr>
          <w:rFonts w:eastAsia="Times New Roman"/>
          <w:color w:val="000000"/>
          <w:sz w:val="18"/>
          <w:szCs w:val="18"/>
        </w:rPr>
        <w:t>ecurities Exchange Act of 1934 during the preceding 12 months (or for such shorter period that the registrant was required to file such reports), and (2) has been subject to such filing requirements for the past 90 days.                                    </w:t>
      </w:r>
      <w:r>
        <w:rPr>
          <w:rFonts w:eastAsia="Times New Roman"/>
          <w:color w:val="000000"/>
          <w:sz w:val="18"/>
          <w:szCs w:val="18"/>
        </w:rPr>
        <w:t xml:space="preserve"> Yes </w:t>
      </w:r>
      <w:r>
        <w:rPr>
          <w:rFonts w:ascii="Segoe UI Emoji" w:eastAsia="Times New Roman" w:hAnsi="Segoe UI Emoji" w:cs="Segoe UI Emoji"/>
          <w:color w:val="000000"/>
          <w:sz w:val="20"/>
          <w:szCs w:val="20"/>
        </w:rPr>
        <w:t>☑</w:t>
      </w:r>
      <w:r>
        <w:rPr>
          <w:rFonts w:ascii="Arial Unicode MS" w:eastAsia="Times New Roman" w:hAnsi="Arial Unicode MS"/>
          <w:color w:val="000000"/>
          <w:sz w:val="18"/>
          <w:szCs w:val="18"/>
        </w:rPr>
        <w:t xml:space="preserve"> </w:t>
      </w:r>
      <w:r>
        <w:rPr>
          <w:rFonts w:eastAsia="Times New Roman"/>
          <w:color w:val="000000"/>
          <w:sz w:val="18"/>
          <w:szCs w:val="18"/>
        </w:rPr>
        <w:t xml:space="preserve">No </w:t>
      </w:r>
      <w:r>
        <w:rPr>
          <w:rFonts w:ascii="Segoe UI Symbol" w:eastAsia="Times New Roman" w:hAnsi="Segoe UI Symbol" w:cs="Segoe UI Symbol"/>
          <w:color w:val="000000"/>
          <w:sz w:val="20"/>
          <w:szCs w:val="20"/>
        </w:rPr>
        <w:t>☐</w:t>
      </w:r>
    </w:p>
    <w:p w:rsidR="00000000" w:rsidRDefault="00BB5C2D">
      <w:pPr>
        <w:ind w:firstLine="360"/>
        <w:divId w:val="2040232385"/>
        <w:rPr>
          <w:rFonts w:eastAsia="Times New Roman"/>
        </w:rPr>
      </w:pPr>
      <w:r>
        <w:rPr>
          <w:rFonts w:eastAsia="Times New Roman"/>
          <w:color w:val="000000"/>
          <w:sz w:val="18"/>
          <w:szCs w:val="18"/>
        </w:rPr>
        <w:t>Indicate by check mark whether the registrant has submitted electronically every Interactive Data File required to be submitted pursuant to Rule 405 of Regulation S-T (§232.405 of this chapter) during the preceding 12 months (or for such shorte</w:t>
      </w:r>
      <w:r>
        <w:rPr>
          <w:rFonts w:eastAsia="Times New Roman"/>
          <w:color w:val="000000"/>
          <w:sz w:val="18"/>
          <w:szCs w:val="18"/>
        </w:rPr>
        <w:t xml:space="preserve">r period that the registrant was required to submit such files).                                                  Yes </w:t>
      </w:r>
      <w:r>
        <w:rPr>
          <w:rFonts w:ascii="Segoe UI Emoji" w:eastAsia="Times New Roman" w:hAnsi="Segoe UI Emoji" w:cs="Segoe UI Emoji"/>
          <w:color w:val="000000"/>
          <w:sz w:val="20"/>
          <w:szCs w:val="20"/>
        </w:rPr>
        <w:t>☑</w:t>
      </w:r>
      <w:r>
        <w:rPr>
          <w:rFonts w:ascii="Arial Unicode MS" w:eastAsia="Times New Roman" w:hAnsi="Arial Unicode MS"/>
          <w:color w:val="000000"/>
          <w:sz w:val="18"/>
          <w:szCs w:val="18"/>
        </w:rPr>
        <w:t xml:space="preserve"> </w:t>
      </w:r>
      <w:r>
        <w:rPr>
          <w:rFonts w:eastAsia="Times New Roman"/>
          <w:color w:val="000000"/>
          <w:sz w:val="18"/>
          <w:szCs w:val="18"/>
        </w:rPr>
        <w:t xml:space="preserve">No </w:t>
      </w:r>
      <w:r>
        <w:rPr>
          <w:rFonts w:ascii="Segoe UI Symbol" w:eastAsia="Times New Roman" w:hAnsi="Segoe UI Symbol" w:cs="Segoe UI Symbol"/>
          <w:color w:val="000000"/>
          <w:sz w:val="20"/>
          <w:szCs w:val="20"/>
        </w:rPr>
        <w:t>☐</w:t>
      </w:r>
    </w:p>
    <w:p w:rsidR="00000000" w:rsidRDefault="00BB5C2D">
      <w:pPr>
        <w:ind w:firstLine="360"/>
        <w:jc w:val="both"/>
        <w:divId w:val="307245090"/>
        <w:rPr>
          <w:rFonts w:eastAsia="Times New Roman"/>
        </w:rPr>
      </w:pPr>
      <w:r>
        <w:rPr>
          <w:rFonts w:eastAsia="Times New Roman"/>
          <w:color w:val="000000"/>
          <w:sz w:val="18"/>
          <w:szCs w:val="18"/>
        </w:rPr>
        <w:t>Indicate by check mark whether the registrant is a large accelerated filer, an accelerated filer, a non-accelerated filer, a smalle</w:t>
      </w:r>
      <w:r>
        <w:rPr>
          <w:rFonts w:eastAsia="Times New Roman"/>
          <w:color w:val="000000"/>
          <w:sz w:val="18"/>
          <w:szCs w:val="18"/>
        </w:rPr>
        <w:t>r reporting company, or an emerging growth company. See the definitions of "large accelerated filer," "accelerated filer," "smaller reporting company," and "emerging growth company" in Rule 12b-2 of the Exchange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544"/>
        <w:gridCol w:w="36"/>
        <w:gridCol w:w="69"/>
        <w:gridCol w:w="3367"/>
        <w:gridCol w:w="36"/>
        <w:gridCol w:w="69"/>
        <w:gridCol w:w="2675"/>
        <w:gridCol w:w="36"/>
        <w:gridCol w:w="70"/>
        <w:gridCol w:w="299"/>
        <w:gridCol w:w="36"/>
      </w:tblGrid>
      <w:tr w:rsidR="00000000">
        <w:trPr>
          <w:divId w:val="550045395"/>
          <w:jc w:val="center"/>
        </w:trPr>
        <w:tc>
          <w:tcPr>
            <w:tcW w:w="50" w:type="pct"/>
            <w:vAlign w:val="center"/>
            <w:hideMark/>
          </w:tcPr>
          <w:p w:rsidR="00000000" w:rsidRDefault="00BB5C2D">
            <w:pPr>
              <w:ind w:firstLine="360"/>
              <w:jc w:val="both"/>
              <w:rPr>
                <w:rFonts w:eastAsia="Times New Roman"/>
              </w:rPr>
            </w:pPr>
          </w:p>
        </w:tc>
        <w:tc>
          <w:tcPr>
            <w:tcW w:w="93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203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1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8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550045395"/>
          <w:jc w:val="center"/>
        </w:trPr>
        <w:tc>
          <w:tcPr>
            <w:tcW w:w="0" w:type="auto"/>
            <w:gridSpan w:val="3"/>
            <w:tcMar>
              <w:top w:w="30" w:type="dxa"/>
              <w:left w:w="20" w:type="dxa"/>
              <w:bottom w:w="30" w:type="dxa"/>
              <w:right w:w="20" w:type="dxa"/>
            </w:tcMar>
            <w:vAlign w:val="bottom"/>
            <w:hideMark/>
          </w:tcPr>
          <w:p w:rsidR="00000000" w:rsidRDefault="00BB5C2D">
            <w:pPr>
              <w:spacing w:after="100"/>
              <w:ind w:firstLine="360"/>
              <w:jc w:val="both"/>
              <w:rPr>
                <w:rFonts w:eastAsia="Times New Roman"/>
              </w:rPr>
            </w:pPr>
            <w:r>
              <w:rPr>
                <w:rFonts w:eastAsia="Times New Roman"/>
                <w:color w:val="000000"/>
                <w:sz w:val="18"/>
                <w:szCs w:val="18"/>
              </w:rPr>
              <w:t>Large accelerated filer</w:t>
            </w:r>
          </w:p>
        </w:tc>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18"/>
                <w:szCs w:val="18"/>
              </w:rPr>
              <w:t>Accelerated filer</w:t>
            </w:r>
          </w:p>
        </w:tc>
        <w:tc>
          <w:tcPr>
            <w:tcW w:w="0" w:type="auto"/>
            <w:gridSpan w:val="3"/>
            <w:tcMar>
              <w:top w:w="30" w:type="dxa"/>
              <w:left w:w="20" w:type="dxa"/>
              <w:bottom w:w="30" w:type="dxa"/>
              <w:right w:w="20" w:type="dxa"/>
            </w:tcMar>
            <w:hideMark/>
          </w:tcPr>
          <w:p w:rsidR="00000000" w:rsidRDefault="00BB5C2D">
            <w:pPr>
              <w:spacing w:after="100"/>
              <w:jc w:val="right"/>
              <w:rPr>
                <w:rFonts w:eastAsia="Times New Roman"/>
              </w:rPr>
            </w:pPr>
            <w:r>
              <w:rPr>
                <w:rFonts w:ascii="Segoe UI Symbol" w:eastAsia="Times New Roman" w:hAnsi="Segoe UI Symbol" w:cs="Segoe UI Symbol"/>
                <w:color w:val="000000"/>
                <w:sz w:val="20"/>
                <w:szCs w:val="20"/>
              </w:rPr>
              <w:t>☐</w:t>
            </w:r>
          </w:p>
        </w:tc>
      </w:tr>
      <w:tr w:rsidR="00000000">
        <w:trPr>
          <w:divId w:val="550045395"/>
          <w:jc w:val="center"/>
        </w:trPr>
        <w:tc>
          <w:tcPr>
            <w:tcW w:w="0" w:type="auto"/>
            <w:gridSpan w:val="3"/>
            <w:tcMar>
              <w:top w:w="30" w:type="dxa"/>
              <w:left w:w="20" w:type="dxa"/>
              <w:bottom w:w="30" w:type="dxa"/>
              <w:right w:w="20" w:type="dxa"/>
            </w:tcMar>
            <w:vAlign w:val="bottom"/>
            <w:hideMark/>
          </w:tcPr>
          <w:p w:rsidR="00000000" w:rsidRDefault="00BB5C2D">
            <w:pPr>
              <w:spacing w:after="100"/>
              <w:ind w:firstLine="360"/>
              <w:jc w:val="both"/>
              <w:rPr>
                <w:rFonts w:eastAsia="Times New Roman"/>
              </w:rPr>
            </w:pPr>
            <w:r>
              <w:rPr>
                <w:rFonts w:eastAsia="Times New Roman"/>
                <w:color w:val="000000"/>
                <w:sz w:val="18"/>
                <w:szCs w:val="18"/>
              </w:rPr>
              <w:lastRenderedPageBreak/>
              <w:t>Non-accelerated filer</w:t>
            </w:r>
          </w:p>
        </w:tc>
        <w:tc>
          <w:tcPr>
            <w:tcW w:w="0" w:type="auto"/>
            <w:gridSpan w:val="3"/>
            <w:tcMar>
              <w:top w:w="30" w:type="dxa"/>
              <w:left w:w="20" w:type="dxa"/>
              <w:bottom w:w="30" w:type="dxa"/>
              <w:right w:w="20" w:type="dxa"/>
            </w:tcMar>
            <w:hideMark/>
          </w:tcPr>
          <w:p w:rsidR="00000000" w:rsidRDefault="00BB5C2D">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18"/>
                <w:szCs w:val="18"/>
              </w:rPr>
              <w:t>Smaller reporting company</w:t>
            </w:r>
          </w:p>
        </w:tc>
        <w:tc>
          <w:tcPr>
            <w:tcW w:w="0" w:type="auto"/>
            <w:gridSpan w:val="3"/>
            <w:tcMar>
              <w:top w:w="30" w:type="dxa"/>
              <w:left w:w="20" w:type="dxa"/>
              <w:bottom w:w="30" w:type="dxa"/>
              <w:right w:w="20" w:type="dxa"/>
            </w:tcMar>
            <w:hideMark/>
          </w:tcPr>
          <w:p w:rsidR="00000000" w:rsidRDefault="00BB5C2D">
            <w:pPr>
              <w:spacing w:after="100"/>
              <w:jc w:val="right"/>
              <w:rPr>
                <w:rFonts w:eastAsia="Times New Roman"/>
              </w:rPr>
            </w:pPr>
            <w:r>
              <w:rPr>
                <w:rFonts w:ascii="Segoe UI Symbol" w:eastAsia="Times New Roman" w:hAnsi="Segoe UI Symbol" w:cs="Segoe UI Symbol"/>
                <w:color w:val="000000"/>
                <w:sz w:val="20"/>
                <w:szCs w:val="20"/>
              </w:rPr>
              <w:t>☐</w:t>
            </w:r>
          </w:p>
        </w:tc>
      </w:tr>
      <w:tr w:rsidR="00000000">
        <w:trPr>
          <w:divId w:val="550045395"/>
          <w:jc w:val="center"/>
        </w:trPr>
        <w:tc>
          <w:tcPr>
            <w:tcW w:w="0" w:type="auto"/>
            <w:gridSpan w:val="3"/>
            <w:tcMar>
              <w:top w:w="0" w:type="dxa"/>
              <w:left w:w="20" w:type="dxa"/>
              <w:bottom w:w="0" w:type="dxa"/>
              <w:right w:w="20" w:type="dxa"/>
            </w:tcMar>
            <w:vAlign w:val="center"/>
            <w:hideMark/>
          </w:tcPr>
          <w:p w:rsidR="00000000" w:rsidRDefault="00BB5C2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18"/>
                <w:szCs w:val="18"/>
              </w:rPr>
              <w:t>Emerging growth company</w:t>
            </w:r>
          </w:p>
        </w:tc>
        <w:tc>
          <w:tcPr>
            <w:tcW w:w="0" w:type="auto"/>
            <w:gridSpan w:val="3"/>
            <w:tcMar>
              <w:top w:w="30" w:type="dxa"/>
              <w:left w:w="20" w:type="dxa"/>
              <w:bottom w:w="30" w:type="dxa"/>
              <w:right w:w="20" w:type="dxa"/>
            </w:tcMar>
            <w:hideMark/>
          </w:tcPr>
          <w:p w:rsidR="00000000" w:rsidRDefault="00BB5C2D">
            <w:pPr>
              <w:spacing w:after="100"/>
              <w:jc w:val="right"/>
              <w:rPr>
                <w:rFonts w:eastAsia="Times New Roman"/>
              </w:rPr>
            </w:pPr>
            <w:r>
              <w:rPr>
                <w:rFonts w:ascii="Segoe UI Symbol" w:eastAsia="Times New Roman" w:hAnsi="Segoe UI Symbol" w:cs="Segoe UI Symbol"/>
                <w:color w:val="000000"/>
                <w:sz w:val="20"/>
                <w:szCs w:val="20"/>
              </w:rPr>
              <w:t>☐</w:t>
            </w:r>
          </w:p>
        </w:tc>
      </w:tr>
    </w:tbl>
    <w:p w:rsidR="00000000" w:rsidRDefault="00BB5C2D">
      <w:pPr>
        <w:ind w:firstLine="360"/>
        <w:divId w:val="1406227310"/>
        <w:rPr>
          <w:rFonts w:eastAsia="Times New Roman"/>
        </w:rPr>
      </w:pPr>
      <w:r>
        <w:rPr>
          <w:rFonts w:eastAsia="Times New Roman"/>
          <w:color w:val="000000"/>
          <w:sz w:val="18"/>
          <w:szCs w:val="18"/>
        </w:rPr>
        <w:t>If an emerging growth company, indicate by check mark if the registrant has elected not to use the extended transition period for complying with any new or revised financial accounting standards provided pursuant to Section 13(a) of the Exchange Act.      </w:t>
      </w:r>
      <w:r>
        <w:rPr>
          <w:rFonts w:eastAsia="Times New Roman"/>
          <w:color w:val="000000"/>
          <w:sz w:val="18"/>
          <w:szCs w:val="18"/>
        </w:rPr>
        <w:t xml:space="preserve">            </w:t>
      </w:r>
      <w:r>
        <w:rPr>
          <w:rFonts w:ascii="Segoe UI Symbol" w:eastAsia="Times New Roman" w:hAnsi="Segoe UI Symbol" w:cs="Segoe UI Symbol"/>
          <w:color w:val="000000"/>
          <w:sz w:val="20"/>
          <w:szCs w:val="20"/>
        </w:rPr>
        <w:t>☐</w:t>
      </w:r>
    </w:p>
    <w:p w:rsidR="00000000" w:rsidRDefault="00BB5C2D">
      <w:pPr>
        <w:ind w:firstLine="360"/>
        <w:divId w:val="911811361"/>
        <w:rPr>
          <w:rFonts w:eastAsia="Times New Roman"/>
        </w:rPr>
      </w:pPr>
      <w:r>
        <w:rPr>
          <w:rFonts w:eastAsia="Times New Roman"/>
          <w:color w:val="000000"/>
          <w:sz w:val="18"/>
          <w:szCs w:val="18"/>
        </w:rPr>
        <w:t>Indicate by check mark whether the registrant has filed a report on and attestation to its management's assessment of the effectiveness of its internal control over financial reporting under Section 404(b) of the Sarbanes-Oxley Act (15 U.S.C.</w:t>
      </w:r>
      <w:r>
        <w:rPr>
          <w:rFonts w:eastAsia="Times New Roman"/>
          <w:color w:val="000000"/>
          <w:sz w:val="18"/>
          <w:szCs w:val="18"/>
        </w:rPr>
        <w:t xml:space="preserve"> 7262(b)) by the registered public accounting firm that prepared or issued its audit report.                  </w:t>
      </w:r>
      <w:r>
        <w:rPr>
          <w:rFonts w:ascii="Segoe UI Emoji" w:eastAsia="Times New Roman" w:hAnsi="Segoe UI Emoji" w:cs="Segoe UI Emoji"/>
          <w:color w:val="000000"/>
          <w:sz w:val="20"/>
          <w:szCs w:val="20"/>
        </w:rPr>
        <w:t>☑</w:t>
      </w:r>
      <w:r>
        <w:rPr>
          <w:rFonts w:eastAsia="Times New Roman"/>
          <w:color w:val="000000"/>
          <w:sz w:val="18"/>
          <w:szCs w:val="18"/>
        </w:rPr>
        <w:t xml:space="preserve"> </w:t>
      </w:r>
    </w:p>
    <w:p w:rsidR="00000000" w:rsidRDefault="00BB5C2D">
      <w:pPr>
        <w:ind w:firstLine="360"/>
        <w:jc w:val="both"/>
        <w:divId w:val="1062487598"/>
        <w:rPr>
          <w:rFonts w:eastAsia="Times New Roman"/>
        </w:rPr>
      </w:pPr>
      <w:r>
        <w:rPr>
          <w:rFonts w:eastAsia="Times New Roman"/>
          <w:color w:val="000000"/>
          <w:sz w:val="18"/>
          <w:szCs w:val="18"/>
        </w:rPr>
        <w:t xml:space="preserve">Indicate by check mark whether the registrant is a shell company (as defined in Rule 12b-2 of the Act).          Yes </w:t>
      </w:r>
      <w:r>
        <w:rPr>
          <w:rFonts w:ascii="Segoe UI Symbol" w:eastAsia="Times New Roman" w:hAnsi="Segoe UI Symbol" w:cs="Segoe UI Symbol"/>
          <w:color w:val="000000"/>
          <w:sz w:val="20"/>
          <w:szCs w:val="20"/>
        </w:rPr>
        <w:t>☐</w:t>
      </w:r>
      <w:r>
        <w:rPr>
          <w:rFonts w:ascii="Arial Unicode MS" w:eastAsia="Times New Roman" w:hAnsi="Arial Unicode MS"/>
          <w:color w:val="000000"/>
          <w:sz w:val="18"/>
          <w:szCs w:val="18"/>
        </w:rPr>
        <w:t xml:space="preserve"> </w:t>
      </w:r>
      <w:r>
        <w:rPr>
          <w:rFonts w:eastAsia="Times New Roman"/>
          <w:color w:val="000000"/>
          <w:sz w:val="18"/>
          <w:szCs w:val="18"/>
        </w:rPr>
        <w:t xml:space="preserve">No </w:t>
      </w:r>
      <w:r>
        <w:rPr>
          <w:rFonts w:ascii="Segoe UI Emoji" w:eastAsia="Times New Roman" w:hAnsi="Segoe UI Emoji" w:cs="Segoe UI Emoji"/>
          <w:color w:val="000000"/>
          <w:sz w:val="20"/>
          <w:szCs w:val="20"/>
        </w:rPr>
        <w:t>☑</w:t>
      </w:r>
    </w:p>
    <w:p w:rsidR="00000000" w:rsidRDefault="00BB5C2D">
      <w:pPr>
        <w:ind w:firstLine="360"/>
        <w:jc w:val="both"/>
        <w:divId w:val="2118863244"/>
        <w:rPr>
          <w:rFonts w:eastAsia="Times New Roman"/>
        </w:rPr>
      </w:pPr>
      <w:r>
        <w:rPr>
          <w:rFonts w:eastAsia="Times New Roman"/>
          <w:color w:val="000000"/>
          <w:sz w:val="18"/>
          <w:szCs w:val="18"/>
        </w:rPr>
        <w:t>The aggregate marke</w:t>
      </w:r>
      <w:r>
        <w:rPr>
          <w:rFonts w:eastAsia="Times New Roman"/>
          <w:color w:val="000000"/>
          <w:sz w:val="18"/>
          <w:szCs w:val="18"/>
        </w:rPr>
        <w:t>t value of the registrant's voting common stock held by non-affiliates of the registrant was approximately $5.624 billion as of September 24, 2021, the last business day of the registrant's most recently completed second fiscal quarter based on the closing</w:t>
      </w:r>
      <w:r>
        <w:rPr>
          <w:rFonts w:eastAsia="Times New Roman"/>
          <w:color w:val="000000"/>
          <w:sz w:val="18"/>
          <w:szCs w:val="18"/>
        </w:rPr>
        <w:t xml:space="preserve"> price of the common stock on the New York Stock Exchange.</w:t>
      </w:r>
    </w:p>
    <w:p w:rsidR="00000000" w:rsidRDefault="00BB5C2D">
      <w:pPr>
        <w:ind w:firstLine="360"/>
        <w:jc w:val="both"/>
        <w:divId w:val="776363441"/>
        <w:rPr>
          <w:rFonts w:eastAsia="Times New Roman"/>
        </w:rPr>
      </w:pPr>
      <w:r>
        <w:rPr>
          <w:rFonts w:eastAsia="Times New Roman"/>
          <w:color w:val="000000"/>
          <w:sz w:val="18"/>
          <w:szCs w:val="18"/>
        </w:rPr>
        <w:t>At May 18, 2022, 45,194,105 shares of the registrant's Class A common stock, $.01 par value and 24,881,276 shares of the registrant's Class B common stock, $.01 par value were outstanding.</w:t>
      </w:r>
    </w:p>
    <w:p w:rsidR="00000000" w:rsidRDefault="00BB5C2D">
      <w:pPr>
        <w:ind w:firstLine="360"/>
        <w:jc w:val="both"/>
        <w:divId w:val="1893492284"/>
        <w:rPr>
          <w:rFonts w:eastAsia="Times New Roman"/>
        </w:rPr>
      </w:pPr>
      <w:r>
        <w:rPr>
          <w:rFonts w:eastAsia="Times New Roman"/>
          <w:color w:val="000000"/>
          <w:sz w:val="18"/>
          <w:szCs w:val="18"/>
        </w:rPr>
        <w:t>Part III</w:t>
      </w:r>
      <w:r>
        <w:rPr>
          <w:rFonts w:eastAsia="Times New Roman"/>
          <w:color w:val="000000"/>
          <w:sz w:val="18"/>
          <w:szCs w:val="18"/>
        </w:rPr>
        <w:t xml:space="preserve"> incorporates by reference information from certain portions of the registrant's definitive proxy statement to be filed with the Securities and Exchange Commission within 120 days after the fiscal year ended April 2, 2022.</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129397091"/>
        </w:trPr>
        <w:tc>
          <w:tcPr>
            <w:tcW w:w="50" w:type="pct"/>
            <w:vAlign w:val="center"/>
            <w:hideMark/>
          </w:tcPr>
          <w:p w:rsidR="00000000" w:rsidRDefault="00BB5C2D">
            <w:pPr>
              <w:ind w:firstLine="360"/>
              <w:jc w:val="both"/>
              <w:rPr>
                <w:rFonts w:eastAsia="Times New Roman"/>
              </w:rPr>
            </w:pPr>
          </w:p>
        </w:tc>
        <w:tc>
          <w:tcPr>
            <w:tcW w:w="494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129397091"/>
          <w:trHeight w:val="100"/>
        </w:trPr>
        <w:tc>
          <w:tcPr>
            <w:tcW w:w="0" w:type="auto"/>
            <w:gridSpan w:val="3"/>
            <w:tcBorders>
              <w:bottom w:val="single" w:sz="1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r>
    </w:tbl>
    <w:p w:rsidR="00000000" w:rsidRDefault="00BB5C2D">
      <w:pPr>
        <w:divId w:val="1601832723"/>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978753249"/>
          <w:jc w:val="center"/>
        </w:trPr>
        <w:tc>
          <w:tcPr>
            <w:tcW w:w="50" w:type="pct"/>
            <w:vAlign w:val="center"/>
            <w:hideMark/>
          </w:tcPr>
          <w:p w:rsidR="00000000" w:rsidRDefault="00BB5C2D">
            <w:pPr>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978753249"/>
          <w:trHeight w:val="300"/>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r>
    </w:tbl>
    <w:p w:rsidR="00000000" w:rsidRDefault="00BB5C2D">
      <w:pPr>
        <w:rPr>
          <w:rFonts w:eastAsia="Times New Roman"/>
        </w:rPr>
      </w:pPr>
      <w:r>
        <w:rPr>
          <w:rFonts w:eastAsia="Times New Roman"/>
        </w:rPr>
        <w:pict>
          <v:rect id="_x0000_i1025" style="width:0;height:1.5pt" o:hralign="center" o:hrstd="t" o:hr="t" fillcolor="#a0a0a0" stroked="f"/>
        </w:pict>
      </w:r>
    </w:p>
    <w:p w:rsidR="00000000" w:rsidRDefault="00BB5C2D">
      <w:pPr>
        <w:divId w:val="431097065"/>
        <w:rPr>
          <w:rFonts w:eastAsia="Times New Roman"/>
        </w:rPr>
      </w:pPr>
    </w:p>
    <w:p w:rsidR="00000000" w:rsidRDefault="00BB5C2D">
      <w:pPr>
        <w:jc w:val="center"/>
        <w:rPr>
          <w:rFonts w:eastAsia="Times New Roman"/>
        </w:rPr>
      </w:pPr>
      <w:r>
        <w:rPr>
          <w:rFonts w:eastAsia="Times New Roman"/>
          <w:b/>
          <w:bCs/>
          <w:color w:val="000000"/>
          <w:sz w:val="20"/>
          <w:szCs w:val="20"/>
        </w:rPr>
        <w:t>RALPH LAUREN CORPORATION</w:t>
      </w:r>
    </w:p>
    <w:p w:rsidR="00000000" w:rsidRDefault="00BB5C2D">
      <w:pPr>
        <w:jc w:val="center"/>
        <w:divId w:val="1473213078"/>
        <w:rPr>
          <w:rFonts w:eastAsia="Times New Roman"/>
        </w:rPr>
      </w:pPr>
      <w:r>
        <w:rPr>
          <w:rFonts w:eastAsia="Times New Roman"/>
          <w:b/>
          <w:bCs/>
          <w:color w:val="000000"/>
          <w:sz w:val="20"/>
          <w:szCs w:val="20"/>
        </w:rPr>
        <w:t>TABLE OF CONTENTS</w:t>
      </w:r>
    </w:p>
    <w:p w:rsidR="00000000" w:rsidRDefault="00BB5C2D">
      <w:pPr>
        <w:jc w:val="center"/>
        <w:rPr>
          <w:rFonts w:eastAsia="Times New Roman"/>
        </w:rPr>
      </w:pPr>
      <w:r>
        <w:rPr>
          <w:rFonts w:eastAsia="Times New Roman"/>
          <w:color w:val="000000"/>
          <w:sz w:val="18"/>
          <w:szCs w:val="18"/>
        </w:rPr>
        <w:t> </w:t>
      </w:r>
    </w:p>
    <w:tbl>
      <w:tblPr>
        <w:tblW w:w="4992" w:type="pct"/>
        <w:jc w:val="center"/>
        <w:tblCellMar>
          <w:top w:w="15" w:type="dxa"/>
          <w:left w:w="15" w:type="dxa"/>
          <w:bottom w:w="15" w:type="dxa"/>
          <w:right w:w="15" w:type="dxa"/>
        </w:tblCellMar>
        <w:tblLook w:val="04A0" w:firstRow="1" w:lastRow="0" w:firstColumn="1" w:lastColumn="0" w:noHBand="0" w:noVBand="1"/>
      </w:tblPr>
      <w:tblGrid>
        <w:gridCol w:w="68"/>
        <w:gridCol w:w="719"/>
        <w:gridCol w:w="36"/>
        <w:gridCol w:w="69"/>
        <w:gridCol w:w="6149"/>
        <w:gridCol w:w="38"/>
        <w:gridCol w:w="69"/>
        <w:gridCol w:w="1109"/>
        <w:gridCol w:w="36"/>
      </w:tblGrid>
      <w:tr w:rsidR="00000000">
        <w:trPr>
          <w:jc w:val="center"/>
        </w:trPr>
        <w:tc>
          <w:tcPr>
            <w:tcW w:w="50" w:type="pct"/>
            <w:vAlign w:val="center"/>
            <w:hideMark/>
          </w:tcPr>
          <w:p w:rsidR="00000000" w:rsidRDefault="00BB5C2D">
            <w:pPr>
              <w:jc w:val="center"/>
              <w:rPr>
                <w:rFonts w:eastAsia="Times New Roman"/>
              </w:rPr>
            </w:pPr>
          </w:p>
        </w:tc>
        <w:tc>
          <w:tcPr>
            <w:tcW w:w="44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371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67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jc w:val="center"/>
        </w:trPr>
        <w:tc>
          <w:tcPr>
            <w:tcW w:w="0" w:type="auto"/>
            <w:gridSpan w:val="6"/>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Page</w:t>
            </w:r>
          </w:p>
        </w:tc>
      </w:tr>
      <w:tr w:rsidR="00000000">
        <w:trPr>
          <w:jc w:val="center"/>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b/>
                <w:bCs/>
                <w:color w:val="000000"/>
                <w:sz w:val="20"/>
                <w:szCs w:val="20"/>
              </w:rPr>
              <w:t>PART I</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r>
      <w:tr w:rsidR="00000000">
        <w:trPr>
          <w:jc w:val="center"/>
        </w:trPr>
        <w:tc>
          <w:tcPr>
            <w:tcW w:w="0" w:type="auto"/>
            <w:gridSpan w:val="3"/>
            <w:tcMar>
              <w:top w:w="30" w:type="dxa"/>
              <w:left w:w="20" w:type="dxa"/>
              <w:bottom w:w="30" w:type="dxa"/>
              <w:right w:w="20" w:type="dxa"/>
            </w:tcMar>
            <w:hideMark/>
          </w:tcPr>
          <w:p w:rsidR="00000000" w:rsidRDefault="00BB5C2D">
            <w:pPr>
              <w:spacing w:after="100"/>
              <w:divId w:val="127434140"/>
              <w:rPr>
                <w:rFonts w:eastAsia="Times New Roman"/>
              </w:rPr>
            </w:pPr>
            <w:hyperlink w:anchor="i500ae552570a41b3bd85adecd06bbcd8_13" w:history="1">
              <w:r>
                <w:rPr>
                  <w:rStyle w:val="a3"/>
                  <w:rFonts w:eastAsia="Times New Roman"/>
                  <w:sz w:val="20"/>
                  <w:szCs w:val="20"/>
                </w:rPr>
                <w:t>Item 1.</w:t>
              </w:r>
            </w:hyperlink>
          </w:p>
        </w:tc>
        <w:tc>
          <w:tcPr>
            <w:tcW w:w="0" w:type="auto"/>
            <w:gridSpan w:val="3"/>
            <w:tcMar>
              <w:top w:w="30" w:type="dxa"/>
              <w:left w:w="20" w:type="dxa"/>
              <w:bottom w:w="30" w:type="dxa"/>
              <w:right w:w="20" w:type="dxa"/>
            </w:tcMar>
            <w:hideMark/>
          </w:tcPr>
          <w:p w:rsidR="00000000" w:rsidRDefault="00BB5C2D">
            <w:pPr>
              <w:spacing w:after="100"/>
              <w:divId w:val="1916087472"/>
              <w:rPr>
                <w:rFonts w:eastAsia="Times New Roman"/>
              </w:rPr>
            </w:pPr>
            <w:hyperlink w:anchor="i500ae552570a41b3bd85adecd06bbcd8_13" w:history="1">
              <w:r>
                <w:rPr>
                  <w:rStyle w:val="a3"/>
                  <w:rFonts w:eastAsia="Times New Roman"/>
                  <w:sz w:val="20"/>
                  <w:szCs w:val="20"/>
                </w:rPr>
                <w:t>Business</w:t>
              </w:r>
            </w:hyperlink>
          </w:p>
        </w:tc>
        <w:tc>
          <w:tcPr>
            <w:tcW w:w="0" w:type="auto"/>
            <w:gridSpan w:val="3"/>
            <w:tcMar>
              <w:top w:w="30" w:type="dxa"/>
              <w:left w:w="20" w:type="dxa"/>
              <w:bottom w:w="30" w:type="dxa"/>
              <w:right w:w="20" w:type="dxa"/>
            </w:tcMar>
            <w:hideMark/>
          </w:tcPr>
          <w:p w:rsidR="00000000" w:rsidRDefault="00BB5C2D">
            <w:pPr>
              <w:spacing w:after="100"/>
              <w:jc w:val="right"/>
              <w:rPr>
                <w:rFonts w:eastAsia="Times New Roman"/>
              </w:rPr>
            </w:pPr>
            <w:hyperlink w:anchor="i500ae552570a41b3bd85adecd06bbcd8_13" w:history="1">
              <w:r>
                <w:rPr>
                  <w:rStyle w:val="a3"/>
                  <w:rFonts w:eastAsia="Times New Roman"/>
                  <w:sz w:val="20"/>
                  <w:szCs w:val="20"/>
                </w:rPr>
                <w:t>3</w:t>
              </w:r>
            </w:hyperlink>
          </w:p>
        </w:tc>
      </w:tr>
      <w:tr w:rsidR="00000000">
        <w:trPr>
          <w:jc w:val="center"/>
        </w:trPr>
        <w:tc>
          <w:tcPr>
            <w:tcW w:w="0" w:type="auto"/>
            <w:gridSpan w:val="3"/>
            <w:tcMar>
              <w:top w:w="30" w:type="dxa"/>
              <w:left w:w="20" w:type="dxa"/>
              <w:bottom w:w="30" w:type="dxa"/>
              <w:right w:w="20" w:type="dxa"/>
            </w:tcMar>
            <w:hideMark/>
          </w:tcPr>
          <w:p w:rsidR="00000000" w:rsidRDefault="00BB5C2D">
            <w:pPr>
              <w:spacing w:after="100"/>
              <w:divId w:val="1935284002"/>
              <w:rPr>
                <w:rFonts w:eastAsia="Times New Roman"/>
              </w:rPr>
            </w:pPr>
            <w:hyperlink w:anchor="i500ae552570a41b3bd85adecd06bbcd8_82" w:history="1">
              <w:r>
                <w:rPr>
                  <w:rStyle w:val="a3"/>
                  <w:rFonts w:eastAsia="Times New Roman"/>
                  <w:sz w:val="20"/>
                  <w:szCs w:val="20"/>
                </w:rPr>
                <w:t>Item 1A.</w:t>
              </w:r>
            </w:hyperlink>
          </w:p>
        </w:tc>
        <w:tc>
          <w:tcPr>
            <w:tcW w:w="0" w:type="auto"/>
            <w:gridSpan w:val="3"/>
            <w:tcMar>
              <w:top w:w="30" w:type="dxa"/>
              <w:left w:w="20" w:type="dxa"/>
              <w:bottom w:w="30" w:type="dxa"/>
              <w:right w:w="20" w:type="dxa"/>
            </w:tcMar>
            <w:hideMark/>
          </w:tcPr>
          <w:p w:rsidR="00000000" w:rsidRDefault="00BB5C2D">
            <w:pPr>
              <w:spacing w:after="100"/>
              <w:divId w:val="2052882244"/>
              <w:rPr>
                <w:rFonts w:eastAsia="Times New Roman"/>
              </w:rPr>
            </w:pPr>
            <w:hyperlink w:anchor="i500ae552570a41b3bd85adecd06bbcd8_82" w:history="1">
              <w:r>
                <w:rPr>
                  <w:rStyle w:val="a3"/>
                  <w:rFonts w:eastAsia="Times New Roman"/>
                  <w:sz w:val="20"/>
                  <w:szCs w:val="20"/>
                </w:rPr>
                <w:t>Risk Factors</w:t>
              </w:r>
            </w:hyperlink>
          </w:p>
        </w:tc>
        <w:tc>
          <w:tcPr>
            <w:tcW w:w="0" w:type="auto"/>
            <w:gridSpan w:val="3"/>
            <w:tcMar>
              <w:top w:w="30" w:type="dxa"/>
              <w:left w:w="20" w:type="dxa"/>
              <w:bottom w:w="30" w:type="dxa"/>
              <w:right w:w="20" w:type="dxa"/>
            </w:tcMar>
            <w:hideMark/>
          </w:tcPr>
          <w:p w:rsidR="00000000" w:rsidRDefault="00BB5C2D">
            <w:pPr>
              <w:spacing w:after="100"/>
              <w:jc w:val="right"/>
              <w:rPr>
                <w:rFonts w:eastAsia="Times New Roman"/>
              </w:rPr>
            </w:pPr>
            <w:hyperlink w:anchor="i500ae552570a41b3bd85adecd06bbcd8_82" w:history="1">
              <w:r>
                <w:rPr>
                  <w:rStyle w:val="a3"/>
                  <w:rFonts w:eastAsia="Times New Roman"/>
                  <w:sz w:val="20"/>
                  <w:szCs w:val="20"/>
                </w:rPr>
                <w:t>25</w:t>
              </w:r>
            </w:hyperlink>
          </w:p>
        </w:tc>
      </w:tr>
      <w:tr w:rsidR="00000000">
        <w:trPr>
          <w:jc w:val="center"/>
        </w:trPr>
        <w:tc>
          <w:tcPr>
            <w:tcW w:w="0" w:type="auto"/>
            <w:gridSpan w:val="3"/>
            <w:tcMar>
              <w:top w:w="30" w:type="dxa"/>
              <w:left w:w="20" w:type="dxa"/>
              <w:bottom w:w="30" w:type="dxa"/>
              <w:right w:w="20" w:type="dxa"/>
            </w:tcMar>
            <w:hideMark/>
          </w:tcPr>
          <w:p w:rsidR="00000000" w:rsidRDefault="00BB5C2D">
            <w:pPr>
              <w:spacing w:after="100"/>
              <w:divId w:val="2128234826"/>
              <w:rPr>
                <w:rFonts w:eastAsia="Times New Roman"/>
              </w:rPr>
            </w:pPr>
            <w:hyperlink w:anchor="i500ae552570a41b3bd85adecd06bbcd8_85" w:history="1">
              <w:r>
                <w:rPr>
                  <w:rStyle w:val="a3"/>
                  <w:rFonts w:eastAsia="Times New Roman"/>
                  <w:sz w:val="20"/>
                  <w:szCs w:val="20"/>
                </w:rPr>
                <w:t>Item 1B.</w:t>
              </w:r>
            </w:hyperlink>
          </w:p>
        </w:tc>
        <w:tc>
          <w:tcPr>
            <w:tcW w:w="0" w:type="auto"/>
            <w:gridSpan w:val="3"/>
            <w:tcMar>
              <w:top w:w="30" w:type="dxa"/>
              <w:left w:w="20" w:type="dxa"/>
              <w:bottom w:w="30" w:type="dxa"/>
              <w:right w:w="20" w:type="dxa"/>
            </w:tcMar>
            <w:hideMark/>
          </w:tcPr>
          <w:p w:rsidR="00000000" w:rsidRDefault="00BB5C2D">
            <w:pPr>
              <w:spacing w:after="100"/>
              <w:divId w:val="1269125003"/>
              <w:rPr>
                <w:rFonts w:eastAsia="Times New Roman"/>
              </w:rPr>
            </w:pPr>
            <w:hyperlink w:anchor="i500ae552570a41b3bd85adecd06bbcd8_85" w:history="1">
              <w:r>
                <w:rPr>
                  <w:rStyle w:val="a3"/>
                  <w:rFonts w:eastAsia="Times New Roman"/>
                  <w:sz w:val="20"/>
                  <w:szCs w:val="20"/>
                </w:rPr>
                <w:t>Unresolved Staff Comments</w:t>
              </w:r>
            </w:hyperlink>
          </w:p>
        </w:tc>
        <w:tc>
          <w:tcPr>
            <w:tcW w:w="0" w:type="auto"/>
            <w:gridSpan w:val="3"/>
            <w:tcMar>
              <w:top w:w="30" w:type="dxa"/>
              <w:left w:w="20" w:type="dxa"/>
              <w:bottom w:w="30" w:type="dxa"/>
              <w:right w:w="20" w:type="dxa"/>
            </w:tcMar>
            <w:hideMark/>
          </w:tcPr>
          <w:p w:rsidR="00000000" w:rsidRDefault="00BB5C2D">
            <w:pPr>
              <w:spacing w:after="100"/>
              <w:jc w:val="right"/>
              <w:rPr>
                <w:rFonts w:eastAsia="Times New Roman"/>
              </w:rPr>
            </w:pPr>
            <w:hyperlink w:anchor="i500ae552570a41b3bd85adecd06bbcd8_85" w:history="1">
              <w:r>
                <w:rPr>
                  <w:rStyle w:val="a3"/>
                  <w:rFonts w:eastAsia="Times New Roman"/>
                  <w:sz w:val="20"/>
                  <w:szCs w:val="20"/>
                </w:rPr>
                <w:t>39</w:t>
              </w:r>
            </w:hyperlink>
          </w:p>
        </w:tc>
      </w:tr>
      <w:tr w:rsidR="00000000">
        <w:trPr>
          <w:jc w:val="center"/>
        </w:trPr>
        <w:tc>
          <w:tcPr>
            <w:tcW w:w="0" w:type="auto"/>
            <w:gridSpan w:val="3"/>
            <w:tcMar>
              <w:top w:w="30" w:type="dxa"/>
              <w:left w:w="20" w:type="dxa"/>
              <w:bottom w:w="30" w:type="dxa"/>
              <w:right w:w="20" w:type="dxa"/>
            </w:tcMar>
            <w:hideMark/>
          </w:tcPr>
          <w:p w:rsidR="00000000" w:rsidRDefault="00BB5C2D">
            <w:pPr>
              <w:spacing w:after="100"/>
              <w:divId w:val="712460453"/>
              <w:rPr>
                <w:rFonts w:eastAsia="Times New Roman"/>
              </w:rPr>
            </w:pPr>
            <w:hyperlink w:anchor="i500ae552570a41b3bd85adecd06bbcd8_88" w:history="1">
              <w:r>
                <w:rPr>
                  <w:rStyle w:val="a3"/>
                  <w:rFonts w:eastAsia="Times New Roman"/>
                  <w:sz w:val="20"/>
                  <w:szCs w:val="20"/>
                </w:rPr>
                <w:t>Item 2.</w:t>
              </w:r>
            </w:hyperlink>
          </w:p>
        </w:tc>
        <w:tc>
          <w:tcPr>
            <w:tcW w:w="0" w:type="auto"/>
            <w:gridSpan w:val="3"/>
            <w:tcMar>
              <w:top w:w="30" w:type="dxa"/>
              <w:left w:w="20" w:type="dxa"/>
              <w:bottom w:w="30" w:type="dxa"/>
              <w:right w:w="20" w:type="dxa"/>
            </w:tcMar>
            <w:hideMark/>
          </w:tcPr>
          <w:p w:rsidR="00000000" w:rsidRDefault="00BB5C2D">
            <w:pPr>
              <w:spacing w:after="100"/>
              <w:divId w:val="119540958"/>
              <w:rPr>
                <w:rFonts w:eastAsia="Times New Roman"/>
              </w:rPr>
            </w:pPr>
            <w:hyperlink w:anchor="i500ae552570a41b3bd85adecd06bbcd8_88" w:history="1">
              <w:r>
                <w:rPr>
                  <w:rStyle w:val="a3"/>
                  <w:rFonts w:eastAsia="Times New Roman"/>
                  <w:sz w:val="20"/>
                  <w:szCs w:val="20"/>
                </w:rPr>
                <w:t>Properties</w:t>
              </w:r>
            </w:hyperlink>
          </w:p>
        </w:tc>
        <w:tc>
          <w:tcPr>
            <w:tcW w:w="0" w:type="auto"/>
            <w:gridSpan w:val="3"/>
            <w:tcMar>
              <w:top w:w="30" w:type="dxa"/>
              <w:left w:w="20" w:type="dxa"/>
              <w:bottom w:w="30" w:type="dxa"/>
              <w:right w:w="20" w:type="dxa"/>
            </w:tcMar>
            <w:hideMark/>
          </w:tcPr>
          <w:p w:rsidR="00000000" w:rsidRDefault="00BB5C2D">
            <w:pPr>
              <w:spacing w:after="100"/>
              <w:jc w:val="right"/>
              <w:rPr>
                <w:rFonts w:eastAsia="Times New Roman"/>
              </w:rPr>
            </w:pPr>
            <w:hyperlink w:anchor="i500ae552570a41b3bd85adecd06bbcd8_88" w:history="1">
              <w:r>
                <w:rPr>
                  <w:rStyle w:val="a3"/>
                  <w:rFonts w:eastAsia="Times New Roman"/>
                  <w:sz w:val="20"/>
                  <w:szCs w:val="20"/>
                </w:rPr>
                <w:t>40</w:t>
              </w:r>
            </w:hyperlink>
          </w:p>
        </w:tc>
      </w:tr>
      <w:tr w:rsidR="00000000">
        <w:trPr>
          <w:jc w:val="center"/>
        </w:trPr>
        <w:tc>
          <w:tcPr>
            <w:tcW w:w="0" w:type="auto"/>
            <w:gridSpan w:val="3"/>
            <w:tcMar>
              <w:top w:w="30" w:type="dxa"/>
              <w:left w:w="20" w:type="dxa"/>
              <w:bottom w:w="30" w:type="dxa"/>
              <w:right w:w="20" w:type="dxa"/>
            </w:tcMar>
            <w:hideMark/>
          </w:tcPr>
          <w:p w:rsidR="00000000" w:rsidRDefault="00BB5C2D">
            <w:pPr>
              <w:spacing w:after="100"/>
              <w:divId w:val="459499479"/>
              <w:rPr>
                <w:rFonts w:eastAsia="Times New Roman"/>
              </w:rPr>
            </w:pPr>
            <w:hyperlink w:anchor="i500ae552570a41b3bd85adecd06bbcd8_91" w:history="1">
              <w:r>
                <w:rPr>
                  <w:rStyle w:val="a3"/>
                  <w:rFonts w:eastAsia="Times New Roman"/>
                  <w:sz w:val="20"/>
                  <w:szCs w:val="20"/>
                </w:rPr>
                <w:t>Item 3.</w:t>
              </w:r>
            </w:hyperlink>
          </w:p>
        </w:tc>
        <w:tc>
          <w:tcPr>
            <w:tcW w:w="0" w:type="auto"/>
            <w:gridSpan w:val="3"/>
            <w:tcMar>
              <w:top w:w="30" w:type="dxa"/>
              <w:left w:w="20" w:type="dxa"/>
              <w:bottom w:w="30" w:type="dxa"/>
              <w:right w:w="20" w:type="dxa"/>
            </w:tcMar>
            <w:hideMark/>
          </w:tcPr>
          <w:p w:rsidR="00000000" w:rsidRDefault="00BB5C2D">
            <w:pPr>
              <w:spacing w:after="100"/>
              <w:divId w:val="1045570246"/>
              <w:rPr>
                <w:rFonts w:eastAsia="Times New Roman"/>
              </w:rPr>
            </w:pPr>
            <w:hyperlink w:anchor="i500ae552570a41b3bd85adecd06bbcd8_91"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hideMark/>
          </w:tcPr>
          <w:p w:rsidR="00000000" w:rsidRDefault="00BB5C2D">
            <w:pPr>
              <w:spacing w:after="100"/>
              <w:jc w:val="right"/>
              <w:rPr>
                <w:rFonts w:eastAsia="Times New Roman"/>
              </w:rPr>
            </w:pPr>
            <w:hyperlink w:anchor="i500ae552570a41b3bd85adecd06bbcd8_91" w:history="1">
              <w:r>
                <w:rPr>
                  <w:rStyle w:val="a3"/>
                  <w:rFonts w:eastAsia="Times New Roman"/>
                  <w:sz w:val="20"/>
                  <w:szCs w:val="20"/>
                </w:rPr>
                <w:t>40</w:t>
              </w:r>
            </w:hyperlink>
          </w:p>
        </w:tc>
      </w:tr>
      <w:tr w:rsidR="00000000">
        <w:trPr>
          <w:jc w:val="center"/>
        </w:trPr>
        <w:tc>
          <w:tcPr>
            <w:tcW w:w="0" w:type="auto"/>
            <w:gridSpan w:val="3"/>
            <w:tcMar>
              <w:top w:w="30" w:type="dxa"/>
              <w:left w:w="20" w:type="dxa"/>
              <w:bottom w:w="30" w:type="dxa"/>
              <w:right w:w="20" w:type="dxa"/>
            </w:tcMar>
            <w:hideMark/>
          </w:tcPr>
          <w:p w:rsidR="00000000" w:rsidRDefault="00BB5C2D">
            <w:pPr>
              <w:spacing w:after="100"/>
              <w:divId w:val="620576894"/>
              <w:rPr>
                <w:rFonts w:eastAsia="Times New Roman"/>
              </w:rPr>
            </w:pPr>
            <w:hyperlink w:anchor="i500ae552570a41b3bd85adecd06bbcd8_94" w:history="1">
              <w:r>
                <w:rPr>
                  <w:rStyle w:val="a3"/>
                  <w:rFonts w:eastAsia="Times New Roman"/>
                  <w:sz w:val="20"/>
                  <w:szCs w:val="20"/>
                </w:rPr>
                <w:t>Item 4.</w:t>
              </w:r>
            </w:hyperlink>
          </w:p>
        </w:tc>
        <w:tc>
          <w:tcPr>
            <w:tcW w:w="0" w:type="auto"/>
            <w:gridSpan w:val="3"/>
            <w:tcMar>
              <w:top w:w="30" w:type="dxa"/>
              <w:left w:w="20" w:type="dxa"/>
              <w:bottom w:w="30" w:type="dxa"/>
              <w:right w:w="20" w:type="dxa"/>
            </w:tcMar>
            <w:hideMark/>
          </w:tcPr>
          <w:p w:rsidR="00000000" w:rsidRDefault="00BB5C2D">
            <w:pPr>
              <w:spacing w:after="100"/>
              <w:divId w:val="1157574111"/>
              <w:rPr>
                <w:rFonts w:eastAsia="Times New Roman"/>
              </w:rPr>
            </w:pPr>
            <w:hyperlink w:anchor="i500ae552570a41b3bd85adecd06bbcd8_94" w:history="1">
              <w:r>
                <w:rPr>
                  <w:rStyle w:val="a3"/>
                  <w:rFonts w:eastAsia="Times New Roman"/>
                  <w:sz w:val="20"/>
                  <w:szCs w:val="20"/>
                </w:rPr>
                <w:t>Mine Safety Disclosure</w:t>
              </w:r>
            </w:hyperlink>
          </w:p>
        </w:tc>
        <w:tc>
          <w:tcPr>
            <w:tcW w:w="0" w:type="auto"/>
            <w:gridSpan w:val="3"/>
            <w:tcMar>
              <w:top w:w="30" w:type="dxa"/>
              <w:left w:w="20" w:type="dxa"/>
              <w:bottom w:w="30" w:type="dxa"/>
              <w:right w:w="20" w:type="dxa"/>
            </w:tcMar>
            <w:hideMark/>
          </w:tcPr>
          <w:p w:rsidR="00000000" w:rsidRDefault="00BB5C2D">
            <w:pPr>
              <w:spacing w:after="100"/>
              <w:jc w:val="right"/>
              <w:rPr>
                <w:rFonts w:eastAsia="Times New Roman"/>
              </w:rPr>
            </w:pPr>
            <w:hyperlink w:anchor="i500ae552570a41b3bd85adecd06bbcd8_94" w:history="1">
              <w:r>
                <w:rPr>
                  <w:rStyle w:val="a3"/>
                  <w:rFonts w:eastAsia="Times New Roman"/>
                  <w:sz w:val="20"/>
                  <w:szCs w:val="20"/>
                </w:rPr>
                <w:t>40</w:t>
              </w:r>
            </w:hyperlink>
          </w:p>
        </w:tc>
      </w:tr>
      <w:tr w:rsidR="00000000">
        <w:trPr>
          <w:trHeight w:val="300"/>
          <w:jc w:val="center"/>
        </w:trPr>
        <w:tc>
          <w:tcPr>
            <w:tcW w:w="0" w:type="auto"/>
            <w:gridSpan w:val="3"/>
            <w:tcMar>
              <w:top w:w="0" w:type="dxa"/>
              <w:left w:w="20" w:type="dxa"/>
              <w:bottom w:w="0" w:type="dxa"/>
              <w:right w:w="20" w:type="dxa"/>
            </w:tcMar>
            <w:vAlign w:val="center"/>
            <w:hideMark/>
          </w:tcPr>
          <w:p w:rsidR="00000000" w:rsidRDefault="00BB5C2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b/>
                <w:bCs/>
                <w:color w:val="000000"/>
                <w:sz w:val="20"/>
                <w:szCs w:val="20"/>
              </w:rPr>
              <w:t>PART II</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r w:rsidR="00000000">
        <w:trPr>
          <w:jc w:val="center"/>
        </w:trPr>
        <w:tc>
          <w:tcPr>
            <w:tcW w:w="0" w:type="auto"/>
            <w:gridSpan w:val="3"/>
            <w:tcMar>
              <w:top w:w="30" w:type="dxa"/>
              <w:left w:w="20" w:type="dxa"/>
              <w:bottom w:w="30" w:type="dxa"/>
              <w:right w:w="20" w:type="dxa"/>
            </w:tcMar>
            <w:hideMark/>
          </w:tcPr>
          <w:p w:rsidR="00000000" w:rsidRDefault="00BB5C2D">
            <w:pPr>
              <w:spacing w:after="100"/>
              <w:divId w:val="1609502929"/>
              <w:rPr>
                <w:rFonts w:eastAsia="Times New Roman"/>
              </w:rPr>
            </w:pPr>
            <w:hyperlink w:anchor="i500ae552570a41b3bd85adecd06bbcd8_100" w:history="1">
              <w:r>
                <w:rPr>
                  <w:rStyle w:val="a3"/>
                  <w:rFonts w:eastAsia="Times New Roman"/>
                  <w:sz w:val="20"/>
                  <w:szCs w:val="20"/>
                </w:rPr>
                <w:t>Item 5.</w:t>
              </w:r>
            </w:hyperlink>
          </w:p>
        </w:tc>
        <w:tc>
          <w:tcPr>
            <w:tcW w:w="0" w:type="auto"/>
            <w:gridSpan w:val="3"/>
            <w:tcMar>
              <w:top w:w="30" w:type="dxa"/>
              <w:left w:w="20" w:type="dxa"/>
              <w:bottom w:w="30" w:type="dxa"/>
              <w:right w:w="20" w:type="dxa"/>
            </w:tcMar>
            <w:hideMark/>
          </w:tcPr>
          <w:p w:rsidR="00000000" w:rsidRDefault="00BB5C2D">
            <w:pPr>
              <w:spacing w:after="100"/>
              <w:divId w:val="983658709"/>
              <w:rPr>
                <w:rFonts w:eastAsia="Times New Roman"/>
              </w:rPr>
            </w:pPr>
            <w:hyperlink w:anchor="i500ae552570a41b3bd85adecd06bbcd8_100" w:history="1">
              <w:r>
                <w:rPr>
                  <w:rStyle w:val="a3"/>
                  <w:rFonts w:eastAsia="Times New Roman"/>
                  <w:sz w:val="20"/>
                  <w:szCs w:val="20"/>
                </w:rPr>
                <w:t>Market for Registrant's Common Equity, Related Stockholder Matters and Issuer Purchases of Equity Securities</w:t>
              </w:r>
            </w:hyperlink>
          </w:p>
        </w:tc>
        <w:tc>
          <w:tcPr>
            <w:tcW w:w="0" w:type="auto"/>
            <w:gridSpan w:val="3"/>
            <w:tcMar>
              <w:top w:w="30" w:type="dxa"/>
              <w:left w:w="20" w:type="dxa"/>
              <w:bottom w:w="30" w:type="dxa"/>
              <w:right w:w="20" w:type="dxa"/>
            </w:tcMar>
            <w:hideMark/>
          </w:tcPr>
          <w:p w:rsidR="00000000" w:rsidRDefault="00BB5C2D">
            <w:pPr>
              <w:spacing w:after="100"/>
              <w:jc w:val="right"/>
              <w:rPr>
                <w:rFonts w:eastAsia="Times New Roman"/>
              </w:rPr>
            </w:pPr>
            <w:hyperlink w:anchor="i500ae552570a41b3bd85adecd06bbcd8_100" w:history="1">
              <w:r>
                <w:rPr>
                  <w:rStyle w:val="a3"/>
                  <w:rFonts w:eastAsia="Times New Roman"/>
                  <w:sz w:val="20"/>
                  <w:szCs w:val="20"/>
                </w:rPr>
                <w:t>41</w:t>
              </w:r>
            </w:hyperlink>
          </w:p>
        </w:tc>
      </w:tr>
      <w:tr w:rsidR="00000000">
        <w:trPr>
          <w:jc w:val="center"/>
        </w:trPr>
        <w:tc>
          <w:tcPr>
            <w:tcW w:w="0" w:type="auto"/>
            <w:gridSpan w:val="3"/>
            <w:tcMar>
              <w:top w:w="30" w:type="dxa"/>
              <w:left w:w="20" w:type="dxa"/>
              <w:bottom w:w="30" w:type="dxa"/>
              <w:right w:w="20" w:type="dxa"/>
            </w:tcMar>
            <w:hideMark/>
          </w:tcPr>
          <w:p w:rsidR="00000000" w:rsidRDefault="00BB5C2D">
            <w:pPr>
              <w:spacing w:after="100"/>
              <w:divId w:val="1458985265"/>
              <w:rPr>
                <w:rFonts w:eastAsia="Times New Roman"/>
              </w:rPr>
            </w:pPr>
            <w:hyperlink w:anchor="i500ae552570a41b3bd85adecd06bbcd8_103" w:history="1">
              <w:r>
                <w:rPr>
                  <w:rStyle w:val="a3"/>
                  <w:rFonts w:eastAsia="Times New Roman"/>
                  <w:sz w:val="20"/>
                  <w:szCs w:val="20"/>
                </w:rPr>
                <w:t>Item 6.</w:t>
              </w:r>
            </w:hyperlink>
          </w:p>
        </w:tc>
        <w:tc>
          <w:tcPr>
            <w:tcW w:w="0" w:type="auto"/>
            <w:gridSpan w:val="3"/>
            <w:tcMar>
              <w:top w:w="30" w:type="dxa"/>
              <w:left w:w="20" w:type="dxa"/>
              <w:bottom w:w="30" w:type="dxa"/>
              <w:right w:w="20" w:type="dxa"/>
            </w:tcMar>
            <w:hideMark/>
          </w:tcPr>
          <w:p w:rsidR="00000000" w:rsidRDefault="00BB5C2D">
            <w:pPr>
              <w:spacing w:after="100"/>
              <w:divId w:val="1340352143"/>
              <w:rPr>
                <w:rFonts w:eastAsia="Times New Roman"/>
              </w:rPr>
            </w:pPr>
            <w:hyperlink w:anchor="i500ae552570a41b3bd85adecd06bbcd8_103" w:history="1">
              <w:r>
                <w:rPr>
                  <w:rStyle w:val="a3"/>
                  <w:rFonts w:eastAsia="Times New Roman"/>
                  <w:sz w:val="20"/>
                  <w:szCs w:val="20"/>
                </w:rPr>
                <w:t>Reserved</w:t>
              </w:r>
            </w:hyperlink>
          </w:p>
        </w:tc>
        <w:tc>
          <w:tcPr>
            <w:tcW w:w="0" w:type="auto"/>
            <w:gridSpan w:val="3"/>
            <w:tcMar>
              <w:top w:w="30" w:type="dxa"/>
              <w:left w:w="20" w:type="dxa"/>
              <w:bottom w:w="30" w:type="dxa"/>
              <w:right w:w="20" w:type="dxa"/>
            </w:tcMar>
            <w:hideMark/>
          </w:tcPr>
          <w:p w:rsidR="00000000" w:rsidRDefault="00BB5C2D">
            <w:pPr>
              <w:spacing w:after="100"/>
              <w:jc w:val="right"/>
              <w:rPr>
                <w:rFonts w:eastAsia="Times New Roman"/>
              </w:rPr>
            </w:pPr>
            <w:hyperlink w:anchor="i500ae552570a41b3bd85adecd06bbcd8_103" w:history="1">
              <w:r>
                <w:rPr>
                  <w:rStyle w:val="a3"/>
                  <w:rFonts w:eastAsia="Times New Roman"/>
                  <w:sz w:val="20"/>
                  <w:szCs w:val="20"/>
                </w:rPr>
                <w:t>42</w:t>
              </w:r>
            </w:hyperlink>
          </w:p>
        </w:tc>
      </w:tr>
      <w:tr w:rsidR="00000000">
        <w:trPr>
          <w:jc w:val="center"/>
        </w:trPr>
        <w:tc>
          <w:tcPr>
            <w:tcW w:w="0" w:type="auto"/>
            <w:gridSpan w:val="3"/>
            <w:tcMar>
              <w:top w:w="30" w:type="dxa"/>
              <w:left w:w="20" w:type="dxa"/>
              <w:bottom w:w="30" w:type="dxa"/>
              <w:right w:w="20" w:type="dxa"/>
            </w:tcMar>
            <w:hideMark/>
          </w:tcPr>
          <w:p w:rsidR="00000000" w:rsidRDefault="00BB5C2D">
            <w:pPr>
              <w:spacing w:after="100"/>
              <w:divId w:val="1352957023"/>
              <w:rPr>
                <w:rFonts w:eastAsia="Times New Roman"/>
              </w:rPr>
            </w:pPr>
            <w:hyperlink w:anchor="i500ae552570a41b3bd85adecd06bbcd8_106" w:history="1">
              <w:r>
                <w:rPr>
                  <w:rStyle w:val="a3"/>
                  <w:rFonts w:eastAsia="Times New Roman"/>
                  <w:sz w:val="20"/>
                  <w:szCs w:val="20"/>
                </w:rPr>
                <w:t>Item 7.</w:t>
              </w:r>
            </w:hyperlink>
          </w:p>
        </w:tc>
        <w:tc>
          <w:tcPr>
            <w:tcW w:w="0" w:type="auto"/>
            <w:gridSpan w:val="3"/>
            <w:tcMar>
              <w:top w:w="30" w:type="dxa"/>
              <w:left w:w="20" w:type="dxa"/>
              <w:bottom w:w="30" w:type="dxa"/>
              <w:right w:w="20" w:type="dxa"/>
            </w:tcMar>
            <w:hideMark/>
          </w:tcPr>
          <w:p w:rsidR="00000000" w:rsidRDefault="00BB5C2D">
            <w:pPr>
              <w:spacing w:after="100"/>
              <w:divId w:val="89469687"/>
              <w:rPr>
                <w:rFonts w:eastAsia="Times New Roman"/>
              </w:rPr>
            </w:pPr>
            <w:hyperlink w:anchor="i500ae552570a41b3bd85adecd06bbcd8_106" w:history="1">
              <w:r>
                <w:rPr>
                  <w:rStyle w:val="a3"/>
                  <w:rFonts w:eastAsia="Times New Roman"/>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hideMark/>
          </w:tcPr>
          <w:p w:rsidR="00000000" w:rsidRDefault="00BB5C2D">
            <w:pPr>
              <w:spacing w:after="100"/>
              <w:jc w:val="right"/>
              <w:rPr>
                <w:rFonts w:eastAsia="Times New Roman"/>
              </w:rPr>
            </w:pPr>
            <w:hyperlink w:anchor="i500ae552570a41b3bd85adecd06bbcd8_106" w:history="1">
              <w:r>
                <w:rPr>
                  <w:rStyle w:val="a3"/>
                  <w:rFonts w:eastAsia="Times New Roman"/>
                  <w:sz w:val="20"/>
                  <w:szCs w:val="20"/>
                </w:rPr>
                <w:t>43</w:t>
              </w:r>
            </w:hyperlink>
          </w:p>
        </w:tc>
      </w:tr>
      <w:tr w:rsidR="00000000">
        <w:trPr>
          <w:jc w:val="center"/>
        </w:trPr>
        <w:tc>
          <w:tcPr>
            <w:tcW w:w="0" w:type="auto"/>
            <w:gridSpan w:val="3"/>
            <w:tcMar>
              <w:top w:w="30" w:type="dxa"/>
              <w:left w:w="20" w:type="dxa"/>
              <w:bottom w:w="30" w:type="dxa"/>
              <w:right w:w="20" w:type="dxa"/>
            </w:tcMar>
            <w:hideMark/>
          </w:tcPr>
          <w:p w:rsidR="00000000" w:rsidRDefault="00BB5C2D">
            <w:pPr>
              <w:spacing w:after="100"/>
              <w:divId w:val="1096750519"/>
              <w:rPr>
                <w:rFonts w:eastAsia="Times New Roman"/>
              </w:rPr>
            </w:pPr>
            <w:hyperlink w:anchor="i500ae552570a41b3bd85adecd06bbcd8_130" w:history="1">
              <w:r>
                <w:rPr>
                  <w:rStyle w:val="a3"/>
                  <w:rFonts w:eastAsia="Times New Roman"/>
                  <w:sz w:val="20"/>
                  <w:szCs w:val="20"/>
                </w:rPr>
                <w:t>Item 7A.</w:t>
              </w:r>
            </w:hyperlink>
          </w:p>
        </w:tc>
        <w:tc>
          <w:tcPr>
            <w:tcW w:w="0" w:type="auto"/>
            <w:gridSpan w:val="3"/>
            <w:tcMar>
              <w:top w:w="30" w:type="dxa"/>
              <w:left w:w="20" w:type="dxa"/>
              <w:bottom w:w="30" w:type="dxa"/>
              <w:right w:w="20" w:type="dxa"/>
            </w:tcMar>
            <w:hideMark/>
          </w:tcPr>
          <w:p w:rsidR="00000000" w:rsidRDefault="00BB5C2D">
            <w:pPr>
              <w:spacing w:after="100"/>
              <w:divId w:val="653876337"/>
              <w:rPr>
                <w:rFonts w:eastAsia="Times New Roman"/>
              </w:rPr>
            </w:pPr>
            <w:hyperlink w:anchor="i500ae552570a41b3bd85adecd06bbcd8_130" w:history="1">
              <w:r>
                <w:rPr>
                  <w:rStyle w:val="a3"/>
                  <w:rFonts w:eastAsia="Times New Roman"/>
                  <w:sz w:val="20"/>
                  <w:szCs w:val="20"/>
                </w:rPr>
                <w:t xml:space="preserve">Quantitative and Qualitative Disclosures </w:t>
              </w:r>
            </w:hyperlink>
            <w:hyperlink w:anchor="i500ae552570a41b3bd85adecd06bbcd8_130" w:history="1">
              <w:r>
                <w:rPr>
                  <w:rStyle w:val="a3"/>
                  <w:rFonts w:eastAsia="Times New Roman"/>
                  <w:sz w:val="20"/>
                  <w:szCs w:val="20"/>
                </w:rPr>
                <w:t>A</w:t>
              </w:r>
            </w:hyperlink>
            <w:hyperlink w:anchor="i500ae552570a41b3bd85adecd06bbcd8_130" w:history="1">
              <w:r>
                <w:rPr>
                  <w:rStyle w:val="a3"/>
                  <w:rFonts w:eastAsia="Times New Roman"/>
                  <w:sz w:val="20"/>
                  <w:szCs w:val="20"/>
                </w:rPr>
                <w:t>bout Market Risk</w:t>
              </w:r>
            </w:hyperlink>
          </w:p>
        </w:tc>
        <w:tc>
          <w:tcPr>
            <w:tcW w:w="0" w:type="auto"/>
            <w:gridSpan w:val="3"/>
            <w:tcMar>
              <w:top w:w="30" w:type="dxa"/>
              <w:left w:w="20" w:type="dxa"/>
              <w:bottom w:w="30" w:type="dxa"/>
              <w:right w:w="20" w:type="dxa"/>
            </w:tcMar>
            <w:hideMark/>
          </w:tcPr>
          <w:p w:rsidR="00000000" w:rsidRDefault="00BB5C2D">
            <w:pPr>
              <w:spacing w:after="100"/>
              <w:jc w:val="right"/>
              <w:rPr>
                <w:rFonts w:eastAsia="Times New Roman"/>
              </w:rPr>
            </w:pPr>
            <w:hyperlink w:anchor="i500ae552570a41b3bd85adecd06bbcd8_130" w:history="1">
              <w:r>
                <w:rPr>
                  <w:rStyle w:val="a3"/>
                  <w:rFonts w:eastAsia="Times New Roman"/>
                  <w:sz w:val="20"/>
                  <w:szCs w:val="20"/>
                </w:rPr>
                <w:t>76</w:t>
              </w:r>
            </w:hyperlink>
          </w:p>
        </w:tc>
      </w:tr>
      <w:tr w:rsidR="00000000">
        <w:trPr>
          <w:jc w:val="center"/>
        </w:trPr>
        <w:tc>
          <w:tcPr>
            <w:tcW w:w="0" w:type="auto"/>
            <w:gridSpan w:val="3"/>
            <w:tcMar>
              <w:top w:w="30" w:type="dxa"/>
              <w:left w:w="20" w:type="dxa"/>
              <w:bottom w:w="30" w:type="dxa"/>
              <w:right w:w="20" w:type="dxa"/>
            </w:tcMar>
            <w:hideMark/>
          </w:tcPr>
          <w:p w:rsidR="00000000" w:rsidRDefault="00BB5C2D">
            <w:pPr>
              <w:spacing w:after="100"/>
              <w:divId w:val="2038192692"/>
              <w:rPr>
                <w:rFonts w:eastAsia="Times New Roman"/>
              </w:rPr>
            </w:pPr>
            <w:hyperlink w:anchor="i500ae552570a41b3bd85adecd06bbcd8_133" w:history="1">
              <w:r>
                <w:rPr>
                  <w:rStyle w:val="a3"/>
                  <w:rFonts w:eastAsia="Times New Roman"/>
                  <w:sz w:val="20"/>
                  <w:szCs w:val="20"/>
                </w:rPr>
                <w:t>Item 8.</w:t>
              </w:r>
            </w:hyperlink>
          </w:p>
        </w:tc>
        <w:tc>
          <w:tcPr>
            <w:tcW w:w="0" w:type="auto"/>
            <w:gridSpan w:val="3"/>
            <w:tcMar>
              <w:top w:w="30" w:type="dxa"/>
              <w:left w:w="20" w:type="dxa"/>
              <w:bottom w:w="30" w:type="dxa"/>
              <w:right w:w="20" w:type="dxa"/>
            </w:tcMar>
            <w:hideMark/>
          </w:tcPr>
          <w:p w:rsidR="00000000" w:rsidRDefault="00BB5C2D">
            <w:pPr>
              <w:spacing w:after="100"/>
              <w:divId w:val="811365732"/>
              <w:rPr>
                <w:rFonts w:eastAsia="Times New Roman"/>
              </w:rPr>
            </w:pPr>
            <w:hyperlink w:anchor="i500ae552570a41b3bd85adecd06bbcd8_133" w:history="1">
              <w:r>
                <w:rPr>
                  <w:rStyle w:val="a3"/>
                  <w:rFonts w:eastAsia="Times New Roman"/>
                  <w:sz w:val="20"/>
                  <w:szCs w:val="20"/>
                </w:rPr>
                <w:t>Financial Statements and Supplementary Data</w:t>
              </w:r>
            </w:hyperlink>
          </w:p>
        </w:tc>
        <w:tc>
          <w:tcPr>
            <w:tcW w:w="0" w:type="auto"/>
            <w:gridSpan w:val="3"/>
            <w:tcMar>
              <w:top w:w="30" w:type="dxa"/>
              <w:left w:w="20" w:type="dxa"/>
              <w:bottom w:w="30" w:type="dxa"/>
              <w:right w:w="20" w:type="dxa"/>
            </w:tcMar>
            <w:hideMark/>
          </w:tcPr>
          <w:p w:rsidR="00000000" w:rsidRDefault="00BB5C2D">
            <w:pPr>
              <w:spacing w:after="100"/>
              <w:jc w:val="right"/>
              <w:rPr>
                <w:rFonts w:eastAsia="Times New Roman"/>
              </w:rPr>
            </w:pPr>
            <w:hyperlink w:anchor="i500ae552570a41b3bd85adecd06bbcd8_133" w:history="1">
              <w:r>
                <w:rPr>
                  <w:rStyle w:val="a3"/>
                  <w:rFonts w:eastAsia="Times New Roman"/>
                  <w:sz w:val="20"/>
                  <w:szCs w:val="20"/>
                </w:rPr>
                <w:t>76</w:t>
              </w:r>
            </w:hyperlink>
          </w:p>
        </w:tc>
      </w:tr>
      <w:tr w:rsidR="00000000">
        <w:trPr>
          <w:jc w:val="center"/>
        </w:trPr>
        <w:tc>
          <w:tcPr>
            <w:tcW w:w="0" w:type="auto"/>
            <w:gridSpan w:val="3"/>
            <w:tcMar>
              <w:top w:w="30" w:type="dxa"/>
              <w:left w:w="20" w:type="dxa"/>
              <w:bottom w:w="30" w:type="dxa"/>
              <w:right w:w="20" w:type="dxa"/>
            </w:tcMar>
            <w:hideMark/>
          </w:tcPr>
          <w:p w:rsidR="00000000" w:rsidRDefault="00BB5C2D">
            <w:pPr>
              <w:spacing w:after="100"/>
              <w:divId w:val="849875564"/>
              <w:rPr>
                <w:rFonts w:eastAsia="Times New Roman"/>
              </w:rPr>
            </w:pPr>
            <w:hyperlink w:anchor="i500ae552570a41b3bd85adecd06bbcd8_136" w:history="1">
              <w:r>
                <w:rPr>
                  <w:rStyle w:val="a3"/>
                  <w:rFonts w:eastAsia="Times New Roman"/>
                  <w:sz w:val="20"/>
                  <w:szCs w:val="20"/>
                </w:rPr>
                <w:t>Item</w:t>
              </w:r>
              <w:r>
                <w:rPr>
                  <w:rStyle w:val="a3"/>
                  <w:rFonts w:eastAsia="Times New Roman"/>
                  <w:sz w:val="20"/>
                  <w:szCs w:val="20"/>
                </w:rPr>
                <w:t xml:space="preserve"> 9.</w:t>
              </w:r>
            </w:hyperlink>
          </w:p>
        </w:tc>
        <w:tc>
          <w:tcPr>
            <w:tcW w:w="0" w:type="auto"/>
            <w:gridSpan w:val="3"/>
            <w:tcMar>
              <w:top w:w="30" w:type="dxa"/>
              <w:left w:w="20" w:type="dxa"/>
              <w:bottom w:w="30" w:type="dxa"/>
              <w:right w:w="20" w:type="dxa"/>
            </w:tcMar>
            <w:hideMark/>
          </w:tcPr>
          <w:p w:rsidR="00000000" w:rsidRDefault="00BB5C2D">
            <w:pPr>
              <w:spacing w:after="100"/>
              <w:divId w:val="1341739021"/>
              <w:rPr>
                <w:rFonts w:eastAsia="Times New Roman"/>
              </w:rPr>
            </w:pPr>
            <w:hyperlink w:anchor="i500ae552570a41b3bd85adecd06bbcd8_136" w:history="1">
              <w:r>
                <w:rPr>
                  <w:rStyle w:val="a3"/>
                  <w:rFonts w:eastAsia="Times New Roman"/>
                  <w:sz w:val="20"/>
                  <w:szCs w:val="20"/>
                </w:rPr>
                <w:t>Changes in and Disagreements with Accountants on Accounting and Financial Disclosure</w:t>
              </w:r>
            </w:hyperlink>
          </w:p>
        </w:tc>
        <w:tc>
          <w:tcPr>
            <w:tcW w:w="0" w:type="auto"/>
            <w:gridSpan w:val="3"/>
            <w:tcMar>
              <w:top w:w="30" w:type="dxa"/>
              <w:left w:w="20" w:type="dxa"/>
              <w:bottom w:w="30" w:type="dxa"/>
              <w:right w:w="20" w:type="dxa"/>
            </w:tcMar>
            <w:hideMark/>
          </w:tcPr>
          <w:p w:rsidR="00000000" w:rsidRDefault="00BB5C2D">
            <w:pPr>
              <w:spacing w:after="100"/>
              <w:jc w:val="right"/>
              <w:rPr>
                <w:rFonts w:eastAsia="Times New Roman"/>
              </w:rPr>
            </w:pPr>
            <w:hyperlink w:anchor="i500ae552570a41b3bd85adecd06bbcd8_136" w:history="1">
              <w:r>
                <w:rPr>
                  <w:rStyle w:val="a3"/>
                  <w:rFonts w:eastAsia="Times New Roman"/>
                  <w:sz w:val="20"/>
                  <w:szCs w:val="20"/>
                </w:rPr>
                <w:t>76</w:t>
              </w:r>
            </w:hyperlink>
          </w:p>
        </w:tc>
      </w:tr>
      <w:tr w:rsidR="00000000">
        <w:trPr>
          <w:jc w:val="center"/>
        </w:trPr>
        <w:tc>
          <w:tcPr>
            <w:tcW w:w="0" w:type="auto"/>
            <w:gridSpan w:val="3"/>
            <w:tcMar>
              <w:top w:w="30" w:type="dxa"/>
              <w:left w:w="20" w:type="dxa"/>
              <w:bottom w:w="30" w:type="dxa"/>
              <w:right w:w="20" w:type="dxa"/>
            </w:tcMar>
            <w:hideMark/>
          </w:tcPr>
          <w:p w:rsidR="00000000" w:rsidRDefault="00BB5C2D">
            <w:pPr>
              <w:spacing w:after="100"/>
              <w:divId w:val="826241877"/>
              <w:rPr>
                <w:rFonts w:eastAsia="Times New Roman"/>
              </w:rPr>
            </w:pPr>
            <w:hyperlink w:anchor="i500ae552570a41b3bd85adecd06bbcd8_139" w:history="1">
              <w:r>
                <w:rPr>
                  <w:rStyle w:val="a3"/>
                  <w:rFonts w:eastAsia="Times New Roman"/>
                  <w:sz w:val="20"/>
                  <w:szCs w:val="20"/>
                </w:rPr>
                <w:t>Item 9A.</w:t>
              </w:r>
            </w:hyperlink>
          </w:p>
        </w:tc>
        <w:tc>
          <w:tcPr>
            <w:tcW w:w="0" w:type="auto"/>
            <w:gridSpan w:val="3"/>
            <w:tcMar>
              <w:top w:w="30" w:type="dxa"/>
              <w:left w:w="20" w:type="dxa"/>
              <w:bottom w:w="30" w:type="dxa"/>
              <w:right w:w="20" w:type="dxa"/>
            </w:tcMar>
            <w:hideMark/>
          </w:tcPr>
          <w:p w:rsidR="00000000" w:rsidRDefault="00BB5C2D">
            <w:pPr>
              <w:spacing w:after="100"/>
              <w:divId w:val="978151956"/>
              <w:rPr>
                <w:rFonts w:eastAsia="Times New Roman"/>
              </w:rPr>
            </w:pPr>
            <w:hyperlink w:anchor="i500ae552570a41b3bd85adecd06bbcd8_139" w:history="1">
              <w:r>
                <w:rPr>
                  <w:rStyle w:val="a3"/>
                  <w:rFonts w:eastAsia="Times New Roman"/>
                  <w:sz w:val="20"/>
                  <w:szCs w:val="20"/>
                </w:rPr>
                <w:t>Controls</w:t>
              </w:r>
            </w:hyperlink>
            <w:hyperlink w:anchor="i500ae552570a41b3bd85adecd06bbcd8_139" w:history="1">
              <w:r>
                <w:rPr>
                  <w:rStyle w:val="a3"/>
                  <w:rFonts w:eastAsia="Times New Roman"/>
                  <w:sz w:val="20"/>
                  <w:szCs w:val="20"/>
                </w:rPr>
                <w:t xml:space="preserve"> </w:t>
              </w:r>
            </w:hyperlink>
            <w:hyperlink w:anchor="i500ae552570a41b3bd85adecd06bbcd8_139" w:history="1">
              <w:r>
                <w:rPr>
                  <w:rStyle w:val="a3"/>
                  <w:rFonts w:eastAsia="Times New Roman"/>
                  <w:sz w:val="20"/>
                  <w:szCs w:val="20"/>
                </w:rPr>
                <w:t>and</w:t>
              </w:r>
            </w:hyperlink>
            <w:hyperlink w:anchor="i500ae552570a41b3bd85adecd06bbcd8_139" w:history="1">
              <w:r>
                <w:rPr>
                  <w:rStyle w:val="a3"/>
                  <w:rFonts w:eastAsia="Times New Roman"/>
                  <w:sz w:val="20"/>
                  <w:szCs w:val="20"/>
                </w:rPr>
                <w:t xml:space="preserve"> Procedures</w:t>
              </w:r>
            </w:hyperlink>
          </w:p>
        </w:tc>
        <w:tc>
          <w:tcPr>
            <w:tcW w:w="0" w:type="auto"/>
            <w:gridSpan w:val="3"/>
            <w:tcMar>
              <w:top w:w="30" w:type="dxa"/>
              <w:left w:w="20" w:type="dxa"/>
              <w:bottom w:w="30" w:type="dxa"/>
              <w:right w:w="20" w:type="dxa"/>
            </w:tcMar>
            <w:hideMark/>
          </w:tcPr>
          <w:p w:rsidR="00000000" w:rsidRDefault="00BB5C2D">
            <w:pPr>
              <w:spacing w:after="100"/>
              <w:jc w:val="right"/>
              <w:rPr>
                <w:rFonts w:eastAsia="Times New Roman"/>
              </w:rPr>
            </w:pPr>
            <w:hyperlink w:anchor="i500ae552570a41b3bd85adecd06bbcd8_139" w:history="1">
              <w:r>
                <w:rPr>
                  <w:rStyle w:val="a3"/>
                  <w:rFonts w:eastAsia="Times New Roman"/>
                  <w:sz w:val="20"/>
                  <w:szCs w:val="20"/>
                </w:rPr>
                <w:t>76</w:t>
              </w:r>
            </w:hyperlink>
          </w:p>
        </w:tc>
      </w:tr>
      <w:tr w:rsidR="00000000">
        <w:trPr>
          <w:jc w:val="center"/>
        </w:trPr>
        <w:tc>
          <w:tcPr>
            <w:tcW w:w="0" w:type="auto"/>
            <w:gridSpan w:val="3"/>
            <w:tcMar>
              <w:top w:w="30" w:type="dxa"/>
              <w:left w:w="20" w:type="dxa"/>
              <w:bottom w:w="30" w:type="dxa"/>
              <w:right w:w="20" w:type="dxa"/>
            </w:tcMar>
            <w:hideMark/>
          </w:tcPr>
          <w:p w:rsidR="00000000" w:rsidRDefault="00BB5C2D">
            <w:pPr>
              <w:spacing w:after="100"/>
              <w:divId w:val="727462050"/>
              <w:rPr>
                <w:rFonts w:eastAsia="Times New Roman"/>
              </w:rPr>
            </w:pPr>
            <w:hyperlink w:anchor="i500ae552570a41b3bd85adecd06bbcd8_142" w:history="1">
              <w:r>
                <w:rPr>
                  <w:rStyle w:val="a3"/>
                  <w:rFonts w:eastAsia="Times New Roman"/>
                  <w:sz w:val="20"/>
                  <w:szCs w:val="20"/>
                </w:rPr>
                <w:t>Item 9B.</w:t>
              </w:r>
            </w:hyperlink>
          </w:p>
        </w:tc>
        <w:tc>
          <w:tcPr>
            <w:tcW w:w="0" w:type="auto"/>
            <w:gridSpan w:val="3"/>
            <w:tcMar>
              <w:top w:w="30" w:type="dxa"/>
              <w:left w:w="20" w:type="dxa"/>
              <w:bottom w:w="30" w:type="dxa"/>
              <w:right w:w="20" w:type="dxa"/>
            </w:tcMar>
            <w:hideMark/>
          </w:tcPr>
          <w:p w:rsidR="00000000" w:rsidRDefault="00BB5C2D">
            <w:pPr>
              <w:spacing w:after="100"/>
              <w:divId w:val="986711421"/>
              <w:rPr>
                <w:rFonts w:eastAsia="Times New Roman"/>
              </w:rPr>
            </w:pPr>
            <w:hyperlink w:anchor="i500ae552570a41b3bd85adecd06bbcd8_142"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hideMark/>
          </w:tcPr>
          <w:p w:rsidR="00000000" w:rsidRDefault="00BB5C2D">
            <w:pPr>
              <w:spacing w:after="100"/>
              <w:jc w:val="right"/>
              <w:rPr>
                <w:rFonts w:eastAsia="Times New Roman"/>
              </w:rPr>
            </w:pPr>
            <w:hyperlink w:anchor="i500ae552570a41b3bd85adecd06bbcd8_142" w:history="1">
              <w:r>
                <w:rPr>
                  <w:rStyle w:val="a3"/>
                  <w:rFonts w:eastAsia="Times New Roman"/>
                  <w:sz w:val="20"/>
                  <w:szCs w:val="20"/>
                </w:rPr>
                <w:t>77</w:t>
              </w:r>
            </w:hyperlink>
          </w:p>
        </w:tc>
      </w:tr>
      <w:tr w:rsidR="00000000">
        <w:trPr>
          <w:jc w:val="center"/>
        </w:trPr>
        <w:tc>
          <w:tcPr>
            <w:tcW w:w="0" w:type="auto"/>
            <w:gridSpan w:val="3"/>
            <w:tcMar>
              <w:top w:w="30" w:type="dxa"/>
              <w:left w:w="20" w:type="dxa"/>
              <w:bottom w:w="30" w:type="dxa"/>
              <w:right w:w="20" w:type="dxa"/>
            </w:tcMar>
            <w:hideMark/>
          </w:tcPr>
          <w:p w:rsidR="00000000" w:rsidRDefault="00BB5C2D">
            <w:pPr>
              <w:spacing w:after="100"/>
              <w:divId w:val="229048987"/>
              <w:rPr>
                <w:rFonts w:eastAsia="Times New Roman"/>
              </w:rPr>
            </w:pPr>
            <w:hyperlink w:anchor="i500ae552570a41b3bd85adecd06bbcd8_2358" w:history="1">
              <w:r>
                <w:rPr>
                  <w:rStyle w:val="a3"/>
                  <w:rFonts w:eastAsia="Times New Roman"/>
                  <w:sz w:val="20"/>
                  <w:szCs w:val="20"/>
                </w:rPr>
                <w:t>Item 9C.</w:t>
              </w:r>
            </w:hyperlink>
          </w:p>
        </w:tc>
        <w:tc>
          <w:tcPr>
            <w:tcW w:w="0" w:type="auto"/>
            <w:gridSpan w:val="3"/>
            <w:tcMar>
              <w:top w:w="30" w:type="dxa"/>
              <w:left w:w="20" w:type="dxa"/>
              <w:bottom w:w="30" w:type="dxa"/>
              <w:right w:w="20" w:type="dxa"/>
            </w:tcMar>
            <w:hideMark/>
          </w:tcPr>
          <w:p w:rsidR="00000000" w:rsidRDefault="00BB5C2D">
            <w:pPr>
              <w:spacing w:after="100"/>
              <w:divId w:val="2144077521"/>
              <w:rPr>
                <w:rFonts w:eastAsia="Times New Roman"/>
              </w:rPr>
            </w:pPr>
            <w:hyperlink w:anchor="i500ae552570a41b3bd85adecd06bbcd8_2358" w:history="1">
              <w:r>
                <w:rPr>
                  <w:rStyle w:val="a3"/>
                  <w:rFonts w:eastAsia="Times New Roman"/>
                  <w:sz w:val="20"/>
                  <w:szCs w:val="20"/>
                </w:rPr>
                <w:t>Disclosure Regarding Foreign Jurisdictions that Prevent Inspections</w:t>
              </w:r>
            </w:hyperlink>
          </w:p>
        </w:tc>
        <w:tc>
          <w:tcPr>
            <w:tcW w:w="0" w:type="auto"/>
            <w:gridSpan w:val="3"/>
            <w:tcMar>
              <w:top w:w="30" w:type="dxa"/>
              <w:left w:w="20" w:type="dxa"/>
              <w:bottom w:w="30" w:type="dxa"/>
              <w:right w:w="20" w:type="dxa"/>
            </w:tcMar>
            <w:hideMark/>
          </w:tcPr>
          <w:p w:rsidR="00000000" w:rsidRDefault="00BB5C2D">
            <w:pPr>
              <w:spacing w:after="100"/>
              <w:jc w:val="right"/>
              <w:rPr>
                <w:rFonts w:eastAsia="Times New Roman"/>
              </w:rPr>
            </w:pPr>
            <w:hyperlink w:anchor="i500ae552570a41b3bd85adecd06bbcd8_2358" w:history="1">
              <w:r>
                <w:rPr>
                  <w:rStyle w:val="a3"/>
                  <w:rFonts w:eastAsia="Times New Roman"/>
                  <w:sz w:val="20"/>
                  <w:szCs w:val="20"/>
                </w:rPr>
                <w:t>77</w:t>
              </w:r>
            </w:hyperlink>
          </w:p>
        </w:tc>
      </w:tr>
      <w:tr w:rsidR="00000000">
        <w:trPr>
          <w:trHeight w:val="300"/>
          <w:jc w:val="center"/>
        </w:trPr>
        <w:tc>
          <w:tcPr>
            <w:tcW w:w="0" w:type="auto"/>
            <w:gridSpan w:val="3"/>
            <w:tcMar>
              <w:top w:w="0" w:type="dxa"/>
              <w:left w:w="20" w:type="dxa"/>
              <w:bottom w:w="0" w:type="dxa"/>
              <w:right w:w="20" w:type="dxa"/>
            </w:tcMar>
            <w:vAlign w:val="center"/>
            <w:hideMark/>
          </w:tcPr>
          <w:p w:rsidR="00000000" w:rsidRDefault="00BB5C2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b/>
                <w:bCs/>
                <w:color w:val="000000"/>
                <w:sz w:val="20"/>
                <w:szCs w:val="20"/>
              </w:rPr>
              <w:t>PART III</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r w:rsidR="00000000">
        <w:trPr>
          <w:jc w:val="center"/>
        </w:trPr>
        <w:tc>
          <w:tcPr>
            <w:tcW w:w="0" w:type="auto"/>
            <w:gridSpan w:val="3"/>
            <w:tcMar>
              <w:top w:w="30" w:type="dxa"/>
              <w:left w:w="20" w:type="dxa"/>
              <w:bottom w:w="30" w:type="dxa"/>
              <w:right w:w="20" w:type="dxa"/>
            </w:tcMar>
            <w:hideMark/>
          </w:tcPr>
          <w:p w:rsidR="00000000" w:rsidRDefault="00BB5C2D">
            <w:pPr>
              <w:spacing w:after="100"/>
              <w:divId w:val="62725264"/>
              <w:rPr>
                <w:rFonts w:eastAsia="Times New Roman"/>
              </w:rPr>
            </w:pPr>
            <w:hyperlink w:anchor="i500ae552570a41b3bd85adecd06bbcd8_148" w:history="1">
              <w:r>
                <w:rPr>
                  <w:rStyle w:val="a3"/>
                  <w:rFonts w:eastAsia="Times New Roman"/>
                  <w:sz w:val="20"/>
                  <w:szCs w:val="20"/>
                </w:rPr>
                <w:t>Item 10.</w:t>
              </w:r>
            </w:hyperlink>
          </w:p>
        </w:tc>
        <w:tc>
          <w:tcPr>
            <w:tcW w:w="0" w:type="auto"/>
            <w:gridSpan w:val="3"/>
            <w:tcMar>
              <w:top w:w="30" w:type="dxa"/>
              <w:left w:w="20" w:type="dxa"/>
              <w:bottom w:w="30" w:type="dxa"/>
              <w:right w:w="20" w:type="dxa"/>
            </w:tcMar>
            <w:hideMark/>
          </w:tcPr>
          <w:p w:rsidR="00000000" w:rsidRDefault="00BB5C2D">
            <w:pPr>
              <w:spacing w:after="100"/>
              <w:divId w:val="1362822777"/>
              <w:rPr>
                <w:rFonts w:eastAsia="Times New Roman"/>
              </w:rPr>
            </w:pPr>
            <w:hyperlink w:anchor="i500ae552570a41b3bd85adecd06bbcd8_148" w:history="1">
              <w:r>
                <w:rPr>
                  <w:rStyle w:val="a3"/>
                  <w:rFonts w:eastAsia="Times New Roman"/>
                  <w:sz w:val="20"/>
                  <w:szCs w:val="20"/>
                </w:rPr>
                <w:t>Directors, Executive Officers and Corporate Governance</w:t>
              </w:r>
            </w:hyperlink>
          </w:p>
        </w:tc>
        <w:tc>
          <w:tcPr>
            <w:tcW w:w="0" w:type="auto"/>
            <w:gridSpan w:val="3"/>
            <w:tcMar>
              <w:top w:w="30" w:type="dxa"/>
              <w:left w:w="20" w:type="dxa"/>
              <w:bottom w:w="30" w:type="dxa"/>
              <w:right w:w="20" w:type="dxa"/>
            </w:tcMar>
            <w:hideMark/>
          </w:tcPr>
          <w:p w:rsidR="00000000" w:rsidRDefault="00BB5C2D">
            <w:pPr>
              <w:spacing w:after="100"/>
              <w:jc w:val="right"/>
              <w:rPr>
                <w:rFonts w:eastAsia="Times New Roman"/>
              </w:rPr>
            </w:pPr>
            <w:hyperlink w:anchor="i500ae552570a41b3bd85adecd06bbcd8_148" w:history="1">
              <w:r>
                <w:rPr>
                  <w:rStyle w:val="a3"/>
                  <w:rFonts w:eastAsia="Times New Roman"/>
                  <w:sz w:val="20"/>
                  <w:szCs w:val="20"/>
                </w:rPr>
                <w:t>77</w:t>
              </w:r>
            </w:hyperlink>
          </w:p>
        </w:tc>
      </w:tr>
      <w:tr w:rsidR="00000000">
        <w:trPr>
          <w:jc w:val="center"/>
        </w:trPr>
        <w:tc>
          <w:tcPr>
            <w:tcW w:w="0" w:type="auto"/>
            <w:gridSpan w:val="3"/>
            <w:tcMar>
              <w:top w:w="30" w:type="dxa"/>
              <w:left w:w="20" w:type="dxa"/>
              <w:bottom w:w="30" w:type="dxa"/>
              <w:right w:w="20" w:type="dxa"/>
            </w:tcMar>
            <w:hideMark/>
          </w:tcPr>
          <w:p w:rsidR="00000000" w:rsidRDefault="00BB5C2D">
            <w:pPr>
              <w:spacing w:after="100"/>
              <w:divId w:val="1210066825"/>
              <w:rPr>
                <w:rFonts w:eastAsia="Times New Roman"/>
              </w:rPr>
            </w:pPr>
            <w:hyperlink w:anchor="i500ae552570a41b3bd85adecd06bbcd8_151" w:history="1">
              <w:r>
                <w:rPr>
                  <w:rStyle w:val="a3"/>
                  <w:rFonts w:eastAsia="Times New Roman"/>
                  <w:sz w:val="20"/>
                  <w:szCs w:val="20"/>
                </w:rPr>
                <w:t>Item 11.</w:t>
              </w:r>
            </w:hyperlink>
          </w:p>
        </w:tc>
        <w:tc>
          <w:tcPr>
            <w:tcW w:w="0" w:type="auto"/>
            <w:gridSpan w:val="3"/>
            <w:tcMar>
              <w:top w:w="30" w:type="dxa"/>
              <w:left w:w="20" w:type="dxa"/>
              <w:bottom w:w="30" w:type="dxa"/>
              <w:right w:w="20" w:type="dxa"/>
            </w:tcMar>
            <w:hideMark/>
          </w:tcPr>
          <w:p w:rsidR="00000000" w:rsidRDefault="00BB5C2D">
            <w:pPr>
              <w:spacing w:after="100"/>
              <w:divId w:val="908269361"/>
              <w:rPr>
                <w:rFonts w:eastAsia="Times New Roman"/>
              </w:rPr>
            </w:pPr>
            <w:hyperlink w:anchor="i500ae552570a41b3bd85adecd06bbcd8_151" w:history="1">
              <w:r>
                <w:rPr>
                  <w:rStyle w:val="a3"/>
                  <w:rFonts w:eastAsia="Times New Roman"/>
                  <w:sz w:val="20"/>
                  <w:szCs w:val="20"/>
                </w:rPr>
                <w:t>Executive Compensation</w:t>
              </w:r>
            </w:hyperlink>
          </w:p>
        </w:tc>
        <w:tc>
          <w:tcPr>
            <w:tcW w:w="0" w:type="auto"/>
            <w:gridSpan w:val="3"/>
            <w:tcMar>
              <w:top w:w="30" w:type="dxa"/>
              <w:left w:w="20" w:type="dxa"/>
              <w:bottom w:w="30" w:type="dxa"/>
              <w:right w:w="20" w:type="dxa"/>
            </w:tcMar>
            <w:hideMark/>
          </w:tcPr>
          <w:p w:rsidR="00000000" w:rsidRDefault="00BB5C2D">
            <w:pPr>
              <w:spacing w:after="100"/>
              <w:jc w:val="right"/>
              <w:rPr>
                <w:rFonts w:eastAsia="Times New Roman"/>
              </w:rPr>
            </w:pPr>
            <w:hyperlink w:anchor="i500ae552570a41b3bd85adecd06bbcd8_151" w:history="1">
              <w:r>
                <w:rPr>
                  <w:rStyle w:val="a3"/>
                  <w:rFonts w:eastAsia="Times New Roman"/>
                  <w:sz w:val="20"/>
                  <w:szCs w:val="20"/>
                </w:rPr>
                <w:t>77</w:t>
              </w:r>
            </w:hyperlink>
          </w:p>
        </w:tc>
      </w:tr>
      <w:tr w:rsidR="00000000">
        <w:trPr>
          <w:jc w:val="center"/>
        </w:trPr>
        <w:tc>
          <w:tcPr>
            <w:tcW w:w="0" w:type="auto"/>
            <w:gridSpan w:val="3"/>
            <w:tcMar>
              <w:top w:w="30" w:type="dxa"/>
              <w:left w:w="20" w:type="dxa"/>
              <w:bottom w:w="30" w:type="dxa"/>
              <w:right w:w="20" w:type="dxa"/>
            </w:tcMar>
            <w:hideMark/>
          </w:tcPr>
          <w:p w:rsidR="00000000" w:rsidRDefault="00BB5C2D">
            <w:pPr>
              <w:spacing w:after="100"/>
              <w:divId w:val="925502595"/>
              <w:rPr>
                <w:rFonts w:eastAsia="Times New Roman"/>
              </w:rPr>
            </w:pPr>
            <w:hyperlink w:anchor="i500ae552570a41b3bd85adecd06bbcd8_154" w:history="1">
              <w:r>
                <w:rPr>
                  <w:rStyle w:val="a3"/>
                  <w:rFonts w:eastAsia="Times New Roman"/>
                  <w:sz w:val="20"/>
                  <w:szCs w:val="20"/>
                </w:rPr>
                <w:t>Item 12.</w:t>
              </w:r>
            </w:hyperlink>
          </w:p>
        </w:tc>
        <w:tc>
          <w:tcPr>
            <w:tcW w:w="0" w:type="auto"/>
            <w:gridSpan w:val="3"/>
            <w:tcMar>
              <w:top w:w="30" w:type="dxa"/>
              <w:left w:w="20" w:type="dxa"/>
              <w:bottom w:w="30" w:type="dxa"/>
              <w:right w:w="20" w:type="dxa"/>
            </w:tcMar>
            <w:hideMark/>
          </w:tcPr>
          <w:p w:rsidR="00000000" w:rsidRDefault="00BB5C2D">
            <w:pPr>
              <w:spacing w:after="100"/>
              <w:divId w:val="91559138"/>
              <w:rPr>
                <w:rFonts w:eastAsia="Times New Roman"/>
              </w:rPr>
            </w:pPr>
            <w:hyperlink w:anchor="i500ae552570a41b3bd85adecd06bbcd8_154" w:history="1">
              <w:r>
                <w:rPr>
                  <w:rStyle w:val="a3"/>
                  <w:rFonts w:eastAsia="Times New Roman"/>
                  <w:sz w:val="20"/>
                  <w:szCs w:val="20"/>
                </w:rPr>
                <w:t>Security Ownership of Certain Beneficial Owners and Managem</w:t>
              </w:r>
              <w:r>
                <w:rPr>
                  <w:rStyle w:val="a3"/>
                  <w:rFonts w:eastAsia="Times New Roman"/>
                  <w:sz w:val="20"/>
                  <w:szCs w:val="20"/>
                </w:rPr>
                <w:t>ent and Related Stockholder Matters</w:t>
              </w:r>
            </w:hyperlink>
          </w:p>
        </w:tc>
        <w:tc>
          <w:tcPr>
            <w:tcW w:w="0" w:type="auto"/>
            <w:gridSpan w:val="3"/>
            <w:tcMar>
              <w:top w:w="30" w:type="dxa"/>
              <w:left w:w="20" w:type="dxa"/>
              <w:bottom w:w="30" w:type="dxa"/>
              <w:right w:w="20" w:type="dxa"/>
            </w:tcMar>
            <w:hideMark/>
          </w:tcPr>
          <w:p w:rsidR="00000000" w:rsidRDefault="00BB5C2D">
            <w:pPr>
              <w:spacing w:after="100"/>
              <w:jc w:val="right"/>
              <w:rPr>
                <w:rFonts w:eastAsia="Times New Roman"/>
              </w:rPr>
            </w:pPr>
            <w:hyperlink w:anchor="i500ae552570a41b3bd85adecd06bbcd8_154" w:history="1">
              <w:r>
                <w:rPr>
                  <w:rStyle w:val="a3"/>
                  <w:rFonts w:eastAsia="Times New Roman"/>
                  <w:sz w:val="20"/>
                  <w:szCs w:val="20"/>
                </w:rPr>
                <w:t>78</w:t>
              </w:r>
            </w:hyperlink>
          </w:p>
        </w:tc>
      </w:tr>
      <w:tr w:rsidR="00000000">
        <w:trPr>
          <w:jc w:val="center"/>
        </w:trPr>
        <w:tc>
          <w:tcPr>
            <w:tcW w:w="0" w:type="auto"/>
            <w:gridSpan w:val="3"/>
            <w:tcMar>
              <w:top w:w="30" w:type="dxa"/>
              <w:left w:w="20" w:type="dxa"/>
              <w:bottom w:w="30" w:type="dxa"/>
              <w:right w:w="20" w:type="dxa"/>
            </w:tcMar>
            <w:hideMark/>
          </w:tcPr>
          <w:p w:rsidR="00000000" w:rsidRDefault="00BB5C2D">
            <w:pPr>
              <w:spacing w:after="100"/>
              <w:divId w:val="717972651"/>
              <w:rPr>
                <w:rFonts w:eastAsia="Times New Roman"/>
              </w:rPr>
            </w:pPr>
            <w:hyperlink w:anchor="i500ae552570a41b3bd85adecd06bbcd8_157" w:history="1">
              <w:r>
                <w:rPr>
                  <w:rStyle w:val="a3"/>
                  <w:rFonts w:eastAsia="Times New Roman"/>
                  <w:sz w:val="20"/>
                  <w:szCs w:val="20"/>
                </w:rPr>
                <w:t>Item 13.</w:t>
              </w:r>
            </w:hyperlink>
          </w:p>
        </w:tc>
        <w:tc>
          <w:tcPr>
            <w:tcW w:w="0" w:type="auto"/>
            <w:gridSpan w:val="3"/>
            <w:tcMar>
              <w:top w:w="30" w:type="dxa"/>
              <w:left w:w="20" w:type="dxa"/>
              <w:bottom w:w="30" w:type="dxa"/>
              <w:right w:w="20" w:type="dxa"/>
            </w:tcMar>
            <w:hideMark/>
          </w:tcPr>
          <w:p w:rsidR="00000000" w:rsidRDefault="00BB5C2D">
            <w:pPr>
              <w:spacing w:after="100"/>
              <w:divId w:val="439181107"/>
              <w:rPr>
                <w:rFonts w:eastAsia="Times New Roman"/>
              </w:rPr>
            </w:pPr>
            <w:hyperlink w:anchor="i500ae552570a41b3bd85adecd06bbcd8_157" w:history="1">
              <w:r>
                <w:rPr>
                  <w:rStyle w:val="a3"/>
                  <w:rFonts w:eastAsia="Times New Roman"/>
                  <w:sz w:val="20"/>
                  <w:szCs w:val="20"/>
                </w:rPr>
                <w:t>Certain Relationships</w:t>
              </w:r>
              <w:r>
                <w:rPr>
                  <w:rStyle w:val="a3"/>
                  <w:rFonts w:eastAsia="Times New Roman"/>
                  <w:sz w:val="20"/>
                  <w:szCs w:val="20"/>
                </w:rPr>
                <w:t xml:space="preserve"> and Related Transactions, and Director Independence</w:t>
              </w:r>
            </w:hyperlink>
          </w:p>
        </w:tc>
        <w:tc>
          <w:tcPr>
            <w:tcW w:w="0" w:type="auto"/>
            <w:gridSpan w:val="3"/>
            <w:tcMar>
              <w:top w:w="30" w:type="dxa"/>
              <w:left w:w="20" w:type="dxa"/>
              <w:bottom w:w="30" w:type="dxa"/>
              <w:right w:w="20" w:type="dxa"/>
            </w:tcMar>
            <w:hideMark/>
          </w:tcPr>
          <w:p w:rsidR="00000000" w:rsidRDefault="00BB5C2D">
            <w:pPr>
              <w:spacing w:after="100"/>
              <w:jc w:val="right"/>
              <w:rPr>
                <w:rFonts w:eastAsia="Times New Roman"/>
              </w:rPr>
            </w:pPr>
            <w:hyperlink w:anchor="i500ae552570a41b3bd85adecd06bbcd8_157" w:history="1">
              <w:r>
                <w:rPr>
                  <w:rStyle w:val="a3"/>
                  <w:rFonts w:eastAsia="Times New Roman"/>
                  <w:sz w:val="20"/>
                  <w:szCs w:val="20"/>
                </w:rPr>
                <w:t>78</w:t>
              </w:r>
            </w:hyperlink>
          </w:p>
        </w:tc>
      </w:tr>
      <w:tr w:rsidR="00000000">
        <w:trPr>
          <w:jc w:val="center"/>
        </w:trPr>
        <w:tc>
          <w:tcPr>
            <w:tcW w:w="0" w:type="auto"/>
            <w:gridSpan w:val="3"/>
            <w:tcMar>
              <w:top w:w="30" w:type="dxa"/>
              <w:left w:w="20" w:type="dxa"/>
              <w:bottom w:w="30" w:type="dxa"/>
              <w:right w:w="20" w:type="dxa"/>
            </w:tcMar>
            <w:hideMark/>
          </w:tcPr>
          <w:p w:rsidR="00000000" w:rsidRDefault="00BB5C2D">
            <w:pPr>
              <w:spacing w:after="100"/>
              <w:divId w:val="1176925352"/>
              <w:rPr>
                <w:rFonts w:eastAsia="Times New Roman"/>
              </w:rPr>
            </w:pPr>
            <w:hyperlink w:anchor="i500ae552570a41b3bd85adecd06bbcd8_160" w:history="1">
              <w:r>
                <w:rPr>
                  <w:rStyle w:val="a3"/>
                  <w:rFonts w:eastAsia="Times New Roman"/>
                  <w:sz w:val="20"/>
                  <w:szCs w:val="20"/>
                </w:rPr>
                <w:t>Item 14.</w:t>
              </w:r>
            </w:hyperlink>
          </w:p>
        </w:tc>
        <w:tc>
          <w:tcPr>
            <w:tcW w:w="0" w:type="auto"/>
            <w:gridSpan w:val="3"/>
            <w:tcMar>
              <w:top w:w="30" w:type="dxa"/>
              <w:left w:w="20" w:type="dxa"/>
              <w:bottom w:w="30" w:type="dxa"/>
              <w:right w:w="20" w:type="dxa"/>
            </w:tcMar>
            <w:hideMark/>
          </w:tcPr>
          <w:p w:rsidR="00000000" w:rsidRDefault="00BB5C2D">
            <w:pPr>
              <w:spacing w:after="100"/>
              <w:divId w:val="117994669"/>
              <w:rPr>
                <w:rFonts w:eastAsia="Times New Roman"/>
              </w:rPr>
            </w:pPr>
            <w:hyperlink w:anchor="i500ae552570a41b3bd85adecd06bbcd8_160" w:history="1">
              <w:r>
                <w:rPr>
                  <w:rStyle w:val="a3"/>
                  <w:rFonts w:eastAsia="Times New Roman"/>
                  <w:sz w:val="20"/>
                  <w:szCs w:val="20"/>
                </w:rPr>
                <w:t>Principal Account</w:t>
              </w:r>
            </w:hyperlink>
            <w:hyperlink w:anchor="i500ae552570a41b3bd85adecd06bbcd8_160" w:history="1">
              <w:r>
                <w:rPr>
                  <w:rStyle w:val="a3"/>
                  <w:rFonts w:eastAsia="Times New Roman"/>
                  <w:sz w:val="20"/>
                  <w:szCs w:val="20"/>
                </w:rPr>
                <w:t>ant</w:t>
              </w:r>
            </w:hyperlink>
            <w:hyperlink w:anchor="i500ae552570a41b3bd85adecd06bbcd8_160" w:history="1">
              <w:r>
                <w:rPr>
                  <w:rStyle w:val="a3"/>
                  <w:rFonts w:eastAsia="Times New Roman"/>
                  <w:sz w:val="20"/>
                  <w:szCs w:val="20"/>
                </w:rPr>
                <w:t xml:space="preserve"> Fees and Services</w:t>
              </w:r>
            </w:hyperlink>
          </w:p>
        </w:tc>
        <w:tc>
          <w:tcPr>
            <w:tcW w:w="0" w:type="auto"/>
            <w:gridSpan w:val="3"/>
            <w:tcMar>
              <w:top w:w="30" w:type="dxa"/>
              <w:left w:w="20" w:type="dxa"/>
              <w:bottom w:w="30" w:type="dxa"/>
              <w:right w:w="20" w:type="dxa"/>
            </w:tcMar>
            <w:hideMark/>
          </w:tcPr>
          <w:p w:rsidR="00000000" w:rsidRDefault="00BB5C2D">
            <w:pPr>
              <w:spacing w:after="100"/>
              <w:jc w:val="right"/>
              <w:rPr>
                <w:rFonts w:eastAsia="Times New Roman"/>
              </w:rPr>
            </w:pPr>
            <w:hyperlink w:anchor="i500ae552570a41b3bd85adecd06bbcd8_160" w:history="1">
              <w:r>
                <w:rPr>
                  <w:rStyle w:val="a3"/>
                  <w:rFonts w:eastAsia="Times New Roman"/>
                  <w:sz w:val="20"/>
                  <w:szCs w:val="20"/>
                </w:rPr>
                <w:t>78</w:t>
              </w:r>
            </w:hyperlink>
          </w:p>
        </w:tc>
      </w:tr>
      <w:tr w:rsidR="00000000">
        <w:trPr>
          <w:trHeight w:val="300"/>
          <w:jc w:val="center"/>
        </w:trPr>
        <w:tc>
          <w:tcPr>
            <w:tcW w:w="0" w:type="auto"/>
            <w:gridSpan w:val="3"/>
            <w:tcMar>
              <w:top w:w="0" w:type="dxa"/>
              <w:left w:w="20" w:type="dxa"/>
              <w:bottom w:w="0" w:type="dxa"/>
              <w:right w:w="20" w:type="dxa"/>
            </w:tcMar>
            <w:vAlign w:val="center"/>
            <w:hideMark/>
          </w:tcPr>
          <w:p w:rsidR="00000000" w:rsidRDefault="00BB5C2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b/>
                <w:bCs/>
                <w:color w:val="000000"/>
                <w:sz w:val="20"/>
                <w:szCs w:val="20"/>
              </w:rPr>
              <w:t>PART IV</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r w:rsidR="00000000">
        <w:trPr>
          <w:jc w:val="center"/>
        </w:trPr>
        <w:tc>
          <w:tcPr>
            <w:tcW w:w="0" w:type="auto"/>
            <w:gridSpan w:val="3"/>
            <w:tcMar>
              <w:top w:w="30" w:type="dxa"/>
              <w:left w:w="20" w:type="dxa"/>
              <w:bottom w:w="30" w:type="dxa"/>
              <w:right w:w="20" w:type="dxa"/>
            </w:tcMar>
            <w:hideMark/>
          </w:tcPr>
          <w:p w:rsidR="00000000" w:rsidRDefault="00BB5C2D">
            <w:pPr>
              <w:spacing w:after="100"/>
              <w:divId w:val="1202595661"/>
              <w:rPr>
                <w:rFonts w:eastAsia="Times New Roman"/>
              </w:rPr>
            </w:pPr>
            <w:hyperlink w:anchor="i500ae552570a41b3bd85adecd06bbcd8_166" w:history="1">
              <w:r>
                <w:rPr>
                  <w:rStyle w:val="a3"/>
                  <w:rFonts w:eastAsia="Times New Roman"/>
                  <w:sz w:val="20"/>
                  <w:szCs w:val="20"/>
                </w:rPr>
                <w:t>Item 15.</w:t>
              </w:r>
            </w:hyperlink>
          </w:p>
        </w:tc>
        <w:tc>
          <w:tcPr>
            <w:tcW w:w="0" w:type="auto"/>
            <w:gridSpan w:val="3"/>
            <w:tcMar>
              <w:top w:w="30" w:type="dxa"/>
              <w:left w:w="20" w:type="dxa"/>
              <w:bottom w:w="30" w:type="dxa"/>
              <w:right w:w="20" w:type="dxa"/>
            </w:tcMar>
            <w:hideMark/>
          </w:tcPr>
          <w:p w:rsidR="00000000" w:rsidRDefault="00BB5C2D">
            <w:pPr>
              <w:spacing w:after="100"/>
              <w:divId w:val="948973845"/>
              <w:rPr>
                <w:rFonts w:eastAsia="Times New Roman"/>
              </w:rPr>
            </w:pPr>
            <w:hyperlink w:anchor="i500ae552570a41b3bd85adecd06bbcd8_166" w:history="1">
              <w:r>
                <w:rPr>
                  <w:rStyle w:val="a3"/>
                  <w:rFonts w:eastAsia="Times New Roman"/>
                  <w:sz w:val="20"/>
                  <w:szCs w:val="20"/>
                </w:rPr>
                <w:t>Exhibits</w:t>
              </w:r>
            </w:hyperlink>
            <w:hyperlink w:anchor="i500ae552570a41b3bd85adecd06bbcd8_166" w:history="1">
              <w:r>
                <w:rPr>
                  <w:rStyle w:val="a3"/>
                  <w:rFonts w:eastAsia="Times New Roman"/>
                  <w:sz w:val="20"/>
                  <w:szCs w:val="20"/>
                </w:rPr>
                <w:t xml:space="preserve"> and</w:t>
              </w:r>
            </w:hyperlink>
            <w:hyperlink w:anchor="i500ae552570a41b3bd85adecd06bbcd8_166" w:history="1">
              <w:r>
                <w:rPr>
                  <w:rStyle w:val="a3"/>
                  <w:rFonts w:eastAsia="Times New Roman"/>
                  <w:sz w:val="20"/>
                  <w:szCs w:val="20"/>
                </w:rPr>
                <w:t xml:space="preserve"> Financial Statement Schedules</w:t>
              </w:r>
            </w:hyperlink>
          </w:p>
        </w:tc>
        <w:tc>
          <w:tcPr>
            <w:tcW w:w="0" w:type="auto"/>
            <w:gridSpan w:val="3"/>
            <w:tcMar>
              <w:top w:w="30" w:type="dxa"/>
              <w:left w:w="20" w:type="dxa"/>
              <w:bottom w:w="30" w:type="dxa"/>
              <w:right w:w="20" w:type="dxa"/>
            </w:tcMar>
            <w:hideMark/>
          </w:tcPr>
          <w:p w:rsidR="00000000" w:rsidRDefault="00BB5C2D">
            <w:pPr>
              <w:spacing w:after="100"/>
              <w:jc w:val="right"/>
              <w:rPr>
                <w:rFonts w:eastAsia="Times New Roman"/>
              </w:rPr>
            </w:pPr>
            <w:hyperlink w:anchor="i500ae552570a41b3bd85adecd06bbcd8_166" w:history="1">
              <w:r>
                <w:rPr>
                  <w:rStyle w:val="a3"/>
                  <w:rFonts w:eastAsia="Times New Roman"/>
                  <w:sz w:val="20"/>
                  <w:szCs w:val="20"/>
                </w:rPr>
                <w:t>79</w:t>
              </w:r>
            </w:hyperlink>
          </w:p>
        </w:tc>
      </w:tr>
      <w:tr w:rsidR="00000000">
        <w:trPr>
          <w:jc w:val="center"/>
        </w:trPr>
        <w:tc>
          <w:tcPr>
            <w:tcW w:w="0" w:type="auto"/>
            <w:gridSpan w:val="3"/>
            <w:tcMar>
              <w:top w:w="30" w:type="dxa"/>
              <w:left w:w="20" w:type="dxa"/>
              <w:bottom w:w="30" w:type="dxa"/>
              <w:right w:w="20" w:type="dxa"/>
            </w:tcMar>
            <w:hideMark/>
          </w:tcPr>
          <w:p w:rsidR="00000000" w:rsidRDefault="00BB5C2D">
            <w:pPr>
              <w:spacing w:after="100"/>
              <w:divId w:val="29260654"/>
              <w:rPr>
                <w:rFonts w:eastAsia="Times New Roman"/>
              </w:rPr>
            </w:pPr>
            <w:hyperlink w:anchor="i500ae552570a41b3bd85adecd06bbcd8_2382" w:history="1">
              <w:r>
                <w:rPr>
                  <w:rStyle w:val="a3"/>
                  <w:rFonts w:eastAsia="Times New Roman"/>
                  <w:sz w:val="20"/>
                  <w:szCs w:val="20"/>
                </w:rPr>
                <w:t>Item 16.</w:t>
              </w:r>
            </w:hyperlink>
          </w:p>
        </w:tc>
        <w:tc>
          <w:tcPr>
            <w:tcW w:w="0" w:type="auto"/>
            <w:gridSpan w:val="3"/>
            <w:tcMar>
              <w:top w:w="30" w:type="dxa"/>
              <w:left w:w="20" w:type="dxa"/>
              <w:bottom w:w="30" w:type="dxa"/>
              <w:right w:w="20" w:type="dxa"/>
            </w:tcMar>
            <w:hideMark/>
          </w:tcPr>
          <w:p w:rsidR="00000000" w:rsidRDefault="00BB5C2D">
            <w:pPr>
              <w:spacing w:after="100"/>
              <w:divId w:val="1279874625"/>
              <w:rPr>
                <w:rFonts w:eastAsia="Times New Roman"/>
              </w:rPr>
            </w:pPr>
            <w:hyperlink w:anchor="i500ae552570a41b3bd85adecd06bbcd8_2382" w:history="1">
              <w:r>
                <w:rPr>
                  <w:rStyle w:val="a3"/>
                  <w:rFonts w:eastAsia="Times New Roman"/>
                  <w:sz w:val="20"/>
                  <w:szCs w:val="20"/>
                </w:rPr>
                <w:t>Form 10-K Summary</w:t>
              </w:r>
            </w:hyperlink>
          </w:p>
        </w:tc>
        <w:tc>
          <w:tcPr>
            <w:tcW w:w="0" w:type="auto"/>
            <w:gridSpan w:val="3"/>
            <w:tcMar>
              <w:top w:w="30" w:type="dxa"/>
              <w:left w:w="20" w:type="dxa"/>
              <w:bottom w:w="30" w:type="dxa"/>
              <w:right w:w="20" w:type="dxa"/>
            </w:tcMar>
            <w:hideMark/>
          </w:tcPr>
          <w:p w:rsidR="00000000" w:rsidRDefault="00BB5C2D">
            <w:pPr>
              <w:spacing w:after="100"/>
              <w:jc w:val="right"/>
              <w:rPr>
                <w:rFonts w:eastAsia="Times New Roman"/>
              </w:rPr>
            </w:pPr>
            <w:hyperlink w:anchor="i500ae552570a41b3bd85adecd06bbcd8_2382" w:history="1">
              <w:r>
                <w:rPr>
                  <w:rStyle w:val="a3"/>
                  <w:rFonts w:eastAsia="Times New Roman"/>
                  <w:sz w:val="20"/>
                  <w:szCs w:val="20"/>
                </w:rPr>
                <w:t>82</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BB5C2D">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B5C2D">
            <w:pPr>
              <w:spacing w:after="100"/>
              <w:divId w:val="238173582"/>
              <w:rPr>
                <w:rFonts w:eastAsia="Times New Roman"/>
              </w:rPr>
            </w:pPr>
            <w:hyperlink w:anchor="i500ae552570a41b3bd85adecd06bbcd8_169" w:history="1">
              <w:r>
                <w:rPr>
                  <w:rStyle w:val="a3"/>
                  <w:rFonts w:eastAsia="Times New Roman"/>
                  <w:sz w:val="20"/>
                  <w:szCs w:val="20"/>
                </w:rPr>
                <w:t>Signatures</w:t>
              </w:r>
            </w:hyperlink>
          </w:p>
        </w:tc>
        <w:tc>
          <w:tcPr>
            <w:tcW w:w="0" w:type="auto"/>
            <w:gridSpan w:val="3"/>
            <w:tcMar>
              <w:top w:w="30" w:type="dxa"/>
              <w:left w:w="20" w:type="dxa"/>
              <w:bottom w:w="30" w:type="dxa"/>
              <w:right w:w="20" w:type="dxa"/>
            </w:tcMar>
            <w:hideMark/>
          </w:tcPr>
          <w:p w:rsidR="00000000" w:rsidRDefault="00BB5C2D">
            <w:pPr>
              <w:spacing w:after="100"/>
              <w:jc w:val="right"/>
              <w:rPr>
                <w:rFonts w:eastAsia="Times New Roman"/>
              </w:rPr>
            </w:pPr>
            <w:hyperlink w:anchor="i500ae552570a41b3bd85adecd06bbcd8_169" w:history="1">
              <w:r>
                <w:rPr>
                  <w:rStyle w:val="a3"/>
                  <w:rFonts w:eastAsia="Times New Roman"/>
                  <w:sz w:val="20"/>
                  <w:szCs w:val="20"/>
                </w:rPr>
                <w:t>83</w:t>
              </w:r>
            </w:hyperlink>
          </w:p>
        </w:tc>
      </w:tr>
    </w:tbl>
    <w:p w:rsidR="00000000" w:rsidRDefault="00BB5C2D">
      <w:pPr>
        <w:divId w:val="467938922"/>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872306929"/>
          <w:jc w:val="center"/>
        </w:trPr>
        <w:tc>
          <w:tcPr>
            <w:tcW w:w="50" w:type="pct"/>
            <w:vAlign w:val="center"/>
            <w:hideMark/>
          </w:tcPr>
          <w:p w:rsidR="00000000" w:rsidRDefault="00BB5C2D">
            <w:pPr>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872306929"/>
          <w:trHeight w:val="300"/>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r>
    </w:tbl>
    <w:p w:rsidR="00000000" w:rsidRDefault="00BB5C2D">
      <w:pPr>
        <w:rPr>
          <w:rFonts w:eastAsia="Times New Roman"/>
        </w:rPr>
      </w:pPr>
      <w:r>
        <w:rPr>
          <w:rFonts w:eastAsia="Times New Roman"/>
        </w:rPr>
        <w:pict>
          <v:rect id="_x0000_i1026" style="width:0;height:1.5pt" o:hralign="center" o:hrstd="t" o:hr="t" fillcolor="#a0a0a0" stroked="f"/>
        </w:pict>
      </w:r>
    </w:p>
    <w:p w:rsidR="00000000" w:rsidRDefault="00BB5C2D">
      <w:pPr>
        <w:divId w:val="544417393"/>
        <w:rPr>
          <w:rFonts w:eastAsia="Times New Roman"/>
        </w:rPr>
      </w:pPr>
    </w:p>
    <w:p w:rsidR="00000000" w:rsidRDefault="00BB5C2D">
      <w:pPr>
        <w:jc w:val="center"/>
        <w:rPr>
          <w:rFonts w:eastAsia="Times New Roman"/>
        </w:rPr>
      </w:pPr>
      <w:r>
        <w:rPr>
          <w:rFonts w:eastAsia="Times New Roman"/>
          <w:b/>
          <w:bCs/>
          <w:color w:val="000000"/>
          <w:sz w:val="20"/>
          <w:szCs w:val="20"/>
        </w:rPr>
        <w:t>SPECIAL NOTE REGARDING FORWARD-LOOKING STATEMENTS</w:t>
      </w:r>
    </w:p>
    <w:p w:rsidR="00000000" w:rsidRDefault="00BB5C2D">
      <w:pPr>
        <w:ind w:firstLine="540"/>
        <w:jc w:val="both"/>
        <w:divId w:val="1877696168"/>
        <w:rPr>
          <w:rFonts w:eastAsia="Times New Roman"/>
        </w:rPr>
      </w:pPr>
      <w:r>
        <w:rPr>
          <w:rFonts w:eastAsia="Times New Roman"/>
          <w:color w:val="000000"/>
          <w:sz w:val="20"/>
          <w:szCs w:val="20"/>
        </w:rPr>
        <w:t xml:space="preserve">Various statements in this Form 10-K or incorporated by reference into this Form 10-K, in future filings by us with the Securities and Exchange Commission (the "SEC"), </w:t>
      </w:r>
      <w:r>
        <w:rPr>
          <w:rFonts w:eastAsia="Times New Roman"/>
          <w:color w:val="000000"/>
          <w:sz w:val="20"/>
          <w:szCs w:val="20"/>
        </w:rPr>
        <w:t>in our press releases, and in oral statements made from time to time by us or on our behalf constitute "forward-looking statements" within the meaning of the Private Securities Litigation Reform Act of 1995. Forward-looking statements include, without limi</w:t>
      </w:r>
      <w:r>
        <w:rPr>
          <w:rFonts w:eastAsia="Times New Roman"/>
          <w:color w:val="000000"/>
          <w:sz w:val="20"/>
          <w:szCs w:val="20"/>
        </w:rPr>
        <w:t>tation, statements regarding our future operating results and sources of liquidity (especially in light of the COVID-19 pandemic), the implementation and impact of our strategic plans, initiatives and capital expenses, our plans regarding our quarterly cas</w:t>
      </w:r>
      <w:r>
        <w:rPr>
          <w:rFonts w:eastAsia="Times New Roman"/>
          <w:color w:val="000000"/>
          <w:sz w:val="20"/>
          <w:szCs w:val="20"/>
        </w:rPr>
        <w:t>h dividend and Class A common stock repurchase programs, and our ability to meet environmental, social, and governance goals. Forward-looking statements are based on current expectations and are indicated by words or phrases such as "anticipate," "outlook,</w:t>
      </w:r>
      <w:r>
        <w:rPr>
          <w:rFonts w:eastAsia="Times New Roman"/>
          <w:color w:val="000000"/>
          <w:sz w:val="20"/>
          <w:szCs w:val="20"/>
        </w:rPr>
        <w:t>" "estimate," "expect," "project," "believe," "envision," "goal," "target," "can," "will," and similar words or phrases and involve known and unknown risks, uncertainties, and other factors which may cause actual results, performance, or achievements to be</w:t>
      </w:r>
      <w:r>
        <w:rPr>
          <w:rFonts w:eastAsia="Times New Roman"/>
          <w:color w:val="000000"/>
          <w:sz w:val="20"/>
          <w:szCs w:val="20"/>
        </w:rPr>
        <w:t xml:space="preserve"> materially different from the future results, performance, or achievements expressed in or implied by such forward-looking statements. These risks, uncertainties, and other factors include, among others:</w:t>
      </w:r>
    </w:p>
    <w:p w:rsidR="00000000" w:rsidRDefault="00BB5C2D">
      <w:pPr>
        <w:ind w:hanging="360"/>
        <w:jc w:val="both"/>
        <w:divId w:val="1925799253"/>
        <w:rPr>
          <w:rFonts w:eastAsia="Times New Roman"/>
        </w:rPr>
      </w:pPr>
      <w:r>
        <w:rPr>
          <w:rFonts w:eastAsia="Times New Roman"/>
          <w:color w:val="000000"/>
          <w:sz w:val="20"/>
          <w:szCs w:val="20"/>
        </w:rPr>
        <w:t>•the loss of key personnel, including Mr. Ralph Lau</w:t>
      </w:r>
      <w:r>
        <w:rPr>
          <w:rFonts w:eastAsia="Times New Roman"/>
          <w:color w:val="000000"/>
          <w:sz w:val="20"/>
          <w:szCs w:val="20"/>
        </w:rPr>
        <w:t>ren, or other changes in our executive and senior management team or to our operating structure, including those resulting from the recent reduction to our global workforce in connection with our long-term growth strategy, and our ability to effectively tr</w:t>
      </w:r>
      <w:r>
        <w:rPr>
          <w:rFonts w:eastAsia="Times New Roman"/>
          <w:color w:val="000000"/>
          <w:sz w:val="20"/>
          <w:szCs w:val="20"/>
        </w:rPr>
        <w:t>ansfer knowledge and maintain adequate controls and procedures during periods of transition;</w:t>
      </w:r>
    </w:p>
    <w:p w:rsidR="00000000" w:rsidRDefault="00BB5C2D">
      <w:pPr>
        <w:ind w:hanging="360"/>
        <w:jc w:val="both"/>
        <w:divId w:val="834490975"/>
        <w:rPr>
          <w:rFonts w:eastAsia="Times New Roman"/>
        </w:rPr>
      </w:pPr>
      <w:r>
        <w:rPr>
          <w:rFonts w:eastAsia="Times New Roman"/>
          <w:color w:val="000000"/>
          <w:sz w:val="20"/>
          <w:szCs w:val="20"/>
        </w:rPr>
        <w:t xml:space="preserve">•the impact to our business resulting from the COVID-19 pandemic, including periods of reduced operating hours and capacity limits and/or temporary closure of our </w:t>
      </w:r>
      <w:r>
        <w:rPr>
          <w:rFonts w:eastAsia="Times New Roman"/>
          <w:color w:val="000000"/>
          <w:sz w:val="20"/>
          <w:szCs w:val="20"/>
        </w:rPr>
        <w:t>stores, distribution centers, and corporate facilities, as well as those of our customers, suppliers, and vendors, and potential changes to consumer behavior, spending levels, and/or shopping preferences, such as willingness to congregate in shopping cente</w:t>
      </w:r>
      <w:r>
        <w:rPr>
          <w:rFonts w:eastAsia="Times New Roman"/>
          <w:color w:val="000000"/>
          <w:sz w:val="20"/>
          <w:szCs w:val="20"/>
        </w:rPr>
        <w:t xml:space="preserve">rs or other populated locations; </w:t>
      </w:r>
    </w:p>
    <w:p w:rsidR="00000000" w:rsidRDefault="00BB5C2D">
      <w:pPr>
        <w:ind w:hanging="360"/>
        <w:jc w:val="both"/>
        <w:divId w:val="943074268"/>
        <w:rPr>
          <w:rFonts w:eastAsia="Times New Roman"/>
        </w:rPr>
      </w:pPr>
      <w:r>
        <w:rPr>
          <w:rFonts w:eastAsia="Times New Roman"/>
          <w:color w:val="000000"/>
          <w:sz w:val="20"/>
          <w:szCs w:val="20"/>
        </w:rPr>
        <w:lastRenderedPageBreak/>
        <w:t>•the impact of economic, political, and other conditions on us, our customers, suppliers, vendors, and lenders, including potential business disruptions related to the war between Russia and Ukraine, civil and political un</w:t>
      </w:r>
      <w:r>
        <w:rPr>
          <w:rFonts w:eastAsia="Times New Roman"/>
          <w:color w:val="000000"/>
          <w:sz w:val="20"/>
          <w:szCs w:val="20"/>
        </w:rPr>
        <w:t>rest, and diplomatic tensions between the U.S. and other countries;</w:t>
      </w:r>
    </w:p>
    <w:p w:rsidR="00000000" w:rsidRDefault="00BB5C2D">
      <w:pPr>
        <w:ind w:hanging="360"/>
        <w:jc w:val="both"/>
        <w:divId w:val="547959862"/>
        <w:rPr>
          <w:rFonts w:eastAsia="Times New Roman"/>
        </w:rPr>
      </w:pPr>
      <w:r>
        <w:rPr>
          <w:rFonts w:eastAsia="Times New Roman"/>
          <w:color w:val="000000"/>
          <w:sz w:val="20"/>
          <w:szCs w:val="20"/>
        </w:rPr>
        <w:t>•the potential impact to our business resulting from supply chain disruptions, including those caused by capacity constraints, closed factories and/or labor shortages (stemming from pandem</w:t>
      </w:r>
      <w:r>
        <w:rPr>
          <w:rFonts w:eastAsia="Times New Roman"/>
          <w:color w:val="000000"/>
          <w:sz w:val="20"/>
          <w:szCs w:val="20"/>
        </w:rPr>
        <w:t>ic diseases, labor disputes, strikes, or otherwise), scarcity of raw materials, and port congestion, which could result in inventory shortages and lost sales;</w:t>
      </w:r>
    </w:p>
    <w:p w:rsidR="00000000" w:rsidRDefault="00BB5C2D">
      <w:pPr>
        <w:ind w:hanging="360"/>
        <w:jc w:val="both"/>
        <w:divId w:val="396365259"/>
        <w:rPr>
          <w:rFonts w:eastAsia="Times New Roman"/>
        </w:rPr>
      </w:pPr>
      <w:r>
        <w:rPr>
          <w:rFonts w:eastAsia="Times New Roman"/>
          <w:color w:val="000000"/>
          <w:sz w:val="20"/>
          <w:szCs w:val="20"/>
        </w:rPr>
        <w:t>•</w:t>
      </w:r>
      <w:r>
        <w:rPr>
          <w:rFonts w:eastAsia="Times New Roman"/>
          <w:color w:val="000000"/>
          <w:sz w:val="20"/>
          <w:szCs w:val="20"/>
        </w:rPr>
        <w:t>the potential impact to our business resulting from inflationary pressures, including increases in the costs of raw materials, transportation, wages, healthcare, and other benefit-related costs;</w:t>
      </w:r>
    </w:p>
    <w:p w:rsidR="00000000" w:rsidRDefault="00BB5C2D">
      <w:pPr>
        <w:ind w:hanging="360"/>
        <w:jc w:val="both"/>
        <w:divId w:val="852494001"/>
        <w:rPr>
          <w:rFonts w:eastAsia="Times New Roman"/>
        </w:rPr>
      </w:pPr>
      <w:r>
        <w:rPr>
          <w:rFonts w:eastAsia="Times New Roman"/>
          <w:color w:val="000000"/>
          <w:sz w:val="20"/>
          <w:szCs w:val="20"/>
        </w:rPr>
        <w:t>•our ability to recruit and retain employees to operate our r</w:t>
      </w:r>
      <w:r>
        <w:rPr>
          <w:rFonts w:eastAsia="Times New Roman"/>
          <w:color w:val="000000"/>
          <w:sz w:val="20"/>
          <w:szCs w:val="20"/>
        </w:rPr>
        <w:t>etail stores, distribution centers, and various corporate functions;</w:t>
      </w:r>
    </w:p>
    <w:p w:rsidR="00000000" w:rsidRDefault="00BB5C2D">
      <w:pPr>
        <w:ind w:hanging="360"/>
        <w:jc w:val="both"/>
        <w:divId w:val="1220556592"/>
        <w:rPr>
          <w:rFonts w:eastAsia="Times New Roman"/>
        </w:rPr>
      </w:pPr>
      <w:r>
        <w:rPr>
          <w:rFonts w:eastAsia="Times New Roman"/>
          <w:color w:val="000000"/>
          <w:sz w:val="20"/>
          <w:szCs w:val="20"/>
        </w:rPr>
        <w:t>•the impact to our business resulting from changes in consumers' ability, willingness, or preferences to purchase discretionary items and luxury retail products, which tends to decline du</w:t>
      </w:r>
      <w:r>
        <w:rPr>
          <w:rFonts w:eastAsia="Times New Roman"/>
          <w:color w:val="000000"/>
          <w:sz w:val="20"/>
          <w:szCs w:val="20"/>
        </w:rPr>
        <w:t>ring recessionary periods, and our ability to accurately forecast consumer demand, the failure of which could result in either a build-up or shortage of inventory;</w:t>
      </w:r>
    </w:p>
    <w:p w:rsidR="00000000" w:rsidRDefault="00BB5C2D">
      <w:pPr>
        <w:ind w:hanging="360"/>
        <w:jc w:val="both"/>
        <w:divId w:val="1333146612"/>
        <w:rPr>
          <w:rFonts w:eastAsia="Times New Roman"/>
        </w:rPr>
      </w:pPr>
      <w:r>
        <w:rPr>
          <w:rFonts w:eastAsia="Times New Roman"/>
          <w:color w:val="000000"/>
          <w:sz w:val="20"/>
          <w:szCs w:val="20"/>
        </w:rPr>
        <w:t>•our ability to successfully implement our long-term growth strategy;</w:t>
      </w:r>
    </w:p>
    <w:p w:rsidR="00000000" w:rsidRDefault="00BB5C2D">
      <w:pPr>
        <w:ind w:hanging="360"/>
        <w:jc w:val="both"/>
        <w:divId w:val="773473715"/>
        <w:rPr>
          <w:rFonts w:eastAsia="Times New Roman"/>
        </w:rPr>
      </w:pPr>
      <w:r>
        <w:rPr>
          <w:rFonts w:eastAsia="Times New Roman"/>
          <w:color w:val="000000"/>
          <w:sz w:val="20"/>
          <w:szCs w:val="20"/>
        </w:rPr>
        <w:t>•our ability to contin</w:t>
      </w:r>
      <w:r>
        <w:rPr>
          <w:rFonts w:eastAsia="Times New Roman"/>
          <w:color w:val="000000"/>
          <w:sz w:val="20"/>
          <w:szCs w:val="20"/>
        </w:rPr>
        <w:t>ue to expand and grow our business internationally and the impact of related changes in our customer, channel, and geographic sales mix as a result, as well as our ability to accelerate growth in certain product categories;</w:t>
      </w:r>
    </w:p>
    <w:p w:rsidR="00000000" w:rsidRDefault="00BB5C2D">
      <w:pPr>
        <w:ind w:hanging="360"/>
        <w:jc w:val="both"/>
        <w:divId w:val="128283717"/>
        <w:rPr>
          <w:rFonts w:eastAsia="Times New Roman"/>
        </w:rPr>
      </w:pPr>
      <w:r>
        <w:rPr>
          <w:rFonts w:eastAsia="Times New Roman"/>
          <w:color w:val="000000"/>
          <w:sz w:val="20"/>
          <w:szCs w:val="20"/>
        </w:rPr>
        <w:t xml:space="preserve">•our ability to open new retail </w:t>
      </w:r>
      <w:r>
        <w:rPr>
          <w:rFonts w:eastAsia="Times New Roman"/>
          <w:color w:val="000000"/>
          <w:sz w:val="20"/>
          <w:szCs w:val="20"/>
        </w:rPr>
        <w:t>stores and concession shops, as well as enhance and expand our digital footprint and capabilities, all in an effort to expand our direct-to-consumer presence;</w:t>
      </w:r>
    </w:p>
    <w:p w:rsidR="00000000" w:rsidRDefault="00BB5C2D">
      <w:pPr>
        <w:ind w:hanging="360"/>
        <w:jc w:val="both"/>
        <w:divId w:val="752582296"/>
        <w:rPr>
          <w:rFonts w:eastAsia="Times New Roman"/>
        </w:rPr>
      </w:pPr>
      <w:r>
        <w:rPr>
          <w:rFonts w:eastAsia="Times New Roman"/>
          <w:color w:val="000000"/>
          <w:sz w:val="20"/>
          <w:szCs w:val="20"/>
        </w:rPr>
        <w:t xml:space="preserve">•our ability to respond to constantly changing fashion and retail trends and consumer demands in </w:t>
      </w:r>
      <w:r>
        <w:rPr>
          <w:rFonts w:eastAsia="Times New Roman"/>
          <w:color w:val="000000"/>
          <w:sz w:val="20"/>
          <w:szCs w:val="20"/>
        </w:rPr>
        <w:t>a timely manner, develop products that resonate with our existing customers and attract new customers, and execute marketing and advertising programs that appeal to consumers;</w:t>
      </w:r>
    </w:p>
    <w:p w:rsidR="00000000" w:rsidRDefault="00BB5C2D">
      <w:pPr>
        <w:ind w:hanging="360"/>
        <w:jc w:val="both"/>
        <w:divId w:val="904225013"/>
        <w:rPr>
          <w:rFonts w:eastAsia="Times New Roman"/>
        </w:rPr>
      </w:pPr>
      <w:r>
        <w:rPr>
          <w:rFonts w:eastAsia="Times New Roman"/>
          <w:color w:val="000000"/>
          <w:sz w:val="20"/>
          <w:szCs w:val="20"/>
        </w:rPr>
        <w:t xml:space="preserve">•our ability to effectively manage inventory levels and the increasing pressure </w:t>
      </w:r>
      <w:r>
        <w:rPr>
          <w:rFonts w:eastAsia="Times New Roman"/>
          <w:color w:val="000000"/>
          <w:sz w:val="20"/>
          <w:szCs w:val="20"/>
        </w:rPr>
        <w:t>on our margins in a highly promotional retail environment;</w:t>
      </w:r>
    </w:p>
    <w:p w:rsidR="00000000" w:rsidRDefault="00BB5C2D">
      <w:pPr>
        <w:ind w:hanging="360"/>
        <w:jc w:val="both"/>
        <w:divId w:val="768627574"/>
        <w:rPr>
          <w:rFonts w:eastAsia="Times New Roman"/>
        </w:rPr>
      </w:pPr>
      <w:r>
        <w:rPr>
          <w:rFonts w:eastAsia="Times New Roman"/>
          <w:color w:val="000000"/>
          <w:sz w:val="20"/>
          <w:szCs w:val="20"/>
        </w:rPr>
        <w:t>•our ability to competitively price our products and create an acceptable value proposition for consumers;</w:t>
      </w:r>
    </w:p>
    <w:p w:rsidR="00000000" w:rsidRDefault="00BB5C2D">
      <w:pPr>
        <w:ind w:hanging="360"/>
        <w:jc w:val="both"/>
        <w:divId w:val="2110661138"/>
        <w:rPr>
          <w:rFonts w:eastAsia="Times New Roman"/>
        </w:rPr>
      </w:pPr>
      <w:r>
        <w:rPr>
          <w:rFonts w:eastAsia="Times New Roman"/>
          <w:color w:val="000000"/>
          <w:sz w:val="20"/>
          <w:szCs w:val="20"/>
        </w:rPr>
        <w:t>•our ability to continue to maintain our brand image and reputation and protect our tradem</w:t>
      </w:r>
      <w:r>
        <w:rPr>
          <w:rFonts w:eastAsia="Times New Roman"/>
          <w:color w:val="000000"/>
          <w:sz w:val="20"/>
          <w:szCs w:val="20"/>
        </w:rPr>
        <w:t>arks;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842356990"/>
          <w:jc w:val="center"/>
        </w:trPr>
        <w:tc>
          <w:tcPr>
            <w:tcW w:w="50" w:type="pct"/>
            <w:vAlign w:val="center"/>
            <w:hideMark/>
          </w:tcPr>
          <w:p w:rsidR="00000000" w:rsidRDefault="00BB5C2D">
            <w:pPr>
              <w:ind w:hanging="36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842356990"/>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1</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27" style="width:0;height:1.5pt" o:hralign="center" o:hrstd="t" o:hr="t" fillcolor="#a0a0a0" stroked="f"/>
        </w:pict>
      </w:r>
    </w:p>
    <w:p w:rsidR="00000000" w:rsidRDefault="00BB5C2D">
      <w:pPr>
        <w:divId w:val="812987360"/>
        <w:rPr>
          <w:rFonts w:eastAsia="Times New Roman"/>
        </w:rPr>
      </w:pPr>
    </w:p>
    <w:p w:rsidR="00000000" w:rsidRDefault="00BB5C2D">
      <w:pPr>
        <w:ind w:hanging="360"/>
        <w:jc w:val="both"/>
        <w:divId w:val="449662611"/>
        <w:rPr>
          <w:rFonts w:eastAsia="Times New Roman"/>
        </w:rPr>
      </w:pPr>
      <w:r>
        <w:rPr>
          <w:rFonts w:eastAsia="Times New Roman"/>
          <w:color w:val="000000"/>
          <w:sz w:val="20"/>
          <w:szCs w:val="20"/>
        </w:rPr>
        <w:t xml:space="preserve">•our ability to achieve our goals regarding environmental, social, and governance practices, including those related to climate change and our human capital; </w:t>
      </w:r>
    </w:p>
    <w:p w:rsidR="00000000" w:rsidRDefault="00BB5C2D">
      <w:pPr>
        <w:ind w:hanging="360"/>
        <w:jc w:val="both"/>
        <w:divId w:val="34548117"/>
        <w:rPr>
          <w:rFonts w:eastAsia="Times New Roman"/>
        </w:rPr>
      </w:pPr>
      <w:r>
        <w:rPr>
          <w:rFonts w:eastAsia="Times New Roman"/>
          <w:color w:val="000000"/>
          <w:sz w:val="20"/>
          <w:szCs w:val="20"/>
        </w:rPr>
        <w:t>•our ability and the ability of our third-party service pro</w:t>
      </w:r>
      <w:r>
        <w:rPr>
          <w:rFonts w:eastAsia="Times New Roman"/>
          <w:color w:val="000000"/>
          <w:sz w:val="20"/>
          <w:szCs w:val="20"/>
        </w:rPr>
        <w:t>viders to secure our respective facilities and systems from, among other things, cybersecurity breaches, acts of vandalism, computer viruses, ransomware, or similar Internet or email events;</w:t>
      </w:r>
    </w:p>
    <w:p w:rsidR="00000000" w:rsidRDefault="00BB5C2D">
      <w:pPr>
        <w:ind w:hanging="360"/>
        <w:jc w:val="both"/>
        <w:divId w:val="1133526168"/>
        <w:rPr>
          <w:rFonts w:eastAsia="Times New Roman"/>
        </w:rPr>
      </w:pPr>
      <w:r>
        <w:rPr>
          <w:rFonts w:eastAsia="Times New Roman"/>
          <w:color w:val="000000"/>
          <w:sz w:val="20"/>
          <w:szCs w:val="20"/>
        </w:rPr>
        <w:t xml:space="preserve">•our efforts to successfully enhance, upgrade, and/or transition </w:t>
      </w:r>
      <w:r>
        <w:rPr>
          <w:rFonts w:eastAsia="Times New Roman"/>
          <w:color w:val="000000"/>
          <w:sz w:val="20"/>
          <w:szCs w:val="20"/>
        </w:rPr>
        <w:t>our global information technology systems and digital commerce platforms;</w:t>
      </w:r>
    </w:p>
    <w:p w:rsidR="00000000" w:rsidRDefault="00BB5C2D">
      <w:pPr>
        <w:ind w:hanging="360"/>
        <w:jc w:val="both"/>
        <w:divId w:val="468598158"/>
        <w:rPr>
          <w:rFonts w:eastAsia="Times New Roman"/>
        </w:rPr>
      </w:pPr>
      <w:r>
        <w:rPr>
          <w:rFonts w:eastAsia="Times New Roman"/>
          <w:color w:val="000000"/>
          <w:sz w:val="20"/>
          <w:szCs w:val="20"/>
        </w:rPr>
        <w:t>•</w:t>
      </w:r>
      <w:r>
        <w:rPr>
          <w:rFonts w:eastAsia="Times New Roman"/>
          <w:color w:val="000000"/>
          <w:sz w:val="20"/>
          <w:szCs w:val="20"/>
        </w:rPr>
        <w:t>the potential impact to our business if any of our distribution centers were to become inoperable or inaccessible;</w:t>
      </w:r>
    </w:p>
    <w:p w:rsidR="00000000" w:rsidRDefault="00BB5C2D">
      <w:pPr>
        <w:ind w:hanging="360"/>
        <w:jc w:val="both"/>
        <w:divId w:val="236599009"/>
        <w:rPr>
          <w:rFonts w:eastAsia="Times New Roman"/>
        </w:rPr>
      </w:pPr>
      <w:r>
        <w:rPr>
          <w:rFonts w:eastAsia="Times New Roman"/>
          <w:color w:val="000000"/>
          <w:sz w:val="20"/>
          <w:szCs w:val="20"/>
        </w:rPr>
        <w:t>•the potential impact on our operations and on our suppliers and customers resulting from man-made or natural disasters, including pandemic d</w:t>
      </w:r>
      <w:r>
        <w:rPr>
          <w:rFonts w:eastAsia="Times New Roman"/>
          <w:color w:val="000000"/>
          <w:sz w:val="20"/>
          <w:szCs w:val="20"/>
        </w:rPr>
        <w:t xml:space="preserve">iseases such as COVID-19, severe weather, geological events, and other catastrophic events; </w:t>
      </w:r>
    </w:p>
    <w:p w:rsidR="00000000" w:rsidRDefault="00BB5C2D">
      <w:pPr>
        <w:ind w:hanging="360"/>
        <w:jc w:val="both"/>
        <w:divId w:val="1604530674"/>
        <w:rPr>
          <w:rFonts w:eastAsia="Times New Roman"/>
        </w:rPr>
      </w:pPr>
      <w:r>
        <w:rPr>
          <w:rFonts w:eastAsia="Times New Roman"/>
          <w:color w:val="000000"/>
          <w:sz w:val="20"/>
          <w:szCs w:val="20"/>
        </w:rPr>
        <w:t>•our ability to achieve anticipated operating enhancements and cost reductions from our restructuring plans, as well as the impact to our business resulting from r</w:t>
      </w:r>
      <w:r>
        <w:rPr>
          <w:rFonts w:eastAsia="Times New Roman"/>
          <w:color w:val="000000"/>
          <w:sz w:val="20"/>
          <w:szCs w:val="20"/>
        </w:rPr>
        <w:t>estructuring-related charges, which may be dilutive to our earnings in the short term;</w:t>
      </w:r>
    </w:p>
    <w:p w:rsidR="00000000" w:rsidRDefault="00BB5C2D">
      <w:pPr>
        <w:ind w:hanging="360"/>
        <w:jc w:val="both"/>
        <w:divId w:val="717048831"/>
        <w:rPr>
          <w:rFonts w:eastAsia="Times New Roman"/>
        </w:rPr>
      </w:pPr>
      <w:r>
        <w:rPr>
          <w:rFonts w:eastAsia="Times New Roman"/>
          <w:color w:val="000000"/>
          <w:sz w:val="20"/>
          <w:szCs w:val="20"/>
        </w:rPr>
        <w:t>•</w:t>
      </w:r>
      <w:r>
        <w:rPr>
          <w:rFonts w:eastAsia="Times New Roman"/>
          <w:color w:val="000000"/>
          <w:sz w:val="20"/>
          <w:szCs w:val="20"/>
        </w:rPr>
        <w:t>the impact to our business resulting from potential costs and obligations related to the early or temporary closure of our stores or termination of our long-term, non-cancellable leases;</w:t>
      </w:r>
    </w:p>
    <w:p w:rsidR="00000000" w:rsidRDefault="00BB5C2D">
      <w:pPr>
        <w:ind w:hanging="360"/>
        <w:jc w:val="both"/>
        <w:divId w:val="474836753"/>
        <w:rPr>
          <w:rFonts w:eastAsia="Times New Roman"/>
        </w:rPr>
      </w:pPr>
      <w:r>
        <w:rPr>
          <w:rFonts w:eastAsia="Times New Roman"/>
          <w:color w:val="000000"/>
          <w:sz w:val="20"/>
          <w:szCs w:val="20"/>
        </w:rPr>
        <w:lastRenderedPageBreak/>
        <w:t xml:space="preserve">•our ability to maintain adequate levels of liquidity to provide for </w:t>
      </w:r>
      <w:r>
        <w:rPr>
          <w:rFonts w:eastAsia="Times New Roman"/>
          <w:color w:val="000000"/>
          <w:sz w:val="20"/>
          <w:szCs w:val="20"/>
        </w:rPr>
        <w:t>our cash needs, including our debt obligations, tax obligations, capital expenditures, and potential payment of dividends and repurchases of our Class A common stock, as well as the ability of our customers, suppliers, vendors, and lenders to access source</w:t>
      </w:r>
      <w:r>
        <w:rPr>
          <w:rFonts w:eastAsia="Times New Roman"/>
          <w:color w:val="000000"/>
          <w:sz w:val="20"/>
          <w:szCs w:val="20"/>
        </w:rPr>
        <w:t>s of liquidity to provide for their own cash needs;</w:t>
      </w:r>
    </w:p>
    <w:p w:rsidR="00000000" w:rsidRDefault="00BB5C2D">
      <w:pPr>
        <w:ind w:hanging="360"/>
        <w:jc w:val="both"/>
        <w:divId w:val="306739656"/>
        <w:rPr>
          <w:rFonts w:eastAsia="Times New Roman"/>
        </w:rPr>
      </w:pPr>
      <w:r>
        <w:rPr>
          <w:rFonts w:eastAsia="Times New Roman"/>
          <w:color w:val="000000"/>
          <w:sz w:val="20"/>
          <w:szCs w:val="20"/>
        </w:rPr>
        <w:t>•the potential impact to our business resulting from the financial difficulties of certain of our large wholesale customers, which may result in consolidations, liquidations, restructurings, and other own</w:t>
      </w:r>
      <w:r>
        <w:rPr>
          <w:rFonts w:eastAsia="Times New Roman"/>
          <w:color w:val="000000"/>
          <w:sz w:val="20"/>
          <w:szCs w:val="20"/>
        </w:rPr>
        <w:t>ership changes in the retail industry, as well as other changes in the competitive marketplace, including the introduction of new products or pricing changes by our competitors;</w:t>
      </w:r>
    </w:p>
    <w:p w:rsidR="00000000" w:rsidRDefault="00BB5C2D">
      <w:pPr>
        <w:ind w:hanging="360"/>
        <w:jc w:val="both"/>
        <w:divId w:val="119226829"/>
        <w:rPr>
          <w:rFonts w:eastAsia="Times New Roman"/>
        </w:rPr>
      </w:pPr>
      <w:r>
        <w:rPr>
          <w:rFonts w:eastAsia="Times New Roman"/>
          <w:color w:val="000000"/>
          <w:sz w:val="20"/>
          <w:szCs w:val="20"/>
        </w:rPr>
        <w:t xml:space="preserve">•our ability to access capital markets and maintain compliance with covenants </w:t>
      </w:r>
      <w:r>
        <w:rPr>
          <w:rFonts w:eastAsia="Times New Roman"/>
          <w:color w:val="000000"/>
          <w:sz w:val="20"/>
          <w:szCs w:val="20"/>
        </w:rPr>
        <w:t>associated with our existing debt instruments;</w:t>
      </w:r>
    </w:p>
    <w:p w:rsidR="00000000" w:rsidRDefault="00BB5C2D">
      <w:pPr>
        <w:ind w:hanging="360"/>
        <w:jc w:val="both"/>
        <w:divId w:val="2003191322"/>
        <w:rPr>
          <w:rFonts w:eastAsia="Times New Roman"/>
        </w:rPr>
      </w:pPr>
      <w:r>
        <w:rPr>
          <w:rFonts w:eastAsia="Times New Roman"/>
          <w:color w:val="000000"/>
          <w:sz w:val="20"/>
          <w:szCs w:val="20"/>
        </w:rPr>
        <w:t xml:space="preserve">•a variety of legal, regulatory, tax, political, and economic risks, including risks related to the importation and exportation of products which our operations are currently subject to, or may become subject </w:t>
      </w:r>
      <w:r>
        <w:rPr>
          <w:rFonts w:eastAsia="Times New Roman"/>
          <w:color w:val="000000"/>
          <w:sz w:val="20"/>
          <w:szCs w:val="20"/>
        </w:rPr>
        <w:t>to as a result of potential changes in legislation, and other risks associated with our international operations, such as compliance with the Foreign Corrupt Practices Act or violations of other anti-bribery and corruption laws prohibiting improper payment</w:t>
      </w:r>
      <w:r>
        <w:rPr>
          <w:rFonts w:eastAsia="Times New Roman"/>
          <w:color w:val="000000"/>
          <w:sz w:val="20"/>
          <w:szCs w:val="20"/>
        </w:rPr>
        <w:t>s, and the burdens of complying with a variety of foreign laws and regulations, including tax laws, trade and labor restrictions, and related laws that may reduce the flexibility of our business;</w:t>
      </w:r>
    </w:p>
    <w:p w:rsidR="00000000" w:rsidRDefault="00BB5C2D">
      <w:pPr>
        <w:ind w:hanging="360"/>
        <w:jc w:val="both"/>
        <w:divId w:val="2002812922"/>
        <w:rPr>
          <w:rFonts w:eastAsia="Times New Roman"/>
        </w:rPr>
      </w:pPr>
      <w:r>
        <w:rPr>
          <w:rFonts w:eastAsia="Times New Roman"/>
          <w:color w:val="000000"/>
          <w:sz w:val="20"/>
          <w:szCs w:val="20"/>
        </w:rPr>
        <w:t>•the potential impact to our business resulting from the imp</w:t>
      </w:r>
      <w:r>
        <w:rPr>
          <w:rFonts w:eastAsia="Times New Roman"/>
          <w:color w:val="000000"/>
          <w:sz w:val="20"/>
          <w:szCs w:val="20"/>
        </w:rPr>
        <w:t>osition of additional duties, tariffs, taxes, and other charges or barriers to trade, including those resulting from trade developments between the U.S. and China, and any related impact to global stock markets, as well as our ability to implement mitigati</w:t>
      </w:r>
      <w:r>
        <w:rPr>
          <w:rFonts w:eastAsia="Times New Roman"/>
          <w:color w:val="000000"/>
          <w:sz w:val="20"/>
          <w:szCs w:val="20"/>
        </w:rPr>
        <w:t>ng sourcing strategies;</w:t>
      </w:r>
    </w:p>
    <w:p w:rsidR="00000000" w:rsidRDefault="00BB5C2D">
      <w:pPr>
        <w:ind w:hanging="360"/>
        <w:jc w:val="both"/>
        <w:divId w:val="1516919919"/>
        <w:rPr>
          <w:rFonts w:eastAsia="Times New Roman"/>
        </w:rPr>
      </w:pPr>
      <w:r>
        <w:rPr>
          <w:rFonts w:eastAsia="Times New Roman"/>
          <w:color w:val="000000"/>
          <w:sz w:val="20"/>
          <w:szCs w:val="20"/>
        </w:rPr>
        <w:t>•changes in our tax obligations and effective tax rate due to a variety of factors, including potential changes in U.S. or foreign tax laws and regulations, accounting rules, or the mix and level of earnings by jurisdiction in futur</w:t>
      </w:r>
      <w:r>
        <w:rPr>
          <w:rFonts w:eastAsia="Times New Roman"/>
          <w:color w:val="000000"/>
          <w:sz w:val="20"/>
          <w:szCs w:val="20"/>
        </w:rPr>
        <w:t>e periods that are not currently known or anticipated;</w:t>
      </w:r>
    </w:p>
    <w:p w:rsidR="00000000" w:rsidRDefault="00BB5C2D">
      <w:pPr>
        <w:ind w:hanging="360"/>
        <w:jc w:val="both"/>
        <w:divId w:val="1050114184"/>
        <w:rPr>
          <w:rFonts w:eastAsia="Times New Roman"/>
        </w:rPr>
      </w:pPr>
      <w:r>
        <w:rPr>
          <w:rFonts w:eastAsia="Times New Roman"/>
          <w:color w:val="000000"/>
          <w:sz w:val="20"/>
          <w:szCs w:val="20"/>
        </w:rPr>
        <w:t>•our exposure to currency exchange rate fluctuations from both a transactional and translational perspective;</w:t>
      </w:r>
    </w:p>
    <w:p w:rsidR="00000000" w:rsidRDefault="00BB5C2D">
      <w:pPr>
        <w:ind w:hanging="360"/>
        <w:jc w:val="both"/>
        <w:divId w:val="922177446"/>
        <w:rPr>
          <w:rFonts w:eastAsia="Times New Roman"/>
        </w:rPr>
      </w:pPr>
      <w:r>
        <w:rPr>
          <w:rFonts w:eastAsia="Times New Roman"/>
          <w:color w:val="000000"/>
          <w:sz w:val="20"/>
          <w:szCs w:val="20"/>
        </w:rPr>
        <w:t>•the impact to our business of events of unrest and instability that are currently taking p</w:t>
      </w:r>
      <w:r>
        <w:rPr>
          <w:rFonts w:eastAsia="Times New Roman"/>
          <w:color w:val="000000"/>
          <w:sz w:val="20"/>
          <w:szCs w:val="20"/>
        </w:rPr>
        <w:t>lace in certain parts of the world, as well as from any terrorist action, retaliation, and the threat of further action or retaliation;</w:t>
      </w:r>
    </w:p>
    <w:p w:rsidR="00000000" w:rsidRDefault="00BB5C2D">
      <w:pPr>
        <w:ind w:hanging="360"/>
        <w:jc w:val="both"/>
        <w:divId w:val="582303287"/>
        <w:rPr>
          <w:rFonts w:eastAsia="Times New Roman"/>
        </w:rPr>
      </w:pPr>
      <w:r>
        <w:rPr>
          <w:rFonts w:eastAsia="Times New Roman"/>
          <w:color w:val="000000"/>
          <w:sz w:val="20"/>
          <w:szCs w:val="20"/>
        </w:rPr>
        <w:t>•the potential impact to the trading prices of our securities if our operating results, Class A common stock share repur</w:t>
      </w:r>
      <w:r>
        <w:rPr>
          <w:rFonts w:eastAsia="Times New Roman"/>
          <w:color w:val="000000"/>
          <w:sz w:val="20"/>
          <w:szCs w:val="20"/>
        </w:rPr>
        <w:t>chase activity, and/or cash dividend payments differ from investors' expectations;</w:t>
      </w:r>
    </w:p>
    <w:p w:rsidR="00000000" w:rsidRDefault="00BB5C2D">
      <w:pPr>
        <w:ind w:hanging="360"/>
        <w:jc w:val="both"/>
        <w:divId w:val="1461026789"/>
        <w:rPr>
          <w:rFonts w:eastAsia="Times New Roman"/>
        </w:rPr>
      </w:pPr>
      <w:r>
        <w:rPr>
          <w:rFonts w:eastAsia="Times New Roman"/>
          <w:color w:val="000000"/>
          <w:sz w:val="20"/>
          <w:szCs w:val="20"/>
        </w:rPr>
        <w:t>•our ability to maintain our credit profile and ratings within the financial community;</w:t>
      </w:r>
    </w:p>
    <w:p w:rsidR="00000000" w:rsidRDefault="00BB5C2D">
      <w:pPr>
        <w:ind w:hanging="360"/>
        <w:jc w:val="both"/>
        <w:divId w:val="422379565"/>
        <w:rPr>
          <w:rFonts w:eastAsia="Times New Roman"/>
        </w:rPr>
      </w:pPr>
      <w:r>
        <w:rPr>
          <w:rFonts w:eastAsia="Times New Roman"/>
          <w:color w:val="000000"/>
          <w:sz w:val="20"/>
          <w:szCs w:val="20"/>
        </w:rPr>
        <w:t>•our intention to introduce new products or brands, or enter into or renew alliances;</w:t>
      </w:r>
    </w:p>
    <w:p w:rsidR="00000000" w:rsidRDefault="00BB5C2D">
      <w:pPr>
        <w:ind w:hanging="360"/>
        <w:jc w:val="both"/>
        <w:divId w:val="1005942787"/>
        <w:rPr>
          <w:rFonts w:eastAsia="Times New Roman"/>
        </w:rPr>
      </w:pPr>
      <w:r>
        <w:rPr>
          <w:rFonts w:eastAsia="Times New Roman"/>
          <w:color w:val="000000"/>
          <w:sz w:val="20"/>
          <w:szCs w:val="20"/>
        </w:rPr>
        <w:t>•changes in the business of, and our relationships with, major wholesale customers and licensing partners; and</w:t>
      </w:r>
    </w:p>
    <w:p w:rsidR="00000000" w:rsidRDefault="00BB5C2D">
      <w:pPr>
        <w:ind w:hanging="360"/>
        <w:jc w:val="both"/>
        <w:divId w:val="699087939"/>
        <w:rPr>
          <w:rFonts w:eastAsia="Times New Roman"/>
        </w:rPr>
      </w:pPr>
      <w:r>
        <w:rPr>
          <w:rFonts w:eastAsia="Times New Roman"/>
          <w:color w:val="000000"/>
          <w:sz w:val="20"/>
          <w:szCs w:val="20"/>
        </w:rPr>
        <w:t>•our ability to make strategic acquisitions and successfully integrate the acquired businesses into our existing operations.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2005232247"/>
          <w:jc w:val="center"/>
        </w:trPr>
        <w:tc>
          <w:tcPr>
            <w:tcW w:w="50" w:type="pct"/>
            <w:vAlign w:val="center"/>
            <w:hideMark/>
          </w:tcPr>
          <w:p w:rsidR="00000000" w:rsidRDefault="00BB5C2D">
            <w:pPr>
              <w:ind w:hanging="36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2005232247"/>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2</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28" style="width:0;height:1.5pt" o:hralign="center" o:hrstd="t" o:hr="t" fillcolor="#a0a0a0" stroked="f"/>
        </w:pict>
      </w:r>
    </w:p>
    <w:p w:rsidR="00000000" w:rsidRDefault="00BB5C2D">
      <w:pPr>
        <w:divId w:val="1999839343"/>
        <w:rPr>
          <w:rFonts w:eastAsia="Times New Roman"/>
        </w:rPr>
      </w:pPr>
    </w:p>
    <w:p w:rsidR="00000000" w:rsidRDefault="00BB5C2D">
      <w:pPr>
        <w:ind w:firstLine="540"/>
        <w:jc w:val="both"/>
        <w:divId w:val="1380202347"/>
        <w:rPr>
          <w:rFonts w:eastAsia="Times New Roman"/>
        </w:rPr>
      </w:pPr>
      <w:r>
        <w:rPr>
          <w:rFonts w:eastAsia="Times New Roman"/>
          <w:color w:val="000000"/>
          <w:sz w:val="20"/>
          <w:szCs w:val="20"/>
        </w:rPr>
        <w:t>These forward-looking statements are based largely on our expectations and judgments and are subject to a number of risks and uncertainties, many of which are unforeseeable and beyond our control. A detailed discussion</w:t>
      </w:r>
      <w:r>
        <w:rPr>
          <w:rFonts w:eastAsia="Times New Roman"/>
          <w:color w:val="000000"/>
          <w:sz w:val="20"/>
          <w:szCs w:val="20"/>
        </w:rPr>
        <w:t xml:space="preserve"> of significant risk factors that have the potential to cause our actual results to differ materially from our expectations is described in Part I of this Form 10-K under the heading of "Risk Factors." We undertake no obligation to publicly update or revis</w:t>
      </w:r>
      <w:r>
        <w:rPr>
          <w:rFonts w:eastAsia="Times New Roman"/>
          <w:color w:val="000000"/>
          <w:sz w:val="20"/>
          <w:szCs w:val="20"/>
        </w:rPr>
        <w:t>e any forward-looking statements, whether as a result of new information, future events, or otherwise.</w:t>
      </w:r>
    </w:p>
    <w:p w:rsidR="00000000" w:rsidRDefault="00BB5C2D">
      <w:pPr>
        <w:jc w:val="center"/>
        <w:divId w:val="783770838"/>
        <w:rPr>
          <w:rFonts w:eastAsia="Times New Roman"/>
        </w:rPr>
      </w:pPr>
      <w:r>
        <w:rPr>
          <w:rFonts w:eastAsia="Times New Roman"/>
          <w:b/>
          <w:bCs/>
          <w:color w:val="000000"/>
          <w:sz w:val="20"/>
          <w:szCs w:val="20"/>
        </w:rPr>
        <w:t>WEBSITE ACCESS TO COMPANY REPORTS AND OTHER INFORMATION</w:t>
      </w:r>
    </w:p>
    <w:p w:rsidR="00000000" w:rsidRDefault="00BB5C2D">
      <w:pPr>
        <w:ind w:firstLine="540"/>
        <w:jc w:val="both"/>
        <w:divId w:val="26487332"/>
        <w:rPr>
          <w:rFonts w:eastAsia="Times New Roman"/>
        </w:rPr>
      </w:pPr>
      <w:r>
        <w:rPr>
          <w:rFonts w:eastAsia="Times New Roman"/>
          <w:color w:val="000000"/>
          <w:sz w:val="20"/>
          <w:szCs w:val="20"/>
        </w:rPr>
        <w:t xml:space="preserve">Our investor website is http://investor.ralphlauren.com. We were incorporated in June 1997 under </w:t>
      </w:r>
      <w:r>
        <w:rPr>
          <w:rFonts w:eastAsia="Times New Roman"/>
          <w:color w:val="000000"/>
          <w:sz w:val="20"/>
          <w:szCs w:val="20"/>
        </w:rPr>
        <w:t xml:space="preserve">the laws of the State of Delaware. Our Annual Reports on Form 10-K, Quarterly Reports on Form 10-Q, Current Reports on Form 8-K, and amendments to those reports filed with or furnished to the SEC </w:t>
      </w:r>
      <w:r>
        <w:rPr>
          <w:rFonts w:eastAsia="Times New Roman"/>
          <w:color w:val="000000"/>
          <w:sz w:val="20"/>
          <w:szCs w:val="20"/>
        </w:rPr>
        <w:lastRenderedPageBreak/>
        <w:t>pursuant to Section 13(a) or Section 15(d) of the Securities</w:t>
      </w:r>
      <w:r>
        <w:rPr>
          <w:rFonts w:eastAsia="Times New Roman"/>
          <w:color w:val="000000"/>
          <w:sz w:val="20"/>
          <w:szCs w:val="20"/>
        </w:rPr>
        <w:t xml:space="preserve"> Exchange Act of 1934, are available free of charge at our investor website under the caption "SEC Filings" promptly after we electronically file such materials with or furnish such materials to the SEC. All such filings are also available on the SEC's web</w:t>
      </w:r>
      <w:r>
        <w:rPr>
          <w:rFonts w:eastAsia="Times New Roman"/>
          <w:color w:val="000000"/>
          <w:sz w:val="20"/>
          <w:szCs w:val="20"/>
        </w:rPr>
        <w:t>site at https://www.sec.gov. Information relating to corporate governance at Ralph Lauren Corporation, including our Corporate Governance Policies, our Code of Business Conduct and Ethics for all directors, officers, and employees, our Code of Ethics for P</w:t>
      </w:r>
      <w:r>
        <w:rPr>
          <w:rFonts w:eastAsia="Times New Roman"/>
          <w:color w:val="000000"/>
          <w:sz w:val="20"/>
          <w:szCs w:val="20"/>
        </w:rPr>
        <w:t>rincipal Executive Officers and Senior Financial Officers, and information concerning our directors, Committees of the Board of Directors, including Committee charters, and transactions involving Ralph Lauren Corporation securities by directors and executi</w:t>
      </w:r>
      <w:r>
        <w:rPr>
          <w:rFonts w:eastAsia="Times New Roman"/>
          <w:color w:val="000000"/>
          <w:sz w:val="20"/>
          <w:szCs w:val="20"/>
        </w:rPr>
        <w:t>ve officers, are available at our website under the captions "Corporate Governance" and "SEC Filings." Paper copies of these filings and corporate governance documents are available to stockholders without charge by written request to Investor Relations, R</w:t>
      </w:r>
      <w:r>
        <w:rPr>
          <w:rFonts w:eastAsia="Times New Roman"/>
          <w:color w:val="000000"/>
          <w:sz w:val="20"/>
          <w:szCs w:val="20"/>
        </w:rPr>
        <w:t>alph Lauren Corporation, 650 Madison Avenue, New York, New York 10022.</w:t>
      </w:r>
    </w:p>
    <w:p w:rsidR="00000000" w:rsidRDefault="00BB5C2D">
      <w:pPr>
        <w:ind w:firstLine="540"/>
        <w:jc w:val="both"/>
        <w:divId w:val="863786882"/>
        <w:rPr>
          <w:rFonts w:eastAsia="Times New Roman"/>
        </w:rPr>
      </w:pPr>
      <w:r>
        <w:rPr>
          <w:rFonts w:eastAsia="Times New Roman"/>
          <w:color w:val="000000"/>
          <w:sz w:val="20"/>
          <w:szCs w:val="20"/>
        </w:rPr>
        <w:t>In this Form 10-K, references to "Ralph Lauren," "ourselves," "we," "our," "us," and the "Company" refer to Ralph Lauren Corporation and its subsidiaries, unless the context indicates o</w:t>
      </w:r>
      <w:r>
        <w:rPr>
          <w:rFonts w:eastAsia="Times New Roman"/>
          <w:color w:val="000000"/>
          <w:sz w:val="20"/>
          <w:szCs w:val="20"/>
        </w:rPr>
        <w:t>therwise. Due to the collaborative and ongoing nature of our relationships with our licensees, such licensees are sometimes referred to in this Form 10-K as "licensing alliances." Our fiscal year ends on the Saturday immediately before or after March 31. A</w:t>
      </w:r>
      <w:r>
        <w:rPr>
          <w:rFonts w:eastAsia="Times New Roman"/>
          <w:color w:val="000000"/>
          <w:sz w:val="20"/>
          <w:szCs w:val="20"/>
        </w:rPr>
        <w:t xml:space="preserve">ll references to "Fiscal 2023" represent the 52-week fiscal year ending April 1, 2023. All references to "Fiscal 2022" represent the 53-week fiscal year ended April 2, 2022. All references to "Fiscal 2021" represent the 52-week fiscal year ended March 27, </w:t>
      </w:r>
      <w:r>
        <w:rPr>
          <w:rFonts w:eastAsia="Times New Roman"/>
          <w:color w:val="000000"/>
          <w:sz w:val="20"/>
          <w:szCs w:val="20"/>
        </w:rPr>
        <w:t xml:space="preserve">2021. All references to "Fiscal 2020" represent the 52-week fiscal year ended March 28, 2020. </w:t>
      </w:r>
    </w:p>
    <w:p w:rsidR="00000000" w:rsidRDefault="00BB5C2D">
      <w:pPr>
        <w:jc w:val="center"/>
        <w:divId w:val="718014329"/>
        <w:rPr>
          <w:rFonts w:eastAsia="Times New Roman"/>
        </w:rPr>
      </w:pPr>
      <w:r>
        <w:rPr>
          <w:rFonts w:eastAsia="Times New Roman"/>
          <w:b/>
          <w:bCs/>
          <w:color w:val="000000"/>
          <w:sz w:val="20"/>
          <w:szCs w:val="20"/>
        </w:rPr>
        <w:t>PART I</w:t>
      </w:r>
    </w:p>
    <w:p w:rsidR="00000000" w:rsidRDefault="00BB5C2D">
      <w:pPr>
        <w:ind w:hanging="900"/>
        <w:divId w:val="971669213"/>
        <w:rPr>
          <w:rFonts w:eastAsia="Times New Roman"/>
        </w:rPr>
      </w:pPr>
      <w:r>
        <w:rPr>
          <w:rFonts w:eastAsia="Times New Roman"/>
          <w:b/>
          <w:bCs/>
          <w:color w:val="000000"/>
          <w:sz w:val="20"/>
          <w:szCs w:val="20"/>
        </w:rPr>
        <w:t>Item 1.</w:t>
      </w:r>
      <w:r>
        <w:rPr>
          <w:rFonts w:eastAsia="Times New Roman"/>
          <w:b/>
          <w:bCs/>
          <w:i/>
          <w:iCs/>
          <w:color w:val="000000"/>
          <w:sz w:val="20"/>
          <w:szCs w:val="20"/>
        </w:rPr>
        <w:t>    Business.</w:t>
      </w:r>
    </w:p>
    <w:p w:rsidR="00000000" w:rsidRDefault="00BB5C2D">
      <w:pPr>
        <w:jc w:val="center"/>
        <w:divId w:val="576400870"/>
        <w:rPr>
          <w:rFonts w:eastAsia="Times New Roman"/>
        </w:rPr>
      </w:pPr>
      <w:r>
        <w:rPr>
          <w:rFonts w:eastAsia="Times New Roman"/>
          <w:b/>
          <w:bCs/>
          <w:color w:val="000000"/>
          <w:sz w:val="20"/>
          <w:szCs w:val="20"/>
        </w:rPr>
        <w:t>General</w:t>
      </w:r>
    </w:p>
    <w:p w:rsidR="00000000" w:rsidRDefault="00BB5C2D">
      <w:pPr>
        <w:ind w:firstLine="540"/>
        <w:jc w:val="both"/>
        <w:divId w:val="1859852022"/>
        <w:rPr>
          <w:rFonts w:eastAsia="Times New Roman"/>
        </w:rPr>
      </w:pPr>
      <w:r>
        <w:rPr>
          <w:rFonts w:eastAsia="Times New Roman"/>
          <w:color w:val="000000"/>
          <w:sz w:val="20"/>
          <w:szCs w:val="20"/>
        </w:rPr>
        <w:t>Founded in 1967 by Mr. Ralph Lauren, we are a global leader in the design, marketing, and distribution of premium lifestyle p</w:t>
      </w:r>
      <w:r>
        <w:rPr>
          <w:rFonts w:eastAsia="Times New Roman"/>
          <w:color w:val="000000"/>
          <w:sz w:val="20"/>
          <w:szCs w:val="20"/>
        </w:rPr>
        <w:t>roducts, including apparel, footwear, accessories, home furnishings, fragrances, and hospitality. For more than 50 years, Ralph Lauren has sought to inspire the dream of a better life through authenticity and timeless style. Our long-standing reputation an</w:t>
      </w:r>
      <w:r>
        <w:rPr>
          <w:rFonts w:eastAsia="Times New Roman"/>
          <w:color w:val="000000"/>
          <w:sz w:val="20"/>
          <w:szCs w:val="20"/>
        </w:rPr>
        <w:t>d distinctive image have been developed across a wide range of products, brands, distribution channels, and international markets. We believe that our global reach, breadth of lifestyle product offerings, and multi-channel distribution are unique among lux</w:t>
      </w:r>
      <w:r>
        <w:rPr>
          <w:rFonts w:eastAsia="Times New Roman"/>
          <w:color w:val="000000"/>
          <w:sz w:val="20"/>
          <w:szCs w:val="20"/>
        </w:rPr>
        <w:t>ury and apparel companies.</w:t>
      </w:r>
    </w:p>
    <w:p w:rsidR="00000000" w:rsidRDefault="00BB5C2D">
      <w:pPr>
        <w:ind w:firstLine="540"/>
        <w:jc w:val="both"/>
        <w:divId w:val="1571231819"/>
        <w:rPr>
          <w:rFonts w:eastAsia="Times New Roman"/>
        </w:rPr>
      </w:pPr>
      <w:r>
        <w:rPr>
          <w:rFonts w:eastAsia="Times New Roman"/>
          <w:color w:val="000000"/>
          <w:sz w:val="20"/>
          <w:szCs w:val="20"/>
        </w:rPr>
        <w:t>We diversify our business by geography (North America, Europe, and Asia, among other regions) and channel of distribution (retail, wholesale, and licensing). This allows us to maintain a dynamic balance as our operating results d</w:t>
      </w:r>
      <w:r>
        <w:rPr>
          <w:rFonts w:eastAsia="Times New Roman"/>
          <w:color w:val="000000"/>
          <w:sz w:val="20"/>
          <w:szCs w:val="20"/>
        </w:rPr>
        <w:t>o not depend solely on the performance of any single geographic area or channel of distribution. We sell directly to consumers through our integrated retail channel, which includes our retail stores, concession-based shop-within-shops, and digital commerce</w:t>
      </w:r>
      <w:r>
        <w:rPr>
          <w:rFonts w:eastAsia="Times New Roman"/>
          <w:color w:val="000000"/>
          <w:sz w:val="20"/>
          <w:szCs w:val="20"/>
        </w:rPr>
        <w:t xml:space="preserve"> operations around the world. Our wholesale sales are made principally to major department stores, specialty stores, and third-party digital partners around the world, as well as to certain third-party-owned stores to which we have licensed the right to op</w:t>
      </w:r>
      <w:r>
        <w:rPr>
          <w:rFonts w:eastAsia="Times New Roman"/>
          <w:color w:val="000000"/>
          <w:sz w:val="20"/>
          <w:szCs w:val="20"/>
        </w:rPr>
        <w:t>erate in defined geographic territories using our trademarks. In addition, we license to third parties for specified periods the right to access our various trademarks in connection with the licensees' manufacture and sale of designated products, such as c</w:t>
      </w:r>
      <w:r>
        <w:rPr>
          <w:rFonts w:eastAsia="Times New Roman"/>
          <w:color w:val="000000"/>
          <w:sz w:val="20"/>
          <w:szCs w:val="20"/>
        </w:rPr>
        <w:t>ertain apparel, eyewear, fragrances, and home furnishings.</w:t>
      </w:r>
    </w:p>
    <w:p w:rsidR="00000000" w:rsidRDefault="00BB5C2D">
      <w:pPr>
        <w:ind w:firstLine="540"/>
        <w:jc w:val="both"/>
        <w:divId w:val="352418047"/>
        <w:rPr>
          <w:rFonts w:eastAsia="Times New Roman"/>
        </w:rPr>
      </w:pPr>
      <w:r>
        <w:rPr>
          <w:rFonts w:eastAsia="Times New Roman"/>
          <w:color w:val="000000"/>
          <w:sz w:val="20"/>
          <w:szCs w:val="20"/>
        </w:rPr>
        <w:t>We organize our business into the following three reportable segments: North America, Europe, and Asia. In addition to these reportable segments, we also have other non-reportable segments. See "</w:t>
      </w:r>
      <w:r>
        <w:rPr>
          <w:rFonts w:eastAsia="Times New Roman"/>
          <w:i/>
          <w:iCs/>
          <w:color w:val="000000"/>
          <w:sz w:val="20"/>
          <w:szCs w:val="20"/>
        </w:rPr>
        <w:t>Ou</w:t>
      </w:r>
      <w:r>
        <w:rPr>
          <w:rFonts w:eastAsia="Times New Roman"/>
          <w:i/>
          <w:iCs/>
          <w:color w:val="000000"/>
          <w:sz w:val="20"/>
          <w:szCs w:val="20"/>
        </w:rPr>
        <w:t>r Segments</w:t>
      </w:r>
      <w:r>
        <w:rPr>
          <w:rFonts w:eastAsia="Times New Roman"/>
          <w:color w:val="000000"/>
          <w:sz w:val="20"/>
          <w:szCs w:val="20"/>
        </w:rPr>
        <w:t>" for further discussion of our segment reporting structure.</w:t>
      </w:r>
    </w:p>
    <w:p w:rsidR="00000000" w:rsidRDefault="00BB5C2D">
      <w:pPr>
        <w:ind w:firstLine="540"/>
        <w:jc w:val="both"/>
        <w:divId w:val="1948462900"/>
        <w:rPr>
          <w:rFonts w:eastAsia="Times New Roman"/>
        </w:rPr>
      </w:pPr>
      <w:r>
        <w:rPr>
          <w:rFonts w:eastAsia="Times New Roman"/>
          <w:color w:val="000000"/>
          <w:sz w:val="20"/>
          <w:szCs w:val="20"/>
        </w:rPr>
        <w:t>Our global reach is extensive, as we sell directly to customers throughout the world via our 504 retail stores and 684 concession-based shop-within-shops, as well as through our own dig</w:t>
      </w:r>
      <w:r>
        <w:rPr>
          <w:rFonts w:eastAsia="Times New Roman"/>
          <w:color w:val="000000"/>
          <w:sz w:val="20"/>
          <w:szCs w:val="20"/>
        </w:rPr>
        <w:t xml:space="preserve">ital commerce sites and those of various third-party digital partners. Merchandise is also available through our wholesale distribution channels at approximately 9,000 doors worldwide,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552473628"/>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552473628"/>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3</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29" style="width:0;height:1.5pt" o:hralign="center" o:hrstd="t" o:hr="t" fillcolor="#a0a0a0" stroked="f"/>
        </w:pict>
      </w:r>
    </w:p>
    <w:p w:rsidR="00000000" w:rsidRDefault="00BB5C2D">
      <w:pPr>
        <w:divId w:val="613483346"/>
        <w:rPr>
          <w:rFonts w:eastAsia="Times New Roman"/>
        </w:rPr>
      </w:pPr>
    </w:p>
    <w:p w:rsidR="00000000" w:rsidRDefault="00BB5C2D">
      <w:pPr>
        <w:jc w:val="both"/>
        <w:divId w:val="420952373"/>
        <w:rPr>
          <w:rFonts w:eastAsia="Times New Roman"/>
        </w:rPr>
      </w:pPr>
      <w:r>
        <w:rPr>
          <w:rFonts w:eastAsia="Times New Roman"/>
          <w:color w:val="000000"/>
          <w:sz w:val="20"/>
          <w:szCs w:val="20"/>
        </w:rPr>
        <w:t>the majority in specialty stores, as well as through the digital commerce sites of many of our wholesale customers. In addition to our directly-operated stores and shops, our international licensing partners operate 14</w:t>
      </w:r>
      <w:r>
        <w:rPr>
          <w:rFonts w:eastAsia="Times New Roman"/>
          <w:color w:val="000000"/>
          <w:sz w:val="20"/>
          <w:szCs w:val="20"/>
        </w:rPr>
        <w:t>8 stores and shops.</w:t>
      </w:r>
    </w:p>
    <w:p w:rsidR="00000000" w:rsidRDefault="00BB5C2D">
      <w:pPr>
        <w:ind w:firstLine="540"/>
        <w:jc w:val="both"/>
        <w:divId w:val="1306083515"/>
        <w:rPr>
          <w:rFonts w:eastAsia="Times New Roman"/>
        </w:rPr>
      </w:pPr>
      <w:r>
        <w:rPr>
          <w:rFonts w:eastAsia="Times New Roman"/>
          <w:color w:val="000000"/>
          <w:sz w:val="20"/>
          <w:szCs w:val="20"/>
        </w:rPr>
        <w:t>We have been controlled by the Lauren family since the founding of our Company. As of April 2, 2022, Mr. R. Lauren, or entities controlled by the Lauren family, held approximately 85% of the voting power of the Company's outstanding com</w:t>
      </w:r>
      <w:r>
        <w:rPr>
          <w:rFonts w:eastAsia="Times New Roman"/>
          <w:color w:val="000000"/>
          <w:sz w:val="20"/>
          <w:szCs w:val="20"/>
        </w:rPr>
        <w:t>mon stock.</w:t>
      </w:r>
    </w:p>
    <w:p w:rsidR="00000000" w:rsidRDefault="00BB5C2D">
      <w:pPr>
        <w:jc w:val="center"/>
        <w:divId w:val="1883904114"/>
        <w:rPr>
          <w:rFonts w:eastAsia="Times New Roman"/>
        </w:rPr>
      </w:pPr>
      <w:r>
        <w:rPr>
          <w:rFonts w:eastAsia="Times New Roman"/>
          <w:b/>
          <w:bCs/>
          <w:color w:val="000000"/>
          <w:sz w:val="20"/>
          <w:szCs w:val="20"/>
        </w:rPr>
        <w:t>Objectives and Opportunities</w:t>
      </w:r>
    </w:p>
    <w:p w:rsidR="00000000" w:rsidRDefault="00BB5C2D">
      <w:pPr>
        <w:ind w:firstLine="540"/>
        <w:jc w:val="both"/>
        <w:divId w:val="1244679822"/>
        <w:rPr>
          <w:rFonts w:eastAsia="Times New Roman"/>
        </w:rPr>
      </w:pPr>
      <w:r>
        <w:rPr>
          <w:rFonts w:eastAsia="Times New Roman"/>
          <w:color w:val="000000"/>
          <w:sz w:val="20"/>
          <w:szCs w:val="20"/>
        </w:rPr>
        <w:t>Our purpose is to inspire the dream of a better life through authenticity and timeless style. We believe that our size and the global scope of our operations provide us with design, sourcing, and distribution synergies across our business. Our core strengt</w:t>
      </w:r>
      <w:r>
        <w:rPr>
          <w:rFonts w:eastAsia="Times New Roman"/>
          <w:color w:val="000000"/>
          <w:sz w:val="20"/>
          <w:szCs w:val="20"/>
        </w:rPr>
        <w:t>hs include a portfolio of global premium lifestyle brands, a well-diversified global multi-channel distribution network, an investment philosophy supported by a strong balance sheet, and an experienced management team. Despite the various risks and uncerta</w:t>
      </w:r>
      <w:r>
        <w:rPr>
          <w:rFonts w:eastAsia="Times New Roman"/>
          <w:color w:val="000000"/>
          <w:sz w:val="20"/>
          <w:szCs w:val="20"/>
        </w:rPr>
        <w:t>inties associated with the current global economic environment, as discussed further in Item 7 — "</w:t>
      </w:r>
      <w:r>
        <w:rPr>
          <w:rFonts w:eastAsia="Times New Roman"/>
          <w:i/>
          <w:iCs/>
          <w:color w:val="000000"/>
          <w:sz w:val="20"/>
          <w:szCs w:val="20"/>
        </w:rPr>
        <w:t>Management's Discussion and Analysis of Financial Condition and Results of Operations — Global Economic Conditions and Industry Trends,</w:t>
      </w:r>
      <w:r>
        <w:rPr>
          <w:rFonts w:eastAsia="Times New Roman"/>
          <w:color w:val="000000"/>
          <w:sz w:val="20"/>
          <w:szCs w:val="20"/>
        </w:rPr>
        <w:t>" we believe our core s</w:t>
      </w:r>
      <w:r>
        <w:rPr>
          <w:rFonts w:eastAsia="Times New Roman"/>
          <w:color w:val="000000"/>
          <w:sz w:val="20"/>
          <w:szCs w:val="20"/>
        </w:rPr>
        <w:t>trengths will allow us to execute our long-term growth strategy.</w:t>
      </w:r>
    </w:p>
    <w:p w:rsidR="00000000" w:rsidRDefault="00BB5C2D">
      <w:pPr>
        <w:ind w:firstLine="540"/>
        <w:jc w:val="both"/>
        <w:divId w:val="1181775124"/>
        <w:rPr>
          <w:rFonts w:eastAsia="Times New Roman"/>
        </w:rPr>
      </w:pPr>
      <w:r>
        <w:rPr>
          <w:rFonts w:eastAsia="Times New Roman"/>
          <w:color w:val="000000"/>
          <w:sz w:val="20"/>
          <w:szCs w:val="20"/>
        </w:rPr>
        <w:t>An overview of our long-term growth strategy is presented below:</w:t>
      </w:r>
    </w:p>
    <w:p w:rsidR="00000000" w:rsidRDefault="00BB5C2D">
      <w:pPr>
        <w:spacing w:before="60"/>
        <w:ind w:firstLine="540"/>
        <w:jc w:val="center"/>
        <w:divId w:val="993332600"/>
        <w:rPr>
          <w:rFonts w:eastAsia="Times New Roman"/>
        </w:rPr>
      </w:pPr>
      <w:r>
        <w:rPr>
          <w:rFonts w:eastAsia="Times New Roman"/>
          <w:noProof/>
        </w:rPr>
        <w:drawing>
          <wp:inline distT="0" distB="0" distL="0" distR="0">
            <wp:extent cx="304800" cy="304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637345662"/>
          <w:jc w:val="center"/>
        </w:trPr>
        <w:tc>
          <w:tcPr>
            <w:tcW w:w="50" w:type="pct"/>
            <w:vAlign w:val="center"/>
            <w:hideMark/>
          </w:tcPr>
          <w:p w:rsidR="00000000" w:rsidRDefault="00BB5C2D">
            <w:pPr>
              <w:ind w:firstLine="540"/>
              <w:jc w:val="center"/>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637345662"/>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4</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31" style="width:0;height:1.5pt" o:hralign="center" o:hrstd="t" o:hr="t" fillcolor="#a0a0a0" stroked="f"/>
        </w:pict>
      </w:r>
    </w:p>
    <w:p w:rsidR="00000000" w:rsidRDefault="00BB5C2D">
      <w:pPr>
        <w:divId w:val="1808468324"/>
        <w:rPr>
          <w:rFonts w:eastAsia="Times New Roman"/>
        </w:rPr>
      </w:pPr>
    </w:p>
    <w:p w:rsidR="00000000" w:rsidRDefault="00BB5C2D">
      <w:pPr>
        <w:jc w:val="center"/>
        <w:divId w:val="1079640908"/>
        <w:rPr>
          <w:rFonts w:eastAsia="Times New Roman"/>
        </w:rPr>
      </w:pPr>
      <w:r>
        <w:rPr>
          <w:rFonts w:eastAsia="Times New Roman"/>
          <w:b/>
          <w:bCs/>
          <w:color w:val="000000"/>
          <w:sz w:val="20"/>
          <w:szCs w:val="20"/>
        </w:rPr>
        <w:t>Global Citizenship and Sustainability</w:t>
      </w:r>
    </w:p>
    <w:p w:rsidR="00000000" w:rsidRDefault="00BB5C2D">
      <w:pPr>
        <w:ind w:firstLine="540"/>
        <w:jc w:val="both"/>
        <w:divId w:val="46224145"/>
        <w:rPr>
          <w:rFonts w:eastAsia="Times New Roman"/>
        </w:rPr>
      </w:pPr>
      <w:r>
        <w:rPr>
          <w:rFonts w:eastAsia="Times New Roman"/>
          <w:color w:val="000000"/>
          <w:sz w:val="20"/>
          <w:szCs w:val="20"/>
        </w:rPr>
        <w:t>Global citizenship and sustainability at Ralph Lauren is rooted in the heritage of our brand and our purpose to inspire the dream of a better life through authenticity and timeless</w:t>
      </w:r>
      <w:r>
        <w:rPr>
          <w:rFonts w:eastAsia="Times New Roman"/>
          <w:color w:val="000000"/>
          <w:sz w:val="20"/>
          <w:szCs w:val="20"/>
        </w:rPr>
        <w:t xml:space="preserve"> style. We believe that delivering the next 50 years for Ralph Lauren means rethinking our impact on the environment and society and utilizing creativity, the power of design, and innovative technologies to drive meaningful change. We call our citizenship </w:t>
      </w:r>
      <w:r>
        <w:rPr>
          <w:rFonts w:eastAsia="Times New Roman"/>
          <w:color w:val="000000"/>
          <w:sz w:val="20"/>
          <w:szCs w:val="20"/>
        </w:rPr>
        <w:t>and sustainability plan "Design the Change," and through this strategy, we’re creating a more sustainable future in three key areas:</w:t>
      </w:r>
    </w:p>
    <w:p w:rsidR="00000000" w:rsidRDefault="00BB5C2D">
      <w:pPr>
        <w:ind w:hanging="360"/>
        <w:jc w:val="both"/>
        <w:divId w:val="1231774890"/>
        <w:rPr>
          <w:rFonts w:eastAsia="Times New Roman"/>
        </w:rPr>
      </w:pPr>
      <w:r>
        <w:rPr>
          <w:rFonts w:eastAsia="Times New Roman"/>
          <w:b/>
          <w:bCs/>
          <w:color w:val="000000"/>
          <w:sz w:val="20"/>
          <w:szCs w:val="20"/>
        </w:rPr>
        <w:t>1.Create Timeless Style</w:t>
      </w:r>
    </w:p>
    <w:p w:rsidR="00000000" w:rsidRDefault="00BB5C2D">
      <w:pPr>
        <w:ind w:hanging="360"/>
        <w:jc w:val="both"/>
        <w:divId w:val="1803694945"/>
        <w:rPr>
          <w:rFonts w:eastAsia="Times New Roman"/>
        </w:rPr>
      </w:pPr>
      <w:r>
        <w:rPr>
          <w:rFonts w:eastAsia="Times New Roman"/>
          <w:color w:val="000000"/>
          <w:sz w:val="20"/>
          <w:szCs w:val="20"/>
        </w:rPr>
        <w:t>•</w:t>
      </w:r>
      <w:r>
        <w:rPr>
          <w:rFonts w:eastAsia="Times New Roman"/>
          <w:i/>
          <w:iCs/>
          <w:color w:val="000000"/>
          <w:sz w:val="20"/>
          <w:szCs w:val="20"/>
        </w:rPr>
        <w:t>Responsible Design</w:t>
      </w:r>
      <w:r>
        <w:rPr>
          <w:rFonts w:eastAsia="Times New Roman"/>
          <w:color w:val="000000"/>
          <w:sz w:val="20"/>
          <w:szCs w:val="20"/>
        </w:rPr>
        <w:t xml:space="preserve"> — We commit to embedding sustainability, inclusivity, intention, and celebratio</w:t>
      </w:r>
      <w:r>
        <w:rPr>
          <w:rFonts w:eastAsia="Times New Roman"/>
          <w:color w:val="000000"/>
          <w:sz w:val="20"/>
          <w:szCs w:val="20"/>
        </w:rPr>
        <w:t xml:space="preserve">n into the products and services we design. </w:t>
      </w:r>
    </w:p>
    <w:p w:rsidR="00000000" w:rsidRDefault="00BB5C2D">
      <w:pPr>
        <w:ind w:hanging="360"/>
        <w:jc w:val="both"/>
        <w:divId w:val="907181809"/>
        <w:rPr>
          <w:rFonts w:eastAsia="Times New Roman"/>
        </w:rPr>
      </w:pPr>
      <w:r>
        <w:rPr>
          <w:rFonts w:eastAsia="Times New Roman"/>
          <w:color w:val="000000"/>
          <w:sz w:val="20"/>
          <w:szCs w:val="20"/>
        </w:rPr>
        <w:t>•</w:t>
      </w:r>
      <w:r>
        <w:rPr>
          <w:rFonts w:eastAsia="Times New Roman"/>
          <w:i/>
          <w:iCs/>
          <w:color w:val="000000"/>
          <w:sz w:val="20"/>
          <w:szCs w:val="20"/>
        </w:rPr>
        <w:t xml:space="preserve">Circularity </w:t>
      </w:r>
      <w:r>
        <w:rPr>
          <w:rFonts w:eastAsia="Times New Roman"/>
          <w:color w:val="000000"/>
          <w:sz w:val="20"/>
          <w:szCs w:val="20"/>
        </w:rPr>
        <w:t>— We are committed to a comprehensive circular strategy, whereby we will inform our product development and support more circular systems in our industry by designing out waste and pollution, keepin</w:t>
      </w:r>
      <w:r>
        <w:rPr>
          <w:rFonts w:eastAsia="Times New Roman"/>
          <w:color w:val="000000"/>
          <w:sz w:val="20"/>
          <w:szCs w:val="20"/>
        </w:rPr>
        <w:t xml:space="preserve">g products and materials in use, and regenerating natural systems. </w:t>
      </w:r>
    </w:p>
    <w:p w:rsidR="00000000" w:rsidRDefault="00BB5C2D">
      <w:pPr>
        <w:ind w:hanging="360"/>
        <w:jc w:val="both"/>
        <w:divId w:val="456030661"/>
        <w:rPr>
          <w:rFonts w:eastAsia="Times New Roman"/>
        </w:rPr>
      </w:pPr>
      <w:r>
        <w:rPr>
          <w:rFonts w:eastAsia="Times New Roman"/>
          <w:color w:val="000000"/>
          <w:sz w:val="20"/>
          <w:szCs w:val="20"/>
        </w:rPr>
        <w:t>•</w:t>
      </w:r>
      <w:r>
        <w:rPr>
          <w:rFonts w:eastAsia="Times New Roman"/>
          <w:i/>
          <w:iCs/>
          <w:color w:val="000000"/>
          <w:sz w:val="20"/>
          <w:szCs w:val="20"/>
        </w:rPr>
        <w:t xml:space="preserve">Sustainable Materials </w:t>
      </w:r>
      <w:r>
        <w:rPr>
          <w:rFonts w:eastAsia="Times New Roman"/>
          <w:color w:val="000000"/>
          <w:sz w:val="20"/>
          <w:szCs w:val="20"/>
        </w:rPr>
        <w:t>— We commit to using more materials in a way that results in positive social and environmental outcomes, protects biodiversity, advances animal welfare, and continuo</w:t>
      </w:r>
      <w:r>
        <w:rPr>
          <w:rFonts w:eastAsia="Times New Roman"/>
          <w:color w:val="000000"/>
          <w:sz w:val="20"/>
          <w:szCs w:val="20"/>
        </w:rPr>
        <w:t>usly improves traceability of our raw materials.</w:t>
      </w:r>
    </w:p>
    <w:p w:rsidR="00000000" w:rsidRDefault="00BB5C2D">
      <w:pPr>
        <w:ind w:hanging="360"/>
        <w:jc w:val="both"/>
        <w:divId w:val="875196882"/>
        <w:rPr>
          <w:rFonts w:eastAsia="Times New Roman"/>
        </w:rPr>
      </w:pPr>
      <w:r>
        <w:rPr>
          <w:rFonts w:eastAsia="Times New Roman"/>
          <w:color w:val="000000"/>
          <w:sz w:val="20"/>
          <w:szCs w:val="20"/>
        </w:rPr>
        <w:t>•</w:t>
      </w:r>
      <w:r>
        <w:rPr>
          <w:rFonts w:eastAsia="Times New Roman"/>
          <w:i/>
          <w:iCs/>
          <w:color w:val="000000"/>
          <w:sz w:val="20"/>
          <w:szCs w:val="20"/>
        </w:rPr>
        <w:t xml:space="preserve">Sustainable Spaces </w:t>
      </w:r>
      <w:r>
        <w:rPr>
          <w:rFonts w:eastAsia="Times New Roman"/>
          <w:color w:val="000000"/>
          <w:sz w:val="20"/>
          <w:szCs w:val="20"/>
        </w:rPr>
        <w:t>— We are committed to designing and building Ralph Lauren stores with materials that minimize environmental impact and maximize occupant health.</w:t>
      </w:r>
    </w:p>
    <w:p w:rsidR="00000000" w:rsidRDefault="00BB5C2D">
      <w:pPr>
        <w:ind w:hanging="360"/>
        <w:jc w:val="both"/>
        <w:divId w:val="656760693"/>
        <w:rPr>
          <w:rFonts w:eastAsia="Times New Roman"/>
        </w:rPr>
      </w:pPr>
      <w:r>
        <w:rPr>
          <w:rFonts w:eastAsia="Times New Roman"/>
          <w:color w:val="000000"/>
          <w:sz w:val="20"/>
          <w:szCs w:val="20"/>
        </w:rPr>
        <w:t>•</w:t>
      </w:r>
      <w:r>
        <w:rPr>
          <w:rFonts w:eastAsia="Times New Roman"/>
          <w:i/>
          <w:iCs/>
          <w:color w:val="000000"/>
          <w:sz w:val="20"/>
          <w:szCs w:val="20"/>
        </w:rPr>
        <w:t xml:space="preserve">Chemical Management </w:t>
      </w:r>
      <w:r>
        <w:rPr>
          <w:rFonts w:eastAsia="Times New Roman"/>
          <w:color w:val="000000"/>
          <w:sz w:val="20"/>
          <w:szCs w:val="20"/>
        </w:rPr>
        <w:t>— We commit to monito</w:t>
      </w:r>
      <w:r>
        <w:rPr>
          <w:rFonts w:eastAsia="Times New Roman"/>
          <w:color w:val="000000"/>
          <w:sz w:val="20"/>
          <w:szCs w:val="20"/>
        </w:rPr>
        <w:t xml:space="preserve">r and reduce hazardous chemical use and discharge and we are working to eliminate all hazardous chemicals from our product manufacturing. </w:t>
      </w:r>
    </w:p>
    <w:p w:rsidR="00000000" w:rsidRDefault="00BB5C2D">
      <w:pPr>
        <w:ind w:hanging="360"/>
        <w:jc w:val="both"/>
        <w:divId w:val="921177693"/>
        <w:rPr>
          <w:rFonts w:eastAsia="Times New Roman"/>
        </w:rPr>
      </w:pPr>
      <w:r>
        <w:rPr>
          <w:rFonts w:eastAsia="Times New Roman"/>
          <w:b/>
          <w:bCs/>
          <w:color w:val="000000"/>
          <w:sz w:val="20"/>
          <w:szCs w:val="20"/>
        </w:rPr>
        <w:t>2.Protect the Environment</w:t>
      </w:r>
    </w:p>
    <w:p w:rsidR="00000000" w:rsidRDefault="00BB5C2D">
      <w:pPr>
        <w:ind w:hanging="360"/>
        <w:jc w:val="both"/>
        <w:divId w:val="200291890"/>
        <w:rPr>
          <w:rFonts w:eastAsia="Times New Roman"/>
        </w:rPr>
      </w:pPr>
      <w:r>
        <w:rPr>
          <w:rFonts w:eastAsia="Times New Roman"/>
          <w:color w:val="000000"/>
          <w:sz w:val="20"/>
          <w:szCs w:val="20"/>
        </w:rPr>
        <w:t>•</w:t>
      </w:r>
      <w:r>
        <w:rPr>
          <w:rFonts w:eastAsia="Times New Roman"/>
          <w:i/>
          <w:iCs/>
          <w:color w:val="000000"/>
          <w:sz w:val="20"/>
          <w:szCs w:val="20"/>
        </w:rPr>
        <w:t>Carbon and Energy</w:t>
      </w:r>
      <w:r>
        <w:rPr>
          <w:rFonts w:eastAsia="Times New Roman"/>
          <w:color w:val="000000"/>
          <w:sz w:val="20"/>
          <w:szCs w:val="20"/>
        </w:rPr>
        <w:t xml:space="preserve"> — We are committed to playing our part to address the climate crisis by </w:t>
      </w:r>
      <w:r>
        <w:rPr>
          <w:rFonts w:eastAsia="Times New Roman"/>
          <w:color w:val="000000"/>
          <w:sz w:val="20"/>
          <w:szCs w:val="20"/>
        </w:rPr>
        <w:t>reducing greenhouse gas emissions across our value chain and investing in credible emission removals.</w:t>
      </w:r>
    </w:p>
    <w:p w:rsidR="00000000" w:rsidRDefault="00BB5C2D">
      <w:pPr>
        <w:ind w:hanging="360"/>
        <w:jc w:val="both"/>
        <w:divId w:val="1183782132"/>
        <w:rPr>
          <w:rFonts w:eastAsia="Times New Roman"/>
        </w:rPr>
      </w:pPr>
      <w:r>
        <w:rPr>
          <w:rFonts w:eastAsia="Times New Roman"/>
          <w:color w:val="000000"/>
          <w:sz w:val="20"/>
          <w:szCs w:val="20"/>
        </w:rPr>
        <w:t>•</w:t>
      </w:r>
      <w:r>
        <w:rPr>
          <w:rFonts w:eastAsia="Times New Roman"/>
          <w:i/>
          <w:iCs/>
          <w:color w:val="000000"/>
          <w:sz w:val="20"/>
          <w:szCs w:val="20"/>
        </w:rPr>
        <w:t>Water Stewardship</w:t>
      </w:r>
      <w:r>
        <w:rPr>
          <w:rFonts w:eastAsia="Times New Roman"/>
          <w:color w:val="000000"/>
          <w:sz w:val="20"/>
          <w:szCs w:val="20"/>
        </w:rPr>
        <w:t xml:space="preserve"> — </w:t>
      </w:r>
      <w:r>
        <w:rPr>
          <w:rFonts w:eastAsia="Times New Roman"/>
          <w:color w:val="000000"/>
          <w:sz w:val="20"/>
          <w:szCs w:val="20"/>
        </w:rPr>
        <w:t>We commit to reducing water consumption across our value chain and to safeguarding and preserving water resources in our communities.</w:t>
      </w:r>
    </w:p>
    <w:p w:rsidR="00000000" w:rsidRDefault="00BB5C2D">
      <w:pPr>
        <w:ind w:hanging="360"/>
        <w:jc w:val="both"/>
        <w:divId w:val="1668289431"/>
        <w:rPr>
          <w:rFonts w:eastAsia="Times New Roman"/>
        </w:rPr>
      </w:pPr>
      <w:r>
        <w:rPr>
          <w:rFonts w:eastAsia="Times New Roman"/>
          <w:color w:val="000000"/>
          <w:sz w:val="20"/>
          <w:szCs w:val="20"/>
        </w:rPr>
        <w:t>•</w:t>
      </w:r>
      <w:r>
        <w:rPr>
          <w:rFonts w:eastAsia="Times New Roman"/>
          <w:i/>
          <w:iCs/>
          <w:color w:val="000000"/>
          <w:sz w:val="20"/>
          <w:szCs w:val="20"/>
        </w:rPr>
        <w:t>Waste Management</w:t>
      </w:r>
      <w:r>
        <w:rPr>
          <w:rFonts w:eastAsia="Times New Roman"/>
          <w:color w:val="000000"/>
          <w:sz w:val="20"/>
          <w:szCs w:val="20"/>
        </w:rPr>
        <w:t xml:space="preserve"> — We commit to integrating zero-waste principles across our business, focusing on reducing waste at its </w:t>
      </w:r>
      <w:r>
        <w:rPr>
          <w:rFonts w:eastAsia="Times New Roman"/>
          <w:color w:val="000000"/>
          <w:sz w:val="20"/>
          <w:szCs w:val="20"/>
        </w:rPr>
        <w:t>source and diverting waste from landfill through increased recycling and upcycling.</w:t>
      </w:r>
    </w:p>
    <w:p w:rsidR="00000000" w:rsidRDefault="00BB5C2D">
      <w:pPr>
        <w:ind w:hanging="360"/>
        <w:jc w:val="both"/>
        <w:divId w:val="184948067"/>
        <w:rPr>
          <w:rFonts w:eastAsia="Times New Roman"/>
        </w:rPr>
      </w:pPr>
      <w:r>
        <w:rPr>
          <w:rFonts w:eastAsia="Times New Roman"/>
          <w:color w:val="000000"/>
          <w:sz w:val="20"/>
          <w:szCs w:val="20"/>
        </w:rPr>
        <w:t>•</w:t>
      </w:r>
      <w:r>
        <w:rPr>
          <w:rFonts w:eastAsia="Times New Roman"/>
          <w:i/>
          <w:iCs/>
          <w:color w:val="000000"/>
          <w:sz w:val="20"/>
          <w:szCs w:val="20"/>
        </w:rPr>
        <w:t xml:space="preserve">Sustainable Packaging </w:t>
      </w:r>
      <w:r>
        <w:rPr>
          <w:rFonts w:eastAsia="Times New Roman"/>
          <w:color w:val="000000"/>
          <w:sz w:val="20"/>
          <w:szCs w:val="20"/>
        </w:rPr>
        <w:t xml:space="preserve">— We commit to our packaging material being recyclable, reusable, or sustainably sourced. </w:t>
      </w:r>
    </w:p>
    <w:p w:rsidR="00000000" w:rsidRDefault="00BB5C2D">
      <w:pPr>
        <w:ind w:hanging="360"/>
        <w:jc w:val="both"/>
        <w:divId w:val="316031912"/>
        <w:rPr>
          <w:rFonts w:eastAsia="Times New Roman"/>
        </w:rPr>
      </w:pPr>
      <w:r>
        <w:rPr>
          <w:rFonts w:eastAsia="Times New Roman"/>
          <w:b/>
          <w:bCs/>
          <w:color w:val="000000"/>
          <w:sz w:val="20"/>
          <w:szCs w:val="20"/>
        </w:rPr>
        <w:t>3.Champion Better Lives</w:t>
      </w:r>
    </w:p>
    <w:p w:rsidR="00000000" w:rsidRDefault="00BB5C2D">
      <w:pPr>
        <w:ind w:hanging="360"/>
        <w:jc w:val="both"/>
        <w:divId w:val="489367735"/>
        <w:rPr>
          <w:rFonts w:eastAsia="Times New Roman"/>
        </w:rPr>
      </w:pPr>
      <w:r>
        <w:rPr>
          <w:rFonts w:eastAsia="Times New Roman"/>
          <w:color w:val="000000"/>
          <w:sz w:val="20"/>
          <w:szCs w:val="20"/>
        </w:rPr>
        <w:t>•</w:t>
      </w:r>
      <w:r>
        <w:rPr>
          <w:rFonts w:eastAsia="Times New Roman"/>
          <w:i/>
          <w:iCs/>
          <w:color w:val="000000"/>
          <w:sz w:val="20"/>
          <w:szCs w:val="20"/>
        </w:rPr>
        <w:t>Diversity, Equity, and Inclusion</w:t>
      </w:r>
      <w:r>
        <w:rPr>
          <w:rFonts w:eastAsia="Times New Roman"/>
          <w:color w:val="000000"/>
          <w:sz w:val="20"/>
          <w:szCs w:val="20"/>
        </w:rPr>
        <w:t xml:space="preserve"> — We unite and inspire the communities within our Company, as well as those we serve, by amplifying voices and perspectives to create a culture of belonging, equality, inclusion, and fairness for all.</w:t>
      </w:r>
    </w:p>
    <w:p w:rsidR="00000000" w:rsidRDefault="00BB5C2D">
      <w:pPr>
        <w:ind w:hanging="360"/>
        <w:jc w:val="both"/>
        <w:divId w:val="15274229"/>
        <w:rPr>
          <w:rFonts w:eastAsia="Times New Roman"/>
        </w:rPr>
      </w:pPr>
      <w:r>
        <w:rPr>
          <w:rFonts w:eastAsia="Times New Roman"/>
          <w:color w:val="000000"/>
          <w:sz w:val="20"/>
          <w:szCs w:val="20"/>
        </w:rPr>
        <w:t>•</w:t>
      </w:r>
      <w:r>
        <w:rPr>
          <w:rFonts w:eastAsia="Times New Roman"/>
          <w:i/>
          <w:iCs/>
          <w:color w:val="000000"/>
          <w:sz w:val="20"/>
          <w:szCs w:val="20"/>
        </w:rPr>
        <w:t xml:space="preserve">Community Engagement </w:t>
      </w:r>
      <w:r>
        <w:rPr>
          <w:rFonts w:eastAsia="Times New Roman"/>
          <w:i/>
          <w:iCs/>
          <w:color w:val="000000"/>
          <w:sz w:val="20"/>
          <w:szCs w:val="20"/>
        </w:rPr>
        <w:t>and Philanthropy</w:t>
      </w:r>
      <w:r>
        <w:rPr>
          <w:rFonts w:eastAsia="Times New Roman"/>
          <w:color w:val="000000"/>
          <w:sz w:val="20"/>
          <w:szCs w:val="20"/>
        </w:rPr>
        <w:t xml:space="preserve"> — We commit to making a meaningful difference in our communities through our global employee volunteerism and our dedication to social and environmental causes.</w:t>
      </w:r>
    </w:p>
    <w:p w:rsidR="00000000" w:rsidRDefault="00BB5C2D">
      <w:pPr>
        <w:ind w:hanging="360"/>
        <w:jc w:val="both"/>
        <w:divId w:val="173422763"/>
        <w:rPr>
          <w:rFonts w:eastAsia="Times New Roman"/>
        </w:rPr>
      </w:pPr>
      <w:r>
        <w:rPr>
          <w:rFonts w:eastAsia="Times New Roman"/>
          <w:color w:val="000000"/>
          <w:sz w:val="20"/>
          <w:szCs w:val="20"/>
        </w:rPr>
        <w:t>•</w:t>
      </w:r>
      <w:r>
        <w:rPr>
          <w:rFonts w:eastAsia="Times New Roman"/>
          <w:i/>
          <w:iCs/>
          <w:color w:val="000000"/>
          <w:sz w:val="20"/>
          <w:szCs w:val="20"/>
        </w:rPr>
        <w:t>Worker Empowerment and Well-being</w:t>
      </w:r>
      <w:r>
        <w:rPr>
          <w:rFonts w:eastAsia="Times New Roman"/>
          <w:color w:val="000000"/>
          <w:sz w:val="20"/>
          <w:szCs w:val="20"/>
        </w:rPr>
        <w:t xml:space="preserve"> — We are committed to conducting our global</w:t>
      </w:r>
      <w:r>
        <w:rPr>
          <w:rFonts w:eastAsia="Times New Roman"/>
          <w:color w:val="000000"/>
          <w:sz w:val="20"/>
          <w:szCs w:val="20"/>
        </w:rPr>
        <w:t xml:space="preserve"> operations ethically and with respect for the dignity of all people who make our products. We aim to enrich the quality of work and life for everyone in our supply chain, ensuring they all have the opportunity to reach their full potential in a safe and i</w:t>
      </w:r>
      <w:r>
        <w:rPr>
          <w:rFonts w:eastAsia="Times New Roman"/>
          <w:color w:val="000000"/>
          <w:sz w:val="20"/>
          <w:szCs w:val="20"/>
        </w:rPr>
        <w:t xml:space="preserve">nclusive environment. </w:t>
      </w:r>
    </w:p>
    <w:p w:rsidR="00000000" w:rsidRDefault="00BB5C2D">
      <w:pPr>
        <w:ind w:firstLine="540"/>
        <w:jc w:val="both"/>
        <w:divId w:val="598176884"/>
        <w:rPr>
          <w:rFonts w:eastAsia="Times New Roman"/>
        </w:rPr>
      </w:pPr>
      <w:r>
        <w:rPr>
          <w:rFonts w:eastAsia="Times New Roman"/>
          <w:color w:val="000000"/>
          <w:sz w:val="20"/>
          <w:szCs w:val="20"/>
        </w:rPr>
        <w:t>Additional information relating to Design the Change can be found in our annual sustainability reports, which is available at our website at http://investor.ralphlauren.com under the caption "Global Citizenship &amp; Sustainability Repor</w:t>
      </w:r>
      <w:r>
        <w:rPr>
          <w:rFonts w:eastAsia="Times New Roman"/>
          <w:color w:val="000000"/>
          <w:sz w:val="20"/>
          <w:szCs w:val="20"/>
        </w:rPr>
        <w:t xml:space="preserve">t." Our 2022 Global Citizenship &amp; Sustainability Report is expected to be published in June 2022. The content of our sustainability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221528775"/>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221528775"/>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5</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32" style="width:0;height:1.5pt" o:hralign="center" o:hrstd="t" o:hr="t" fillcolor="#a0a0a0" stroked="f"/>
        </w:pict>
      </w:r>
    </w:p>
    <w:p w:rsidR="00000000" w:rsidRDefault="00BB5C2D">
      <w:pPr>
        <w:divId w:val="1414165869"/>
        <w:rPr>
          <w:rFonts w:eastAsia="Times New Roman"/>
        </w:rPr>
      </w:pPr>
    </w:p>
    <w:p w:rsidR="00000000" w:rsidRDefault="00BB5C2D">
      <w:pPr>
        <w:jc w:val="both"/>
        <w:divId w:val="593057346"/>
        <w:rPr>
          <w:rFonts w:eastAsia="Times New Roman"/>
        </w:rPr>
      </w:pPr>
      <w:r>
        <w:rPr>
          <w:rFonts w:eastAsia="Times New Roman"/>
          <w:color w:val="000000"/>
          <w:sz w:val="20"/>
          <w:szCs w:val="20"/>
        </w:rPr>
        <w:t xml:space="preserve">reports is not incorporated by reference into this Annual Report on Form 10-K or in any other report or document we file with the SEC. See Item 1A — </w:t>
      </w:r>
      <w:r>
        <w:rPr>
          <w:rFonts w:eastAsia="Times New Roman"/>
          <w:i/>
          <w:iCs/>
          <w:color w:val="000000"/>
          <w:sz w:val="20"/>
          <w:szCs w:val="20"/>
        </w:rPr>
        <w:t>"Risk Factors — Risks Related to Environmental, Social, and Governanc</w:t>
      </w:r>
      <w:r>
        <w:rPr>
          <w:rFonts w:eastAsia="Times New Roman"/>
          <w:i/>
          <w:iCs/>
          <w:color w:val="000000"/>
          <w:sz w:val="20"/>
          <w:szCs w:val="20"/>
        </w:rPr>
        <w:t xml:space="preserve">e Issues." </w:t>
      </w:r>
    </w:p>
    <w:p w:rsidR="00000000" w:rsidRDefault="00BB5C2D">
      <w:pPr>
        <w:jc w:val="center"/>
        <w:divId w:val="945116599"/>
        <w:rPr>
          <w:rFonts w:eastAsia="Times New Roman"/>
        </w:rPr>
      </w:pPr>
      <w:r>
        <w:rPr>
          <w:rFonts w:eastAsia="Times New Roman"/>
          <w:b/>
          <w:bCs/>
          <w:color w:val="000000"/>
          <w:sz w:val="20"/>
          <w:szCs w:val="20"/>
        </w:rPr>
        <w:t>Recent Developments</w:t>
      </w:r>
    </w:p>
    <w:p w:rsidR="00000000" w:rsidRDefault="00BB5C2D">
      <w:pPr>
        <w:ind w:firstLine="360"/>
        <w:jc w:val="both"/>
        <w:divId w:val="2033143145"/>
        <w:rPr>
          <w:rFonts w:eastAsia="Times New Roman"/>
        </w:rPr>
      </w:pPr>
      <w:r>
        <w:rPr>
          <w:rFonts w:eastAsia="Times New Roman"/>
          <w:b/>
          <w:bCs/>
          <w:i/>
          <w:iCs/>
          <w:color w:val="000000"/>
          <w:sz w:val="20"/>
          <w:szCs w:val="20"/>
        </w:rPr>
        <w:t>COVID-19 Pandemic</w:t>
      </w:r>
    </w:p>
    <w:p w:rsidR="00000000" w:rsidRDefault="00BB5C2D">
      <w:pPr>
        <w:ind w:firstLine="540"/>
        <w:jc w:val="both"/>
        <w:divId w:val="1382367819"/>
        <w:rPr>
          <w:rFonts w:eastAsia="Times New Roman"/>
        </w:rPr>
      </w:pPr>
      <w:r>
        <w:rPr>
          <w:rFonts w:eastAsia="Times New Roman"/>
          <w:color w:val="000000"/>
          <w:sz w:val="20"/>
          <w:szCs w:val="20"/>
        </w:rPr>
        <w:t xml:space="preserve">Beginning in the fourth quarter of our Fiscal 2020, a novel strain of coronavirus commonly referred to as COVID-19 emerged and spread rapidly across the globe, including throughout all major geographies in </w:t>
      </w:r>
      <w:r>
        <w:rPr>
          <w:rFonts w:eastAsia="Times New Roman"/>
          <w:color w:val="000000"/>
          <w:sz w:val="20"/>
          <w:szCs w:val="20"/>
        </w:rPr>
        <w:t>which we operate, resulting in adverse economic conditions and business disruptions, as well as significant volatility in global financial markets. Since then, governments worldwide have periodically imposed varying degrees of preventative and protective a</w:t>
      </w:r>
      <w:r>
        <w:rPr>
          <w:rFonts w:eastAsia="Times New Roman"/>
          <w:color w:val="000000"/>
          <w:sz w:val="20"/>
          <w:szCs w:val="20"/>
        </w:rPr>
        <w:t>ctions, such as temporary travel bans, forced business closures, and stay-at-home orders, all in an effort to reduce the spread of the virus. Such factors, among others, have resulted in a significant decline in retail traffic, tourism, and consumer spendi</w:t>
      </w:r>
      <w:r>
        <w:rPr>
          <w:rFonts w:eastAsia="Times New Roman"/>
          <w:color w:val="000000"/>
          <w:sz w:val="20"/>
          <w:szCs w:val="20"/>
        </w:rPr>
        <w:t>ng on discretionary items. Additionally, companies across a wide array of industries have implemented various initiatives to reduce operating expenses and preserve cash balances during the pandemic, including work furloughs, reduced pay, and severance acti</w:t>
      </w:r>
      <w:r>
        <w:rPr>
          <w:rFonts w:eastAsia="Times New Roman"/>
          <w:color w:val="000000"/>
          <w:sz w:val="20"/>
          <w:szCs w:val="20"/>
        </w:rPr>
        <w:t>ons, which could lower consumers' disposable income levels or willingness to purchase discretionary items. Such government restrictions, company initiatives, and other macroeconomic impacts resulting from the pandemic could continue to adversely affect con</w:t>
      </w:r>
      <w:r>
        <w:rPr>
          <w:rFonts w:eastAsia="Times New Roman"/>
          <w:color w:val="000000"/>
          <w:sz w:val="20"/>
          <w:szCs w:val="20"/>
        </w:rPr>
        <w:t>sumer behavior, spending levels, and/or shopping preferences, such as willingness to congregate in indoor shopping centers or other populated locations.</w:t>
      </w:r>
    </w:p>
    <w:p w:rsidR="00000000" w:rsidRDefault="00BB5C2D">
      <w:pPr>
        <w:ind w:firstLine="540"/>
        <w:jc w:val="both"/>
        <w:divId w:val="1698047133"/>
        <w:rPr>
          <w:rFonts w:eastAsia="Times New Roman"/>
        </w:rPr>
      </w:pPr>
      <w:r>
        <w:rPr>
          <w:rFonts w:eastAsia="Times New Roman"/>
          <w:color w:val="000000"/>
          <w:sz w:val="20"/>
          <w:szCs w:val="20"/>
        </w:rPr>
        <w:t>As a result of the COVID-19 pandemic, we have experienced varying degrees of business disruptions and p</w:t>
      </w:r>
      <w:r>
        <w:rPr>
          <w:rFonts w:eastAsia="Times New Roman"/>
          <w:color w:val="000000"/>
          <w:sz w:val="20"/>
          <w:szCs w:val="20"/>
        </w:rPr>
        <w:t>eriods of closure of our stores, distribution centers, and corporate facilities, as have our wholesale customers, licensing partners, suppliers, and vendors. During the first quarter of Fiscal 2021 at the peak of the pandemic, the majority of our stores in</w:t>
      </w:r>
      <w:r>
        <w:rPr>
          <w:rFonts w:eastAsia="Times New Roman"/>
          <w:color w:val="000000"/>
          <w:sz w:val="20"/>
          <w:szCs w:val="20"/>
        </w:rPr>
        <w:t xml:space="preserve"> key markets were closed for an average of 8 to 10 weeks due to government-mandated lockdowns and other restrictions, resulting in significant adverse impacts to our operating results. Resurgences and outbreaks in certain parts of the world resulted in fur</w:t>
      </w:r>
      <w:r>
        <w:rPr>
          <w:rFonts w:eastAsia="Times New Roman"/>
          <w:color w:val="000000"/>
          <w:sz w:val="20"/>
          <w:szCs w:val="20"/>
        </w:rPr>
        <w:t>ther business disruptions periodically throughout Fiscal 2021, most notably in Europe where a significant number of our stores were closed for approximately two to three months during the second half of Fiscal 2021, including during the holiday period, due</w:t>
      </w:r>
      <w:r>
        <w:rPr>
          <w:rFonts w:eastAsia="Times New Roman"/>
          <w:color w:val="000000"/>
          <w:sz w:val="20"/>
          <w:szCs w:val="20"/>
        </w:rPr>
        <w:t xml:space="preserve"> to government-mandated lockdowns and other restrictions. Such disruptions continued throughout Fiscal 2022 in certain regions, although to a lesser extent than the comparable prior year fiscal period. Further, throughout the course of the pandemic, the ma</w:t>
      </w:r>
      <w:r>
        <w:rPr>
          <w:rFonts w:eastAsia="Times New Roman"/>
          <w:color w:val="000000"/>
          <w:sz w:val="20"/>
          <w:szCs w:val="20"/>
        </w:rPr>
        <w:t>jority of our stores that were able to remain open have periodically been subject to limited operating hours and/or customer capacity levels in accordance with local health guidelines, with traffic remaining challenged. However, our digital commerce operat</w:t>
      </w:r>
      <w:r>
        <w:rPr>
          <w:rFonts w:eastAsia="Times New Roman"/>
          <w:color w:val="000000"/>
          <w:sz w:val="20"/>
          <w:szCs w:val="20"/>
        </w:rPr>
        <w:t xml:space="preserve">ions have grown significantly from pre-pandemic levels, due in part to our investments and enhanced capabilities, as well as changes in consumer shopping preferences. Our wholesale and licensing businesses have experienced similar impacts, particularly in </w:t>
      </w:r>
      <w:r>
        <w:rPr>
          <w:rFonts w:eastAsia="Times New Roman"/>
          <w:color w:val="000000"/>
          <w:sz w:val="20"/>
          <w:szCs w:val="20"/>
        </w:rPr>
        <w:t>North America and Europe.</w:t>
      </w:r>
    </w:p>
    <w:p w:rsidR="00000000" w:rsidRDefault="00BB5C2D">
      <w:pPr>
        <w:ind w:firstLine="540"/>
        <w:jc w:val="both"/>
        <w:divId w:val="535197119"/>
        <w:rPr>
          <w:rFonts w:eastAsia="Times New Roman"/>
        </w:rPr>
      </w:pPr>
      <w:r>
        <w:rPr>
          <w:rFonts w:eastAsia="Times New Roman"/>
          <w:color w:val="000000"/>
          <w:sz w:val="20"/>
          <w:szCs w:val="20"/>
        </w:rPr>
        <w:t>The COVID-19 pandemic also continues to adversely impact our distribution, logistic, and sourcing partners, including temporary factory closures, labor shortages, vessel, container and other transportation shortages, and port cong</w:t>
      </w:r>
      <w:r>
        <w:rPr>
          <w:rFonts w:eastAsia="Times New Roman"/>
          <w:color w:val="000000"/>
          <w:sz w:val="20"/>
          <w:szCs w:val="20"/>
        </w:rPr>
        <w:t>estion. Such disruptions have reduced the availability of inventory, delayed timing of inventory receipts, and resulted in increased costs for the both the purchase and transportation of such inventory.</w:t>
      </w:r>
    </w:p>
    <w:p w:rsidR="00000000" w:rsidRDefault="00BB5C2D">
      <w:pPr>
        <w:ind w:firstLine="540"/>
        <w:jc w:val="both"/>
        <w:divId w:val="1364095611"/>
        <w:rPr>
          <w:rFonts w:eastAsia="Times New Roman"/>
        </w:rPr>
      </w:pPr>
      <w:r>
        <w:rPr>
          <w:rFonts w:eastAsia="Times New Roman"/>
          <w:color w:val="000000"/>
          <w:sz w:val="20"/>
          <w:szCs w:val="20"/>
        </w:rPr>
        <w:t>Throughout the course of the pandemic, our priority has been to ensure the safety and well-being of our employees, customers, and the communities in which we operate around the world. We continue to consider the guidance of local governments and global hea</w:t>
      </w:r>
      <w:r>
        <w:rPr>
          <w:rFonts w:eastAsia="Times New Roman"/>
          <w:color w:val="000000"/>
          <w:sz w:val="20"/>
          <w:szCs w:val="20"/>
        </w:rPr>
        <w:t>lth organizations and have implemented new health and safety protocols in our stores, distribution centers, and corporate facilities. We also took various preemptive actions in the prior fiscal year to preserve cash and strengthen our liquidity position, a</w:t>
      </w:r>
      <w:r>
        <w:rPr>
          <w:rFonts w:eastAsia="Times New Roman"/>
          <w:color w:val="000000"/>
          <w:sz w:val="20"/>
          <w:szCs w:val="20"/>
        </w:rPr>
        <w:t>s described in the Fiscal 2021 10-K. Such actions included, but were not limited to, issuing $1.250 billion of unsecured senior notes, temporarily suspending our quarterly cash dividend and common stock repurchase programs, temporarily reducing the base co</w:t>
      </w:r>
      <w:r>
        <w:rPr>
          <w:rFonts w:eastAsia="Times New Roman"/>
          <w:color w:val="000000"/>
          <w:sz w:val="20"/>
          <w:szCs w:val="20"/>
        </w:rPr>
        <w:t>mpensation of our executives and senior management team, and temporarily furloughing or reducing work hours for a significant portion of our employees.</w:t>
      </w:r>
    </w:p>
    <w:p w:rsidR="00000000" w:rsidRDefault="00BB5C2D">
      <w:pPr>
        <w:ind w:firstLine="540"/>
        <w:jc w:val="both"/>
        <w:divId w:val="37248556"/>
        <w:rPr>
          <w:rFonts w:eastAsia="Times New Roman"/>
        </w:rPr>
      </w:pPr>
      <w:r>
        <w:rPr>
          <w:rFonts w:eastAsia="Times New Roman"/>
          <w:color w:val="000000"/>
          <w:sz w:val="20"/>
          <w:szCs w:val="20"/>
        </w:rPr>
        <w:t>Despite the introduction of COVID-19 vaccines and improvements in the global economy as a whole during F</w:t>
      </w:r>
      <w:r>
        <w:rPr>
          <w:rFonts w:eastAsia="Times New Roman"/>
          <w:color w:val="000000"/>
          <w:sz w:val="20"/>
          <w:szCs w:val="20"/>
        </w:rPr>
        <w:t>iscal 2022, the pandemic remains volatile and continues to evolve, including the emergence of variants of the virus, such as the Delta and Omicron variants, which has and could continue to adversely affect consumer sentiment and confidence. Accordingly, we</w:t>
      </w:r>
      <w:r>
        <w:rPr>
          <w:rFonts w:eastAsia="Times New Roman"/>
          <w:color w:val="000000"/>
          <w:sz w:val="20"/>
          <w:szCs w:val="20"/>
        </w:rPr>
        <w:t xml:space="preserve"> cannot predict for how long and to what extent the pandemic will continue to impact our business operations or the overall global economy. We will continue to assess our operations location-by-location, considering the guidance of local governments and gl</w:t>
      </w:r>
      <w:r>
        <w:rPr>
          <w:rFonts w:eastAsia="Times New Roman"/>
          <w:color w:val="000000"/>
          <w:sz w:val="20"/>
          <w:szCs w:val="20"/>
        </w:rPr>
        <w:t xml:space="preserve">obal health organizations. </w:t>
      </w:r>
    </w:p>
    <w:p w:rsidR="00000000" w:rsidRDefault="00BB5C2D">
      <w:pPr>
        <w:ind w:firstLine="540"/>
        <w:jc w:val="both"/>
        <w:divId w:val="1875389804"/>
        <w:rPr>
          <w:rFonts w:eastAsia="Times New Roman"/>
        </w:rPr>
      </w:pPr>
      <w:r>
        <w:rPr>
          <w:rFonts w:eastAsia="Times New Roman"/>
          <w:color w:val="000000"/>
          <w:sz w:val="20"/>
          <w:szCs w:val="20"/>
        </w:rPr>
        <w:t>See Item 1A — "</w:t>
      </w:r>
      <w:r>
        <w:rPr>
          <w:rFonts w:eastAsia="Times New Roman"/>
          <w:i/>
          <w:iCs/>
          <w:color w:val="000000"/>
          <w:sz w:val="20"/>
          <w:szCs w:val="20"/>
        </w:rPr>
        <w:t>Risk Factors </w:t>
      </w:r>
      <w:r>
        <w:rPr>
          <w:rFonts w:eastAsia="Times New Roman"/>
          <w:color w:val="000000"/>
          <w:sz w:val="20"/>
          <w:szCs w:val="20"/>
        </w:rPr>
        <w:t xml:space="preserve">— </w:t>
      </w:r>
      <w:r>
        <w:rPr>
          <w:rFonts w:eastAsia="Times New Roman"/>
          <w:i/>
          <w:iCs/>
          <w:color w:val="000000"/>
          <w:sz w:val="20"/>
          <w:szCs w:val="20"/>
        </w:rPr>
        <w:t xml:space="preserve">Risks Related to Macroeconomic Conditions </w:t>
      </w:r>
      <w:r>
        <w:rPr>
          <w:rFonts w:eastAsia="Times New Roman"/>
          <w:color w:val="000000"/>
          <w:sz w:val="20"/>
          <w:szCs w:val="20"/>
        </w:rPr>
        <w:t>—</w:t>
      </w:r>
      <w:r>
        <w:rPr>
          <w:rFonts w:eastAsia="Times New Roman"/>
          <w:i/>
          <w:iCs/>
          <w:color w:val="000000"/>
          <w:sz w:val="20"/>
          <w:szCs w:val="20"/>
        </w:rPr>
        <w:t> Infectious disease outbreaks, such as the COVID-19 pandemic, could have a material adverse effect on our business</w:t>
      </w:r>
      <w:r>
        <w:rPr>
          <w:rFonts w:eastAsia="Times New Roman"/>
          <w:color w:val="000000"/>
          <w:sz w:val="20"/>
          <w:szCs w:val="20"/>
        </w:rPr>
        <w:t>"</w:t>
      </w:r>
      <w:r>
        <w:rPr>
          <w:rFonts w:eastAsia="Times New Roman"/>
          <w:i/>
          <w:iCs/>
          <w:color w:val="000000"/>
          <w:sz w:val="20"/>
          <w:szCs w:val="20"/>
        </w:rPr>
        <w:t xml:space="preserve"> </w:t>
      </w:r>
      <w:r>
        <w:rPr>
          <w:rFonts w:eastAsia="Times New Roman"/>
          <w:color w:val="000000"/>
          <w:sz w:val="20"/>
          <w:szCs w:val="20"/>
        </w:rPr>
        <w:t>for additional discussion regarding ris</w:t>
      </w:r>
      <w:r>
        <w:rPr>
          <w:rFonts w:eastAsia="Times New Roman"/>
          <w:color w:val="000000"/>
          <w:sz w:val="20"/>
          <w:szCs w:val="20"/>
        </w:rPr>
        <w:t>ks to our business associated with the COVID-19 pandemic.</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510415269"/>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510415269"/>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6</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33" style="width:0;height:1.5pt" o:hralign="center" o:hrstd="t" o:hr="t" fillcolor="#a0a0a0" stroked="f"/>
        </w:pict>
      </w:r>
    </w:p>
    <w:p w:rsidR="00000000" w:rsidRDefault="00BB5C2D">
      <w:pPr>
        <w:divId w:val="1158885522"/>
        <w:rPr>
          <w:rFonts w:eastAsia="Times New Roman"/>
        </w:rPr>
      </w:pPr>
    </w:p>
    <w:p w:rsidR="00000000" w:rsidRDefault="00BB5C2D">
      <w:pPr>
        <w:ind w:firstLine="360"/>
        <w:jc w:val="both"/>
        <w:divId w:val="1109158507"/>
        <w:rPr>
          <w:rFonts w:eastAsia="Times New Roman"/>
        </w:rPr>
      </w:pPr>
      <w:r>
        <w:rPr>
          <w:rFonts w:eastAsia="Times New Roman"/>
          <w:b/>
          <w:bCs/>
          <w:i/>
          <w:iCs/>
          <w:color w:val="000000"/>
          <w:sz w:val="20"/>
          <w:szCs w:val="20"/>
        </w:rPr>
        <w:t>Fiscal 2021 Strategic Realignment Plan</w:t>
      </w:r>
    </w:p>
    <w:p w:rsidR="00000000" w:rsidRDefault="00BB5C2D">
      <w:pPr>
        <w:ind w:firstLine="540"/>
        <w:jc w:val="both"/>
        <w:divId w:val="803355152"/>
        <w:rPr>
          <w:rFonts w:eastAsia="Times New Roman"/>
        </w:rPr>
      </w:pPr>
      <w:r>
        <w:rPr>
          <w:rFonts w:eastAsia="Times New Roman"/>
          <w:color w:val="000000"/>
          <w:sz w:val="20"/>
          <w:szCs w:val="20"/>
        </w:rPr>
        <w:t>We have undertaken efforts to realign our resources to support future growth and profitability, and to create a sustainable, enhanced cost structure. The key initiatives underlying these efforts involve evaluation of our: (i) team organizational structures</w:t>
      </w:r>
      <w:r>
        <w:rPr>
          <w:rFonts w:eastAsia="Times New Roman"/>
          <w:color w:val="000000"/>
          <w:sz w:val="20"/>
          <w:szCs w:val="20"/>
        </w:rPr>
        <w:t xml:space="preserve"> and ways of working; (ii) real estate footprint and related costs across our corporate offices, distribution centers, and direct-to-consumer retail and wholesale doors; and (iii) brand portfolio.</w:t>
      </w:r>
    </w:p>
    <w:p w:rsidR="00000000" w:rsidRDefault="00BB5C2D">
      <w:pPr>
        <w:ind w:firstLine="540"/>
        <w:jc w:val="both"/>
        <w:divId w:val="402875194"/>
        <w:rPr>
          <w:rFonts w:eastAsia="Times New Roman"/>
        </w:rPr>
      </w:pPr>
      <w:r>
        <w:rPr>
          <w:rFonts w:eastAsia="Times New Roman"/>
          <w:color w:val="000000"/>
          <w:sz w:val="20"/>
          <w:szCs w:val="20"/>
        </w:rPr>
        <w:t>In connection with the first initiative, on September 17, 2</w:t>
      </w:r>
      <w:r>
        <w:rPr>
          <w:rFonts w:eastAsia="Times New Roman"/>
          <w:color w:val="000000"/>
          <w:sz w:val="20"/>
          <w:szCs w:val="20"/>
        </w:rPr>
        <w:t xml:space="preserve">020, our Board of Directors approved a restructuring plan (the "Fiscal 2021 Strategic Realignment Plan") to reduce our global workforce. Additionally, during a preliminary review of our store portfolio during the second quarter of Fiscal 2021, we made the </w:t>
      </w:r>
      <w:r>
        <w:rPr>
          <w:rFonts w:eastAsia="Times New Roman"/>
          <w:color w:val="000000"/>
          <w:sz w:val="20"/>
          <w:szCs w:val="20"/>
        </w:rPr>
        <w:t xml:space="preserve">decision to close our Polo store on Regent Street in London. </w:t>
      </w:r>
    </w:p>
    <w:p w:rsidR="00000000" w:rsidRDefault="00BB5C2D">
      <w:pPr>
        <w:ind w:firstLine="540"/>
        <w:jc w:val="both"/>
        <w:divId w:val="1169448556"/>
        <w:rPr>
          <w:rFonts w:eastAsia="Times New Roman"/>
        </w:rPr>
      </w:pPr>
      <w:r>
        <w:rPr>
          <w:rFonts w:eastAsia="Times New Roman"/>
          <w:color w:val="000000"/>
          <w:sz w:val="20"/>
          <w:szCs w:val="20"/>
        </w:rPr>
        <w:t xml:space="preserve">Shortly thereafter, on October 29, 2020, we announced the planned transition of our Chaps brand to a fully licensed business model, consistent with our long-term brand elevation strategy and in </w:t>
      </w:r>
      <w:r>
        <w:rPr>
          <w:rFonts w:eastAsia="Times New Roman"/>
          <w:color w:val="000000"/>
          <w:sz w:val="20"/>
          <w:szCs w:val="20"/>
        </w:rPr>
        <w:t>connection with our third initiative. Specifically, we have entered into a multi-year licensing partnership, which took effect on August 1, 2021 following a transition period, with an affiliate of 5 Star Apparel LLC, a division of the OVED Group, to manufa</w:t>
      </w:r>
      <w:r>
        <w:rPr>
          <w:rFonts w:eastAsia="Times New Roman"/>
          <w:color w:val="000000"/>
          <w:sz w:val="20"/>
          <w:szCs w:val="20"/>
        </w:rPr>
        <w:t>cture, market, and distribute Chaps menswear and womenswear. The products are being sold at existing channels of distribution with opportunities for expansion into additional channels and markets globally. This agreement has created incremental value for t</w:t>
      </w:r>
      <w:r>
        <w:rPr>
          <w:rFonts w:eastAsia="Times New Roman"/>
          <w:color w:val="000000"/>
          <w:sz w:val="20"/>
          <w:szCs w:val="20"/>
        </w:rPr>
        <w:t>he Company by enabling an even greater focus on elevating our core brands in the marketplace, reducing our direct exposure to the North America department store channel, and setting up Chaps to deliver on its potential with an experienced partner that is f</w:t>
      </w:r>
      <w:r>
        <w:rPr>
          <w:rFonts w:eastAsia="Times New Roman"/>
          <w:color w:val="000000"/>
          <w:sz w:val="20"/>
          <w:szCs w:val="20"/>
        </w:rPr>
        <w:t>ocused on nurturing the brand.</w:t>
      </w:r>
    </w:p>
    <w:p w:rsidR="00000000" w:rsidRDefault="00BB5C2D">
      <w:pPr>
        <w:ind w:firstLine="540"/>
        <w:jc w:val="both"/>
        <w:divId w:val="84763144"/>
        <w:rPr>
          <w:rFonts w:eastAsia="Times New Roman"/>
        </w:rPr>
      </w:pPr>
      <w:r>
        <w:rPr>
          <w:rFonts w:eastAsia="Times New Roman"/>
          <w:color w:val="000000"/>
          <w:sz w:val="20"/>
          <w:szCs w:val="20"/>
        </w:rPr>
        <w:t>Later, on February 3, 2021, our Board of Directors approved additional actions related to our real estate initiative. Specifically, we are in the process of further rightsizing and consolidating our global corporate offices t</w:t>
      </w:r>
      <w:r>
        <w:rPr>
          <w:rFonts w:eastAsia="Times New Roman"/>
          <w:color w:val="000000"/>
          <w:sz w:val="20"/>
          <w:szCs w:val="20"/>
        </w:rPr>
        <w:t xml:space="preserve">o better align with our organizational profile and new ways of working. We also have closed, and may continue to close, certain of our stores to improve overall profitability. Additionally, we further consolidated our North America distribution centers in </w:t>
      </w:r>
      <w:r>
        <w:rPr>
          <w:rFonts w:eastAsia="Times New Roman"/>
          <w:color w:val="000000"/>
          <w:sz w:val="20"/>
          <w:szCs w:val="20"/>
        </w:rPr>
        <w:t>order to drive greater efficiencies, improve sustainability, and deliver a better consumer experience.</w:t>
      </w:r>
    </w:p>
    <w:p w:rsidR="00000000" w:rsidRDefault="00BB5C2D">
      <w:pPr>
        <w:ind w:firstLine="540"/>
        <w:jc w:val="both"/>
        <w:divId w:val="1872911538"/>
        <w:rPr>
          <w:rFonts w:eastAsia="Times New Roman"/>
        </w:rPr>
      </w:pPr>
      <w:r>
        <w:rPr>
          <w:rFonts w:eastAsia="Times New Roman"/>
          <w:color w:val="000000"/>
          <w:sz w:val="20"/>
          <w:szCs w:val="20"/>
        </w:rPr>
        <w:t>Finally, on June 26, 2021, in connection with our brand portfolio initiative, we sold our former Club Monaco business to Regent, L.P. ("Regent"), a globa</w:t>
      </w:r>
      <w:r>
        <w:rPr>
          <w:rFonts w:eastAsia="Times New Roman"/>
          <w:color w:val="000000"/>
          <w:sz w:val="20"/>
          <w:szCs w:val="20"/>
        </w:rPr>
        <w:t>l private equity firm, with no resulting gain or loss on sale realized during the first quarter of Fiscal 2022. Regent acquired Club Monaco's assets and liabilities in exchange for potential future cash consideration payable to us, including earn-out payme</w:t>
      </w:r>
      <w:r>
        <w:rPr>
          <w:rFonts w:eastAsia="Times New Roman"/>
          <w:color w:val="000000"/>
          <w:sz w:val="20"/>
          <w:szCs w:val="20"/>
        </w:rPr>
        <w:t>nts based on Club Monaco meeting certain defined revenue thresholds over a five-year period. Accordingly, we may realize amounts in the future related to the receipt of such contingent consideration. Additionally, in connection with this divestiture, we ar</w:t>
      </w:r>
      <w:r>
        <w:rPr>
          <w:rFonts w:eastAsia="Times New Roman"/>
          <w:color w:val="000000"/>
          <w:sz w:val="20"/>
          <w:szCs w:val="20"/>
        </w:rPr>
        <w:t xml:space="preserve">e providing Regent with certain operational support for a transitional period of approximately one year, varying by functional area. </w:t>
      </w:r>
    </w:p>
    <w:p w:rsidR="00000000" w:rsidRDefault="00BB5C2D">
      <w:pPr>
        <w:ind w:firstLine="540"/>
        <w:jc w:val="both"/>
        <w:divId w:val="942761371"/>
        <w:rPr>
          <w:rFonts w:eastAsia="Times New Roman"/>
        </w:rPr>
      </w:pPr>
      <w:r>
        <w:rPr>
          <w:rFonts w:eastAsia="Times New Roman"/>
          <w:color w:val="000000"/>
          <w:sz w:val="20"/>
          <w:szCs w:val="20"/>
        </w:rPr>
        <w:t>In connection with the Fiscal 2021 Strategic Realignment Plan, we have recorded cumulative pre-tax charges of $262.1 milli</w:t>
      </w:r>
      <w:r>
        <w:rPr>
          <w:rFonts w:eastAsia="Times New Roman"/>
          <w:color w:val="000000"/>
          <w:sz w:val="20"/>
          <w:szCs w:val="20"/>
        </w:rPr>
        <w:t xml:space="preserve">on, of which $25.3 million and $236.8 million were recorded during Fiscal 2022 and Fiscal 2021, respectively. Actions associated with the Fiscal 2021 Strategic Realignment Plan were substantially completed by the end of Fiscal 2022, with certain remaining </w:t>
      </w:r>
      <w:r>
        <w:rPr>
          <w:rFonts w:eastAsia="Times New Roman"/>
          <w:color w:val="000000"/>
          <w:sz w:val="20"/>
          <w:szCs w:val="20"/>
        </w:rPr>
        <w:t xml:space="preserve">actions expected to be completed during Fiscal 2023. We now expect total charges of up to $300 million to be incurred in connection with this plan, consisting of cash-related charges of approximately $180 million and non-cash charges of approximately $120 </w:t>
      </w:r>
      <w:r>
        <w:rPr>
          <w:rFonts w:eastAsia="Times New Roman"/>
          <w:color w:val="000000"/>
          <w:sz w:val="20"/>
          <w:szCs w:val="20"/>
        </w:rPr>
        <w:t>million. Actions associated with this plan are expected to result in gross annualized pre-tax expense savings of approximately $200 million, a portion of which is being reinvested back into the business.</w:t>
      </w:r>
    </w:p>
    <w:p w:rsidR="00000000" w:rsidRDefault="00BB5C2D">
      <w:pPr>
        <w:ind w:firstLine="540"/>
        <w:jc w:val="both"/>
        <w:divId w:val="54281326"/>
        <w:rPr>
          <w:rFonts w:eastAsia="Times New Roman"/>
        </w:rPr>
      </w:pPr>
      <w:r>
        <w:rPr>
          <w:rFonts w:eastAsia="Times New Roman"/>
          <w:color w:val="000000"/>
          <w:sz w:val="20"/>
          <w:szCs w:val="20"/>
        </w:rPr>
        <w:t>See Note 9 to our accompanying consolidated financia</w:t>
      </w:r>
      <w:r>
        <w:rPr>
          <w:rFonts w:eastAsia="Times New Roman"/>
          <w:color w:val="000000"/>
          <w:sz w:val="20"/>
          <w:szCs w:val="20"/>
        </w:rPr>
        <w:t xml:space="preserve">l statements for additional discussion regarding charges recorded in connection with the Fiscal 2021 Strategic Restructuring Plan.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2043171134"/>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2043171134"/>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7</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34" style="width:0;height:1.5pt" o:hralign="center" o:hrstd="t" o:hr="t" fillcolor="#a0a0a0" stroked="f"/>
        </w:pict>
      </w:r>
    </w:p>
    <w:p w:rsidR="00000000" w:rsidRDefault="00BB5C2D">
      <w:pPr>
        <w:divId w:val="627667369"/>
        <w:rPr>
          <w:rFonts w:eastAsia="Times New Roman"/>
        </w:rPr>
      </w:pPr>
    </w:p>
    <w:p w:rsidR="00000000" w:rsidRDefault="00BB5C2D">
      <w:pPr>
        <w:jc w:val="center"/>
        <w:divId w:val="1324746671"/>
        <w:rPr>
          <w:rFonts w:eastAsia="Times New Roman"/>
        </w:rPr>
      </w:pPr>
      <w:r>
        <w:rPr>
          <w:rFonts w:eastAsia="Times New Roman"/>
          <w:b/>
          <w:bCs/>
          <w:color w:val="000000"/>
          <w:sz w:val="20"/>
          <w:szCs w:val="20"/>
        </w:rPr>
        <w:t>Our Brands and Products</w:t>
      </w:r>
    </w:p>
    <w:p w:rsidR="00000000" w:rsidRDefault="00BB5C2D">
      <w:pPr>
        <w:ind w:firstLine="540"/>
        <w:jc w:val="both"/>
        <w:divId w:val="1403018061"/>
        <w:rPr>
          <w:rFonts w:eastAsia="Times New Roman"/>
        </w:rPr>
      </w:pPr>
      <w:r>
        <w:rPr>
          <w:rFonts w:eastAsia="Times New Roman"/>
          <w:color w:val="000000"/>
          <w:sz w:val="20"/>
          <w:szCs w:val="20"/>
        </w:rPr>
        <w:t>Our products, which include apparel, footwear, accessories, and fragrance collections for men and women, as well as childrenswear and home furnishings, together with our hospitality portfolio, c</w:t>
      </w:r>
      <w:r>
        <w:rPr>
          <w:rFonts w:eastAsia="Times New Roman"/>
          <w:color w:val="000000"/>
          <w:sz w:val="20"/>
          <w:szCs w:val="20"/>
        </w:rPr>
        <w:t>omprise one of the most widely recognized families of consumer brands. Reflecting a distinctive American perspective, we have been an innovator in aspirational lifestyle branding and believe that, under the direction of internationally renowned designer Mr</w:t>
      </w:r>
      <w:r>
        <w:rPr>
          <w:rFonts w:eastAsia="Times New Roman"/>
          <w:color w:val="000000"/>
          <w:sz w:val="20"/>
          <w:szCs w:val="20"/>
        </w:rPr>
        <w:t xml:space="preserve">. Ralph Lauren, we have had a considerable influence on the way people dress and the way that fashion is advertised throughout the world. </w:t>
      </w:r>
    </w:p>
    <w:p w:rsidR="00000000" w:rsidRDefault="00BB5C2D">
      <w:pPr>
        <w:ind w:firstLine="540"/>
        <w:jc w:val="both"/>
        <w:divId w:val="773132184"/>
        <w:rPr>
          <w:rFonts w:eastAsia="Times New Roman"/>
        </w:rPr>
      </w:pPr>
      <w:r>
        <w:rPr>
          <w:rFonts w:eastAsia="Times New Roman"/>
          <w:color w:val="000000"/>
          <w:sz w:val="20"/>
          <w:szCs w:val="20"/>
        </w:rPr>
        <w:t>We combine consumer insight with our design, marketing, and imaging skills to offer, along with our licensing allianc</w:t>
      </w:r>
      <w:r>
        <w:rPr>
          <w:rFonts w:eastAsia="Times New Roman"/>
          <w:color w:val="000000"/>
          <w:sz w:val="20"/>
          <w:szCs w:val="20"/>
        </w:rPr>
        <w:t>es, broad lifestyle product collections with a unified vision:</w:t>
      </w:r>
    </w:p>
    <w:p w:rsidR="00000000" w:rsidRDefault="00BB5C2D">
      <w:pPr>
        <w:ind w:hanging="360"/>
        <w:jc w:val="both"/>
        <w:divId w:val="1337801749"/>
        <w:rPr>
          <w:rFonts w:eastAsia="Times New Roman"/>
        </w:rPr>
      </w:pPr>
      <w:r>
        <w:rPr>
          <w:rFonts w:eastAsia="Times New Roman"/>
          <w:color w:val="000000"/>
          <w:sz w:val="20"/>
          <w:szCs w:val="20"/>
        </w:rPr>
        <w:t>•</w:t>
      </w:r>
      <w:r>
        <w:rPr>
          <w:rFonts w:eastAsia="Times New Roman"/>
          <w:i/>
          <w:iCs/>
          <w:color w:val="000000"/>
          <w:sz w:val="20"/>
          <w:szCs w:val="20"/>
        </w:rPr>
        <w:t>Apparel </w:t>
      </w:r>
      <w:r>
        <w:rPr>
          <w:rFonts w:eastAsia="Times New Roman"/>
          <w:color w:val="000000"/>
          <w:sz w:val="20"/>
          <w:szCs w:val="20"/>
        </w:rPr>
        <w:t>— Our apparel products include extensive collections of men's, women's, and children's clothing, which are sold under various brand names, including Ralph Lauren Collection, Ralph Laur</w:t>
      </w:r>
      <w:r>
        <w:rPr>
          <w:rFonts w:eastAsia="Times New Roman"/>
          <w:color w:val="000000"/>
          <w:sz w:val="20"/>
          <w:szCs w:val="20"/>
        </w:rPr>
        <w:t>en Purple Label, Polo Ralph Lauren, Double RL, Lauren Ralph Lauren, Polo Golf Ralph Lauren, Ralph Lauren Golf, RLX Ralph Lauren, Polo Ralph Lauren Children, and Chaps, among others.</w:t>
      </w:r>
    </w:p>
    <w:p w:rsidR="00000000" w:rsidRDefault="00BB5C2D">
      <w:pPr>
        <w:ind w:hanging="360"/>
        <w:jc w:val="both"/>
        <w:divId w:val="383725172"/>
        <w:rPr>
          <w:rFonts w:eastAsia="Times New Roman"/>
        </w:rPr>
      </w:pPr>
      <w:r>
        <w:rPr>
          <w:rFonts w:eastAsia="Times New Roman"/>
          <w:color w:val="000000"/>
          <w:sz w:val="20"/>
          <w:szCs w:val="20"/>
        </w:rPr>
        <w:t>•</w:t>
      </w:r>
      <w:r>
        <w:rPr>
          <w:rFonts w:eastAsia="Times New Roman"/>
          <w:i/>
          <w:iCs/>
          <w:color w:val="000000"/>
          <w:sz w:val="20"/>
          <w:szCs w:val="20"/>
        </w:rPr>
        <w:t>Footwear and Accessories </w:t>
      </w:r>
      <w:r>
        <w:rPr>
          <w:rFonts w:eastAsia="Times New Roman"/>
          <w:color w:val="000000"/>
          <w:sz w:val="20"/>
          <w:szCs w:val="20"/>
        </w:rPr>
        <w:t>— Our range of footwear and accessories encompas</w:t>
      </w:r>
      <w:r>
        <w:rPr>
          <w:rFonts w:eastAsia="Times New Roman"/>
          <w:color w:val="000000"/>
          <w:sz w:val="20"/>
          <w:szCs w:val="20"/>
        </w:rPr>
        <w:t>ses men's, women's, and children's, including casual shoes, dress shoes, boots, sneakers, sandals, eyewear, watches, fashion and fine jewelry, scarves, hats, gloves, umbrellas, and leather goods, including handbags, luggage, small leather goods, and belts,</w:t>
      </w:r>
      <w:r>
        <w:rPr>
          <w:rFonts w:eastAsia="Times New Roman"/>
          <w:color w:val="000000"/>
          <w:sz w:val="20"/>
          <w:szCs w:val="20"/>
        </w:rPr>
        <w:t xml:space="preserve"> which are sold under our Ralph Lauren Collection, Ralph Lauren Purple Label, Double RL, Polo Ralph Lauren, Lauren Ralph Lauren, Polo Ralph Lauren Children, and Chaps brands.</w:t>
      </w:r>
    </w:p>
    <w:p w:rsidR="00000000" w:rsidRDefault="00BB5C2D">
      <w:pPr>
        <w:ind w:hanging="360"/>
        <w:jc w:val="both"/>
        <w:divId w:val="993290283"/>
        <w:rPr>
          <w:rFonts w:eastAsia="Times New Roman"/>
        </w:rPr>
      </w:pPr>
      <w:r>
        <w:rPr>
          <w:rFonts w:eastAsia="Times New Roman"/>
          <w:color w:val="000000"/>
          <w:sz w:val="20"/>
          <w:szCs w:val="20"/>
        </w:rPr>
        <w:t>•</w:t>
      </w:r>
      <w:r>
        <w:rPr>
          <w:rFonts w:eastAsia="Times New Roman"/>
          <w:i/>
          <w:iCs/>
          <w:color w:val="000000"/>
          <w:sz w:val="20"/>
          <w:szCs w:val="20"/>
        </w:rPr>
        <w:t>Fragrance </w:t>
      </w:r>
      <w:r>
        <w:rPr>
          <w:rFonts w:eastAsia="Times New Roman"/>
          <w:color w:val="000000"/>
          <w:sz w:val="20"/>
          <w:szCs w:val="20"/>
        </w:rPr>
        <w:t xml:space="preserve">— Our fragrance offerings capture the essence of Ralph Lauren's men's </w:t>
      </w:r>
      <w:r>
        <w:rPr>
          <w:rFonts w:eastAsia="Times New Roman"/>
          <w:color w:val="000000"/>
          <w:sz w:val="20"/>
          <w:szCs w:val="20"/>
        </w:rPr>
        <w:t>and women's brands with numerous labels, designed to appeal to a variety of audiences. Women's fragrance products are sold under our Ralph Lauren Collection, Woman by Ralph Lauren, Romance Collection, and Ralph Collection. Men's fragrance products are sold</w:t>
      </w:r>
      <w:r>
        <w:rPr>
          <w:rFonts w:eastAsia="Times New Roman"/>
          <w:color w:val="000000"/>
          <w:sz w:val="20"/>
          <w:szCs w:val="20"/>
        </w:rPr>
        <w:t xml:space="preserve"> under our Polo Blue, Ralph's Club, Purple Label, Polo Red, Polo Green, Polo Black, Safari, Polo Sport, and Big Pony Men's brands.</w:t>
      </w:r>
    </w:p>
    <w:p w:rsidR="00000000" w:rsidRDefault="00BB5C2D">
      <w:pPr>
        <w:ind w:hanging="360"/>
        <w:jc w:val="both"/>
        <w:divId w:val="1488983404"/>
        <w:rPr>
          <w:rFonts w:eastAsia="Times New Roman"/>
        </w:rPr>
      </w:pPr>
      <w:r>
        <w:rPr>
          <w:rFonts w:eastAsia="Times New Roman"/>
          <w:color w:val="000000"/>
          <w:sz w:val="20"/>
          <w:szCs w:val="20"/>
        </w:rPr>
        <w:t>•</w:t>
      </w:r>
      <w:r>
        <w:rPr>
          <w:rFonts w:eastAsia="Times New Roman"/>
          <w:i/>
          <w:iCs/>
          <w:color w:val="000000"/>
          <w:sz w:val="20"/>
          <w:szCs w:val="20"/>
        </w:rPr>
        <w:t>Home </w:t>
      </w:r>
      <w:r>
        <w:rPr>
          <w:rFonts w:eastAsia="Times New Roman"/>
          <w:color w:val="000000"/>
          <w:sz w:val="20"/>
          <w:szCs w:val="20"/>
        </w:rPr>
        <w:t xml:space="preserve">— Our home collections, which are sold under our Ralph Lauren, Polo, Lauren by Ralph Lauren, and Chaps brands, reflect </w:t>
      </w:r>
      <w:r>
        <w:rPr>
          <w:rFonts w:eastAsia="Times New Roman"/>
          <w:color w:val="000000"/>
          <w:sz w:val="20"/>
          <w:szCs w:val="20"/>
        </w:rPr>
        <w:t>the spirit of the Ralph Lauren lifestyle. Our range of home products includes bed and bath lines, furniture, fabric and wallcoverings, lighting, tabletop, kitchen linens, floor coverings, and giftware.</w:t>
      </w:r>
    </w:p>
    <w:p w:rsidR="00000000" w:rsidRDefault="00BB5C2D">
      <w:pPr>
        <w:ind w:hanging="360"/>
        <w:jc w:val="both"/>
        <w:divId w:val="1845852143"/>
        <w:rPr>
          <w:rFonts w:eastAsia="Times New Roman"/>
        </w:rPr>
      </w:pPr>
      <w:r>
        <w:rPr>
          <w:rFonts w:eastAsia="Times New Roman"/>
          <w:color w:val="000000"/>
          <w:sz w:val="20"/>
          <w:szCs w:val="20"/>
        </w:rPr>
        <w:t>•</w:t>
      </w:r>
      <w:r>
        <w:rPr>
          <w:rFonts w:eastAsia="Times New Roman"/>
          <w:i/>
          <w:iCs/>
          <w:color w:val="000000"/>
          <w:sz w:val="20"/>
          <w:szCs w:val="20"/>
        </w:rPr>
        <w:t xml:space="preserve">Hospitality </w:t>
      </w:r>
      <w:r>
        <w:rPr>
          <w:rFonts w:eastAsia="Times New Roman"/>
          <w:color w:val="000000"/>
          <w:sz w:val="20"/>
          <w:szCs w:val="20"/>
        </w:rPr>
        <w:t>— Continuing to engage our consumers with</w:t>
      </w:r>
      <w:r>
        <w:rPr>
          <w:rFonts w:eastAsia="Times New Roman"/>
          <w:color w:val="000000"/>
          <w:sz w:val="20"/>
          <w:szCs w:val="20"/>
        </w:rPr>
        <w:t xml:space="preserve"> experiential and unique expressions of the brand, our hospitality portfolio is a natural extension of the World of Ralph Lauren as expressed through the culinary arts. Ralph Lauren's global hospitality collection is comprised of our restaurants including </w:t>
      </w:r>
      <w:r>
        <w:rPr>
          <w:rFonts w:eastAsia="Times New Roman"/>
          <w:i/>
          <w:iCs/>
          <w:color w:val="000000"/>
          <w:sz w:val="20"/>
          <w:szCs w:val="20"/>
        </w:rPr>
        <w:t>The Polo Bar</w:t>
      </w:r>
      <w:r>
        <w:rPr>
          <w:rFonts w:eastAsia="Times New Roman"/>
          <w:color w:val="000000"/>
          <w:sz w:val="20"/>
          <w:szCs w:val="20"/>
        </w:rPr>
        <w:t xml:space="preserve"> in New York City, </w:t>
      </w:r>
      <w:r>
        <w:rPr>
          <w:rFonts w:eastAsia="Times New Roman"/>
          <w:i/>
          <w:iCs/>
          <w:color w:val="000000"/>
          <w:sz w:val="20"/>
          <w:szCs w:val="20"/>
        </w:rPr>
        <w:t>RL Restaurant</w:t>
      </w:r>
      <w:r>
        <w:rPr>
          <w:rFonts w:eastAsia="Times New Roman"/>
          <w:color w:val="000000"/>
          <w:sz w:val="20"/>
          <w:szCs w:val="20"/>
        </w:rPr>
        <w:t xml:space="preserve"> located in Chicago, </w:t>
      </w:r>
      <w:r>
        <w:rPr>
          <w:rFonts w:eastAsia="Times New Roman"/>
          <w:i/>
          <w:iCs/>
          <w:color w:val="000000"/>
          <w:sz w:val="20"/>
          <w:szCs w:val="20"/>
        </w:rPr>
        <w:t>Ralph's</w:t>
      </w:r>
      <w:r>
        <w:rPr>
          <w:rFonts w:eastAsia="Times New Roman"/>
          <w:color w:val="000000"/>
          <w:sz w:val="20"/>
          <w:szCs w:val="20"/>
        </w:rPr>
        <w:t xml:space="preserve"> located in Paris, </w:t>
      </w:r>
      <w:r>
        <w:rPr>
          <w:rFonts w:eastAsia="Times New Roman"/>
          <w:i/>
          <w:iCs/>
          <w:color w:val="000000"/>
          <w:sz w:val="20"/>
          <w:szCs w:val="20"/>
        </w:rPr>
        <w:t xml:space="preserve">The Bar at Ralph Lauren </w:t>
      </w:r>
      <w:r>
        <w:rPr>
          <w:rFonts w:eastAsia="Times New Roman"/>
          <w:color w:val="000000"/>
          <w:sz w:val="20"/>
          <w:szCs w:val="20"/>
        </w:rPr>
        <w:t xml:space="preserve">located in Milan, and our </w:t>
      </w:r>
      <w:r>
        <w:rPr>
          <w:rFonts w:eastAsia="Times New Roman"/>
          <w:i/>
          <w:iCs/>
          <w:color w:val="000000"/>
          <w:sz w:val="20"/>
          <w:szCs w:val="20"/>
        </w:rPr>
        <w:t>Ralph's Coffee</w:t>
      </w:r>
      <w:r>
        <w:rPr>
          <w:rFonts w:eastAsia="Times New Roman"/>
          <w:color w:val="000000"/>
          <w:sz w:val="20"/>
          <w:szCs w:val="20"/>
        </w:rPr>
        <w:t xml:space="preserve"> concept in various cities around the world.</w:t>
      </w:r>
    </w:p>
    <w:p w:rsidR="00000000" w:rsidRDefault="00BB5C2D">
      <w:pPr>
        <w:ind w:firstLine="540"/>
        <w:jc w:val="both"/>
        <w:divId w:val="995497003"/>
        <w:rPr>
          <w:rFonts w:eastAsia="Times New Roman"/>
        </w:rPr>
      </w:pPr>
      <w:r>
        <w:rPr>
          <w:rFonts w:eastAsia="Times New Roman"/>
          <w:color w:val="000000"/>
          <w:sz w:val="20"/>
          <w:szCs w:val="20"/>
        </w:rPr>
        <w:t>Our lifestyle brand image is reinforced by our distribut</w:t>
      </w:r>
      <w:r>
        <w:rPr>
          <w:rFonts w:eastAsia="Times New Roman"/>
          <w:color w:val="000000"/>
          <w:sz w:val="20"/>
          <w:szCs w:val="20"/>
        </w:rPr>
        <w:t>ion through our stores and concession-based shop-within-shops, our wholesale channels of distribution, our global digital commerce sites, and our Ralph Lauren restaurants and cafés. We sell our products under the following key brand platforms:</w:t>
      </w:r>
    </w:p>
    <w:p w:rsidR="00000000" w:rsidRDefault="00BB5C2D">
      <w:pPr>
        <w:ind w:hanging="360"/>
        <w:jc w:val="both"/>
        <w:divId w:val="1096442534"/>
        <w:rPr>
          <w:rFonts w:eastAsia="Times New Roman"/>
        </w:rPr>
      </w:pPr>
      <w:r>
        <w:rPr>
          <w:rFonts w:eastAsia="Times New Roman"/>
          <w:b/>
          <w:bCs/>
          <w:color w:val="000000"/>
          <w:sz w:val="20"/>
          <w:szCs w:val="20"/>
        </w:rPr>
        <w:t>1.</w:t>
      </w:r>
      <w:r>
        <w:rPr>
          <w:rFonts w:eastAsia="Times New Roman"/>
          <w:b/>
          <w:bCs/>
          <w:i/>
          <w:iCs/>
          <w:color w:val="000000"/>
          <w:sz w:val="20"/>
          <w:szCs w:val="20"/>
        </w:rPr>
        <w:t>Ralph Laur</w:t>
      </w:r>
      <w:r>
        <w:rPr>
          <w:rFonts w:eastAsia="Times New Roman"/>
          <w:b/>
          <w:bCs/>
          <w:i/>
          <w:iCs/>
          <w:color w:val="000000"/>
          <w:sz w:val="20"/>
          <w:szCs w:val="20"/>
        </w:rPr>
        <w:t xml:space="preserve">en Luxury </w:t>
      </w:r>
      <w:r>
        <w:rPr>
          <w:rFonts w:eastAsia="Times New Roman"/>
          <w:color w:val="000000"/>
          <w:sz w:val="20"/>
          <w:szCs w:val="20"/>
        </w:rPr>
        <w:t>— Our Luxury group includes:</w:t>
      </w:r>
    </w:p>
    <w:p w:rsidR="00000000" w:rsidRDefault="00BB5C2D">
      <w:pPr>
        <w:ind w:firstLine="540"/>
        <w:jc w:val="both"/>
        <w:divId w:val="696934253"/>
        <w:rPr>
          <w:rFonts w:eastAsia="Times New Roman"/>
        </w:rPr>
      </w:pPr>
      <w:r>
        <w:rPr>
          <w:rFonts w:eastAsia="Times New Roman"/>
          <w:i/>
          <w:iCs/>
          <w:color w:val="000000"/>
          <w:sz w:val="20"/>
          <w:szCs w:val="20"/>
        </w:rPr>
        <w:t xml:space="preserve">Ralph Lauren Collection and Ralph Lauren Purple Label. </w:t>
      </w:r>
      <w:r>
        <w:rPr>
          <w:rFonts w:eastAsia="Times New Roman"/>
          <w:color w:val="000000"/>
          <w:sz w:val="20"/>
          <w:szCs w:val="20"/>
        </w:rPr>
        <w:t xml:space="preserve">Ralph Lauren Collection embodies the highest expression of chic, feminine glamour. Each piece is inspired by a vision of timeless luxury and modern elegance, and </w:t>
      </w:r>
      <w:r>
        <w:rPr>
          <w:rFonts w:eastAsia="Times New Roman"/>
          <w:color w:val="000000"/>
          <w:sz w:val="20"/>
          <w:szCs w:val="20"/>
        </w:rPr>
        <w:t>is crafted with unparalleled passion and artistry. For men, Ralph Lauren Purple Label is the ultimate expression of luxury for the modern gentleman. Refined suitings are hand-tailored, including custom made-to-measure suits crafted in the time-honored trad</w:t>
      </w:r>
      <w:r>
        <w:rPr>
          <w:rFonts w:eastAsia="Times New Roman"/>
          <w:color w:val="000000"/>
          <w:sz w:val="20"/>
          <w:szCs w:val="20"/>
        </w:rPr>
        <w:t>itions of Savile Row. Purple Label's sophisticated sportswear is designed with a meticulous attention to detail, capturing the elegance and ease of Ralph Lauren's signature, timeless style. Ralph Lauren Collection and Ralph Lauren Purple Label are availabl</w:t>
      </w:r>
      <w:r>
        <w:rPr>
          <w:rFonts w:eastAsia="Times New Roman"/>
          <w:color w:val="000000"/>
          <w:sz w:val="20"/>
          <w:szCs w:val="20"/>
        </w:rPr>
        <w:t>e in select Ralph Lauren stores around the world, an exclusive selection of the finest specialty stores, and online at our Ralph Lauren digital commerce sites, including RalphLauren.com.</w:t>
      </w:r>
    </w:p>
    <w:p w:rsidR="00000000" w:rsidRDefault="00BB5C2D">
      <w:pPr>
        <w:ind w:firstLine="540"/>
        <w:jc w:val="both"/>
        <w:divId w:val="149711542"/>
        <w:rPr>
          <w:rFonts w:eastAsia="Times New Roman"/>
        </w:rPr>
      </w:pPr>
      <w:r>
        <w:rPr>
          <w:rFonts w:eastAsia="Times New Roman"/>
          <w:i/>
          <w:iCs/>
          <w:color w:val="000000"/>
          <w:sz w:val="20"/>
          <w:szCs w:val="20"/>
        </w:rPr>
        <w:t xml:space="preserve">Double RL. </w:t>
      </w:r>
      <w:r>
        <w:rPr>
          <w:rFonts w:eastAsia="Times New Roman"/>
          <w:color w:val="000000"/>
          <w:sz w:val="20"/>
          <w:szCs w:val="20"/>
        </w:rPr>
        <w:t>Named after Ralph Lauren's working cattle ranch in Colorad</w:t>
      </w:r>
      <w:r>
        <w:rPr>
          <w:rFonts w:eastAsia="Times New Roman"/>
          <w:color w:val="000000"/>
          <w:sz w:val="20"/>
          <w:szCs w:val="20"/>
        </w:rPr>
        <w:t>o, Double RL is a tribute to America's pioneering spirit and tradition of rugged independence. The foundation of Double RL lies in timeless wardrobe staples for men and women, including authentic American made selvedge denim, military-grade chinos, tube-kn</w:t>
      </w:r>
      <w:r>
        <w:rPr>
          <w:rFonts w:eastAsia="Times New Roman"/>
          <w:color w:val="000000"/>
          <w:sz w:val="20"/>
          <w:szCs w:val="20"/>
        </w:rPr>
        <w:t xml:space="preserve">it t-shirts, thermals, and flannels. Beyond these iconic styles are added seasonal vintage-inspired collections, along with a full collection of footwear and accessories, including quality belts, bags, and leather goods. Double RL is available at Double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252010394"/>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252010394"/>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8</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35" style="width:0;height:1.5pt" o:hralign="center" o:hrstd="t" o:hr="t" fillcolor="#a0a0a0" stroked="f"/>
        </w:pict>
      </w:r>
    </w:p>
    <w:p w:rsidR="00000000" w:rsidRDefault="00BB5C2D">
      <w:pPr>
        <w:divId w:val="856112737"/>
        <w:rPr>
          <w:rFonts w:eastAsia="Times New Roman"/>
        </w:rPr>
      </w:pPr>
    </w:p>
    <w:p w:rsidR="00000000" w:rsidRDefault="00BB5C2D">
      <w:pPr>
        <w:jc w:val="both"/>
        <w:divId w:val="709499641"/>
        <w:rPr>
          <w:rFonts w:eastAsia="Times New Roman"/>
        </w:rPr>
      </w:pPr>
      <w:r>
        <w:rPr>
          <w:rFonts w:eastAsia="Times New Roman"/>
          <w:color w:val="000000"/>
          <w:sz w:val="20"/>
          <w:szCs w:val="20"/>
        </w:rPr>
        <w:t>RL stores, at select Ralph Lauren stores, and an exclusive selection of the finest specialty stores around the world, as well as online at our Ralph Lauren digital commerce sites, including RalphLauren.com.</w:t>
      </w:r>
    </w:p>
    <w:p w:rsidR="00000000" w:rsidRDefault="00BB5C2D">
      <w:pPr>
        <w:ind w:firstLine="540"/>
        <w:jc w:val="both"/>
        <w:divId w:val="1239245014"/>
        <w:rPr>
          <w:rFonts w:eastAsia="Times New Roman"/>
        </w:rPr>
      </w:pPr>
      <w:r>
        <w:rPr>
          <w:rFonts w:eastAsia="Times New Roman"/>
          <w:i/>
          <w:iCs/>
          <w:color w:val="000000"/>
          <w:sz w:val="20"/>
          <w:szCs w:val="20"/>
        </w:rPr>
        <w:t>Ralph Laure</w:t>
      </w:r>
      <w:r>
        <w:rPr>
          <w:rFonts w:eastAsia="Times New Roman"/>
          <w:i/>
          <w:iCs/>
          <w:color w:val="000000"/>
          <w:sz w:val="20"/>
          <w:szCs w:val="20"/>
        </w:rPr>
        <w:t>n Home.</w:t>
      </w:r>
      <w:r>
        <w:rPr>
          <w:rFonts w:eastAsia="Times New Roman"/>
          <w:b/>
          <w:bCs/>
          <w:i/>
          <w:iCs/>
          <w:color w:val="000000"/>
          <w:sz w:val="20"/>
          <w:szCs w:val="20"/>
        </w:rPr>
        <w:t xml:space="preserve"> </w:t>
      </w:r>
      <w:r>
        <w:rPr>
          <w:rFonts w:eastAsia="Times New Roman"/>
          <w:color w:val="000000"/>
          <w:sz w:val="20"/>
          <w:szCs w:val="20"/>
        </w:rPr>
        <w:t xml:space="preserve">Ralph Lauren Home represents a full expression of modern luxury — style is a life well-lived. Based on an immersive design ethos, the collection includes furniture, lighting, bed and bath linens, tabletop, decorative accessories and gifts, as well </w:t>
      </w:r>
      <w:r>
        <w:rPr>
          <w:rFonts w:eastAsia="Times New Roman"/>
          <w:color w:val="000000"/>
          <w:sz w:val="20"/>
          <w:szCs w:val="20"/>
        </w:rPr>
        <w:t xml:space="preserve">as fabric, wallcoverings, and floorcoverings. Each piece is crafted with the greatest attention to detail. Ralph Lauren Home offers exclusive luxury goods at select Ralph Lauren stores and select wholesale partners, home specialty stores, trade showrooms, </w:t>
      </w:r>
      <w:r>
        <w:rPr>
          <w:rFonts w:eastAsia="Times New Roman"/>
          <w:color w:val="000000"/>
          <w:sz w:val="20"/>
          <w:szCs w:val="20"/>
        </w:rPr>
        <w:t>and online at our Ralph Lauren digital commerce site, RalphLauren.com.</w:t>
      </w:r>
    </w:p>
    <w:p w:rsidR="00000000" w:rsidRDefault="00BB5C2D">
      <w:pPr>
        <w:ind w:firstLine="540"/>
        <w:jc w:val="both"/>
        <w:divId w:val="675426976"/>
        <w:rPr>
          <w:rFonts w:eastAsia="Times New Roman"/>
        </w:rPr>
      </w:pPr>
      <w:r>
        <w:rPr>
          <w:rFonts w:eastAsia="Times New Roman"/>
          <w:i/>
          <w:iCs/>
          <w:color w:val="000000"/>
          <w:sz w:val="20"/>
          <w:szCs w:val="20"/>
        </w:rPr>
        <w:t xml:space="preserve">Ralph Lauren Watches and Jewelry. </w:t>
      </w:r>
      <w:r>
        <w:rPr>
          <w:rFonts w:eastAsia="Times New Roman"/>
          <w:color w:val="000000"/>
          <w:sz w:val="20"/>
          <w:szCs w:val="20"/>
        </w:rPr>
        <w:t xml:space="preserve">We offer a premier collection of Swiss-made timepieces, which embody Ralph Lauren's passion for impeccable quality and exquisite design. We also offer </w:t>
      </w:r>
      <w:r>
        <w:rPr>
          <w:rFonts w:eastAsia="Times New Roman"/>
          <w:color w:val="000000"/>
          <w:sz w:val="20"/>
          <w:szCs w:val="20"/>
        </w:rPr>
        <w:t>premium collections of jewelry, which capture the glamour and craftsmanship of Ralph Lauren's most luxurious designs, from every day collections to the most refined and precious materials. Ralph Lauren watches and jewelry are available online at RalphLaure</w:t>
      </w:r>
      <w:r>
        <w:rPr>
          <w:rFonts w:eastAsia="Times New Roman"/>
          <w:color w:val="000000"/>
          <w:sz w:val="20"/>
          <w:szCs w:val="20"/>
        </w:rPr>
        <w:t>n.com, at select Ralph Lauren stores, and a few of the finest watch and jewelry retailers around the world.</w:t>
      </w:r>
    </w:p>
    <w:p w:rsidR="00000000" w:rsidRDefault="00BB5C2D">
      <w:pPr>
        <w:ind w:hanging="360"/>
        <w:jc w:val="both"/>
        <w:divId w:val="772438262"/>
        <w:rPr>
          <w:rFonts w:eastAsia="Times New Roman"/>
        </w:rPr>
      </w:pPr>
      <w:r>
        <w:rPr>
          <w:rFonts w:eastAsia="Times New Roman"/>
          <w:b/>
          <w:bCs/>
          <w:color w:val="000000"/>
          <w:sz w:val="20"/>
          <w:szCs w:val="20"/>
        </w:rPr>
        <w:t>2.</w:t>
      </w:r>
      <w:r>
        <w:rPr>
          <w:rFonts w:eastAsia="Times New Roman"/>
          <w:b/>
          <w:bCs/>
          <w:i/>
          <w:iCs/>
          <w:color w:val="000000"/>
          <w:sz w:val="20"/>
          <w:szCs w:val="20"/>
        </w:rPr>
        <w:t xml:space="preserve">Polo Ralph Lauren </w:t>
      </w:r>
      <w:r>
        <w:rPr>
          <w:rFonts w:eastAsia="Times New Roman"/>
          <w:color w:val="000000"/>
          <w:sz w:val="20"/>
          <w:szCs w:val="20"/>
        </w:rPr>
        <w:t>— The Polo Ralph Lauren group includes:</w:t>
      </w:r>
    </w:p>
    <w:p w:rsidR="00000000" w:rsidRDefault="00BB5C2D">
      <w:pPr>
        <w:ind w:firstLine="540"/>
        <w:jc w:val="both"/>
        <w:divId w:val="833491809"/>
        <w:rPr>
          <w:rFonts w:eastAsia="Times New Roman"/>
        </w:rPr>
      </w:pPr>
      <w:r>
        <w:rPr>
          <w:rFonts w:eastAsia="Times New Roman"/>
          <w:i/>
          <w:iCs/>
          <w:color w:val="000000"/>
          <w:sz w:val="20"/>
          <w:szCs w:val="20"/>
        </w:rPr>
        <w:t xml:space="preserve">Polo Ralph Lauren. </w:t>
      </w:r>
      <w:r>
        <w:rPr>
          <w:rFonts w:eastAsia="Times New Roman"/>
          <w:color w:val="000000"/>
          <w:sz w:val="20"/>
          <w:szCs w:val="20"/>
        </w:rPr>
        <w:t>Men's Polo combines Ivy League classics and time-honored English habe</w:t>
      </w:r>
      <w:r>
        <w:rPr>
          <w:rFonts w:eastAsia="Times New Roman"/>
          <w:color w:val="000000"/>
          <w:sz w:val="20"/>
          <w:szCs w:val="20"/>
        </w:rPr>
        <w:t xml:space="preserve">rdashery with downtown styles and all-American sporting looks in sportswear and tailored clothing. Women's Polo represents the epitome of classic and iconic American style with a modern and cool twist. Polo's signature aesthetic includes our renowned polo </w:t>
      </w:r>
      <w:r>
        <w:rPr>
          <w:rFonts w:eastAsia="Times New Roman"/>
          <w:color w:val="000000"/>
          <w:sz w:val="20"/>
          <w:szCs w:val="20"/>
        </w:rPr>
        <w:t>player logo. Polo Sport reflects the active lifestyle and youthful energy of Polo’s sporting roots through Men’s and Women’s activewear. Men's and Women's Polo apparel, footwear, and accessories are available in Polo and Ralph Lauren stores around the worl</w:t>
      </w:r>
      <w:r>
        <w:rPr>
          <w:rFonts w:eastAsia="Times New Roman"/>
          <w:color w:val="000000"/>
          <w:sz w:val="20"/>
          <w:szCs w:val="20"/>
        </w:rPr>
        <w:t xml:space="preserve">d, better department and specialty stores, and online at our Ralph Lauren digital commerce sites, including RalphLauren.com. </w:t>
      </w:r>
    </w:p>
    <w:p w:rsidR="00000000" w:rsidRDefault="00BB5C2D">
      <w:pPr>
        <w:ind w:firstLine="540"/>
        <w:jc w:val="both"/>
        <w:divId w:val="2048985304"/>
        <w:rPr>
          <w:rFonts w:eastAsia="Times New Roman"/>
        </w:rPr>
      </w:pPr>
      <w:r>
        <w:rPr>
          <w:rFonts w:eastAsia="Times New Roman"/>
          <w:i/>
          <w:iCs/>
          <w:color w:val="000000"/>
          <w:sz w:val="20"/>
          <w:szCs w:val="20"/>
        </w:rPr>
        <w:t xml:space="preserve">Polo Ralph Lauren Children. </w:t>
      </w:r>
      <w:r>
        <w:rPr>
          <w:rFonts w:eastAsia="Times New Roman"/>
          <w:color w:val="000000"/>
          <w:sz w:val="20"/>
          <w:szCs w:val="20"/>
        </w:rPr>
        <w:t>Polo Ralph Lauren Children is designed to reflect the timeless heritage and modern spirit of Ralph Lau</w:t>
      </w:r>
      <w:r>
        <w:rPr>
          <w:rFonts w:eastAsia="Times New Roman"/>
          <w:color w:val="000000"/>
          <w:sz w:val="20"/>
          <w:szCs w:val="20"/>
        </w:rPr>
        <w:t>ren's collections for men and women. Signature classics include iconic polo knit shirts and luxurious cashmere cable-knit sweaters. Polo Ralph Lauren Children is available in a full range of sizes, from baby to girls 2-16 and boys 2-20. Polo Ralph Lauren C</w:t>
      </w:r>
      <w:r>
        <w:rPr>
          <w:rFonts w:eastAsia="Times New Roman"/>
          <w:color w:val="000000"/>
          <w:sz w:val="20"/>
          <w:szCs w:val="20"/>
        </w:rPr>
        <w:t>hildren can be found in select Polo and Ralph Lauren stores around the world, better department stores, and online at our Ralph Lauren digital commerce sites, including RalphLauren.com, as well as certain of our retailer partner digital commerce sites.</w:t>
      </w:r>
    </w:p>
    <w:p w:rsidR="00000000" w:rsidRDefault="00BB5C2D">
      <w:pPr>
        <w:ind w:firstLine="540"/>
        <w:jc w:val="both"/>
        <w:divId w:val="1413700984"/>
        <w:rPr>
          <w:rFonts w:eastAsia="Times New Roman"/>
        </w:rPr>
      </w:pPr>
      <w:r>
        <w:rPr>
          <w:rFonts w:eastAsia="Times New Roman"/>
          <w:i/>
          <w:iCs/>
          <w:color w:val="000000"/>
          <w:sz w:val="20"/>
          <w:szCs w:val="20"/>
        </w:rPr>
        <w:t>RLX</w:t>
      </w:r>
      <w:r>
        <w:rPr>
          <w:rFonts w:eastAsia="Times New Roman"/>
          <w:i/>
          <w:iCs/>
          <w:color w:val="000000"/>
          <w:sz w:val="20"/>
          <w:szCs w:val="20"/>
        </w:rPr>
        <w:t xml:space="preserve"> Ralph Lauren. </w:t>
      </w:r>
      <w:r>
        <w:rPr>
          <w:rFonts w:eastAsia="Times New Roman"/>
          <w:color w:val="000000"/>
          <w:sz w:val="20"/>
          <w:szCs w:val="20"/>
        </w:rPr>
        <w:t>RLX is the leading edge of Ralph Lauren’s performance and activewear. Comprised of functional apparel that address the performance needs of a modern active lifestyle, RLX includes men's and women's apparel and accessories that represent Ralp</w:t>
      </w:r>
      <w:r>
        <w:rPr>
          <w:rFonts w:eastAsia="Times New Roman"/>
          <w:color w:val="000000"/>
          <w:sz w:val="20"/>
          <w:szCs w:val="20"/>
        </w:rPr>
        <w:t xml:space="preserve">h Lauren's belief that things that are purposefully designed and made of the highest quality achieve a timeless elegance. </w:t>
      </w:r>
    </w:p>
    <w:p w:rsidR="00000000" w:rsidRDefault="00BB5C2D">
      <w:pPr>
        <w:ind w:firstLine="540"/>
        <w:jc w:val="both"/>
        <w:divId w:val="1957177451"/>
        <w:rPr>
          <w:rFonts w:eastAsia="Times New Roman"/>
        </w:rPr>
      </w:pPr>
      <w:r>
        <w:rPr>
          <w:rFonts w:eastAsia="Times New Roman"/>
          <w:i/>
          <w:iCs/>
          <w:color w:val="000000"/>
          <w:sz w:val="20"/>
          <w:szCs w:val="20"/>
        </w:rPr>
        <w:t xml:space="preserve">Polo Golf Ralph Lauren, Ralph Lauren Golf, and RLX Ralph Lauren Golf. </w:t>
      </w:r>
      <w:r>
        <w:rPr>
          <w:rFonts w:eastAsia="Times New Roman"/>
          <w:color w:val="000000"/>
          <w:sz w:val="20"/>
          <w:szCs w:val="20"/>
        </w:rPr>
        <w:t>Tested and worn by top-ranked professional golfers, Polo Golf R</w:t>
      </w:r>
      <w:r>
        <w:rPr>
          <w:rFonts w:eastAsia="Times New Roman"/>
          <w:color w:val="000000"/>
          <w:sz w:val="20"/>
          <w:szCs w:val="20"/>
        </w:rPr>
        <w:t>alph Lauren, Ralph Lauren Golf, and RLX Ralph Lauren Golf for men and women define excellence in the world of golf. With a sharpened focus on the needs of the modern player but rooted in the rich design tradition of Ralph Lauren, the Golf collections combi</w:t>
      </w:r>
      <w:r>
        <w:rPr>
          <w:rFonts w:eastAsia="Times New Roman"/>
          <w:color w:val="000000"/>
          <w:sz w:val="20"/>
          <w:szCs w:val="20"/>
        </w:rPr>
        <w:t>ne state-of-the-art performance wear with luxurious finishing touches. Our Golf collections are available in select Polo stores, exclusive private clubs and resorts, and online at RalphLauren.com.</w:t>
      </w:r>
    </w:p>
    <w:p w:rsidR="00000000" w:rsidRDefault="00BB5C2D">
      <w:pPr>
        <w:ind w:firstLine="540"/>
        <w:jc w:val="both"/>
        <w:divId w:val="588543059"/>
        <w:rPr>
          <w:rFonts w:eastAsia="Times New Roman"/>
        </w:rPr>
      </w:pPr>
      <w:r>
        <w:rPr>
          <w:rFonts w:eastAsia="Times New Roman"/>
          <w:i/>
          <w:iCs/>
          <w:color w:val="000000"/>
          <w:sz w:val="20"/>
          <w:szCs w:val="20"/>
        </w:rPr>
        <w:t xml:space="preserve">Pink Pony. </w:t>
      </w:r>
      <w:r>
        <w:rPr>
          <w:rFonts w:eastAsia="Times New Roman"/>
          <w:color w:val="000000"/>
          <w:sz w:val="20"/>
          <w:szCs w:val="20"/>
        </w:rPr>
        <w:t>The Pink Pony campaign is our worldwide initiati</w:t>
      </w:r>
      <w:r>
        <w:rPr>
          <w:rFonts w:eastAsia="Times New Roman"/>
          <w:color w:val="000000"/>
          <w:sz w:val="20"/>
          <w:szCs w:val="20"/>
        </w:rPr>
        <w:t xml:space="preserve">ve in the fight against cancer. In the U.S., a percentage of sales from Pink Pony products benefit the Pink Pony Fund of the Ralph Lauren Corporate Foundation, which supports cancer-related programs for early diagnosis, education, treatment, and research, </w:t>
      </w:r>
      <w:r>
        <w:rPr>
          <w:rFonts w:eastAsia="Times New Roman"/>
          <w:color w:val="000000"/>
          <w:sz w:val="20"/>
          <w:szCs w:val="20"/>
        </w:rPr>
        <w:t>and is dedicated to bringing patient navigation and quality cancer care to medically underserved communities. Internationally, a network of local cancer charities around the world benefit from the sale of Pink Pony products. Pink Pony consists of dual gend</w:t>
      </w:r>
      <w:r>
        <w:rPr>
          <w:rFonts w:eastAsia="Times New Roman"/>
          <w:color w:val="000000"/>
          <w:sz w:val="20"/>
          <w:szCs w:val="20"/>
        </w:rPr>
        <w:t>er sportswear and accessories. Pink Pony items feature our iconic pink polo player – a symbol of our commitment to the fight against cancer. Pink Pony is available at select Polo and Ralph Lauren stores and online at our Ralph Lauren digital commerce sites</w:t>
      </w:r>
      <w:r>
        <w:rPr>
          <w:rFonts w:eastAsia="Times New Roman"/>
          <w:color w:val="000000"/>
          <w:sz w:val="20"/>
          <w:szCs w:val="20"/>
        </w:rPr>
        <w:t>, including RalphLauren.com. Pink Pony is also available at select Macy's stores and online at Macys.com.</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2097284550"/>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2097284550"/>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9</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36" style="width:0;height:1.5pt" o:hralign="center" o:hrstd="t" o:hr="t" fillcolor="#a0a0a0" stroked="f"/>
        </w:pict>
      </w:r>
    </w:p>
    <w:p w:rsidR="00000000" w:rsidRDefault="00BB5C2D">
      <w:pPr>
        <w:divId w:val="808937630"/>
        <w:rPr>
          <w:rFonts w:eastAsia="Times New Roman"/>
        </w:rPr>
      </w:pPr>
    </w:p>
    <w:p w:rsidR="00000000" w:rsidRDefault="00BB5C2D">
      <w:pPr>
        <w:ind w:hanging="360"/>
        <w:jc w:val="both"/>
        <w:divId w:val="897781395"/>
        <w:rPr>
          <w:rFonts w:eastAsia="Times New Roman"/>
        </w:rPr>
      </w:pPr>
      <w:r>
        <w:rPr>
          <w:rFonts w:eastAsia="Times New Roman"/>
          <w:b/>
          <w:bCs/>
          <w:color w:val="000000"/>
          <w:sz w:val="20"/>
          <w:szCs w:val="20"/>
        </w:rPr>
        <w:t>3.</w:t>
      </w:r>
      <w:r>
        <w:rPr>
          <w:rFonts w:eastAsia="Times New Roman"/>
          <w:b/>
          <w:bCs/>
          <w:i/>
          <w:iCs/>
          <w:color w:val="000000"/>
          <w:sz w:val="20"/>
          <w:szCs w:val="20"/>
        </w:rPr>
        <w:t xml:space="preserve">Lauren Ralph Lauren </w:t>
      </w:r>
      <w:r>
        <w:rPr>
          <w:rFonts w:eastAsia="Times New Roman"/>
          <w:color w:val="000000"/>
          <w:sz w:val="20"/>
          <w:szCs w:val="20"/>
        </w:rPr>
        <w:t>— Our Lauren group includes:</w:t>
      </w:r>
    </w:p>
    <w:p w:rsidR="00000000" w:rsidRDefault="00BB5C2D">
      <w:pPr>
        <w:ind w:firstLine="540"/>
        <w:jc w:val="both"/>
        <w:divId w:val="700516194"/>
        <w:rPr>
          <w:rFonts w:eastAsia="Times New Roman"/>
        </w:rPr>
      </w:pPr>
      <w:r>
        <w:rPr>
          <w:rFonts w:eastAsia="Times New Roman"/>
          <w:i/>
          <w:iCs/>
          <w:color w:val="000000"/>
          <w:sz w:val="20"/>
          <w:szCs w:val="20"/>
        </w:rPr>
        <w:t xml:space="preserve">Lauren Ralph Lauren. </w:t>
      </w:r>
      <w:r>
        <w:rPr>
          <w:rFonts w:eastAsia="Times New Roman"/>
          <w:color w:val="000000"/>
          <w:sz w:val="20"/>
          <w:szCs w:val="20"/>
        </w:rPr>
        <w:t xml:space="preserve">Lauren for women combines aspirational timeless style with modern femininity in a lifestyle collection of sportswear, denim, and dresses, as well </w:t>
      </w:r>
      <w:r>
        <w:rPr>
          <w:rFonts w:eastAsia="Times New Roman"/>
          <w:color w:val="000000"/>
          <w:sz w:val="20"/>
          <w:szCs w:val="20"/>
        </w:rPr>
        <w:t>as footwear and accessories. Lauren for women is available in select department stores around the world and online at select digital commerce sites, including RalphLauren.com. Lauren for men offers a complete collection of men's tailored clothing, includin</w:t>
      </w:r>
      <w:r>
        <w:rPr>
          <w:rFonts w:eastAsia="Times New Roman"/>
          <w:color w:val="000000"/>
          <w:sz w:val="20"/>
          <w:szCs w:val="20"/>
        </w:rPr>
        <w:t>g suits, sport coats, dress shirts, dress pants, tuxedos, topcoats, and ties at a more accessible price point. Lauren for men is available at select department stores in North America and Europe.</w:t>
      </w:r>
    </w:p>
    <w:p w:rsidR="00000000" w:rsidRDefault="00BB5C2D">
      <w:pPr>
        <w:ind w:firstLine="540"/>
        <w:jc w:val="both"/>
        <w:divId w:val="831217200"/>
        <w:rPr>
          <w:rFonts w:eastAsia="Times New Roman"/>
        </w:rPr>
      </w:pPr>
      <w:r>
        <w:rPr>
          <w:rFonts w:eastAsia="Times New Roman"/>
          <w:i/>
          <w:iCs/>
          <w:color w:val="000000"/>
          <w:sz w:val="20"/>
          <w:szCs w:val="20"/>
        </w:rPr>
        <w:t>Lauren Home.</w:t>
      </w:r>
      <w:r>
        <w:rPr>
          <w:rFonts w:eastAsia="Times New Roman"/>
          <w:color w:val="000000"/>
          <w:sz w:val="20"/>
          <w:szCs w:val="20"/>
        </w:rPr>
        <w:t xml:space="preserve"> Lauren Home collection includes accessibly-pric</w:t>
      </w:r>
      <w:r>
        <w:rPr>
          <w:rFonts w:eastAsia="Times New Roman"/>
          <w:color w:val="000000"/>
          <w:sz w:val="20"/>
          <w:szCs w:val="20"/>
        </w:rPr>
        <w:t>ed, timeless bath and bedding collections, as well as kitchen linens, floorcoverings, and lighting. The collection is built upon an assortment of essentials that is designed to be mixed with seasonal updates, all rooted in the brand's classic style.</w:t>
      </w:r>
    </w:p>
    <w:p w:rsidR="00000000" w:rsidRDefault="00BB5C2D">
      <w:pPr>
        <w:ind w:hanging="360"/>
        <w:jc w:val="both"/>
        <w:divId w:val="223831951"/>
        <w:rPr>
          <w:rFonts w:eastAsia="Times New Roman"/>
        </w:rPr>
      </w:pPr>
      <w:r>
        <w:rPr>
          <w:rFonts w:eastAsia="Times New Roman"/>
          <w:b/>
          <w:bCs/>
          <w:color w:val="000000"/>
          <w:sz w:val="20"/>
          <w:szCs w:val="20"/>
        </w:rPr>
        <w:t>4.</w:t>
      </w:r>
      <w:r>
        <w:rPr>
          <w:rFonts w:eastAsia="Times New Roman"/>
          <w:b/>
          <w:bCs/>
          <w:i/>
          <w:iCs/>
          <w:color w:val="000000"/>
          <w:sz w:val="20"/>
          <w:szCs w:val="20"/>
        </w:rPr>
        <w:t>Chap</w:t>
      </w:r>
      <w:r>
        <w:rPr>
          <w:rFonts w:eastAsia="Times New Roman"/>
          <w:b/>
          <w:bCs/>
          <w:i/>
          <w:iCs/>
          <w:color w:val="000000"/>
          <w:sz w:val="20"/>
          <w:szCs w:val="20"/>
        </w:rPr>
        <w:t xml:space="preserve">s </w:t>
      </w:r>
      <w:r>
        <w:rPr>
          <w:rFonts w:eastAsia="Times New Roman"/>
          <w:color w:val="000000"/>
          <w:sz w:val="20"/>
          <w:szCs w:val="20"/>
        </w:rPr>
        <w:t>—</w:t>
      </w:r>
      <w:r>
        <w:rPr>
          <w:rFonts w:eastAsia="Times New Roman"/>
          <w:i/>
          <w:iCs/>
          <w:color w:val="000000"/>
          <w:sz w:val="20"/>
          <w:szCs w:val="20"/>
        </w:rPr>
        <w:t xml:space="preserve"> </w:t>
      </w:r>
      <w:r>
        <w:rPr>
          <w:rFonts w:eastAsia="Times New Roman"/>
          <w:color w:val="000000"/>
          <w:sz w:val="20"/>
          <w:szCs w:val="20"/>
        </w:rPr>
        <w:t>Chaps celebrates real American style, delivering classic collections updated for modern lifestyles for men, women, children and home. The modern lifestyle collection offers versatile sportswear, workday essentials, tailored clothing, and occasion dress</w:t>
      </w:r>
      <w:r>
        <w:rPr>
          <w:rFonts w:eastAsia="Times New Roman"/>
          <w:color w:val="000000"/>
          <w:sz w:val="20"/>
          <w:szCs w:val="20"/>
        </w:rPr>
        <w:t xml:space="preserve">es that are wearable from season to season. Chaps is available in select department stores and retail partner digital commerce sites across the U.S., Canada, and Mexico. Refer to </w:t>
      </w:r>
      <w:r>
        <w:rPr>
          <w:rFonts w:eastAsia="Times New Roman"/>
          <w:i/>
          <w:iCs/>
          <w:color w:val="000000"/>
          <w:sz w:val="20"/>
          <w:szCs w:val="20"/>
        </w:rPr>
        <w:t>"Recent Developments"</w:t>
      </w:r>
      <w:r>
        <w:rPr>
          <w:rFonts w:eastAsia="Times New Roman"/>
          <w:color w:val="000000"/>
          <w:sz w:val="20"/>
          <w:szCs w:val="20"/>
        </w:rPr>
        <w:t xml:space="preserve"> for discussion regarding the recent transition of our C</w:t>
      </w:r>
      <w:r>
        <w:rPr>
          <w:rFonts w:eastAsia="Times New Roman"/>
          <w:color w:val="000000"/>
          <w:sz w:val="20"/>
          <w:szCs w:val="20"/>
        </w:rPr>
        <w:t xml:space="preserve">haps brand to a fully licensed business model. </w:t>
      </w:r>
    </w:p>
    <w:p w:rsidR="00000000" w:rsidRDefault="00BB5C2D">
      <w:pPr>
        <w:jc w:val="center"/>
        <w:divId w:val="1898200029"/>
        <w:rPr>
          <w:rFonts w:eastAsia="Times New Roman"/>
        </w:rPr>
      </w:pPr>
      <w:r>
        <w:rPr>
          <w:rFonts w:eastAsia="Times New Roman"/>
          <w:b/>
          <w:bCs/>
          <w:color w:val="000000"/>
          <w:sz w:val="20"/>
          <w:szCs w:val="20"/>
        </w:rPr>
        <w:t>Our Segments</w:t>
      </w:r>
    </w:p>
    <w:p w:rsidR="00000000" w:rsidRDefault="00BB5C2D">
      <w:pPr>
        <w:ind w:firstLine="540"/>
        <w:jc w:val="both"/>
        <w:divId w:val="637340295"/>
        <w:rPr>
          <w:rFonts w:eastAsia="Times New Roman"/>
        </w:rPr>
      </w:pPr>
      <w:r>
        <w:rPr>
          <w:rFonts w:eastAsia="Times New Roman"/>
          <w:color w:val="000000"/>
          <w:sz w:val="20"/>
          <w:szCs w:val="20"/>
        </w:rPr>
        <w:t>We organize our business into the following three reportable segments:</w:t>
      </w:r>
    </w:p>
    <w:p w:rsidR="00000000" w:rsidRDefault="00BB5C2D">
      <w:pPr>
        <w:ind w:hanging="360"/>
        <w:jc w:val="both"/>
        <w:divId w:val="1699965666"/>
        <w:rPr>
          <w:rFonts w:eastAsia="Times New Roman"/>
        </w:rPr>
      </w:pPr>
      <w:r>
        <w:rPr>
          <w:rFonts w:eastAsia="Times New Roman"/>
          <w:color w:val="000000"/>
          <w:sz w:val="20"/>
          <w:szCs w:val="20"/>
        </w:rPr>
        <w:t>•</w:t>
      </w:r>
      <w:r>
        <w:rPr>
          <w:rFonts w:eastAsia="Times New Roman"/>
          <w:i/>
          <w:iCs/>
          <w:color w:val="000000"/>
          <w:sz w:val="20"/>
          <w:szCs w:val="20"/>
        </w:rPr>
        <w:t>North America</w:t>
      </w:r>
      <w:r>
        <w:rPr>
          <w:rFonts w:eastAsia="Times New Roman"/>
          <w:color w:val="000000"/>
          <w:sz w:val="20"/>
          <w:szCs w:val="20"/>
        </w:rPr>
        <w:t xml:space="preserve"> — Our North America segment, representing approximately 48% of our Fiscal 2022 net revenues, primarily consis</w:t>
      </w:r>
      <w:r>
        <w:rPr>
          <w:rFonts w:eastAsia="Times New Roman"/>
          <w:color w:val="000000"/>
          <w:sz w:val="20"/>
          <w:szCs w:val="20"/>
        </w:rPr>
        <w:t>ts of sales of our Ralph Lauren branded apparel, footwear, accessories, home furnishings, and related products made through our retail and wholesale businesses in the U.S. and Canada. In North America, our retail business is primarily comprised of our Ralp</w:t>
      </w:r>
      <w:r>
        <w:rPr>
          <w:rFonts w:eastAsia="Times New Roman"/>
          <w:color w:val="000000"/>
          <w:sz w:val="20"/>
          <w:szCs w:val="20"/>
        </w:rPr>
        <w:t xml:space="preserve">h Lauren stores, our factory stores, and our digital commerce site, www.RalphLauren.com. Our wholesale business in North America is comprised primarily of sales to department stores and, to a lesser extent, specialty stores. </w:t>
      </w:r>
    </w:p>
    <w:p w:rsidR="00000000" w:rsidRDefault="00BB5C2D">
      <w:pPr>
        <w:ind w:hanging="360"/>
        <w:jc w:val="both"/>
        <w:divId w:val="28188766"/>
        <w:rPr>
          <w:rFonts w:eastAsia="Times New Roman"/>
        </w:rPr>
      </w:pPr>
      <w:r>
        <w:rPr>
          <w:rFonts w:eastAsia="Times New Roman"/>
          <w:i/>
          <w:iCs/>
          <w:color w:val="000000"/>
          <w:sz w:val="20"/>
          <w:szCs w:val="20"/>
        </w:rPr>
        <w:t xml:space="preserve">•Europe </w:t>
      </w:r>
      <w:r>
        <w:rPr>
          <w:rFonts w:eastAsia="Times New Roman"/>
          <w:color w:val="000000"/>
          <w:sz w:val="20"/>
          <w:szCs w:val="20"/>
        </w:rPr>
        <w:t xml:space="preserve">— Our Europe segment, </w:t>
      </w:r>
      <w:r>
        <w:rPr>
          <w:rFonts w:eastAsia="Times New Roman"/>
          <w:color w:val="000000"/>
          <w:sz w:val="20"/>
          <w:szCs w:val="20"/>
        </w:rPr>
        <w:t>representing approximately 28% of our Fiscal 2022 net revenues, primarily consists of sales of our Ralph Lauren branded apparel, footwear, accessories, home furnishings, and related products made through our retail and wholesale businesses in Europe and em</w:t>
      </w:r>
      <w:r>
        <w:rPr>
          <w:rFonts w:eastAsia="Times New Roman"/>
          <w:color w:val="000000"/>
          <w:sz w:val="20"/>
          <w:szCs w:val="20"/>
        </w:rPr>
        <w:t>erging markets. In Europe, our retail business is primarily comprised of our Ralph Lauren stores, our factory stores, our concession-based shop-within-shops, and our various digital commerce sites. Our wholesale business in Europe is comprised primarily of</w:t>
      </w:r>
      <w:r>
        <w:rPr>
          <w:rFonts w:eastAsia="Times New Roman"/>
          <w:color w:val="000000"/>
          <w:sz w:val="20"/>
          <w:szCs w:val="20"/>
        </w:rPr>
        <w:t xml:space="preserve"> a varying mix of sales to both department stores and specialty stores, depending on the country, as well as to various third-party digital partners.</w:t>
      </w:r>
    </w:p>
    <w:p w:rsidR="00000000" w:rsidRDefault="00BB5C2D">
      <w:pPr>
        <w:ind w:hanging="360"/>
        <w:jc w:val="both"/>
        <w:divId w:val="1056859707"/>
        <w:rPr>
          <w:rFonts w:eastAsia="Times New Roman"/>
        </w:rPr>
      </w:pPr>
      <w:r>
        <w:rPr>
          <w:rFonts w:eastAsia="Times New Roman"/>
          <w:color w:val="000000"/>
          <w:sz w:val="20"/>
          <w:szCs w:val="20"/>
        </w:rPr>
        <w:t>•</w:t>
      </w:r>
      <w:r>
        <w:rPr>
          <w:rFonts w:eastAsia="Times New Roman"/>
          <w:i/>
          <w:iCs/>
          <w:color w:val="000000"/>
          <w:sz w:val="20"/>
          <w:szCs w:val="20"/>
        </w:rPr>
        <w:t xml:space="preserve">Asia </w:t>
      </w:r>
      <w:r>
        <w:rPr>
          <w:rFonts w:eastAsia="Times New Roman"/>
          <w:color w:val="000000"/>
          <w:sz w:val="20"/>
          <w:szCs w:val="20"/>
        </w:rPr>
        <w:t>— Our Asia segment, representing approximately 21% of our Fiscal 2022 net revenues, primarily consis</w:t>
      </w:r>
      <w:r>
        <w:rPr>
          <w:rFonts w:eastAsia="Times New Roman"/>
          <w:color w:val="000000"/>
          <w:sz w:val="20"/>
          <w:szCs w:val="20"/>
        </w:rPr>
        <w:t>ts of sales of our Ralph Lauren branded apparel, footwear, accessories, home furnishings, and related products made through our retail and wholesale businesses in Asia, Australia, and New Zealand. Our retail business in Asia is primarily comprised of our R</w:t>
      </w:r>
      <w:r>
        <w:rPr>
          <w:rFonts w:eastAsia="Times New Roman"/>
          <w:color w:val="000000"/>
          <w:sz w:val="20"/>
          <w:szCs w:val="20"/>
        </w:rPr>
        <w:t>alph Lauren stores, our factory stores, our concession-based shop-within-shops, and our various digital commerce sites. In addition, we sell our products online through various third-party digital partner commerce sites. Our wholesale business in Asia is c</w:t>
      </w:r>
      <w:r>
        <w:rPr>
          <w:rFonts w:eastAsia="Times New Roman"/>
          <w:color w:val="000000"/>
          <w:sz w:val="20"/>
          <w:szCs w:val="20"/>
        </w:rPr>
        <w:t>omprised primarily of sales to department stores, with related products distributed through shop-within-shops.</w:t>
      </w:r>
    </w:p>
    <w:p w:rsidR="00000000" w:rsidRDefault="00BB5C2D">
      <w:pPr>
        <w:ind w:firstLine="540"/>
        <w:jc w:val="both"/>
        <w:divId w:val="208618088"/>
        <w:rPr>
          <w:rFonts w:eastAsia="Times New Roman"/>
        </w:rPr>
      </w:pPr>
      <w:r>
        <w:rPr>
          <w:rFonts w:eastAsia="Times New Roman"/>
          <w:color w:val="000000"/>
          <w:sz w:val="20"/>
          <w:szCs w:val="20"/>
        </w:rPr>
        <w:t>No operating segments were aggregated to form our reportable segments. In addition to these reportable segments, we also have other non-reportable segments, representing approximately 3% of our Fiscal 2022 net revenues, which primarily consist of Ralph Lau</w:t>
      </w:r>
      <w:r>
        <w:rPr>
          <w:rFonts w:eastAsia="Times New Roman"/>
          <w:color w:val="000000"/>
          <w:sz w:val="20"/>
          <w:szCs w:val="20"/>
        </w:rPr>
        <w:t>ren and Chaps branded royalty revenues earned through our global licensing alliances. In addition, prior to its disposition at the end of our first quarter of Fiscal 2022, our other non-reportable segments also included sales of Club Monaco branded product</w:t>
      </w:r>
      <w:r>
        <w:rPr>
          <w:rFonts w:eastAsia="Times New Roman"/>
          <w:color w:val="000000"/>
          <w:sz w:val="20"/>
          <w:szCs w:val="20"/>
        </w:rPr>
        <w:t xml:space="preserve">s made through our retail and wholesale businesses in the U.S., Canada, and Europe, and our licensing alliances in Asia. Refer to </w:t>
      </w:r>
      <w:r>
        <w:rPr>
          <w:rFonts w:eastAsia="Times New Roman"/>
          <w:i/>
          <w:iCs/>
          <w:color w:val="000000"/>
          <w:sz w:val="20"/>
          <w:szCs w:val="20"/>
        </w:rPr>
        <w:t>"Recent Developments"</w:t>
      </w:r>
      <w:r>
        <w:rPr>
          <w:rFonts w:eastAsia="Times New Roman"/>
          <w:color w:val="000000"/>
          <w:sz w:val="20"/>
          <w:szCs w:val="20"/>
        </w:rPr>
        <w:t xml:space="preserve"> for additional discussion regarding the disposition of our former Club Monaco business, as well as the r</w:t>
      </w:r>
      <w:r>
        <w:rPr>
          <w:rFonts w:eastAsia="Times New Roman"/>
          <w:color w:val="000000"/>
          <w:sz w:val="20"/>
          <w:szCs w:val="20"/>
        </w:rPr>
        <w:t>ecent transition of our Chaps business to a fully licensed business model.</w:t>
      </w:r>
    </w:p>
    <w:p w:rsidR="00000000" w:rsidRDefault="00BB5C2D">
      <w:pPr>
        <w:ind w:firstLine="540"/>
        <w:jc w:val="both"/>
        <w:divId w:val="684594197"/>
        <w:rPr>
          <w:rFonts w:eastAsia="Times New Roman"/>
        </w:rPr>
      </w:pPr>
      <w:r>
        <w:rPr>
          <w:rFonts w:eastAsia="Times New Roman"/>
          <w:color w:val="000000"/>
          <w:sz w:val="20"/>
          <w:szCs w:val="20"/>
        </w:rPr>
        <w:t>This segment structure is consistent with how we establish our overall business strategy, allocate resources, and assess performance of our Company.</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2018994139"/>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2018994139"/>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10</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37" style="width:0;height:1.5pt" o:hralign="center" o:hrstd="t" o:hr="t" fillcolor="#a0a0a0" stroked="f"/>
        </w:pict>
      </w:r>
    </w:p>
    <w:p w:rsidR="00000000" w:rsidRDefault="00BB5C2D">
      <w:pPr>
        <w:divId w:val="479272653"/>
        <w:rPr>
          <w:rFonts w:eastAsia="Times New Roman"/>
        </w:rPr>
      </w:pPr>
    </w:p>
    <w:p w:rsidR="00000000" w:rsidRDefault="00BB5C2D">
      <w:pPr>
        <w:ind w:firstLine="540"/>
        <w:jc w:val="both"/>
        <w:divId w:val="1420062725"/>
        <w:rPr>
          <w:rFonts w:eastAsia="Times New Roman"/>
        </w:rPr>
      </w:pPr>
      <w:r>
        <w:rPr>
          <w:rFonts w:eastAsia="Times New Roman"/>
          <w:color w:val="000000"/>
          <w:sz w:val="20"/>
          <w:szCs w:val="20"/>
        </w:rPr>
        <w:t>Approximately 51% of our Fiscal 2022 net revenues were earned outside of the U.S. See Note 20 to the accompanying consolidated financial statements for a summary of net revenues and operating income by segment, as well</w:t>
      </w:r>
      <w:r>
        <w:rPr>
          <w:rFonts w:eastAsia="Times New Roman"/>
          <w:color w:val="000000"/>
          <w:sz w:val="20"/>
          <w:szCs w:val="20"/>
        </w:rPr>
        <w:t xml:space="preserve"> as net revenues and long-lived assets by geographic location.</w:t>
      </w:r>
    </w:p>
    <w:p w:rsidR="00000000" w:rsidRDefault="00BB5C2D">
      <w:pPr>
        <w:jc w:val="center"/>
        <w:divId w:val="459500353"/>
        <w:rPr>
          <w:rFonts w:eastAsia="Times New Roman"/>
        </w:rPr>
      </w:pPr>
      <w:r>
        <w:rPr>
          <w:rFonts w:eastAsia="Times New Roman"/>
          <w:b/>
          <w:bCs/>
          <w:color w:val="000000"/>
          <w:sz w:val="20"/>
          <w:szCs w:val="20"/>
        </w:rPr>
        <w:t>Our Retail Business</w:t>
      </w:r>
    </w:p>
    <w:p w:rsidR="00000000" w:rsidRDefault="00BB5C2D">
      <w:pPr>
        <w:ind w:firstLine="540"/>
        <w:jc w:val="both"/>
        <w:divId w:val="971789045"/>
        <w:rPr>
          <w:rFonts w:eastAsia="Times New Roman"/>
        </w:rPr>
      </w:pPr>
      <w:r>
        <w:rPr>
          <w:rFonts w:eastAsia="Times New Roman"/>
          <w:color w:val="000000"/>
          <w:sz w:val="20"/>
          <w:szCs w:val="20"/>
        </w:rPr>
        <w:t>Our retail business sells directly to customers throughout the world via our 504 retail stores and 684 concession-based shop-within-shops, totaling approximately 4.0 million</w:t>
      </w:r>
      <w:r>
        <w:rPr>
          <w:rFonts w:eastAsia="Times New Roman"/>
          <w:color w:val="000000"/>
          <w:sz w:val="20"/>
          <w:szCs w:val="20"/>
        </w:rPr>
        <w:t xml:space="preserve"> and 0.7 million square feet, respectively, as well as through our own digital commerce sites and those of various third-party digital partners. We operate our business using a global omni-channel retailing strategy that seeks to deliver an integrated shop</w:t>
      </w:r>
      <w:r>
        <w:rPr>
          <w:rFonts w:eastAsia="Times New Roman"/>
          <w:color w:val="000000"/>
          <w:sz w:val="20"/>
          <w:szCs w:val="20"/>
        </w:rPr>
        <w:t xml:space="preserve">ping experience with a consistent message of our brands and products to our customers, regardless of whether they are shopping for our products in physical stores or online. We also continue to scale and expand our Connected Retail capabilities to enhance </w:t>
      </w:r>
      <w:r>
        <w:rPr>
          <w:rFonts w:eastAsia="Times New Roman"/>
          <w:color w:val="000000"/>
          <w:sz w:val="20"/>
          <w:szCs w:val="20"/>
        </w:rPr>
        <w:t>the consumer experience, which now include virtual selling appointments, Buy Online-Pick Up in Store, and mobile checkout and contactless payments, among other capabilities.</w:t>
      </w:r>
    </w:p>
    <w:p w:rsidR="00000000" w:rsidRDefault="00BB5C2D">
      <w:pPr>
        <w:ind w:firstLine="360"/>
        <w:jc w:val="both"/>
        <w:divId w:val="754286384"/>
        <w:rPr>
          <w:rFonts w:eastAsia="Times New Roman"/>
        </w:rPr>
      </w:pPr>
      <w:r>
        <w:rPr>
          <w:rFonts w:eastAsia="Times New Roman"/>
          <w:b/>
          <w:bCs/>
          <w:i/>
          <w:iCs/>
          <w:color w:val="000000"/>
          <w:sz w:val="20"/>
          <w:szCs w:val="20"/>
        </w:rPr>
        <w:t>Ralph Lauren Stores</w:t>
      </w:r>
    </w:p>
    <w:p w:rsidR="00000000" w:rsidRDefault="00BB5C2D">
      <w:pPr>
        <w:ind w:firstLine="540"/>
        <w:jc w:val="both"/>
        <w:divId w:val="138425440"/>
        <w:rPr>
          <w:rFonts w:eastAsia="Times New Roman"/>
        </w:rPr>
      </w:pPr>
      <w:r>
        <w:rPr>
          <w:rFonts w:eastAsia="Times New Roman"/>
          <w:color w:val="000000"/>
          <w:sz w:val="20"/>
          <w:szCs w:val="20"/>
        </w:rPr>
        <w:t>Our Ralph Lauren stores feature a broad range of apparel, foot</w:t>
      </w:r>
      <w:r>
        <w:rPr>
          <w:rFonts w:eastAsia="Times New Roman"/>
          <w:color w:val="000000"/>
          <w:sz w:val="20"/>
          <w:szCs w:val="20"/>
        </w:rPr>
        <w:t>wear, accessories, watch and jewelry, fragrance, and home product assortments in an atmosphere reflecting the distinctive attitude and image of the Ralph Lauren, Polo, and Double RL brands, including exclusive merchandise that is not sold in department sto</w:t>
      </w:r>
      <w:r>
        <w:rPr>
          <w:rFonts w:eastAsia="Times New Roman"/>
          <w:color w:val="000000"/>
          <w:sz w:val="20"/>
          <w:szCs w:val="20"/>
        </w:rPr>
        <w:t>res. During Fiscal 2022, we opened 31 new Ralph Lauren stores and closed 7 stores. Our Ralph Lauren stores are primarily situated in major upscale street locations and upscale regional malls, generally in large urban markets.</w:t>
      </w:r>
    </w:p>
    <w:p w:rsidR="00000000" w:rsidRDefault="00BB5C2D">
      <w:pPr>
        <w:ind w:firstLine="540"/>
        <w:jc w:val="both"/>
        <w:divId w:val="1469400575"/>
        <w:rPr>
          <w:rFonts w:eastAsia="Times New Roman"/>
        </w:rPr>
      </w:pPr>
      <w:r>
        <w:rPr>
          <w:rFonts w:eastAsia="Times New Roman"/>
          <w:color w:val="000000"/>
          <w:sz w:val="20"/>
          <w:szCs w:val="20"/>
        </w:rPr>
        <w:t>The following table presents t</w:t>
      </w:r>
      <w:r>
        <w:rPr>
          <w:rFonts w:eastAsia="Times New Roman"/>
          <w:color w:val="000000"/>
          <w:sz w:val="20"/>
          <w:szCs w:val="20"/>
        </w:rPr>
        <w:t>he number of Ralph Lauren stores by segment as of April 2, 2022:</w:t>
      </w:r>
    </w:p>
    <w:tbl>
      <w:tblPr>
        <w:tblW w:w="4722" w:type="pct"/>
        <w:tblCellMar>
          <w:top w:w="15" w:type="dxa"/>
          <w:left w:w="15" w:type="dxa"/>
          <w:bottom w:w="15" w:type="dxa"/>
          <w:right w:w="15" w:type="dxa"/>
        </w:tblCellMar>
        <w:tblLook w:val="04A0" w:firstRow="1" w:lastRow="0" w:firstColumn="1" w:lastColumn="0" w:noHBand="0" w:noVBand="1"/>
      </w:tblPr>
      <w:tblGrid>
        <w:gridCol w:w="37"/>
        <w:gridCol w:w="5984"/>
        <w:gridCol w:w="36"/>
        <w:gridCol w:w="36"/>
        <w:gridCol w:w="36"/>
        <w:gridCol w:w="36"/>
        <w:gridCol w:w="89"/>
        <w:gridCol w:w="1554"/>
        <w:gridCol w:w="36"/>
      </w:tblGrid>
      <w:tr w:rsidR="00000000">
        <w:trPr>
          <w:divId w:val="623344921"/>
        </w:trPr>
        <w:tc>
          <w:tcPr>
            <w:tcW w:w="50" w:type="pct"/>
            <w:vAlign w:val="center"/>
            <w:hideMark/>
          </w:tcPr>
          <w:p w:rsidR="00000000" w:rsidRDefault="00BB5C2D">
            <w:pPr>
              <w:ind w:firstLine="540"/>
              <w:jc w:val="both"/>
              <w:rPr>
                <w:rFonts w:eastAsia="Times New Roman"/>
              </w:rPr>
            </w:pPr>
          </w:p>
        </w:tc>
        <w:tc>
          <w:tcPr>
            <w:tcW w:w="397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873"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623344921"/>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8"/>
                <w:szCs w:val="18"/>
              </w:rPr>
              <w:t>Ralph Lauren Stores</w:t>
            </w:r>
          </w:p>
        </w:tc>
      </w:tr>
      <w:tr w:rsidR="00000000">
        <w:trPr>
          <w:divId w:val="623344921"/>
        </w:trPr>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North America</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623344921"/>
        </w:trPr>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Europe</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623344921"/>
        </w:trPr>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Asia</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623344921"/>
        </w:trPr>
        <w:tc>
          <w:tcPr>
            <w:tcW w:w="0" w:type="auto"/>
            <w:gridSpan w:val="3"/>
            <w:shd w:val="clear" w:color="auto" w:fill="FFFFFF"/>
            <w:tcMar>
              <w:top w:w="30" w:type="dxa"/>
              <w:left w:w="155" w:type="dxa"/>
              <w:bottom w:w="30" w:type="dxa"/>
              <w:right w:w="20" w:type="dxa"/>
            </w:tcMar>
            <w:hideMark/>
          </w:tcPr>
          <w:p w:rsidR="00000000" w:rsidRDefault="00BB5C2D">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175 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bl>
    <w:p w:rsidR="00000000" w:rsidRDefault="00BB5C2D">
      <w:pPr>
        <w:ind w:firstLine="540"/>
        <w:jc w:val="both"/>
        <w:divId w:val="1652754924"/>
        <w:rPr>
          <w:rFonts w:eastAsia="Times New Roman"/>
        </w:rPr>
      </w:pPr>
      <w:r>
        <w:rPr>
          <w:rFonts w:eastAsia="Times New Roman"/>
          <w:color w:val="000000"/>
          <w:sz w:val="20"/>
          <w:szCs w:val="20"/>
        </w:rPr>
        <w:t>Our 9 flagship Ralph Lauren regional store locations showcase our iconic styles and products and demonstrate our most refined merchandising techniques. In addition to generating sales of our products, our worldwide Ralph Lauren stores establish, reinforce,</w:t>
      </w:r>
      <w:r>
        <w:rPr>
          <w:rFonts w:eastAsia="Times New Roman"/>
          <w:color w:val="000000"/>
          <w:sz w:val="20"/>
          <w:szCs w:val="20"/>
        </w:rPr>
        <w:t xml:space="preserve"> and capitalize on the image of our brands. Our Ralph Lauren stores range in size from approximately 500 to 37,900 square feet.</w:t>
      </w:r>
    </w:p>
    <w:p w:rsidR="00000000" w:rsidRDefault="00BB5C2D">
      <w:pPr>
        <w:ind w:firstLine="360"/>
        <w:jc w:val="both"/>
        <w:divId w:val="1043559595"/>
        <w:rPr>
          <w:rFonts w:eastAsia="Times New Roman"/>
        </w:rPr>
      </w:pPr>
      <w:r>
        <w:rPr>
          <w:rFonts w:eastAsia="Times New Roman"/>
          <w:b/>
          <w:bCs/>
          <w:i/>
          <w:iCs/>
          <w:color w:val="000000"/>
          <w:sz w:val="20"/>
          <w:szCs w:val="20"/>
        </w:rPr>
        <w:t>Factory Stores</w:t>
      </w:r>
    </w:p>
    <w:p w:rsidR="00000000" w:rsidRDefault="00BB5C2D">
      <w:pPr>
        <w:ind w:firstLine="540"/>
        <w:jc w:val="both"/>
        <w:divId w:val="2023781353"/>
        <w:rPr>
          <w:rFonts w:eastAsia="Times New Roman"/>
        </w:rPr>
      </w:pPr>
      <w:r>
        <w:rPr>
          <w:rFonts w:eastAsia="Times New Roman"/>
          <w:color w:val="000000"/>
          <w:sz w:val="20"/>
          <w:szCs w:val="20"/>
        </w:rPr>
        <w:t>We extend our reach to additional consumer groups through our 329 factory stores worldwide, which are principally</w:t>
      </w:r>
      <w:r>
        <w:rPr>
          <w:rFonts w:eastAsia="Times New Roman"/>
          <w:color w:val="000000"/>
          <w:sz w:val="20"/>
          <w:szCs w:val="20"/>
        </w:rPr>
        <w:t xml:space="preserve"> located in major outlet centers. Our worldwide factory stores offer selections of our apparel, footwear, accessories, and fragrances. In addition to these product offerings, certain of our worldwide factory stores offer home furnishings. During Fiscal 202</w:t>
      </w:r>
      <w:r>
        <w:rPr>
          <w:rFonts w:eastAsia="Times New Roman"/>
          <w:color w:val="000000"/>
          <w:sz w:val="20"/>
          <w:szCs w:val="20"/>
        </w:rPr>
        <w:t>2, we opened 11 new factory stores and closed 7 stores.</w:t>
      </w:r>
    </w:p>
    <w:p w:rsidR="00000000" w:rsidRDefault="00BB5C2D">
      <w:pPr>
        <w:ind w:firstLine="540"/>
        <w:jc w:val="both"/>
        <w:divId w:val="1750032879"/>
        <w:rPr>
          <w:rFonts w:eastAsia="Times New Roman"/>
        </w:rPr>
      </w:pPr>
      <w:r>
        <w:rPr>
          <w:rFonts w:eastAsia="Times New Roman"/>
          <w:color w:val="000000"/>
          <w:sz w:val="20"/>
          <w:szCs w:val="20"/>
        </w:rPr>
        <w:t>The following table presents the number of factory stores by segment as of April 2, 2022:</w:t>
      </w:r>
    </w:p>
    <w:tbl>
      <w:tblPr>
        <w:tblW w:w="4722" w:type="pct"/>
        <w:tblCellMar>
          <w:top w:w="15" w:type="dxa"/>
          <w:left w:w="15" w:type="dxa"/>
          <w:bottom w:w="15" w:type="dxa"/>
          <w:right w:w="15" w:type="dxa"/>
        </w:tblCellMar>
        <w:tblLook w:val="04A0" w:firstRow="1" w:lastRow="0" w:firstColumn="1" w:lastColumn="0" w:noHBand="0" w:noVBand="1"/>
      </w:tblPr>
      <w:tblGrid>
        <w:gridCol w:w="55"/>
        <w:gridCol w:w="6219"/>
        <w:gridCol w:w="36"/>
        <w:gridCol w:w="36"/>
        <w:gridCol w:w="36"/>
        <w:gridCol w:w="36"/>
        <w:gridCol w:w="63"/>
        <w:gridCol w:w="1327"/>
        <w:gridCol w:w="36"/>
      </w:tblGrid>
      <w:tr w:rsidR="00000000">
        <w:trPr>
          <w:divId w:val="1743940153"/>
        </w:trPr>
        <w:tc>
          <w:tcPr>
            <w:tcW w:w="50" w:type="pct"/>
            <w:vAlign w:val="center"/>
            <w:hideMark/>
          </w:tcPr>
          <w:p w:rsidR="00000000" w:rsidRDefault="00BB5C2D">
            <w:pPr>
              <w:ind w:firstLine="540"/>
              <w:jc w:val="both"/>
              <w:rPr>
                <w:rFonts w:eastAsia="Times New Roman"/>
              </w:rPr>
            </w:pPr>
          </w:p>
        </w:tc>
        <w:tc>
          <w:tcPr>
            <w:tcW w:w="397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873"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743940153"/>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8"/>
                <w:szCs w:val="18"/>
              </w:rPr>
              <w:t>Factory Stores</w:t>
            </w:r>
          </w:p>
        </w:tc>
      </w:tr>
      <w:tr w:rsidR="00000000">
        <w:trPr>
          <w:divId w:val="1743940153"/>
        </w:trPr>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North America</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743940153"/>
        </w:trPr>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Europe</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59 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743940153"/>
        </w:trPr>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Asia</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743940153"/>
        </w:trPr>
        <w:tc>
          <w:tcPr>
            <w:tcW w:w="0" w:type="auto"/>
            <w:gridSpan w:val="3"/>
            <w:shd w:val="clear" w:color="auto" w:fill="FFFFFF"/>
            <w:tcMar>
              <w:top w:w="30" w:type="dxa"/>
              <w:left w:w="155" w:type="dxa"/>
              <w:bottom w:w="30" w:type="dxa"/>
              <w:right w:w="20" w:type="dxa"/>
            </w:tcMar>
            <w:hideMark/>
          </w:tcPr>
          <w:p w:rsidR="00000000" w:rsidRDefault="00BB5C2D">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bl>
    <w:p w:rsidR="00000000" w:rsidRDefault="00BB5C2D">
      <w:pPr>
        <w:ind w:firstLine="540"/>
        <w:jc w:val="both"/>
        <w:divId w:val="570894092"/>
        <w:rPr>
          <w:rFonts w:eastAsia="Times New Roman"/>
        </w:rPr>
      </w:pPr>
      <w:r>
        <w:rPr>
          <w:rFonts w:eastAsia="Times New Roman"/>
          <w:color w:val="000000"/>
          <w:sz w:val="20"/>
          <w:szCs w:val="20"/>
        </w:rPr>
        <w:t>Our factory stores range in size from approximately 1,100 to 28,300 square feet. Factory stores obtain products from our suppliers, our product licensing partners, and our other retail stores and digital commerce operations, and also serve as a secondary d</w:t>
      </w:r>
      <w:r>
        <w:rPr>
          <w:rFonts w:eastAsia="Times New Roman"/>
          <w:color w:val="000000"/>
          <w:sz w:val="20"/>
          <w:szCs w:val="20"/>
        </w:rPr>
        <w:t>istribution channel for our excess and out-of-season products.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741100750"/>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741100750"/>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11</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38" style="width:0;height:1.5pt" o:hralign="center" o:hrstd="t" o:hr="t" fillcolor="#a0a0a0" stroked="f"/>
        </w:pict>
      </w:r>
    </w:p>
    <w:p w:rsidR="00000000" w:rsidRDefault="00BB5C2D">
      <w:pPr>
        <w:divId w:val="434522976"/>
        <w:rPr>
          <w:rFonts w:eastAsia="Times New Roman"/>
        </w:rPr>
      </w:pPr>
    </w:p>
    <w:p w:rsidR="00000000" w:rsidRDefault="00BB5C2D">
      <w:pPr>
        <w:ind w:firstLine="360"/>
        <w:jc w:val="both"/>
        <w:divId w:val="716976772"/>
        <w:rPr>
          <w:rFonts w:eastAsia="Times New Roman"/>
        </w:rPr>
      </w:pPr>
      <w:r>
        <w:rPr>
          <w:rFonts w:eastAsia="Times New Roman"/>
          <w:b/>
          <w:bCs/>
          <w:i/>
          <w:iCs/>
          <w:color w:val="000000"/>
          <w:sz w:val="20"/>
          <w:szCs w:val="20"/>
        </w:rPr>
        <w:t>Concession-based Shop-within-Shops</w:t>
      </w:r>
    </w:p>
    <w:p w:rsidR="00000000" w:rsidRDefault="00BB5C2D">
      <w:pPr>
        <w:ind w:firstLine="540"/>
        <w:jc w:val="both"/>
        <w:divId w:val="2142455955"/>
        <w:rPr>
          <w:rFonts w:eastAsia="Times New Roman"/>
        </w:rPr>
      </w:pPr>
      <w:r>
        <w:rPr>
          <w:rFonts w:eastAsia="Times New Roman"/>
          <w:color w:val="000000"/>
          <w:sz w:val="20"/>
          <w:szCs w:val="20"/>
        </w:rPr>
        <w:t>The terms of trade for shop-within-shops are largely conducted on a concession basis, whereby inventory continues to be owned by us (not the department store) until ultimate sale to t</w:t>
      </w:r>
      <w:r>
        <w:rPr>
          <w:rFonts w:eastAsia="Times New Roman"/>
          <w:color w:val="000000"/>
          <w:sz w:val="20"/>
          <w:szCs w:val="20"/>
        </w:rPr>
        <w:t>he end consumer. The salespeople involved in the sales transactions are generally our employees and not those of the department store.</w:t>
      </w:r>
    </w:p>
    <w:p w:rsidR="00000000" w:rsidRDefault="00BB5C2D">
      <w:pPr>
        <w:ind w:firstLine="540"/>
        <w:jc w:val="both"/>
        <w:divId w:val="1236933049"/>
        <w:rPr>
          <w:rFonts w:eastAsia="Times New Roman"/>
        </w:rPr>
      </w:pPr>
      <w:r>
        <w:rPr>
          <w:rFonts w:eastAsia="Times New Roman"/>
          <w:color w:val="000000"/>
          <w:sz w:val="20"/>
          <w:szCs w:val="20"/>
        </w:rPr>
        <w:t>The following table presents the number of concession-based shop-within-shops by segment as of April 2, 2022:</w:t>
      </w:r>
    </w:p>
    <w:tbl>
      <w:tblPr>
        <w:tblW w:w="4722" w:type="pct"/>
        <w:tblCellMar>
          <w:top w:w="15" w:type="dxa"/>
          <w:left w:w="15" w:type="dxa"/>
          <w:bottom w:w="15" w:type="dxa"/>
          <w:right w:w="15" w:type="dxa"/>
        </w:tblCellMar>
        <w:tblLook w:val="04A0" w:firstRow="1" w:lastRow="0" w:firstColumn="1" w:lastColumn="0" w:noHBand="0" w:noVBand="1"/>
      </w:tblPr>
      <w:tblGrid>
        <w:gridCol w:w="55"/>
        <w:gridCol w:w="6219"/>
        <w:gridCol w:w="36"/>
        <w:gridCol w:w="36"/>
        <w:gridCol w:w="36"/>
        <w:gridCol w:w="36"/>
        <w:gridCol w:w="52"/>
        <w:gridCol w:w="1338"/>
        <w:gridCol w:w="36"/>
      </w:tblGrid>
      <w:tr w:rsidR="00000000">
        <w:trPr>
          <w:divId w:val="1379672069"/>
        </w:trPr>
        <w:tc>
          <w:tcPr>
            <w:tcW w:w="50" w:type="pct"/>
            <w:vAlign w:val="center"/>
            <w:hideMark/>
          </w:tcPr>
          <w:p w:rsidR="00000000" w:rsidRDefault="00BB5C2D">
            <w:pPr>
              <w:ind w:firstLine="540"/>
              <w:jc w:val="both"/>
              <w:rPr>
                <w:rFonts w:eastAsia="Times New Roman"/>
              </w:rPr>
            </w:pPr>
          </w:p>
        </w:tc>
        <w:tc>
          <w:tcPr>
            <w:tcW w:w="397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873"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379672069"/>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8"/>
                <w:szCs w:val="18"/>
              </w:rPr>
              <w:t>Concession-based</w:t>
            </w:r>
            <w:r>
              <w:rPr>
                <w:rFonts w:eastAsia="Times New Roman"/>
                <w:b/>
                <w:bCs/>
                <w:color w:val="000000"/>
                <w:sz w:val="18"/>
                <w:szCs w:val="18"/>
              </w:rPr>
              <w:br/>
              <w:t>Shop-within-Shops</w:t>
            </w:r>
          </w:p>
        </w:tc>
      </w:tr>
      <w:tr w:rsidR="00000000">
        <w:trPr>
          <w:divId w:val="1379672069"/>
        </w:trPr>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North America</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79672069"/>
        </w:trPr>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Europe</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79672069"/>
        </w:trPr>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Asia</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654 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79672069"/>
        </w:trPr>
        <w:tc>
          <w:tcPr>
            <w:tcW w:w="0" w:type="auto"/>
            <w:gridSpan w:val="3"/>
            <w:shd w:val="clear" w:color="auto" w:fill="FFFFFF"/>
            <w:tcMar>
              <w:top w:w="30" w:type="dxa"/>
              <w:left w:w="20" w:type="dxa"/>
              <w:bottom w:w="30" w:type="dxa"/>
              <w:right w:w="20" w:type="dxa"/>
            </w:tcMar>
            <w:hideMark/>
          </w:tcPr>
          <w:p w:rsidR="00000000" w:rsidRDefault="00BB5C2D">
            <w:pPr>
              <w:spacing w:after="100"/>
              <w:divId w:val="1266307440"/>
              <w:rPr>
                <w:rFonts w:eastAsia="Times New Roman"/>
              </w:rPr>
            </w:pPr>
            <w:r>
              <w:rPr>
                <w:rFonts w:eastAsia="Times New Roman"/>
                <w:color w:val="000000"/>
                <w:sz w:val="20"/>
                <w:szCs w:val="20"/>
              </w:rPr>
              <w:t>Tota</w:t>
            </w:r>
            <w:r>
              <w:rPr>
                <w:rFonts w:eastAsia="Times New Roman"/>
                <w:color w:val="000000"/>
                <w:sz w:val="20"/>
                <w:szCs w:val="20"/>
              </w:rPr>
              <w:t>l</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BB5C2D">
            <w:pPr>
              <w:rPr>
                <w:rFonts w:eastAsia="Times New Roman"/>
              </w:rPr>
            </w:pPr>
          </w:p>
        </w:tc>
        <w:tc>
          <w:tcPr>
            <w:tcW w:w="494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r>
    </w:tbl>
    <w:p w:rsidR="00000000" w:rsidRDefault="00BB5C2D">
      <w:pPr>
        <w:ind w:hanging="360"/>
        <w:jc w:val="both"/>
        <w:divId w:val="1090083831"/>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 xml:space="preserve">     </w:t>
      </w:r>
      <w:r>
        <w:rPr>
          <w:rFonts w:eastAsia="Times New Roman"/>
          <w:color w:val="000000"/>
          <w:sz w:val="20"/>
          <w:szCs w:val="20"/>
        </w:rPr>
        <w:t>Our concession-based shop-within-shops were located at approximately 320 retail locations.</w:t>
      </w:r>
    </w:p>
    <w:p w:rsidR="00000000" w:rsidRDefault="00BB5C2D">
      <w:pPr>
        <w:ind w:firstLine="540"/>
        <w:jc w:val="both"/>
        <w:divId w:val="1094939365"/>
        <w:rPr>
          <w:rFonts w:eastAsia="Times New Roman"/>
        </w:rPr>
      </w:pPr>
      <w:r>
        <w:rPr>
          <w:rFonts w:eastAsia="Times New Roman"/>
          <w:color w:val="000000"/>
          <w:sz w:val="20"/>
          <w:szCs w:val="20"/>
        </w:rPr>
        <w:t>The size of our concession-based shop-within-shops ranges from approximately 100 to 4,200 square feet. We may share in the cost of building out certain of these shop-within-shops with our department store partners.</w:t>
      </w:r>
    </w:p>
    <w:p w:rsidR="00000000" w:rsidRDefault="00BB5C2D">
      <w:pPr>
        <w:ind w:firstLine="360"/>
        <w:jc w:val="both"/>
        <w:divId w:val="1457795068"/>
        <w:rPr>
          <w:rFonts w:eastAsia="Times New Roman"/>
        </w:rPr>
      </w:pPr>
      <w:r>
        <w:rPr>
          <w:rFonts w:eastAsia="Times New Roman"/>
          <w:b/>
          <w:bCs/>
          <w:i/>
          <w:iCs/>
          <w:color w:val="000000"/>
          <w:sz w:val="20"/>
          <w:szCs w:val="20"/>
        </w:rPr>
        <w:t>Directly-Operated Digital Commerce Websit</w:t>
      </w:r>
      <w:r>
        <w:rPr>
          <w:rFonts w:eastAsia="Times New Roman"/>
          <w:b/>
          <w:bCs/>
          <w:i/>
          <w:iCs/>
          <w:color w:val="000000"/>
          <w:sz w:val="20"/>
          <w:szCs w:val="20"/>
        </w:rPr>
        <w:t>es</w:t>
      </w:r>
    </w:p>
    <w:p w:rsidR="00000000" w:rsidRDefault="00BB5C2D">
      <w:pPr>
        <w:ind w:firstLine="540"/>
        <w:jc w:val="both"/>
        <w:divId w:val="1898277367"/>
        <w:rPr>
          <w:rFonts w:eastAsia="Times New Roman"/>
        </w:rPr>
      </w:pPr>
      <w:r>
        <w:rPr>
          <w:rFonts w:eastAsia="Times New Roman"/>
          <w:color w:val="000000"/>
          <w:sz w:val="20"/>
          <w:szCs w:val="20"/>
        </w:rPr>
        <w:t>In addition to our stores, our retail business sells products online in North America, Europe, and Asia through our various directly-operated digital commerce sites, which include www.RalphLauren.com, among others. We continue to expand accessibility to</w:t>
      </w:r>
      <w:r>
        <w:rPr>
          <w:rFonts w:eastAsia="Times New Roman"/>
          <w:color w:val="000000"/>
          <w:sz w:val="20"/>
          <w:szCs w:val="20"/>
        </w:rPr>
        <w:t xml:space="preserve"> our digital flagships globally while localizing language, currencies, payment methods, product assortments, and content. We also sell our products online through various third-party digital partner commerce sites, primarily in Asia, as well as through our</w:t>
      </w:r>
      <w:r>
        <w:rPr>
          <w:rFonts w:eastAsia="Times New Roman"/>
          <w:color w:val="000000"/>
          <w:sz w:val="20"/>
          <w:szCs w:val="20"/>
        </w:rPr>
        <w:t xml:space="preserve"> mobile apps in North America and in the United Kingdom.</w:t>
      </w:r>
    </w:p>
    <w:p w:rsidR="00000000" w:rsidRDefault="00BB5C2D">
      <w:pPr>
        <w:ind w:firstLine="540"/>
        <w:jc w:val="both"/>
        <w:divId w:val="1138767711"/>
        <w:rPr>
          <w:rFonts w:eastAsia="Times New Roman"/>
        </w:rPr>
      </w:pPr>
      <w:r>
        <w:rPr>
          <w:rFonts w:eastAsia="Times New Roman"/>
          <w:color w:val="000000"/>
          <w:sz w:val="20"/>
          <w:szCs w:val="20"/>
        </w:rPr>
        <w:t>Our Ralph Lauren digital commerce sites offer our customers access to a broad array of Ralph Lauren, Polo, Lauren, and Double RL apparel, footwear, accessories, watch and jewelry, fragrance, and home</w:t>
      </w:r>
      <w:r>
        <w:rPr>
          <w:rFonts w:eastAsia="Times New Roman"/>
          <w:color w:val="000000"/>
          <w:sz w:val="20"/>
          <w:szCs w:val="20"/>
        </w:rPr>
        <w:t xml:space="preserve"> product assortments, and reinforce the luxury image of our brands. While investing in digital commerce operations remains a primary focus, it is an extension of our investment in the integrated omni-channel strategy used to operate our overall retail busi</w:t>
      </w:r>
      <w:r>
        <w:rPr>
          <w:rFonts w:eastAsia="Times New Roman"/>
          <w:color w:val="000000"/>
          <w:sz w:val="20"/>
          <w:szCs w:val="20"/>
        </w:rPr>
        <w:t xml:space="preserve">ness, in which our digital commerce operations are interdependent with our physical stores. </w:t>
      </w:r>
    </w:p>
    <w:p w:rsidR="00000000" w:rsidRDefault="00BB5C2D">
      <w:pPr>
        <w:jc w:val="center"/>
        <w:divId w:val="1450736643"/>
        <w:rPr>
          <w:rFonts w:eastAsia="Times New Roman"/>
        </w:rPr>
      </w:pPr>
      <w:r>
        <w:rPr>
          <w:rFonts w:eastAsia="Times New Roman"/>
          <w:b/>
          <w:bCs/>
          <w:color w:val="000000"/>
          <w:sz w:val="20"/>
          <w:szCs w:val="20"/>
        </w:rPr>
        <w:t>Our Wholesale Business</w:t>
      </w:r>
    </w:p>
    <w:p w:rsidR="00000000" w:rsidRDefault="00BB5C2D">
      <w:pPr>
        <w:ind w:firstLine="540"/>
        <w:jc w:val="both"/>
        <w:divId w:val="983199461"/>
        <w:rPr>
          <w:rFonts w:eastAsia="Times New Roman"/>
        </w:rPr>
      </w:pPr>
      <w:r>
        <w:rPr>
          <w:rFonts w:eastAsia="Times New Roman"/>
          <w:color w:val="000000"/>
          <w:sz w:val="20"/>
          <w:szCs w:val="20"/>
        </w:rPr>
        <w:t>Our wholesale business sells our products globally primarily to major department stores, specialty stores, and golf and pro shops, as well a</w:t>
      </w:r>
      <w:r>
        <w:rPr>
          <w:rFonts w:eastAsia="Times New Roman"/>
          <w:color w:val="000000"/>
          <w:sz w:val="20"/>
          <w:szCs w:val="20"/>
        </w:rPr>
        <w:t>s to various third-party digital partners. We have continued to focus on elevating our brand by improving in-store product assortment and presentation, as well as full-price sell-throughs to consumers. As of the end of Fiscal 2022, our wholesale products w</w:t>
      </w:r>
      <w:r>
        <w:rPr>
          <w:rFonts w:eastAsia="Times New Roman"/>
          <w:color w:val="000000"/>
          <w:sz w:val="20"/>
          <w:szCs w:val="20"/>
        </w:rPr>
        <w:t>ere sold through approximately 9,000 doors worldwide, with the majority in specialty stores. Our products are also increasingly being sold through the digital commerce sites of many of our traditional wholesale customers and our third-party digital partner</w:t>
      </w:r>
      <w:r>
        <w:rPr>
          <w:rFonts w:eastAsia="Times New Roman"/>
          <w:color w:val="000000"/>
          <w:sz w:val="20"/>
          <w:szCs w:val="20"/>
        </w:rPr>
        <w:t xml:space="preserve">s. </w:t>
      </w:r>
    </w:p>
    <w:p w:rsidR="00000000" w:rsidRDefault="00BB5C2D">
      <w:pPr>
        <w:ind w:firstLine="540"/>
        <w:jc w:val="both"/>
        <w:divId w:val="1826504640"/>
        <w:rPr>
          <w:rFonts w:eastAsia="Times New Roman"/>
        </w:rPr>
      </w:pPr>
      <w:r>
        <w:rPr>
          <w:rFonts w:eastAsia="Times New Roman"/>
          <w:color w:val="000000"/>
          <w:sz w:val="20"/>
          <w:szCs w:val="20"/>
        </w:rPr>
        <w:t>The primary product offerings sold through our wholesale channels of distribution include apparel, footwear, accessories, and home furnishings. Our luxury brands, including Ralph Lauren Collection and Ralph Lauren Purple Label, are distributed worldwid</w:t>
      </w:r>
      <w:r>
        <w:rPr>
          <w:rFonts w:eastAsia="Times New Roman"/>
          <w:color w:val="000000"/>
          <w:sz w:val="20"/>
          <w:szCs w:val="20"/>
        </w:rPr>
        <w:t xml:space="preserve">e through a limited number of premier fashion retailers. In North America, our wholesale business is comprised primarily of sales to department stores, and to a lesser extent, specialty stores. In Europe, our wholesale business is comprised primarily of a </w:t>
      </w:r>
      <w:r>
        <w:rPr>
          <w:rFonts w:eastAsia="Times New Roman"/>
          <w:color w:val="000000"/>
          <w:sz w:val="20"/>
          <w:szCs w:val="20"/>
        </w:rPr>
        <w:t>varying mix of sales to both department stores and specialty stores, depending on the country, as well as to various third-party digital partners. In Asia, our wholesale business is comprised primarily of sales to department stores, with related products d</w:t>
      </w:r>
      <w:r>
        <w:rPr>
          <w:rFonts w:eastAsia="Times New Roman"/>
          <w:color w:val="000000"/>
          <w:sz w:val="20"/>
          <w:szCs w:val="20"/>
        </w:rPr>
        <w:t>istributed through shop-within-shops. We also distribute our wholesale products to certain licensed stores operated by our partners in Latin America, Asia, Europe, and the Middle East.</w:t>
      </w:r>
    </w:p>
    <w:p w:rsidR="00000000" w:rsidRDefault="00BB5C2D">
      <w:pPr>
        <w:ind w:firstLine="540"/>
        <w:jc w:val="both"/>
        <w:divId w:val="1239558515"/>
        <w:rPr>
          <w:rFonts w:eastAsia="Times New Roman"/>
        </w:rPr>
      </w:pPr>
      <w:r>
        <w:rPr>
          <w:rFonts w:eastAsia="Times New Roman"/>
          <w:color w:val="000000"/>
          <w:sz w:val="20"/>
          <w:szCs w:val="20"/>
        </w:rPr>
        <w:t>We sell most of our excess and out-of-season products through secondary</w:t>
      </w:r>
      <w:r>
        <w:rPr>
          <w:rFonts w:eastAsia="Times New Roman"/>
          <w:color w:val="000000"/>
          <w:sz w:val="20"/>
          <w:szCs w:val="20"/>
        </w:rPr>
        <w:t xml:space="preserve"> distribution channels worldwide, including our retail factory stores.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444423475"/>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444423475"/>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12</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39" style="width:0;height:1.5pt" o:hralign="center" o:hrstd="t" o:hr="t" fillcolor="#a0a0a0" stroked="f"/>
        </w:pict>
      </w:r>
    </w:p>
    <w:p w:rsidR="00000000" w:rsidRDefault="00BB5C2D">
      <w:pPr>
        <w:divId w:val="1495602848"/>
        <w:rPr>
          <w:rFonts w:eastAsia="Times New Roman"/>
        </w:rPr>
      </w:pPr>
    </w:p>
    <w:p w:rsidR="00000000" w:rsidRDefault="00BB5C2D">
      <w:pPr>
        <w:ind w:firstLine="360"/>
        <w:jc w:val="both"/>
        <w:divId w:val="1021010932"/>
        <w:rPr>
          <w:rFonts w:eastAsia="Times New Roman"/>
        </w:rPr>
      </w:pPr>
      <w:r>
        <w:rPr>
          <w:rFonts w:eastAsia="Times New Roman"/>
          <w:b/>
          <w:bCs/>
          <w:i/>
          <w:iCs/>
          <w:color w:val="000000"/>
          <w:sz w:val="20"/>
          <w:szCs w:val="20"/>
        </w:rPr>
        <w:t>Worldwide Wholesale Distribution Channels</w:t>
      </w:r>
    </w:p>
    <w:p w:rsidR="00000000" w:rsidRDefault="00BB5C2D">
      <w:pPr>
        <w:ind w:firstLine="540"/>
        <w:jc w:val="both"/>
        <w:divId w:val="996106930"/>
        <w:rPr>
          <w:rFonts w:eastAsia="Times New Roman"/>
        </w:rPr>
      </w:pPr>
      <w:r>
        <w:rPr>
          <w:rFonts w:eastAsia="Times New Roman"/>
          <w:color w:val="000000"/>
          <w:sz w:val="20"/>
          <w:szCs w:val="20"/>
        </w:rPr>
        <w:t>The following table presents by segment the number of wholesale doors in our primary channels of distribution as of April 2, 2022:</w:t>
      </w:r>
    </w:p>
    <w:tbl>
      <w:tblPr>
        <w:tblW w:w="4722" w:type="pct"/>
        <w:tblCellMar>
          <w:top w:w="15" w:type="dxa"/>
          <w:left w:w="15" w:type="dxa"/>
          <w:bottom w:w="15" w:type="dxa"/>
          <w:right w:w="15" w:type="dxa"/>
        </w:tblCellMar>
        <w:tblLook w:val="04A0" w:firstRow="1" w:lastRow="0" w:firstColumn="1" w:lastColumn="0" w:noHBand="0" w:noVBand="1"/>
      </w:tblPr>
      <w:tblGrid>
        <w:gridCol w:w="55"/>
        <w:gridCol w:w="6219"/>
        <w:gridCol w:w="36"/>
        <w:gridCol w:w="36"/>
        <w:gridCol w:w="36"/>
        <w:gridCol w:w="36"/>
        <w:gridCol w:w="42"/>
        <w:gridCol w:w="1348"/>
        <w:gridCol w:w="36"/>
      </w:tblGrid>
      <w:tr w:rsidR="00000000">
        <w:trPr>
          <w:divId w:val="1318150244"/>
        </w:trPr>
        <w:tc>
          <w:tcPr>
            <w:tcW w:w="50" w:type="pct"/>
            <w:vAlign w:val="center"/>
            <w:hideMark/>
          </w:tcPr>
          <w:p w:rsidR="00000000" w:rsidRDefault="00BB5C2D">
            <w:pPr>
              <w:ind w:firstLine="540"/>
              <w:jc w:val="both"/>
              <w:rPr>
                <w:rFonts w:eastAsia="Times New Roman"/>
              </w:rPr>
            </w:pPr>
          </w:p>
        </w:tc>
        <w:tc>
          <w:tcPr>
            <w:tcW w:w="397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873"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318150244"/>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8"/>
                <w:szCs w:val="18"/>
              </w:rPr>
              <w:t>Doors</w:t>
            </w:r>
          </w:p>
        </w:tc>
      </w:tr>
      <w:tr w:rsidR="00000000">
        <w:trPr>
          <w:divId w:val="1318150244"/>
        </w:trPr>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North America</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3,373 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18150244"/>
        </w:trPr>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Europe</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5,184 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18150244"/>
        </w:trPr>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Asia</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446 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18150244"/>
        </w:trPr>
        <w:tc>
          <w:tcPr>
            <w:tcW w:w="0" w:type="auto"/>
            <w:gridSpan w:val="3"/>
            <w:shd w:val="clear" w:color="auto" w:fill="FFFFFF"/>
            <w:tcMar>
              <w:top w:w="30" w:type="dxa"/>
              <w:left w:w="155" w:type="dxa"/>
              <w:bottom w:w="30" w:type="dxa"/>
              <w:right w:w="20" w:type="dxa"/>
            </w:tcMar>
            <w:hideMark/>
          </w:tcPr>
          <w:p w:rsidR="00000000" w:rsidRDefault="00BB5C2D">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9,003 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bl>
    <w:p w:rsidR="00000000" w:rsidRDefault="00BB5C2D">
      <w:pPr>
        <w:ind w:firstLine="540"/>
        <w:jc w:val="both"/>
        <w:divId w:val="83038625"/>
        <w:rPr>
          <w:rFonts w:eastAsia="Times New Roman"/>
        </w:rPr>
      </w:pPr>
      <w:r>
        <w:rPr>
          <w:rFonts w:eastAsia="Times New Roman"/>
          <w:color w:val="000000"/>
          <w:sz w:val="20"/>
          <w:szCs w:val="20"/>
        </w:rPr>
        <w:t>In addition to our conventional wholesale doors, our products are increasingly being sold through the websites of many of our traditional wholesale customers, as well as those of our third-party digital partners. As of April 2, 2022, our wholesale business</w:t>
      </w:r>
      <w:r>
        <w:rPr>
          <w:rFonts w:eastAsia="Times New Roman"/>
          <w:color w:val="000000"/>
          <w:sz w:val="20"/>
          <w:szCs w:val="20"/>
        </w:rPr>
        <w:t xml:space="preserve"> served approximately 100 third-party digital partners, primarily in Europe.</w:t>
      </w:r>
    </w:p>
    <w:p w:rsidR="00000000" w:rsidRDefault="00BB5C2D">
      <w:pPr>
        <w:ind w:firstLine="540"/>
        <w:jc w:val="both"/>
        <w:divId w:val="1455754852"/>
        <w:rPr>
          <w:rFonts w:eastAsia="Times New Roman"/>
        </w:rPr>
      </w:pPr>
      <w:r>
        <w:rPr>
          <w:rFonts w:eastAsia="Times New Roman"/>
          <w:color w:val="000000"/>
          <w:sz w:val="20"/>
          <w:szCs w:val="20"/>
        </w:rPr>
        <w:t>We have three key wholesale customers that generate significant sales volume. During Fiscal 2022, sales to our three largest wholesale customers accounted for approximately 16% of</w:t>
      </w:r>
      <w:r>
        <w:rPr>
          <w:rFonts w:eastAsia="Times New Roman"/>
          <w:color w:val="000000"/>
          <w:sz w:val="20"/>
          <w:szCs w:val="20"/>
        </w:rPr>
        <w:t xml:space="preserve"> our total net revenues. Substantially all sales to our three largest wholesale customers related to our North America segment.</w:t>
      </w:r>
    </w:p>
    <w:p w:rsidR="00000000" w:rsidRDefault="00BB5C2D">
      <w:pPr>
        <w:ind w:firstLine="540"/>
        <w:jc w:val="both"/>
        <w:divId w:val="691301534"/>
        <w:rPr>
          <w:rFonts w:eastAsia="Times New Roman"/>
        </w:rPr>
      </w:pPr>
      <w:r>
        <w:rPr>
          <w:rFonts w:eastAsia="Times New Roman"/>
          <w:color w:val="000000"/>
          <w:sz w:val="20"/>
          <w:szCs w:val="20"/>
        </w:rPr>
        <w:t>Our products are sold primarily by our own sales forces. Our wholesale business maintains its primary showrooms in New York City</w:t>
      </w:r>
      <w:r>
        <w:rPr>
          <w:rFonts w:eastAsia="Times New Roman"/>
          <w:color w:val="000000"/>
          <w:sz w:val="20"/>
          <w:szCs w:val="20"/>
        </w:rPr>
        <w:t xml:space="preserve">, as well as regional showrooms in London, Madrid, Milan, Munich, Paris, and Stockholm. In addition, we utilize virtual showrooms, allowing our customers to experience and discover our product assortments in a retail setting remotely. </w:t>
      </w:r>
    </w:p>
    <w:p w:rsidR="00000000" w:rsidRDefault="00BB5C2D">
      <w:pPr>
        <w:ind w:firstLine="540"/>
        <w:jc w:val="both"/>
        <w:divId w:val="596988555"/>
        <w:rPr>
          <w:rFonts w:eastAsia="Times New Roman"/>
        </w:rPr>
      </w:pPr>
      <w:r>
        <w:rPr>
          <w:rFonts w:eastAsia="Times New Roman"/>
          <w:b/>
          <w:bCs/>
          <w:i/>
          <w:iCs/>
          <w:color w:val="000000"/>
          <w:sz w:val="20"/>
          <w:szCs w:val="20"/>
        </w:rPr>
        <w:t>Shop-within-Shops.</w:t>
      </w:r>
      <w:r>
        <w:rPr>
          <w:rFonts w:eastAsia="Times New Roman"/>
          <w:color w:val="000000"/>
          <w:sz w:val="20"/>
          <w:szCs w:val="20"/>
        </w:rPr>
        <w:t>  </w:t>
      </w:r>
      <w:r>
        <w:rPr>
          <w:rFonts w:eastAsia="Times New Roman"/>
          <w:color w:val="000000"/>
          <w:sz w:val="20"/>
          <w:szCs w:val="20"/>
        </w:rPr>
        <w:t>  As a critical element of our distribution to department stores, we and our licensing partners utilize shop-within-shops to enhance brand recognition, to permit more complete merchandising of our lines by the department stores, and to differentiate the pr</w:t>
      </w:r>
      <w:r>
        <w:rPr>
          <w:rFonts w:eastAsia="Times New Roman"/>
          <w:color w:val="000000"/>
          <w:sz w:val="20"/>
          <w:szCs w:val="20"/>
        </w:rPr>
        <w:t xml:space="preserve">esentation of our products. </w:t>
      </w:r>
    </w:p>
    <w:p w:rsidR="00000000" w:rsidRDefault="00BB5C2D">
      <w:pPr>
        <w:ind w:firstLine="540"/>
        <w:jc w:val="both"/>
        <w:divId w:val="842672256"/>
        <w:rPr>
          <w:rFonts w:eastAsia="Times New Roman"/>
        </w:rPr>
      </w:pPr>
      <w:r>
        <w:rPr>
          <w:rFonts w:eastAsia="Times New Roman"/>
          <w:color w:val="000000"/>
          <w:sz w:val="20"/>
          <w:szCs w:val="20"/>
        </w:rPr>
        <w:t>The following table presents by segment the number of shop-within-shops in our primary channels of distribution as of April 2, 2022:</w:t>
      </w:r>
    </w:p>
    <w:tbl>
      <w:tblPr>
        <w:tblW w:w="4722" w:type="pct"/>
        <w:tblCellMar>
          <w:top w:w="15" w:type="dxa"/>
          <w:left w:w="15" w:type="dxa"/>
          <w:bottom w:w="15" w:type="dxa"/>
          <w:right w:w="15" w:type="dxa"/>
        </w:tblCellMar>
        <w:tblLook w:val="04A0" w:firstRow="1" w:lastRow="0" w:firstColumn="1" w:lastColumn="0" w:noHBand="0" w:noVBand="1"/>
      </w:tblPr>
      <w:tblGrid>
        <w:gridCol w:w="55"/>
        <w:gridCol w:w="6219"/>
        <w:gridCol w:w="36"/>
        <w:gridCol w:w="36"/>
        <w:gridCol w:w="36"/>
        <w:gridCol w:w="36"/>
        <w:gridCol w:w="42"/>
        <w:gridCol w:w="1348"/>
        <w:gridCol w:w="36"/>
      </w:tblGrid>
      <w:tr w:rsidR="00000000">
        <w:trPr>
          <w:divId w:val="1411584634"/>
        </w:trPr>
        <w:tc>
          <w:tcPr>
            <w:tcW w:w="50" w:type="pct"/>
            <w:vAlign w:val="center"/>
            <w:hideMark/>
          </w:tcPr>
          <w:p w:rsidR="00000000" w:rsidRDefault="00BB5C2D">
            <w:pPr>
              <w:ind w:firstLine="540"/>
              <w:jc w:val="both"/>
              <w:rPr>
                <w:rFonts w:eastAsia="Times New Roman"/>
              </w:rPr>
            </w:pPr>
          </w:p>
        </w:tc>
        <w:tc>
          <w:tcPr>
            <w:tcW w:w="397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873"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411584634"/>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8"/>
                <w:szCs w:val="18"/>
              </w:rPr>
              <w:t>Shop-within-Shops</w:t>
            </w:r>
          </w:p>
        </w:tc>
      </w:tr>
      <w:tr w:rsidR="00000000">
        <w:trPr>
          <w:divId w:val="1411584634"/>
        </w:trPr>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North America</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7,191 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411584634"/>
        </w:trPr>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Europe</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6,640 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411584634"/>
        </w:trPr>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Asia</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621 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411584634"/>
        </w:trPr>
        <w:tc>
          <w:tcPr>
            <w:tcW w:w="0" w:type="auto"/>
            <w:gridSpan w:val="3"/>
            <w:shd w:val="clear" w:color="auto" w:fill="FFFFFF"/>
            <w:tcMar>
              <w:top w:w="30" w:type="dxa"/>
              <w:left w:w="155" w:type="dxa"/>
              <w:bottom w:w="30" w:type="dxa"/>
              <w:right w:w="20" w:type="dxa"/>
            </w:tcMar>
            <w:hideMark/>
          </w:tcPr>
          <w:p w:rsidR="00000000" w:rsidRDefault="00BB5C2D">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14,452 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bl>
    <w:p w:rsidR="00000000" w:rsidRDefault="00BB5C2D">
      <w:pPr>
        <w:ind w:firstLine="540"/>
        <w:jc w:val="both"/>
        <w:divId w:val="1630012638"/>
        <w:rPr>
          <w:rFonts w:eastAsia="Times New Roman"/>
        </w:rPr>
      </w:pPr>
      <w:r>
        <w:rPr>
          <w:rFonts w:eastAsia="Times New Roman"/>
          <w:color w:val="000000"/>
          <w:sz w:val="20"/>
          <w:szCs w:val="20"/>
        </w:rPr>
        <w:t>The size of our shop-within-shops ranges from approximately 85 to 9,200 </w:t>
      </w:r>
      <w:r>
        <w:rPr>
          <w:rFonts w:eastAsia="Times New Roman"/>
          <w:color w:val="000000"/>
          <w:sz w:val="20"/>
          <w:szCs w:val="20"/>
        </w:rPr>
        <w:t>square feet. Shop-within-shop fixed assets primarily include items such as customized freestanding fixtures, wall cases and components, decorative items, and flooring. We normally share in the cost of building out these shop-within-shops with our wholesale</w:t>
      </w:r>
      <w:r>
        <w:rPr>
          <w:rFonts w:eastAsia="Times New Roman"/>
          <w:color w:val="000000"/>
          <w:sz w:val="20"/>
          <w:szCs w:val="20"/>
        </w:rPr>
        <w:t xml:space="preserve"> customers. </w:t>
      </w:r>
    </w:p>
    <w:p w:rsidR="00000000" w:rsidRDefault="00BB5C2D">
      <w:pPr>
        <w:ind w:firstLine="495"/>
        <w:jc w:val="both"/>
        <w:divId w:val="1061750047"/>
        <w:rPr>
          <w:rFonts w:eastAsia="Times New Roman"/>
        </w:rPr>
      </w:pPr>
      <w:r>
        <w:rPr>
          <w:rFonts w:eastAsia="Times New Roman"/>
          <w:b/>
          <w:bCs/>
          <w:i/>
          <w:iCs/>
          <w:color w:val="000000"/>
          <w:sz w:val="20"/>
          <w:szCs w:val="20"/>
        </w:rPr>
        <w:t>Replenishment Program.</w:t>
      </w:r>
      <w:r>
        <w:rPr>
          <w:rFonts w:eastAsia="Times New Roman"/>
          <w:color w:val="000000"/>
          <w:sz w:val="20"/>
          <w:szCs w:val="20"/>
        </w:rPr>
        <w:t>    Core products such as knit shirts, chino pants, oxford cloth shirts, select footwear and accessories, and home products can be ordered by our wholesale customers at any time through our replenishment program. We gener</w:t>
      </w:r>
      <w:r>
        <w:rPr>
          <w:rFonts w:eastAsia="Times New Roman"/>
          <w:color w:val="000000"/>
          <w:sz w:val="20"/>
          <w:szCs w:val="20"/>
        </w:rPr>
        <w:t>ally ship these products within two to five days of order receipt.</w:t>
      </w:r>
    </w:p>
    <w:p w:rsidR="00000000" w:rsidRDefault="00BB5C2D">
      <w:pPr>
        <w:ind w:firstLine="495"/>
        <w:jc w:val="both"/>
        <w:divId w:val="1890796991"/>
        <w:rPr>
          <w:rFonts w:eastAsia="Times New Roman"/>
        </w:rPr>
      </w:pPr>
      <w:r>
        <w:rPr>
          <w:rFonts w:eastAsia="Times New Roman"/>
          <w:b/>
          <w:bCs/>
          <w:i/>
          <w:iCs/>
          <w:color w:val="000000"/>
          <w:sz w:val="20"/>
          <w:szCs w:val="20"/>
        </w:rPr>
        <w:t>Backlog.</w:t>
      </w:r>
      <w:r>
        <w:rPr>
          <w:rFonts w:eastAsia="Times New Roman"/>
          <w:color w:val="000000"/>
          <w:sz w:val="20"/>
          <w:szCs w:val="20"/>
        </w:rPr>
        <w:t>    We generally receive wholesale orders approximately three to five months prior to the time the products are delivered to customers, except for orders received through our replen</w:t>
      </w:r>
      <w:r>
        <w:rPr>
          <w:rFonts w:eastAsia="Times New Roman"/>
          <w:color w:val="000000"/>
          <w:sz w:val="20"/>
          <w:szCs w:val="20"/>
        </w:rPr>
        <w:t>ishment program which ship within two to five days of order receipt. Our wholesale orders are generally subject to broad cancellation rights. Further, the size of our order backlog depends on several factors, including the timing of the market weeks for ou</w:t>
      </w:r>
      <w:r>
        <w:rPr>
          <w:rFonts w:eastAsia="Times New Roman"/>
          <w:color w:val="000000"/>
          <w:sz w:val="20"/>
          <w:szCs w:val="20"/>
        </w:rPr>
        <w:t>r particular lines during which a significant percentage of our orders are received and the timing of shipments, which varies from year-to-year with consideration for holidays, consumer trends, concept plans, and the replenishment program's usage. Conseque</w:t>
      </w:r>
      <w:r>
        <w:rPr>
          <w:rFonts w:eastAsia="Times New Roman"/>
          <w:color w:val="000000"/>
          <w:sz w:val="20"/>
          <w:szCs w:val="20"/>
        </w:rPr>
        <w:t>ntly, the dollar amount of our backlog as of any date may not be indicative of actual future shipments and therefore is not meaningful in understanding our business as a whole.</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679897058"/>
          <w:jc w:val="center"/>
        </w:trPr>
        <w:tc>
          <w:tcPr>
            <w:tcW w:w="50" w:type="pct"/>
            <w:vAlign w:val="center"/>
            <w:hideMark/>
          </w:tcPr>
          <w:p w:rsidR="00000000" w:rsidRDefault="00BB5C2D">
            <w:pPr>
              <w:ind w:firstLine="495"/>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679897058"/>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13</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40" style="width:0;height:1.5pt" o:hralign="center" o:hrstd="t" o:hr="t" fillcolor="#a0a0a0" stroked="f"/>
        </w:pict>
      </w:r>
    </w:p>
    <w:p w:rsidR="00000000" w:rsidRDefault="00BB5C2D">
      <w:pPr>
        <w:divId w:val="1432628907"/>
        <w:rPr>
          <w:rFonts w:eastAsia="Times New Roman"/>
        </w:rPr>
      </w:pPr>
    </w:p>
    <w:p w:rsidR="00000000" w:rsidRDefault="00BB5C2D">
      <w:pPr>
        <w:jc w:val="center"/>
        <w:divId w:val="1931351775"/>
        <w:rPr>
          <w:rFonts w:eastAsia="Times New Roman"/>
        </w:rPr>
      </w:pPr>
      <w:r>
        <w:rPr>
          <w:rFonts w:eastAsia="Times New Roman"/>
          <w:b/>
          <w:bCs/>
          <w:color w:val="000000"/>
          <w:sz w:val="20"/>
          <w:szCs w:val="20"/>
        </w:rPr>
        <w:t>Our Licensing Business</w:t>
      </w:r>
    </w:p>
    <w:p w:rsidR="00000000" w:rsidRDefault="00BB5C2D">
      <w:pPr>
        <w:ind w:firstLine="540"/>
        <w:jc w:val="both"/>
        <w:divId w:val="157505276"/>
        <w:rPr>
          <w:rFonts w:eastAsia="Times New Roman"/>
        </w:rPr>
      </w:pPr>
      <w:r>
        <w:rPr>
          <w:rFonts w:eastAsia="Times New Roman"/>
          <w:color w:val="000000"/>
          <w:sz w:val="20"/>
          <w:szCs w:val="20"/>
        </w:rPr>
        <w:t>Through licensing alliances, we combine our consumer insight, design, and marketing skills with the specific product or geographic competencies of our licensing partners to create and build new b</w:t>
      </w:r>
      <w:r>
        <w:rPr>
          <w:rFonts w:eastAsia="Times New Roman"/>
          <w:color w:val="000000"/>
          <w:sz w:val="20"/>
          <w:szCs w:val="20"/>
        </w:rPr>
        <w:t>usinesses. We generally seek out licensing partners who are leaders in their respective markets, contribute the majority of product development costs, provide the operational infrastructure required to support the business, and own the inventory. Our licen</w:t>
      </w:r>
      <w:r>
        <w:rPr>
          <w:rFonts w:eastAsia="Times New Roman"/>
          <w:color w:val="000000"/>
          <w:sz w:val="20"/>
          <w:szCs w:val="20"/>
        </w:rPr>
        <w:t>sing business has been aggregated with other non-reportable segments.</w:t>
      </w:r>
    </w:p>
    <w:p w:rsidR="00000000" w:rsidRDefault="00BB5C2D">
      <w:pPr>
        <w:ind w:firstLine="360"/>
        <w:jc w:val="both"/>
        <w:divId w:val="864559708"/>
        <w:rPr>
          <w:rFonts w:eastAsia="Times New Roman"/>
        </w:rPr>
      </w:pPr>
      <w:r>
        <w:rPr>
          <w:rFonts w:eastAsia="Times New Roman"/>
          <w:i/>
          <w:iCs/>
          <w:color w:val="000000"/>
          <w:sz w:val="20"/>
          <w:szCs w:val="20"/>
        </w:rPr>
        <w:t>Product Licensing</w:t>
      </w:r>
    </w:p>
    <w:p w:rsidR="00000000" w:rsidRDefault="00BB5C2D">
      <w:pPr>
        <w:ind w:firstLine="540"/>
        <w:jc w:val="both"/>
        <w:divId w:val="825441278"/>
        <w:rPr>
          <w:rFonts w:eastAsia="Times New Roman"/>
        </w:rPr>
      </w:pPr>
      <w:r>
        <w:rPr>
          <w:rFonts w:eastAsia="Times New Roman"/>
          <w:color w:val="000000"/>
          <w:sz w:val="20"/>
          <w:szCs w:val="20"/>
        </w:rPr>
        <w:t>We grant our product licensees the right to access our various trademarks in connection with the licensees' manufacture and sale of designated products, such as certain</w:t>
      </w:r>
      <w:r>
        <w:rPr>
          <w:rFonts w:eastAsia="Times New Roman"/>
          <w:color w:val="000000"/>
          <w:sz w:val="20"/>
          <w:szCs w:val="20"/>
        </w:rPr>
        <w:t xml:space="preserve"> apparel, eyewear, fragrances, and home furnishings. Each product licensing partner pays us royalties based upon its sales of our products, generally subject to a minimum royalty requirement for the right to use our trademarks and design services. In addit</w:t>
      </w:r>
      <w:r>
        <w:rPr>
          <w:rFonts w:eastAsia="Times New Roman"/>
          <w:color w:val="000000"/>
          <w:sz w:val="20"/>
          <w:szCs w:val="20"/>
        </w:rPr>
        <w:t>ion, our licensing partners may be required to allocate a portion of their revenues to advertising our products and sharing in the creative costs associated with these products. Larger allocations typically are required in connection with launches of new p</w:t>
      </w:r>
      <w:r>
        <w:rPr>
          <w:rFonts w:eastAsia="Times New Roman"/>
          <w:color w:val="000000"/>
          <w:sz w:val="20"/>
          <w:szCs w:val="20"/>
        </w:rPr>
        <w:t>roducts or in new territories. Our license agreements generally have two to five-year terms and may grant the licensees conditional renewal options.</w:t>
      </w:r>
    </w:p>
    <w:p w:rsidR="00000000" w:rsidRDefault="00BB5C2D">
      <w:pPr>
        <w:ind w:firstLine="540"/>
        <w:jc w:val="both"/>
        <w:divId w:val="384839003"/>
        <w:rPr>
          <w:rFonts w:eastAsia="Times New Roman"/>
        </w:rPr>
      </w:pPr>
      <w:r>
        <w:rPr>
          <w:rFonts w:eastAsia="Times New Roman"/>
          <w:color w:val="000000"/>
          <w:sz w:val="20"/>
          <w:szCs w:val="20"/>
        </w:rPr>
        <w:t>We work closely with all of our licensing partners to ensure that their products are developed, marketed, a</w:t>
      </w:r>
      <w:r>
        <w:rPr>
          <w:rFonts w:eastAsia="Times New Roman"/>
          <w:color w:val="000000"/>
          <w:sz w:val="20"/>
          <w:szCs w:val="20"/>
        </w:rPr>
        <w:t>nd distributed to reach the intended consumer and are presented consistently across product categories to convey the distinctive identity and lifestyle associated with our brands. Virtually all aspects of the design, production quality, packaging, merchand</w:t>
      </w:r>
      <w:r>
        <w:rPr>
          <w:rFonts w:eastAsia="Times New Roman"/>
          <w:color w:val="000000"/>
          <w:sz w:val="20"/>
          <w:szCs w:val="20"/>
        </w:rPr>
        <w:t>ising, distribution, advertising, and promotion of Ralph Lauren products are subject to our prior approval and continuing oversight. We perform a broader range of services for most of our Ralph Lauren Home licensing partners than we do for our other licens</w:t>
      </w:r>
      <w:r>
        <w:rPr>
          <w:rFonts w:eastAsia="Times New Roman"/>
          <w:color w:val="000000"/>
          <w:sz w:val="20"/>
          <w:szCs w:val="20"/>
        </w:rPr>
        <w:t>ing partners, including design, operating showrooms, marketing, and advertising.</w:t>
      </w:r>
    </w:p>
    <w:p w:rsidR="00000000" w:rsidRDefault="00BB5C2D">
      <w:pPr>
        <w:ind w:firstLine="540"/>
        <w:jc w:val="both"/>
        <w:divId w:val="381757701"/>
        <w:rPr>
          <w:rFonts w:eastAsia="Times New Roman"/>
        </w:rPr>
      </w:pPr>
      <w:r>
        <w:rPr>
          <w:rFonts w:eastAsia="Times New Roman"/>
          <w:color w:val="000000"/>
          <w:sz w:val="20"/>
          <w:szCs w:val="20"/>
        </w:rPr>
        <w:t>The following table lists our largest licensing agreements as of April 2, 2022 for the product categories presented. Except as noted in the table, these product licenses cover</w:t>
      </w:r>
      <w:r>
        <w:rPr>
          <w:rFonts w:eastAsia="Times New Roman"/>
          <w:color w:val="000000"/>
          <w:sz w:val="20"/>
          <w:szCs w:val="20"/>
        </w:rPr>
        <w:t xml:space="preserve"> North America only. </w:t>
      </w:r>
    </w:p>
    <w:tbl>
      <w:tblPr>
        <w:tblW w:w="4985" w:type="pct"/>
        <w:tblCellMar>
          <w:top w:w="15" w:type="dxa"/>
          <w:left w:w="15" w:type="dxa"/>
          <w:bottom w:w="15" w:type="dxa"/>
          <w:right w:w="15" w:type="dxa"/>
        </w:tblCellMar>
        <w:tblLook w:val="04A0" w:firstRow="1" w:lastRow="0" w:firstColumn="1" w:lastColumn="0" w:noHBand="0" w:noVBand="1"/>
      </w:tblPr>
      <w:tblGrid>
        <w:gridCol w:w="61"/>
        <w:gridCol w:w="1241"/>
        <w:gridCol w:w="38"/>
        <w:gridCol w:w="36"/>
        <w:gridCol w:w="66"/>
        <w:gridCol w:w="36"/>
        <w:gridCol w:w="58"/>
        <w:gridCol w:w="2897"/>
        <w:gridCol w:w="37"/>
        <w:gridCol w:w="36"/>
        <w:gridCol w:w="66"/>
        <w:gridCol w:w="36"/>
        <w:gridCol w:w="59"/>
        <w:gridCol w:w="3577"/>
        <w:gridCol w:w="37"/>
      </w:tblGrid>
      <w:tr w:rsidR="00000000">
        <w:trPr>
          <w:divId w:val="973755834"/>
        </w:trPr>
        <w:tc>
          <w:tcPr>
            <w:tcW w:w="50" w:type="pct"/>
            <w:vAlign w:val="center"/>
            <w:hideMark/>
          </w:tcPr>
          <w:p w:rsidR="00000000" w:rsidRDefault="00BB5C2D">
            <w:pPr>
              <w:ind w:firstLine="540"/>
              <w:jc w:val="both"/>
              <w:rPr>
                <w:rFonts w:eastAsia="Times New Roman"/>
              </w:rPr>
            </w:pPr>
          </w:p>
        </w:tc>
        <w:tc>
          <w:tcPr>
            <w:tcW w:w="76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763"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2173"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973755834"/>
        </w:trPr>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8"/>
                <w:szCs w:val="18"/>
              </w:rPr>
              <w:t>Category</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8"/>
                <w:szCs w:val="18"/>
              </w:rPr>
              <w:t xml:space="preserve">Licensed Products </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8"/>
                <w:szCs w:val="18"/>
              </w:rPr>
              <w:t>Licensing Partners</w:t>
            </w:r>
          </w:p>
        </w:tc>
      </w:tr>
      <w:tr w:rsidR="00000000">
        <w:trPr>
          <w:divId w:val="973755834"/>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Men's Apparel</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Underwear and Sleepwear</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Hanesbrands, Inc. (includes Japan)</w:t>
            </w:r>
          </w:p>
        </w:tc>
      </w:tr>
      <w:tr w:rsidR="00000000">
        <w:trPr>
          <w:divId w:val="973755834"/>
        </w:trPr>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Lauren, Ralph, and Chaps Tailored Clothing</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Peerless Clothing International, Inc.</w:t>
            </w:r>
          </w:p>
        </w:tc>
      </w:tr>
      <w:tr w:rsidR="00000000">
        <w:trPr>
          <w:divId w:val="973755834"/>
        </w:trPr>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Chaps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5 Star Apparel LLC</w:t>
            </w:r>
          </w:p>
        </w:tc>
      </w:tr>
      <w:tr w:rsidR="00000000">
        <w:trPr>
          <w:divId w:val="973755834"/>
          <w:trHeight w:val="120"/>
        </w:trPr>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973755834"/>
        </w:trPr>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Women's Apparel</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Outerwear</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S. Rothschild &amp; Co., Inc.</w:t>
            </w:r>
          </w:p>
        </w:tc>
      </w:tr>
      <w:tr w:rsidR="00000000">
        <w:trPr>
          <w:divId w:val="973755834"/>
        </w:trPr>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Sleepwear</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Charles Komar and Sons, Inc.</w:t>
            </w:r>
          </w:p>
        </w:tc>
      </w:tr>
      <w:tr w:rsidR="00000000">
        <w:trPr>
          <w:divId w:val="973755834"/>
        </w:trPr>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Chaps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5 Star Apparel LLC</w:t>
            </w:r>
          </w:p>
        </w:tc>
      </w:tr>
      <w:tr w:rsidR="00000000">
        <w:trPr>
          <w:divId w:val="973755834"/>
          <w:trHeight w:val="120"/>
        </w:trPr>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973755834"/>
        </w:trPr>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Beauty Products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 xml:space="preserve">Fragrances, Cosmetics, and Skin Care </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L'Oreal S.A. (global)</w:t>
            </w:r>
          </w:p>
        </w:tc>
      </w:tr>
      <w:tr w:rsidR="00000000">
        <w:trPr>
          <w:divId w:val="973755834"/>
          <w:trHeight w:val="120"/>
        </w:trPr>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973755834"/>
        </w:trPr>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Footwear</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Men's and Women's Slippers and Children's Footwear</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BBC International LLC (global)</w:t>
            </w:r>
          </w:p>
        </w:tc>
      </w:tr>
      <w:tr w:rsidR="00000000">
        <w:trPr>
          <w:divId w:val="973755834"/>
          <w:trHeight w:val="120"/>
        </w:trPr>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973755834"/>
        </w:trPr>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Accessories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Eyewear</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Luxottica Group S.p.A. (global)</w:t>
            </w:r>
          </w:p>
        </w:tc>
      </w:tr>
      <w:tr w:rsidR="00000000">
        <w:trPr>
          <w:divId w:val="973755834"/>
        </w:trPr>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Socks and Hosiery</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Renfro Corporation</w:t>
            </w:r>
          </w:p>
        </w:tc>
      </w:tr>
      <w:tr w:rsidR="00000000">
        <w:trPr>
          <w:divId w:val="973755834"/>
          <w:trHeight w:val="120"/>
        </w:trPr>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973755834"/>
        </w:trPr>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Home</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Utility and Blankets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Hollander Sleep Products LLC</w:t>
            </w:r>
          </w:p>
        </w:tc>
      </w:tr>
      <w:tr w:rsidR="00000000">
        <w:trPr>
          <w:divId w:val="973755834"/>
        </w:trPr>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Lighting</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Visual Comfort of America LLC</w:t>
            </w:r>
          </w:p>
        </w:tc>
      </w:tr>
    </w:tbl>
    <w:p w:rsidR="00000000" w:rsidRDefault="00BB5C2D">
      <w:pPr>
        <w:ind w:firstLine="360"/>
        <w:jc w:val="both"/>
        <w:divId w:val="1719010974"/>
        <w:rPr>
          <w:rFonts w:eastAsia="Times New Roman"/>
        </w:rPr>
      </w:pPr>
      <w:r>
        <w:rPr>
          <w:rFonts w:eastAsia="Times New Roman"/>
          <w:i/>
          <w:iCs/>
          <w:color w:val="000000"/>
          <w:sz w:val="20"/>
          <w:szCs w:val="20"/>
        </w:rPr>
        <w:t>International Licensing</w:t>
      </w:r>
    </w:p>
    <w:p w:rsidR="00000000" w:rsidRDefault="00BB5C2D">
      <w:pPr>
        <w:ind w:firstLine="540"/>
        <w:jc w:val="both"/>
        <w:divId w:val="1424061073"/>
        <w:rPr>
          <w:rFonts w:eastAsia="Times New Roman"/>
        </w:rPr>
      </w:pPr>
      <w:r>
        <w:rPr>
          <w:rFonts w:eastAsia="Times New Roman"/>
          <w:color w:val="000000"/>
          <w:sz w:val="20"/>
          <w:szCs w:val="20"/>
        </w:rPr>
        <w:t>Our international licensing partners acquire the right to sell, promote, market, and/or distribute various categories of our products in a given geographic area and source products from us, our product licensing partners, and independent sources. Internati</w:t>
      </w:r>
      <w:r>
        <w:rPr>
          <w:rFonts w:eastAsia="Times New Roman"/>
          <w:color w:val="000000"/>
          <w:sz w:val="20"/>
          <w:szCs w:val="20"/>
        </w:rPr>
        <w:t>onal licensees' rights may include the right to own and operate retail stores. As of April 2, 2022, our international licensing partners operated 148 stores and shops.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800653715"/>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800653715"/>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14</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41" style="width:0;height:1.5pt" o:hralign="center" o:hrstd="t" o:hr="t" fillcolor="#a0a0a0" stroked="f"/>
        </w:pict>
      </w:r>
    </w:p>
    <w:p w:rsidR="00000000" w:rsidRDefault="00BB5C2D">
      <w:pPr>
        <w:divId w:val="1751079216"/>
        <w:rPr>
          <w:rFonts w:eastAsia="Times New Roman"/>
        </w:rPr>
      </w:pPr>
    </w:p>
    <w:p w:rsidR="00000000" w:rsidRDefault="00BB5C2D">
      <w:pPr>
        <w:jc w:val="center"/>
        <w:divId w:val="669331601"/>
        <w:rPr>
          <w:rFonts w:eastAsia="Times New Roman"/>
        </w:rPr>
      </w:pPr>
      <w:r>
        <w:rPr>
          <w:rFonts w:eastAsia="Times New Roman"/>
          <w:b/>
          <w:bCs/>
          <w:color w:val="000000"/>
          <w:sz w:val="20"/>
          <w:szCs w:val="20"/>
        </w:rPr>
        <w:t>Digital Ecosystem</w:t>
      </w:r>
    </w:p>
    <w:p w:rsidR="00000000" w:rsidRDefault="00BB5C2D">
      <w:pPr>
        <w:ind w:firstLine="540"/>
        <w:jc w:val="both"/>
        <w:divId w:val="1157840020"/>
        <w:rPr>
          <w:rFonts w:eastAsia="Times New Roman"/>
        </w:rPr>
      </w:pPr>
      <w:r>
        <w:rPr>
          <w:rFonts w:eastAsia="Times New Roman"/>
          <w:color w:val="000000"/>
          <w:sz w:val="20"/>
          <w:szCs w:val="20"/>
        </w:rPr>
        <w:t>Investing in our digital ecosystem remains a primary focus and is a key component of our integrated global omni-channel strategy that spans across owned and partnered channels, both physical and digit</w:t>
      </w:r>
      <w:r>
        <w:rPr>
          <w:rFonts w:eastAsia="Times New Roman"/>
          <w:color w:val="000000"/>
          <w:sz w:val="20"/>
          <w:szCs w:val="20"/>
        </w:rPr>
        <w:t>al. Our digital ecosystem is comprised of directly-operated platforms, wholesale partner websites, third-party digital pure players, social commerce, and virtual economy platforms.</w:t>
      </w:r>
    </w:p>
    <w:p w:rsidR="00000000" w:rsidRDefault="00BB5C2D">
      <w:pPr>
        <w:ind w:firstLine="540"/>
        <w:jc w:val="both"/>
        <w:divId w:val="40717018"/>
        <w:rPr>
          <w:rFonts w:eastAsia="Times New Roman"/>
        </w:rPr>
      </w:pPr>
      <w:r>
        <w:rPr>
          <w:rFonts w:eastAsia="Times New Roman"/>
          <w:color w:val="000000"/>
          <w:sz w:val="20"/>
          <w:szCs w:val="20"/>
        </w:rPr>
        <w:t>Our directly-operated digital commerce sites represent our digital flagship</w:t>
      </w:r>
      <w:r>
        <w:rPr>
          <w:rFonts w:eastAsia="Times New Roman"/>
          <w:color w:val="000000"/>
          <w:sz w:val="20"/>
          <w:szCs w:val="20"/>
        </w:rPr>
        <w:t>s, featuring the most elevated expression of our brands. The strategy for our digital flagships is to deliver distinct and immersive brand experiences, continuously enhance consumer experience, and develop digital content that drives deeper consumer engage</w:t>
      </w:r>
      <w:r>
        <w:rPr>
          <w:rFonts w:eastAsia="Times New Roman"/>
          <w:color w:val="000000"/>
          <w:sz w:val="20"/>
          <w:szCs w:val="20"/>
        </w:rPr>
        <w:t>ment and conversion. Our physical flagships are also brought to life in a digital format through our virtual store experience, allowing consumers to experience our brands and product assortments in a way that was previously only possible by walking into ou</w:t>
      </w:r>
      <w:r>
        <w:rPr>
          <w:rFonts w:eastAsia="Times New Roman"/>
          <w:color w:val="000000"/>
          <w:sz w:val="20"/>
          <w:szCs w:val="20"/>
        </w:rPr>
        <w:t>r stores. In connection with our long-term growth strategy, we also continue to scale and expand our Connected Retail capabilities to enhance the consumer experience, which now include virtual selling appointments, Buy Online-Pick Up in Store, and mobile c</w:t>
      </w:r>
      <w:r>
        <w:rPr>
          <w:rFonts w:eastAsia="Times New Roman"/>
          <w:color w:val="000000"/>
          <w:sz w:val="20"/>
          <w:szCs w:val="20"/>
        </w:rPr>
        <w:t>heckout and contactless payments, among other capabilities.</w:t>
      </w:r>
    </w:p>
    <w:p w:rsidR="00000000" w:rsidRDefault="00BB5C2D">
      <w:pPr>
        <w:ind w:firstLine="540"/>
        <w:jc w:val="both"/>
        <w:divId w:val="852114343"/>
        <w:rPr>
          <w:rFonts w:eastAsia="Times New Roman"/>
        </w:rPr>
      </w:pPr>
      <w:r>
        <w:rPr>
          <w:rFonts w:eastAsia="Times New Roman"/>
          <w:color w:val="000000"/>
          <w:sz w:val="20"/>
          <w:szCs w:val="20"/>
        </w:rPr>
        <w:t>Our products are also sold through the digital commerce sites of many of our wholesale customers across the globe. With all partners in our ecosystem, we seek to showcase the brand consistently wi</w:t>
      </w:r>
      <w:r>
        <w:rPr>
          <w:rFonts w:eastAsia="Times New Roman"/>
          <w:color w:val="000000"/>
          <w:sz w:val="20"/>
          <w:szCs w:val="20"/>
        </w:rPr>
        <w:t>th our values. We collaborate with our key wholesale customers to deliver the right content to the right audience, and leverage consumer insights to develop a holistic, channel-agnostic view of our consumer.</w:t>
      </w:r>
    </w:p>
    <w:p w:rsidR="00000000" w:rsidRDefault="00BB5C2D">
      <w:pPr>
        <w:ind w:firstLine="540"/>
        <w:jc w:val="both"/>
        <w:divId w:val="217403207"/>
        <w:rPr>
          <w:rFonts w:eastAsia="Times New Roman"/>
        </w:rPr>
      </w:pPr>
      <w:r>
        <w:rPr>
          <w:rFonts w:eastAsia="Times New Roman"/>
          <w:color w:val="000000"/>
          <w:sz w:val="20"/>
          <w:szCs w:val="20"/>
        </w:rPr>
        <w:t>We also sell our products online through various</w:t>
      </w:r>
      <w:r>
        <w:rPr>
          <w:rFonts w:eastAsia="Times New Roman"/>
          <w:color w:val="000000"/>
          <w:sz w:val="20"/>
          <w:szCs w:val="20"/>
        </w:rPr>
        <w:t xml:space="preserve"> third-party digital pure-play sites to reach a broader audience of consumers, including younger consumers, and amplify our brand messages. On many of these sites, we have created digital shop-in-shop environments with a consistent brand experience, tailor</w:t>
      </w:r>
      <w:r>
        <w:rPr>
          <w:rFonts w:eastAsia="Times New Roman"/>
          <w:color w:val="000000"/>
          <w:sz w:val="20"/>
          <w:szCs w:val="20"/>
        </w:rPr>
        <w:t>ed product stories, and an assortment that is carefully curated by our merchants. We also partner closely with our pure-play customers on marketing content and events, as well as optimizing search and other data analyses to drive higher traffic and convers</w:t>
      </w:r>
      <w:r>
        <w:rPr>
          <w:rFonts w:eastAsia="Times New Roman"/>
          <w:color w:val="000000"/>
          <w:sz w:val="20"/>
          <w:szCs w:val="20"/>
        </w:rPr>
        <w:t xml:space="preserve">ion for our brands. </w:t>
      </w:r>
    </w:p>
    <w:p w:rsidR="00000000" w:rsidRDefault="00BB5C2D">
      <w:pPr>
        <w:ind w:firstLine="540"/>
        <w:jc w:val="both"/>
        <w:divId w:val="1910995834"/>
        <w:rPr>
          <w:rFonts w:eastAsia="Times New Roman"/>
        </w:rPr>
      </w:pPr>
      <w:r>
        <w:rPr>
          <w:rFonts w:eastAsia="Times New Roman"/>
          <w:color w:val="000000"/>
          <w:sz w:val="20"/>
          <w:szCs w:val="20"/>
        </w:rPr>
        <w:t>In connection with our digital commerce operations, we engage consumers through various digital and social media platforms, which are supported through our collaboration with influencers who have an authentic connection to our brand. R</w:t>
      </w:r>
      <w:r>
        <w:rPr>
          <w:rFonts w:eastAsia="Times New Roman"/>
          <w:color w:val="000000"/>
          <w:sz w:val="20"/>
          <w:szCs w:val="20"/>
        </w:rPr>
        <w:t xml:space="preserve">alph Lauren brands are also represented in several virtual economy platforms, providing digital apparel offerings and virtual brand experiences in the metaverse that attract younger consumers. </w:t>
      </w:r>
    </w:p>
    <w:p w:rsidR="00000000" w:rsidRDefault="00BB5C2D">
      <w:pPr>
        <w:jc w:val="center"/>
        <w:divId w:val="833030028"/>
        <w:rPr>
          <w:rFonts w:eastAsia="Times New Roman"/>
        </w:rPr>
      </w:pPr>
      <w:r>
        <w:rPr>
          <w:rFonts w:eastAsia="Times New Roman"/>
          <w:b/>
          <w:bCs/>
          <w:color w:val="000000"/>
          <w:sz w:val="20"/>
          <w:szCs w:val="20"/>
        </w:rPr>
        <w:t>Seasonality of Business</w:t>
      </w:r>
    </w:p>
    <w:p w:rsidR="00000000" w:rsidRDefault="00BB5C2D">
      <w:pPr>
        <w:ind w:firstLine="540"/>
        <w:jc w:val="both"/>
        <w:divId w:val="375551272"/>
        <w:rPr>
          <w:rFonts w:eastAsia="Times New Roman"/>
        </w:rPr>
      </w:pPr>
      <w:r>
        <w:rPr>
          <w:rFonts w:eastAsia="Times New Roman"/>
          <w:color w:val="000000"/>
          <w:sz w:val="20"/>
          <w:szCs w:val="20"/>
        </w:rPr>
        <w:t xml:space="preserve">Our business is typically affected by </w:t>
      </w:r>
      <w:r>
        <w:rPr>
          <w:rFonts w:eastAsia="Times New Roman"/>
          <w:color w:val="000000"/>
          <w:sz w:val="20"/>
          <w:szCs w:val="20"/>
        </w:rPr>
        <w:t>seasonal trends, with higher levels of retail sales in our second and third fiscal quarters and higher wholesale sales in our second and fourth fiscal quarters. These trends result primarily from the timing of key vacation travel, back-to-school, and holid</w:t>
      </w:r>
      <w:r>
        <w:rPr>
          <w:rFonts w:eastAsia="Times New Roman"/>
          <w:color w:val="000000"/>
          <w:sz w:val="20"/>
          <w:szCs w:val="20"/>
        </w:rPr>
        <w:t xml:space="preserve">ay shopping periods impacting our retail business and timing of seasonal wholesale shipments. As a result of changes in our business, consumer spending patterns, and the macroeconomic environment, including those resulting from pandemic diseases and other </w:t>
      </w:r>
      <w:r>
        <w:rPr>
          <w:rFonts w:eastAsia="Times New Roman"/>
          <w:color w:val="000000"/>
          <w:sz w:val="20"/>
          <w:szCs w:val="20"/>
        </w:rPr>
        <w:t>catastrophic events, historical quarterly operating trends and working capital requirements may not be indicative of our future performance. In addition, fluctuations in sales, operating income, and cash flows in any fiscal quarter may be affected by other</w:t>
      </w:r>
      <w:r>
        <w:rPr>
          <w:rFonts w:eastAsia="Times New Roman"/>
          <w:color w:val="000000"/>
          <w:sz w:val="20"/>
          <w:szCs w:val="20"/>
        </w:rPr>
        <w:t xml:space="preserve"> events affecting retail sales, such as changes in weather patterns.</w:t>
      </w:r>
    </w:p>
    <w:p w:rsidR="00000000" w:rsidRDefault="00BB5C2D">
      <w:pPr>
        <w:ind w:firstLine="540"/>
        <w:jc w:val="both"/>
        <w:divId w:val="634456037"/>
        <w:rPr>
          <w:rFonts w:eastAsia="Times New Roman"/>
        </w:rPr>
      </w:pPr>
      <w:r>
        <w:rPr>
          <w:rFonts w:eastAsia="Times New Roman"/>
          <w:color w:val="000000"/>
          <w:sz w:val="20"/>
          <w:szCs w:val="20"/>
        </w:rPr>
        <w:t>Working capital requirements vary throughout the year. Working capital requirements typically increase during the first half of the fiscal year as inventory builds to support peak shippin</w:t>
      </w:r>
      <w:r>
        <w:rPr>
          <w:rFonts w:eastAsia="Times New Roman"/>
          <w:color w:val="000000"/>
          <w:sz w:val="20"/>
          <w:szCs w:val="20"/>
        </w:rPr>
        <w:t>g/selling periods and, accordingly, typically decrease during the second half of the fiscal year as inventory is shipped/sold. Cash provided by operating activities is typically higher in the second half of the fiscal year due to reduced working capital re</w:t>
      </w:r>
      <w:r>
        <w:rPr>
          <w:rFonts w:eastAsia="Times New Roman"/>
          <w:color w:val="000000"/>
          <w:sz w:val="20"/>
          <w:szCs w:val="20"/>
        </w:rPr>
        <w:t>quirements during that period.</w:t>
      </w:r>
    </w:p>
    <w:p w:rsidR="00000000" w:rsidRDefault="00BB5C2D">
      <w:pPr>
        <w:jc w:val="center"/>
        <w:divId w:val="1768428140"/>
        <w:rPr>
          <w:rFonts w:eastAsia="Times New Roman"/>
        </w:rPr>
      </w:pPr>
      <w:r>
        <w:rPr>
          <w:rFonts w:eastAsia="Times New Roman"/>
          <w:b/>
          <w:bCs/>
          <w:color w:val="000000"/>
          <w:sz w:val="20"/>
          <w:szCs w:val="20"/>
        </w:rPr>
        <w:t>Product Design</w:t>
      </w:r>
    </w:p>
    <w:p w:rsidR="00000000" w:rsidRDefault="00BB5C2D">
      <w:pPr>
        <w:ind w:firstLine="540"/>
        <w:jc w:val="both"/>
        <w:divId w:val="1405838911"/>
        <w:rPr>
          <w:rFonts w:eastAsia="Times New Roman"/>
        </w:rPr>
      </w:pPr>
      <w:r>
        <w:rPr>
          <w:rFonts w:eastAsia="Times New Roman"/>
          <w:color w:val="000000"/>
          <w:sz w:val="20"/>
          <w:szCs w:val="20"/>
        </w:rPr>
        <w:t>Our products reflect a timeless and innovative interpretation of American style with a strong international appeal. Our consistent emphasis on new and distinctive design has been an important contributor to the</w:t>
      </w:r>
      <w:r>
        <w:rPr>
          <w:rFonts w:eastAsia="Times New Roman"/>
          <w:color w:val="000000"/>
          <w:sz w:val="20"/>
          <w:szCs w:val="20"/>
        </w:rPr>
        <w:t xml:space="preserve"> prominence, strength, and reputation of the Ralph Lauren brands.</w:t>
      </w:r>
    </w:p>
    <w:p w:rsidR="00000000" w:rsidRDefault="00BB5C2D">
      <w:pPr>
        <w:ind w:firstLine="540"/>
        <w:jc w:val="both"/>
        <w:divId w:val="385957483"/>
        <w:rPr>
          <w:rFonts w:eastAsia="Times New Roman"/>
        </w:rPr>
      </w:pPr>
      <w:r>
        <w:rPr>
          <w:rFonts w:eastAsia="Times New Roman"/>
          <w:color w:val="000000"/>
          <w:sz w:val="20"/>
          <w:szCs w:val="20"/>
        </w:rPr>
        <w:t>Our Ralph Lauren products are designed by, and under the direction of, Mr. Ralph Lauren and our design staff. We form design teams around our brands and product categories to develop concept</w:t>
      </w:r>
      <w:r>
        <w:rPr>
          <w:rFonts w:eastAsia="Times New Roman"/>
          <w:color w:val="000000"/>
          <w:sz w:val="20"/>
          <w:szCs w:val="20"/>
        </w:rPr>
        <w:t>s, themes, and products for each brand and category. Through close collaboration with merchandising, sales, and product management staff, these teams support all of our businesses in order to gain market information and other valuable input.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805927456"/>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805927456"/>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15</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42" style="width:0;height:1.5pt" o:hralign="center" o:hrstd="t" o:hr="t" fillcolor="#a0a0a0" stroked="f"/>
        </w:pict>
      </w:r>
    </w:p>
    <w:p w:rsidR="00000000" w:rsidRDefault="00BB5C2D">
      <w:pPr>
        <w:divId w:val="654534466"/>
        <w:rPr>
          <w:rFonts w:eastAsia="Times New Roman"/>
        </w:rPr>
      </w:pPr>
    </w:p>
    <w:p w:rsidR="00000000" w:rsidRDefault="00BB5C2D">
      <w:pPr>
        <w:jc w:val="center"/>
        <w:divId w:val="787045717"/>
        <w:rPr>
          <w:rFonts w:eastAsia="Times New Roman"/>
        </w:rPr>
      </w:pPr>
      <w:r>
        <w:rPr>
          <w:rFonts w:eastAsia="Times New Roman"/>
          <w:b/>
          <w:bCs/>
          <w:color w:val="000000"/>
          <w:sz w:val="20"/>
          <w:szCs w:val="20"/>
        </w:rPr>
        <w:t>Marketing and Advertising</w:t>
      </w:r>
    </w:p>
    <w:p w:rsidR="00000000" w:rsidRDefault="00BB5C2D">
      <w:pPr>
        <w:ind w:firstLine="540"/>
        <w:jc w:val="both"/>
        <w:divId w:val="920143747"/>
        <w:rPr>
          <w:rFonts w:eastAsia="Times New Roman"/>
        </w:rPr>
      </w:pPr>
      <w:r>
        <w:rPr>
          <w:rFonts w:eastAsia="Times New Roman"/>
          <w:color w:val="000000"/>
          <w:sz w:val="20"/>
          <w:szCs w:val="20"/>
        </w:rPr>
        <w:t>Our marketing and advertising programs communicate the themes and images of our brands and are integral to the success of our product offerings. The majority of our advertising programs are cr</w:t>
      </w:r>
      <w:r>
        <w:rPr>
          <w:rFonts w:eastAsia="Times New Roman"/>
          <w:color w:val="000000"/>
          <w:sz w:val="20"/>
          <w:szCs w:val="20"/>
        </w:rPr>
        <w:t>eated and executed by our in-house creative and advertising agency to ensure consistency of presentation, which is complemented by our marketing experts in each region who help to execute our international strategies.</w:t>
      </w:r>
    </w:p>
    <w:p w:rsidR="00000000" w:rsidRDefault="00BB5C2D">
      <w:pPr>
        <w:ind w:firstLine="540"/>
        <w:jc w:val="both"/>
        <w:divId w:val="245657244"/>
        <w:rPr>
          <w:rFonts w:eastAsia="Times New Roman"/>
        </w:rPr>
      </w:pPr>
      <w:r>
        <w:rPr>
          <w:rFonts w:eastAsia="Times New Roman"/>
          <w:color w:val="000000"/>
          <w:sz w:val="20"/>
          <w:szCs w:val="20"/>
        </w:rPr>
        <w:t>We create distinctive image advertisin</w:t>
      </w:r>
      <w:r>
        <w:rPr>
          <w:rFonts w:eastAsia="Times New Roman"/>
          <w:color w:val="000000"/>
          <w:sz w:val="20"/>
          <w:szCs w:val="20"/>
        </w:rPr>
        <w:t>g for our brands, conveying the particular message of each one within the context of the overall Ralph Lauren aesthetic. Advertisements generally portray a lifestyle rather than a specific item and include a variety of products offered by us and, in some c</w:t>
      </w:r>
      <w:r>
        <w:rPr>
          <w:rFonts w:eastAsia="Times New Roman"/>
          <w:color w:val="000000"/>
          <w:sz w:val="20"/>
          <w:szCs w:val="20"/>
        </w:rPr>
        <w:t>ases, our licensing partners. Our communication campaigns are increasingly being executed through digital and social media platforms to drive further engagement with the younger consumer. With regard to influencers, we believe in fostering long-term relati</w:t>
      </w:r>
      <w:r>
        <w:rPr>
          <w:rFonts w:eastAsia="Times New Roman"/>
          <w:color w:val="000000"/>
          <w:sz w:val="20"/>
          <w:szCs w:val="20"/>
        </w:rPr>
        <w:t xml:space="preserve">onships with those who have an authentic connection to our brand and influence the areas of culture that matter most to our audiences. We also continue to advertise through print and outdoor media, and, to a lesser extent, through television and cinema. </w:t>
      </w:r>
    </w:p>
    <w:p w:rsidR="00000000" w:rsidRDefault="00BB5C2D">
      <w:pPr>
        <w:ind w:firstLine="540"/>
        <w:jc w:val="both"/>
        <w:divId w:val="2062702922"/>
        <w:rPr>
          <w:rFonts w:eastAsia="Times New Roman"/>
        </w:rPr>
      </w:pPr>
      <w:r>
        <w:rPr>
          <w:rFonts w:eastAsia="Times New Roman"/>
          <w:color w:val="000000"/>
          <w:sz w:val="20"/>
          <w:szCs w:val="20"/>
        </w:rPr>
        <w:t>O</w:t>
      </w:r>
      <w:r>
        <w:rPr>
          <w:rFonts w:eastAsia="Times New Roman"/>
          <w:color w:val="000000"/>
          <w:sz w:val="20"/>
          <w:szCs w:val="20"/>
        </w:rPr>
        <w:t>ur digital advertising programs focus on high impact and innovative digital media outlets, which allow us to convey our key brand messages and lifestyle positioning. We also develop digital editorial initiatives that allow for deeper education and engageme</w:t>
      </w:r>
      <w:r>
        <w:rPr>
          <w:rFonts w:eastAsia="Times New Roman"/>
          <w:color w:val="000000"/>
          <w:sz w:val="20"/>
          <w:szCs w:val="20"/>
        </w:rPr>
        <w:t>nt around the Ralph Lauren lifestyle. We deploy these marketing and advertising initiatives through online, mobile, video, email, and social media. Our digital commerce sites present the Ralph Lauren lifestyle online, while offering a broad array of our ap</w:t>
      </w:r>
      <w:r>
        <w:rPr>
          <w:rFonts w:eastAsia="Times New Roman"/>
          <w:color w:val="000000"/>
          <w:sz w:val="20"/>
          <w:szCs w:val="20"/>
        </w:rPr>
        <w:t>parel, footwear, accessories, and home product lines.</w:t>
      </w:r>
    </w:p>
    <w:p w:rsidR="00000000" w:rsidRDefault="00BB5C2D">
      <w:pPr>
        <w:ind w:firstLine="540"/>
        <w:jc w:val="both"/>
        <w:divId w:val="99574180"/>
        <w:rPr>
          <w:rFonts w:eastAsia="Times New Roman"/>
        </w:rPr>
      </w:pPr>
      <w:r>
        <w:rPr>
          <w:rFonts w:eastAsia="Times New Roman"/>
          <w:color w:val="000000"/>
          <w:sz w:val="20"/>
          <w:szCs w:val="20"/>
        </w:rPr>
        <w:t>Additionally, we advertise in consumer and trade publications, and participate in cooperative advertising on a shared cost basis with some of our retail and licensing partners. We have outdoor advertisi</w:t>
      </w:r>
      <w:r>
        <w:rPr>
          <w:rFonts w:eastAsia="Times New Roman"/>
          <w:color w:val="000000"/>
          <w:sz w:val="20"/>
          <w:szCs w:val="20"/>
        </w:rPr>
        <w:t>ng placements in key cities as well, focusing on impact and reach. We also provide point-of-sale fixtures and signage to our wholesale customers to enhance the presentation of our products at their retail locations. In addition, when our licensing partners</w:t>
      </w:r>
      <w:r>
        <w:rPr>
          <w:rFonts w:eastAsia="Times New Roman"/>
          <w:color w:val="000000"/>
          <w:sz w:val="20"/>
          <w:szCs w:val="20"/>
        </w:rPr>
        <w:t xml:space="preserve"> are required to spend an amount equal to a percentage of their licensed product sales on advertising, in certain cases we coordinate the advertising placement on their behalf. We believe our investments in shop-within-shop environments and retail stores, </w:t>
      </w:r>
      <w:r>
        <w:rPr>
          <w:rFonts w:eastAsia="Times New Roman"/>
          <w:color w:val="000000"/>
          <w:sz w:val="20"/>
          <w:szCs w:val="20"/>
        </w:rPr>
        <w:t>including our global flagship locations, contribute to and enhance the themes of our brands to consumers.</w:t>
      </w:r>
    </w:p>
    <w:p w:rsidR="00000000" w:rsidRDefault="00BB5C2D">
      <w:pPr>
        <w:ind w:firstLine="540"/>
        <w:jc w:val="both"/>
        <w:divId w:val="1846552865"/>
        <w:rPr>
          <w:rFonts w:eastAsia="Times New Roman"/>
        </w:rPr>
      </w:pPr>
      <w:r>
        <w:rPr>
          <w:rFonts w:eastAsia="Times New Roman"/>
          <w:color w:val="000000"/>
          <w:sz w:val="20"/>
          <w:szCs w:val="20"/>
        </w:rPr>
        <w:t>We also conduct a variety of public relations activities. For example, we typically introduce each of our spring and fall menswear and womenswear coll</w:t>
      </w:r>
      <w:r>
        <w:rPr>
          <w:rFonts w:eastAsia="Times New Roman"/>
          <w:color w:val="000000"/>
          <w:sz w:val="20"/>
          <w:szCs w:val="20"/>
        </w:rPr>
        <w:t xml:space="preserve">ections at press presentations in major cities such as New York City and Milan. Such fashion events, in addition to celebrity red carpet dressing moments and events hosted in our stores and restaurants, including The </w:t>
      </w:r>
      <w:r>
        <w:rPr>
          <w:rFonts w:eastAsia="Times New Roman"/>
          <w:i/>
          <w:iCs/>
          <w:color w:val="000000"/>
          <w:sz w:val="20"/>
          <w:szCs w:val="20"/>
        </w:rPr>
        <w:t>Polo Bar</w:t>
      </w:r>
      <w:r>
        <w:rPr>
          <w:rFonts w:eastAsia="Times New Roman"/>
          <w:color w:val="000000"/>
          <w:sz w:val="20"/>
          <w:szCs w:val="20"/>
        </w:rPr>
        <w:t xml:space="preserve"> in New York City, generate ext</w:t>
      </w:r>
      <w:r>
        <w:rPr>
          <w:rFonts w:eastAsia="Times New Roman"/>
          <w:color w:val="000000"/>
          <w:sz w:val="20"/>
          <w:szCs w:val="20"/>
        </w:rPr>
        <w:t>ensive domestic and international media and social coverage.</w:t>
      </w:r>
    </w:p>
    <w:p w:rsidR="00000000" w:rsidRDefault="00BB5C2D">
      <w:pPr>
        <w:ind w:firstLine="540"/>
        <w:jc w:val="both"/>
        <w:divId w:val="1949459677"/>
        <w:rPr>
          <w:rFonts w:eastAsia="Times New Roman"/>
        </w:rPr>
      </w:pPr>
      <w:r>
        <w:rPr>
          <w:rFonts w:eastAsia="Times New Roman"/>
          <w:color w:val="000000"/>
          <w:sz w:val="20"/>
          <w:szCs w:val="20"/>
        </w:rPr>
        <w:t>We are the official outfitter for all on-court officials at the Wimbledon, U.S. Open, and Australian Open tennis tournaments. These tournaments provide worldwide exposure for our brand in a relev</w:t>
      </w:r>
      <w:r>
        <w:rPr>
          <w:rFonts w:eastAsia="Times New Roman"/>
          <w:color w:val="000000"/>
          <w:sz w:val="20"/>
          <w:szCs w:val="20"/>
        </w:rPr>
        <w:t>ant lifestyle environment. We also continue to be the exclusive Official Parade Outfitter for the U.S. Olympic and Paralympic Teams, with the right to manufacture, distribute, advertise, promote, and sell products in the U.S. which replicate the Parade Out</w:t>
      </w:r>
      <w:r>
        <w:rPr>
          <w:rFonts w:eastAsia="Times New Roman"/>
          <w:color w:val="000000"/>
          <w:sz w:val="20"/>
          <w:szCs w:val="20"/>
        </w:rPr>
        <w:t>fits and associated leisure wear. Most recently, we dressed Team U.S.A. for the Winter Olympic Games in Beijing, China in 2022 and the Summer Olympic Games in Tokyo, Japan in 2021. As part of our involvement with Team U.S.A., we have established a partners</w:t>
      </w:r>
      <w:r>
        <w:rPr>
          <w:rFonts w:eastAsia="Times New Roman"/>
          <w:color w:val="000000"/>
          <w:sz w:val="20"/>
          <w:szCs w:val="20"/>
        </w:rPr>
        <w:t>hip with athletes serving as brand ambassadors and as the faces of our advertising, marketing, and public relations campaigns. We are also the official apparel outfitter for the Professional Golfers' Association ("PGA") of America, the PGA Championship, th</w:t>
      </w:r>
      <w:r>
        <w:rPr>
          <w:rFonts w:eastAsia="Times New Roman"/>
          <w:color w:val="000000"/>
          <w:sz w:val="20"/>
          <w:szCs w:val="20"/>
        </w:rPr>
        <w:t xml:space="preserve">e U.S. Golf Association, and the U.S. Ryder Cup Team, as well as a partner of the American Junior Golf Association. We sponsor a roster of professional golfers, including Billy Horschel, Andrea Lee, Nick Watney, Smylie Kaufman, Tom Watson, Davis Love III, </w:t>
      </w:r>
      <w:r>
        <w:rPr>
          <w:rFonts w:eastAsia="Times New Roman"/>
          <w:color w:val="000000"/>
          <w:sz w:val="20"/>
          <w:szCs w:val="20"/>
        </w:rPr>
        <w:t xml:space="preserve">Jonathan Byrd, and Doc Redman. </w:t>
      </w:r>
    </w:p>
    <w:p w:rsidR="00000000" w:rsidRDefault="00BB5C2D">
      <w:pPr>
        <w:ind w:firstLine="540"/>
        <w:jc w:val="both"/>
        <w:divId w:val="596717237"/>
        <w:rPr>
          <w:rFonts w:eastAsia="Times New Roman"/>
        </w:rPr>
      </w:pPr>
      <w:r>
        <w:rPr>
          <w:rFonts w:eastAsia="Times New Roman"/>
          <w:color w:val="000000"/>
          <w:sz w:val="20"/>
          <w:szCs w:val="20"/>
        </w:rPr>
        <w:t xml:space="preserve">We believe our partnerships with such prestigious global athletic events reinforce our brand's sporting heritage in a truly authentic way and serve to connect our Company and brands to our consumers through their individual </w:t>
      </w:r>
      <w:r>
        <w:rPr>
          <w:rFonts w:eastAsia="Times New Roman"/>
          <w:color w:val="000000"/>
          <w:sz w:val="20"/>
          <w:szCs w:val="20"/>
        </w:rPr>
        <w:t>areas of passion.</w:t>
      </w:r>
    </w:p>
    <w:p w:rsidR="00000000" w:rsidRDefault="00BB5C2D">
      <w:pPr>
        <w:jc w:val="center"/>
        <w:divId w:val="1535188014"/>
        <w:rPr>
          <w:rFonts w:eastAsia="Times New Roman"/>
        </w:rPr>
      </w:pPr>
      <w:r>
        <w:rPr>
          <w:rFonts w:eastAsia="Times New Roman"/>
          <w:b/>
          <w:bCs/>
          <w:color w:val="000000"/>
          <w:sz w:val="20"/>
          <w:szCs w:val="20"/>
        </w:rPr>
        <w:t>Sourcing, Production and Quality</w:t>
      </w:r>
    </w:p>
    <w:p w:rsidR="00000000" w:rsidRDefault="00BB5C2D">
      <w:pPr>
        <w:ind w:firstLine="540"/>
        <w:jc w:val="both"/>
        <w:divId w:val="668948390"/>
        <w:rPr>
          <w:rFonts w:eastAsia="Times New Roman"/>
        </w:rPr>
      </w:pPr>
      <w:r>
        <w:rPr>
          <w:rFonts w:eastAsia="Times New Roman"/>
          <w:color w:val="000000"/>
          <w:sz w:val="20"/>
          <w:szCs w:val="20"/>
        </w:rPr>
        <w:t>We contract for the manufacture of our products and do not own or operate any production facilities. Over 300 different manufacturers worldwide produce our apparel, footwear, accessories, and home products</w:t>
      </w:r>
      <w:r>
        <w:rPr>
          <w:rFonts w:eastAsia="Times New Roman"/>
          <w:color w:val="000000"/>
          <w:sz w:val="20"/>
          <w:szCs w:val="20"/>
        </w:rPr>
        <w:t>, with no one manufacturer providing more than 6% of our total production during Fiscal 2022. We source both finished products and raw materials. Raw materials include fabric, buttons, and other trim. Finished products consist of manufactured and fully ass</w:t>
      </w:r>
      <w:r>
        <w:rPr>
          <w:rFonts w:eastAsia="Times New Roman"/>
          <w:color w:val="000000"/>
          <w:sz w:val="20"/>
          <w:szCs w:val="20"/>
        </w:rPr>
        <w:t>embled products ready for shipment to our customers. In Fiscal 2022, approximately 97% of our products (by dollar value) were produced outside of the U.S., primarily in Asia, Europe, and Latin America, with approximately 19% of our products sourced from Ch</w:t>
      </w:r>
      <w:r>
        <w:rPr>
          <w:rFonts w:eastAsia="Times New Roman"/>
          <w:color w:val="000000"/>
          <w:sz w:val="20"/>
          <w:szCs w:val="20"/>
        </w:rPr>
        <w:t>ina and another 19% from Vietnam. See "</w:t>
      </w:r>
      <w:r>
        <w:rPr>
          <w:rFonts w:eastAsia="Times New Roman"/>
          <w:i/>
          <w:iCs/>
          <w:color w:val="000000"/>
          <w:sz w:val="20"/>
          <w:szCs w:val="20"/>
        </w:rPr>
        <w:t>Import Restrictions and Other Government Regulations,</w:t>
      </w:r>
      <w:r>
        <w:rPr>
          <w:rFonts w:eastAsia="Times New Roman"/>
          <w:color w:val="000000"/>
          <w:sz w:val="20"/>
          <w:szCs w:val="20"/>
        </w:rPr>
        <w:t>" Item 1A — "</w:t>
      </w:r>
      <w:r>
        <w:rPr>
          <w:rFonts w:eastAsia="Times New Roman"/>
          <w:i/>
          <w:iCs/>
          <w:color w:val="000000"/>
          <w:sz w:val="20"/>
          <w:szCs w:val="20"/>
        </w:rPr>
        <w:t>Risk Factors </w:t>
      </w:r>
      <w:r>
        <w:rPr>
          <w:rFonts w:eastAsia="Times New Roman"/>
          <w:color w:val="000000"/>
          <w:sz w:val="20"/>
          <w:szCs w:val="20"/>
        </w:rPr>
        <w:t xml:space="preserve">— </w:t>
      </w:r>
      <w:r>
        <w:rPr>
          <w:rFonts w:eastAsia="Times New Roman"/>
          <w:i/>
          <w:iCs/>
          <w:color w:val="000000"/>
          <w:sz w:val="20"/>
          <w:szCs w:val="20"/>
        </w:rPr>
        <w:t xml:space="preserve">Risks Related to Macroeconomic Conditions — Economic conditions could have a negative impact on our major customers, suppliers,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92407713"/>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92407713"/>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16</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43" style="width:0;height:1.5pt" o:hralign="center" o:hrstd="t" o:hr="t" fillcolor="#a0a0a0" stroked="f"/>
        </w:pict>
      </w:r>
    </w:p>
    <w:p w:rsidR="00000000" w:rsidRDefault="00BB5C2D">
      <w:pPr>
        <w:divId w:val="1900435453"/>
        <w:rPr>
          <w:rFonts w:eastAsia="Times New Roman"/>
        </w:rPr>
      </w:pPr>
    </w:p>
    <w:p w:rsidR="00000000" w:rsidRDefault="00BB5C2D">
      <w:pPr>
        <w:jc w:val="both"/>
        <w:divId w:val="1826385826"/>
        <w:rPr>
          <w:rFonts w:eastAsia="Times New Roman"/>
        </w:rPr>
      </w:pPr>
      <w:r>
        <w:rPr>
          <w:rFonts w:eastAsia="Times New Roman"/>
          <w:i/>
          <w:iCs/>
          <w:color w:val="000000"/>
          <w:sz w:val="20"/>
          <w:szCs w:val="20"/>
        </w:rPr>
        <w:t xml:space="preserve">vendors, and lenders, which in turn could materially adversely affect our business," </w:t>
      </w:r>
      <w:r>
        <w:rPr>
          <w:rFonts w:eastAsia="Times New Roman"/>
          <w:color w:val="000000"/>
          <w:sz w:val="20"/>
          <w:szCs w:val="20"/>
        </w:rPr>
        <w:t>and Item 1A — "</w:t>
      </w:r>
      <w:r>
        <w:rPr>
          <w:rFonts w:eastAsia="Times New Roman"/>
          <w:i/>
          <w:iCs/>
          <w:color w:val="000000"/>
          <w:sz w:val="20"/>
          <w:szCs w:val="20"/>
        </w:rPr>
        <w:t>Risk Factors </w:t>
      </w:r>
      <w:r>
        <w:rPr>
          <w:rFonts w:eastAsia="Times New Roman"/>
          <w:color w:val="000000"/>
          <w:sz w:val="20"/>
          <w:szCs w:val="20"/>
        </w:rPr>
        <w:t xml:space="preserve">— </w:t>
      </w:r>
      <w:r>
        <w:rPr>
          <w:rFonts w:eastAsia="Times New Roman"/>
          <w:i/>
          <w:iCs/>
          <w:color w:val="000000"/>
          <w:sz w:val="20"/>
          <w:szCs w:val="20"/>
        </w:rPr>
        <w:t>Risks Related to our Business and Operations — Our business is subject to risks associated with importi</w:t>
      </w:r>
      <w:r>
        <w:rPr>
          <w:rFonts w:eastAsia="Times New Roman"/>
          <w:i/>
          <w:iCs/>
          <w:color w:val="000000"/>
          <w:sz w:val="20"/>
          <w:szCs w:val="20"/>
        </w:rPr>
        <w:t>ng products and the ability of our manufacturers to produce our goods on time and to our specifications</w:t>
      </w:r>
      <w:r>
        <w:rPr>
          <w:rFonts w:eastAsia="Times New Roman"/>
          <w:color w:val="000000"/>
          <w:sz w:val="20"/>
          <w:szCs w:val="20"/>
        </w:rPr>
        <w:t>."</w:t>
      </w:r>
    </w:p>
    <w:p w:rsidR="00000000" w:rsidRDefault="00BB5C2D">
      <w:pPr>
        <w:ind w:firstLine="540"/>
        <w:jc w:val="both"/>
        <w:divId w:val="867983688"/>
        <w:rPr>
          <w:rFonts w:eastAsia="Times New Roman"/>
        </w:rPr>
      </w:pPr>
      <w:r>
        <w:rPr>
          <w:rFonts w:eastAsia="Times New Roman"/>
          <w:color w:val="000000"/>
          <w:sz w:val="20"/>
          <w:szCs w:val="20"/>
        </w:rPr>
        <w:t>Most of our businesses must commit to the manufacturing of our garments before we sell finished goods, whether to wholly-owned retail stores or to wholesale customers. We also must commit to the purchase of fabric from mills well in advance of our sales. I</w:t>
      </w:r>
      <w:r>
        <w:rPr>
          <w:rFonts w:eastAsia="Times New Roman"/>
          <w:color w:val="000000"/>
          <w:sz w:val="20"/>
          <w:szCs w:val="20"/>
        </w:rPr>
        <w:t>f we overestimate our primary customers' demand for a particular product or the need for a particular fabric or yarn, we primarily sell the excess products or garments made from such fabric or yarn in our factory stores or through other secondary distribut</w:t>
      </w:r>
      <w:r>
        <w:rPr>
          <w:rFonts w:eastAsia="Times New Roman"/>
          <w:color w:val="000000"/>
          <w:sz w:val="20"/>
          <w:szCs w:val="20"/>
        </w:rPr>
        <w:t>ion channels.</w:t>
      </w:r>
    </w:p>
    <w:p w:rsidR="00000000" w:rsidRDefault="00BB5C2D">
      <w:pPr>
        <w:ind w:firstLine="540"/>
        <w:jc w:val="both"/>
        <w:divId w:val="467013371"/>
        <w:rPr>
          <w:rFonts w:eastAsia="Times New Roman"/>
        </w:rPr>
      </w:pPr>
      <w:r>
        <w:rPr>
          <w:rFonts w:eastAsia="Times New Roman"/>
          <w:color w:val="000000"/>
          <w:sz w:val="20"/>
          <w:szCs w:val="20"/>
        </w:rPr>
        <w:t>Suppliers operate under the close supervision of our global manufacturing division. All products are produced according to our specifications and standards. Production and quality control staff in Asia, the Americas, the Middle East, and Euro</w:t>
      </w:r>
      <w:r>
        <w:rPr>
          <w:rFonts w:eastAsia="Times New Roman"/>
          <w:color w:val="000000"/>
          <w:sz w:val="20"/>
          <w:szCs w:val="20"/>
        </w:rPr>
        <w:t xml:space="preserve">pe monitor manufacturing at supplier facilities in order to correct problems prior to shipment of the final product. Procedures have been implemented under our vendor certification and compliance programs so that quality assurance is reviewed early in the </w:t>
      </w:r>
      <w:r>
        <w:rPr>
          <w:rFonts w:eastAsia="Times New Roman"/>
          <w:color w:val="000000"/>
          <w:sz w:val="20"/>
          <w:szCs w:val="20"/>
        </w:rPr>
        <w:t>production process, allowing merchandise to be received at the distribution facilities and shipped to customers with minimal interruption.</w:t>
      </w:r>
    </w:p>
    <w:p w:rsidR="00000000" w:rsidRDefault="00BB5C2D">
      <w:pPr>
        <w:jc w:val="center"/>
        <w:divId w:val="1295135153"/>
        <w:rPr>
          <w:rFonts w:eastAsia="Times New Roman"/>
        </w:rPr>
      </w:pPr>
      <w:r>
        <w:rPr>
          <w:rFonts w:eastAsia="Times New Roman"/>
          <w:b/>
          <w:bCs/>
          <w:color w:val="000000"/>
          <w:sz w:val="20"/>
          <w:szCs w:val="20"/>
        </w:rPr>
        <w:t>Competition</w:t>
      </w:r>
    </w:p>
    <w:p w:rsidR="00000000" w:rsidRDefault="00BB5C2D">
      <w:pPr>
        <w:ind w:firstLine="540"/>
        <w:jc w:val="both"/>
        <w:divId w:val="1971353954"/>
        <w:rPr>
          <w:rFonts w:eastAsia="Times New Roman"/>
        </w:rPr>
      </w:pPr>
      <w:r>
        <w:rPr>
          <w:rFonts w:eastAsia="Times New Roman"/>
          <w:color w:val="000000"/>
          <w:sz w:val="20"/>
          <w:szCs w:val="20"/>
        </w:rPr>
        <w:t>Competition is very strong in the segments of the fashion and consumer product industries in which we ope</w:t>
      </w:r>
      <w:r>
        <w:rPr>
          <w:rFonts w:eastAsia="Times New Roman"/>
          <w:color w:val="000000"/>
          <w:sz w:val="20"/>
          <w:szCs w:val="20"/>
        </w:rPr>
        <w:t>rate. We compete with numerous designers and manufacturers of apparel, footwear, accessories, fragrances, and home furnishing products, both domestic and international. We also face increasing competition from companies selling our product categories throu</w:t>
      </w:r>
      <w:r>
        <w:rPr>
          <w:rFonts w:eastAsia="Times New Roman"/>
          <w:color w:val="000000"/>
          <w:sz w:val="20"/>
          <w:szCs w:val="20"/>
        </w:rPr>
        <w:t>gh the Internet. Some of our competitors may be significantly larger and have substantially greater resources than us. We compete primarily on the basis of fashion, quality, value, and service, which depend on our ability to:</w:t>
      </w:r>
    </w:p>
    <w:p w:rsidR="00000000" w:rsidRDefault="00BB5C2D">
      <w:pPr>
        <w:ind w:hanging="360"/>
        <w:jc w:val="both"/>
        <w:divId w:val="1427848985"/>
        <w:rPr>
          <w:rFonts w:eastAsia="Times New Roman"/>
        </w:rPr>
      </w:pPr>
      <w:r>
        <w:rPr>
          <w:rFonts w:eastAsia="Times New Roman"/>
          <w:color w:val="000000"/>
          <w:sz w:val="20"/>
          <w:szCs w:val="20"/>
        </w:rPr>
        <w:t>•anticipate and respond to cha</w:t>
      </w:r>
      <w:r>
        <w:rPr>
          <w:rFonts w:eastAsia="Times New Roman"/>
          <w:color w:val="000000"/>
          <w:sz w:val="20"/>
          <w:szCs w:val="20"/>
        </w:rPr>
        <w:t>nging consumer demands and shopping preferences, including the ever-increasing shift to digital brand engagement, social media communications, and online and cross-channel shopping;</w:t>
      </w:r>
    </w:p>
    <w:p w:rsidR="00000000" w:rsidRDefault="00BB5C2D">
      <w:pPr>
        <w:ind w:hanging="360"/>
        <w:jc w:val="both"/>
        <w:divId w:val="1161846290"/>
        <w:rPr>
          <w:rFonts w:eastAsia="Times New Roman"/>
        </w:rPr>
      </w:pPr>
      <w:r>
        <w:rPr>
          <w:rFonts w:eastAsia="Times New Roman"/>
          <w:color w:val="000000"/>
          <w:sz w:val="20"/>
          <w:szCs w:val="20"/>
        </w:rPr>
        <w:t xml:space="preserve">•create and maintain favorable brand recognition, loyalty, and reputation </w:t>
      </w:r>
      <w:r>
        <w:rPr>
          <w:rFonts w:eastAsia="Times New Roman"/>
          <w:color w:val="000000"/>
          <w:sz w:val="20"/>
          <w:szCs w:val="20"/>
        </w:rPr>
        <w:t>for quality, including through digital brand engagement and online and social media presence;</w:t>
      </w:r>
    </w:p>
    <w:p w:rsidR="00000000" w:rsidRDefault="00BB5C2D">
      <w:pPr>
        <w:ind w:hanging="360"/>
        <w:jc w:val="both"/>
        <w:divId w:val="2045520504"/>
        <w:rPr>
          <w:rFonts w:eastAsia="Times New Roman"/>
        </w:rPr>
      </w:pPr>
      <w:r>
        <w:rPr>
          <w:rFonts w:eastAsia="Times New Roman"/>
          <w:color w:val="000000"/>
          <w:sz w:val="20"/>
          <w:szCs w:val="20"/>
        </w:rPr>
        <w:t>•develop and produce innovative, high-quality products that appeal to consumers of varying age groups;</w:t>
      </w:r>
    </w:p>
    <w:p w:rsidR="00000000" w:rsidRDefault="00BB5C2D">
      <w:pPr>
        <w:ind w:hanging="360"/>
        <w:jc w:val="both"/>
        <w:divId w:val="1596089788"/>
        <w:rPr>
          <w:rFonts w:eastAsia="Times New Roman"/>
        </w:rPr>
      </w:pPr>
      <w:r>
        <w:rPr>
          <w:rFonts w:eastAsia="Times New Roman"/>
          <w:color w:val="000000"/>
          <w:sz w:val="20"/>
          <w:szCs w:val="20"/>
        </w:rPr>
        <w:t xml:space="preserve">•competitively price our products and create an acceptable </w:t>
      </w:r>
      <w:r>
        <w:rPr>
          <w:rFonts w:eastAsia="Times New Roman"/>
          <w:color w:val="000000"/>
          <w:sz w:val="20"/>
          <w:szCs w:val="20"/>
        </w:rPr>
        <w:t>value proposition for consumers;</w:t>
      </w:r>
    </w:p>
    <w:p w:rsidR="00000000" w:rsidRDefault="00BB5C2D">
      <w:pPr>
        <w:ind w:hanging="360"/>
        <w:jc w:val="both"/>
        <w:divId w:val="100149487"/>
        <w:rPr>
          <w:rFonts w:eastAsia="Times New Roman"/>
        </w:rPr>
      </w:pPr>
      <w:r>
        <w:rPr>
          <w:rFonts w:eastAsia="Times New Roman"/>
          <w:color w:val="000000"/>
          <w:sz w:val="20"/>
          <w:szCs w:val="20"/>
        </w:rPr>
        <w:t>•provide strong and effective marketing support, including through digital and social media platforms in order to stay better connected to consumers;</w:t>
      </w:r>
    </w:p>
    <w:p w:rsidR="00000000" w:rsidRDefault="00BB5C2D">
      <w:pPr>
        <w:ind w:hanging="360"/>
        <w:jc w:val="both"/>
        <w:divId w:val="1765029945"/>
        <w:rPr>
          <w:rFonts w:eastAsia="Times New Roman"/>
        </w:rPr>
      </w:pPr>
      <w:r>
        <w:rPr>
          <w:rFonts w:eastAsia="Times New Roman"/>
          <w:color w:val="000000"/>
          <w:sz w:val="20"/>
          <w:szCs w:val="20"/>
        </w:rPr>
        <w:t>•provide attractive, reliable, secure, and user-friendly digital commerce</w:t>
      </w:r>
      <w:r>
        <w:rPr>
          <w:rFonts w:eastAsia="Times New Roman"/>
          <w:color w:val="000000"/>
          <w:sz w:val="20"/>
          <w:szCs w:val="20"/>
        </w:rPr>
        <w:t xml:space="preserve"> sites;</w:t>
      </w:r>
    </w:p>
    <w:p w:rsidR="00000000" w:rsidRDefault="00BB5C2D">
      <w:pPr>
        <w:ind w:hanging="360"/>
        <w:jc w:val="both"/>
        <w:divId w:val="119956588"/>
        <w:rPr>
          <w:rFonts w:eastAsia="Times New Roman"/>
        </w:rPr>
      </w:pPr>
      <w:r>
        <w:rPr>
          <w:rFonts w:eastAsia="Times New Roman"/>
          <w:color w:val="000000"/>
          <w:sz w:val="20"/>
          <w:szCs w:val="20"/>
        </w:rPr>
        <w:t>•obtain sufficient retail floor space, and effectively present our products to consumers;</w:t>
      </w:r>
    </w:p>
    <w:p w:rsidR="00000000" w:rsidRDefault="00BB5C2D">
      <w:pPr>
        <w:ind w:hanging="360"/>
        <w:jc w:val="both"/>
        <w:divId w:val="993728389"/>
        <w:rPr>
          <w:rFonts w:eastAsia="Times New Roman"/>
        </w:rPr>
      </w:pPr>
      <w:r>
        <w:rPr>
          <w:rFonts w:eastAsia="Times New Roman"/>
          <w:color w:val="000000"/>
          <w:sz w:val="20"/>
          <w:szCs w:val="20"/>
        </w:rPr>
        <w:t>•attract consumer traffic to stores, shop-within-shops, and digital commerce sites;</w:t>
      </w:r>
    </w:p>
    <w:p w:rsidR="00000000" w:rsidRDefault="00BB5C2D">
      <w:pPr>
        <w:ind w:hanging="360"/>
        <w:jc w:val="both"/>
        <w:divId w:val="1237520924"/>
        <w:rPr>
          <w:rFonts w:eastAsia="Times New Roman"/>
        </w:rPr>
      </w:pPr>
      <w:r>
        <w:rPr>
          <w:rFonts w:eastAsia="Times New Roman"/>
          <w:color w:val="000000"/>
          <w:sz w:val="20"/>
          <w:szCs w:val="20"/>
        </w:rPr>
        <w:t>•source sustainable raw materials at cost-effective prices;</w:t>
      </w:r>
    </w:p>
    <w:p w:rsidR="00000000" w:rsidRDefault="00BB5C2D">
      <w:pPr>
        <w:ind w:hanging="360"/>
        <w:jc w:val="both"/>
        <w:divId w:val="1008168863"/>
        <w:rPr>
          <w:rFonts w:eastAsia="Times New Roman"/>
        </w:rPr>
      </w:pPr>
      <w:r>
        <w:rPr>
          <w:rFonts w:eastAsia="Times New Roman"/>
          <w:color w:val="000000"/>
          <w:sz w:val="20"/>
          <w:szCs w:val="20"/>
        </w:rPr>
        <w:t>•</w:t>
      </w:r>
      <w:r>
        <w:rPr>
          <w:rFonts w:eastAsia="Times New Roman"/>
          <w:color w:val="000000"/>
          <w:sz w:val="20"/>
          <w:szCs w:val="20"/>
        </w:rPr>
        <w:t>anticipate and maintain proper inventory levels;</w:t>
      </w:r>
    </w:p>
    <w:p w:rsidR="00000000" w:rsidRDefault="00BB5C2D">
      <w:pPr>
        <w:ind w:hanging="360"/>
        <w:jc w:val="both"/>
        <w:divId w:val="1507482455"/>
        <w:rPr>
          <w:rFonts w:eastAsia="Times New Roman"/>
        </w:rPr>
      </w:pPr>
      <w:r>
        <w:rPr>
          <w:rFonts w:eastAsia="Times New Roman"/>
          <w:color w:val="000000"/>
          <w:sz w:val="20"/>
          <w:szCs w:val="20"/>
        </w:rPr>
        <w:t>•ensure product availability and optimize supply chain and distribution efficiencies;</w:t>
      </w:r>
    </w:p>
    <w:p w:rsidR="00000000" w:rsidRDefault="00BB5C2D">
      <w:pPr>
        <w:ind w:hanging="360"/>
        <w:jc w:val="both"/>
        <w:divId w:val="837234343"/>
        <w:rPr>
          <w:rFonts w:eastAsia="Times New Roman"/>
        </w:rPr>
      </w:pPr>
      <w:r>
        <w:rPr>
          <w:rFonts w:eastAsia="Times New Roman"/>
          <w:color w:val="000000"/>
          <w:sz w:val="20"/>
          <w:szCs w:val="20"/>
        </w:rPr>
        <w:t>•maintain and grow market share;</w:t>
      </w:r>
    </w:p>
    <w:p w:rsidR="00000000" w:rsidRDefault="00BB5C2D">
      <w:pPr>
        <w:ind w:hanging="360"/>
        <w:jc w:val="both"/>
        <w:divId w:val="1394037821"/>
        <w:rPr>
          <w:rFonts w:eastAsia="Times New Roman"/>
        </w:rPr>
      </w:pPr>
      <w:r>
        <w:rPr>
          <w:rFonts w:eastAsia="Times New Roman"/>
          <w:color w:val="000000"/>
          <w:sz w:val="20"/>
          <w:szCs w:val="20"/>
        </w:rPr>
        <w:t>•recruit and retain employees to operate our retail stores, distribution centers, and va</w:t>
      </w:r>
      <w:r>
        <w:rPr>
          <w:rFonts w:eastAsia="Times New Roman"/>
          <w:color w:val="000000"/>
          <w:sz w:val="20"/>
          <w:szCs w:val="20"/>
        </w:rPr>
        <w:t>rious corporate functions;</w:t>
      </w:r>
    </w:p>
    <w:p w:rsidR="00000000" w:rsidRDefault="00BB5C2D">
      <w:pPr>
        <w:ind w:hanging="360"/>
        <w:jc w:val="both"/>
        <w:divId w:val="1359351565"/>
        <w:rPr>
          <w:rFonts w:eastAsia="Times New Roman"/>
        </w:rPr>
      </w:pPr>
      <w:r>
        <w:rPr>
          <w:rFonts w:eastAsia="Times New Roman"/>
          <w:color w:val="000000"/>
          <w:sz w:val="20"/>
          <w:szCs w:val="20"/>
        </w:rPr>
        <w:t>•protect our intellectual property; and</w:t>
      </w:r>
    </w:p>
    <w:p w:rsidR="00000000" w:rsidRDefault="00BB5C2D">
      <w:pPr>
        <w:ind w:hanging="360"/>
        <w:jc w:val="both"/>
        <w:divId w:val="1929920967"/>
        <w:rPr>
          <w:rFonts w:eastAsia="Times New Roman"/>
        </w:rPr>
      </w:pPr>
      <w:r>
        <w:rPr>
          <w:rFonts w:eastAsia="Times New Roman"/>
          <w:color w:val="000000"/>
          <w:sz w:val="20"/>
          <w:szCs w:val="20"/>
        </w:rPr>
        <w:t xml:space="preserve">•withstand prolonged periods of adverse economic conditions or business disruptions. </w:t>
      </w:r>
    </w:p>
    <w:p w:rsidR="00000000" w:rsidRDefault="00BB5C2D">
      <w:pPr>
        <w:ind w:firstLine="540"/>
        <w:jc w:val="both"/>
        <w:divId w:val="188228835"/>
        <w:rPr>
          <w:rFonts w:eastAsia="Times New Roman"/>
        </w:rPr>
      </w:pPr>
      <w:r>
        <w:rPr>
          <w:rFonts w:eastAsia="Times New Roman"/>
          <w:color w:val="000000"/>
          <w:sz w:val="20"/>
          <w:szCs w:val="20"/>
        </w:rPr>
        <w:t>See Item 1A — "</w:t>
      </w:r>
      <w:r>
        <w:rPr>
          <w:rFonts w:eastAsia="Times New Roman"/>
          <w:i/>
          <w:iCs/>
          <w:color w:val="000000"/>
          <w:sz w:val="20"/>
          <w:szCs w:val="20"/>
        </w:rPr>
        <w:t>Risk Factors </w:t>
      </w:r>
      <w:r>
        <w:rPr>
          <w:rFonts w:eastAsia="Times New Roman"/>
          <w:color w:val="000000"/>
          <w:sz w:val="20"/>
          <w:szCs w:val="20"/>
        </w:rPr>
        <w:t xml:space="preserve">— </w:t>
      </w:r>
      <w:r>
        <w:rPr>
          <w:rFonts w:eastAsia="Times New Roman"/>
          <w:i/>
          <w:iCs/>
          <w:color w:val="000000"/>
          <w:sz w:val="20"/>
          <w:szCs w:val="20"/>
        </w:rPr>
        <w:t>Risks Related to our Business and Operations — We face intense competitio</w:t>
      </w:r>
      <w:r>
        <w:rPr>
          <w:rFonts w:eastAsia="Times New Roman"/>
          <w:i/>
          <w:iCs/>
          <w:color w:val="000000"/>
          <w:sz w:val="20"/>
          <w:szCs w:val="20"/>
        </w:rPr>
        <w:t>n worldwide in the markets in which we operate</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831723959"/>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831723959"/>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17</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44" style="width:0;height:1.5pt" o:hralign="center" o:hrstd="t" o:hr="t" fillcolor="#a0a0a0" stroked="f"/>
        </w:pict>
      </w:r>
    </w:p>
    <w:p w:rsidR="00000000" w:rsidRDefault="00BB5C2D">
      <w:pPr>
        <w:divId w:val="1161383785"/>
        <w:rPr>
          <w:rFonts w:eastAsia="Times New Roman"/>
        </w:rPr>
      </w:pPr>
    </w:p>
    <w:p w:rsidR="00000000" w:rsidRDefault="00BB5C2D">
      <w:pPr>
        <w:jc w:val="center"/>
        <w:divId w:val="1965651467"/>
        <w:rPr>
          <w:rFonts w:eastAsia="Times New Roman"/>
        </w:rPr>
      </w:pPr>
      <w:r>
        <w:rPr>
          <w:rFonts w:eastAsia="Times New Roman"/>
          <w:b/>
          <w:bCs/>
          <w:color w:val="000000"/>
          <w:sz w:val="20"/>
          <w:szCs w:val="20"/>
        </w:rPr>
        <w:t>Distribution</w:t>
      </w:r>
    </w:p>
    <w:p w:rsidR="00000000" w:rsidRDefault="00BB5C2D">
      <w:pPr>
        <w:ind w:firstLine="540"/>
        <w:jc w:val="both"/>
        <w:divId w:val="1105612763"/>
        <w:rPr>
          <w:rFonts w:eastAsia="Times New Roman"/>
        </w:rPr>
      </w:pPr>
      <w:r>
        <w:rPr>
          <w:rFonts w:eastAsia="Times New Roman"/>
          <w:color w:val="000000"/>
          <w:sz w:val="20"/>
          <w:szCs w:val="20"/>
        </w:rPr>
        <w:t>To facilitate global distribution, our products are shipped from manufacturers to a network of distribution centers around the world for inspection, sorting, packing, and delivery to our retail locations a</w:t>
      </w:r>
      <w:r>
        <w:rPr>
          <w:rFonts w:eastAsia="Times New Roman"/>
          <w:color w:val="000000"/>
          <w:sz w:val="20"/>
          <w:szCs w:val="20"/>
        </w:rPr>
        <w:t>nd digital commerce and wholesale customers. This network includes the following primary distribution facilities:</w:t>
      </w:r>
    </w:p>
    <w:tbl>
      <w:tblPr>
        <w:tblW w:w="4985" w:type="pct"/>
        <w:tblCellMar>
          <w:top w:w="15" w:type="dxa"/>
          <w:left w:w="15" w:type="dxa"/>
          <w:bottom w:w="15" w:type="dxa"/>
          <w:right w:w="15" w:type="dxa"/>
        </w:tblCellMar>
        <w:tblLook w:val="04A0" w:firstRow="1" w:lastRow="0" w:firstColumn="1" w:lastColumn="0" w:noHBand="0" w:noVBand="1"/>
      </w:tblPr>
      <w:tblGrid>
        <w:gridCol w:w="58"/>
        <w:gridCol w:w="3783"/>
        <w:gridCol w:w="38"/>
        <w:gridCol w:w="36"/>
        <w:gridCol w:w="36"/>
        <w:gridCol w:w="36"/>
        <w:gridCol w:w="40"/>
        <w:gridCol w:w="2751"/>
        <w:gridCol w:w="36"/>
        <w:gridCol w:w="36"/>
        <w:gridCol w:w="36"/>
        <w:gridCol w:w="36"/>
        <w:gridCol w:w="48"/>
        <w:gridCol w:w="1275"/>
        <w:gridCol w:w="36"/>
      </w:tblGrid>
      <w:tr w:rsidR="00000000">
        <w:trPr>
          <w:divId w:val="1396777987"/>
        </w:trPr>
        <w:tc>
          <w:tcPr>
            <w:tcW w:w="50" w:type="pct"/>
            <w:vAlign w:val="center"/>
            <w:hideMark/>
          </w:tcPr>
          <w:p w:rsidR="00000000" w:rsidRDefault="00BB5C2D">
            <w:pPr>
              <w:ind w:firstLine="540"/>
              <w:jc w:val="both"/>
              <w:rPr>
                <w:rFonts w:eastAsia="Times New Roman"/>
              </w:rPr>
            </w:pPr>
          </w:p>
        </w:tc>
        <w:tc>
          <w:tcPr>
            <w:tcW w:w="229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7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8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396777987"/>
        </w:trPr>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Facility Location</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Geographic Region Serviced</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Facility</w:t>
            </w:r>
            <w:r>
              <w:rPr>
                <w:rFonts w:eastAsia="Times New Roman"/>
                <w:b/>
                <w:bCs/>
                <w:color w:val="000000"/>
                <w:sz w:val="16"/>
                <w:szCs w:val="16"/>
              </w:rPr>
              <w:br/>
              <w:t>Ownership</w:t>
            </w:r>
          </w:p>
        </w:tc>
      </w:tr>
      <w:tr w:rsidR="00000000">
        <w:trPr>
          <w:divId w:val="1396777987"/>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N. Pendleton Street, High Point, North Carolina</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U.S.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Owned</w:t>
            </w:r>
          </w:p>
        </w:tc>
      </w:tr>
      <w:tr w:rsidR="00000000">
        <w:trPr>
          <w:divId w:val="1396777987"/>
        </w:trPr>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NC Highway 66, High Point, North Carolina</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U.S.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Leased</w:t>
            </w:r>
          </w:p>
        </w:tc>
      </w:tr>
      <w:tr w:rsidR="00000000">
        <w:trPr>
          <w:divId w:val="1396777987"/>
        </w:trPr>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Greensboro, North Carolina</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U.S.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Leased</w:t>
            </w:r>
          </w:p>
        </w:tc>
      </w:tr>
      <w:tr w:rsidR="00000000">
        <w:trPr>
          <w:divId w:val="1396777987"/>
        </w:trPr>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Toronto, Ontario</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Canada</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Third-party</w:t>
            </w:r>
          </w:p>
        </w:tc>
      </w:tr>
      <w:tr w:rsidR="00000000">
        <w:trPr>
          <w:divId w:val="1396777987"/>
        </w:trPr>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Parma, Italy</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Europe and Latin America</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Third-party</w:t>
            </w:r>
          </w:p>
        </w:tc>
      </w:tr>
      <w:tr w:rsidR="00000000">
        <w:trPr>
          <w:divId w:val="1396777987"/>
        </w:trPr>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Yokohama, Japan</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Japan</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Third-party</w:t>
            </w:r>
          </w:p>
        </w:tc>
      </w:tr>
      <w:tr w:rsidR="00000000">
        <w:trPr>
          <w:divId w:val="1396777987"/>
        </w:trPr>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Bugok, South Korea</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South Korea</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Leased</w:t>
            </w:r>
          </w:p>
        </w:tc>
      </w:tr>
      <w:tr w:rsidR="00000000">
        <w:trPr>
          <w:divId w:val="1396777987"/>
        </w:trPr>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Tuen Mun, Hong Kong</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BB5C2D">
            <w:pPr>
              <w:spacing w:after="100"/>
              <w:divId w:val="904801908"/>
              <w:rPr>
                <w:rFonts w:eastAsia="Times New Roman"/>
              </w:rPr>
            </w:pPr>
            <w:r>
              <w:rPr>
                <w:rFonts w:eastAsia="Times New Roman"/>
                <w:color w:val="000000"/>
                <w:sz w:val="20"/>
                <w:szCs w:val="20"/>
              </w:rPr>
              <w:t>China and Southeast Asi</w:t>
            </w:r>
            <w:r>
              <w:rPr>
                <w:rFonts w:eastAsia="Times New Roman"/>
                <w:color w:val="000000"/>
                <w:sz w:val="20"/>
                <w:szCs w:val="20"/>
              </w:rPr>
              <w:t>a</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Third-party</w:t>
            </w: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BB5C2D">
            <w:pPr>
              <w:rPr>
                <w:rFonts w:eastAsia="Times New Roman"/>
              </w:rPr>
            </w:pPr>
          </w:p>
        </w:tc>
        <w:tc>
          <w:tcPr>
            <w:tcW w:w="494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r>
    </w:tbl>
    <w:p w:rsidR="00000000" w:rsidRDefault="00BB5C2D">
      <w:pPr>
        <w:ind w:hanging="360"/>
        <w:jc w:val="both"/>
        <w:divId w:val="316540582"/>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Includes Australia, China, Hong Kong, India, Macau, Malaysia, New Zealand, the Philippines, Singapore, Taiwan, Thailand, and Vietnam.</w:t>
      </w:r>
    </w:p>
    <w:p w:rsidR="00000000" w:rsidRDefault="00BB5C2D">
      <w:pPr>
        <w:ind w:firstLine="540"/>
        <w:jc w:val="both"/>
        <w:divId w:val="137036605"/>
        <w:rPr>
          <w:rFonts w:eastAsia="Times New Roman"/>
        </w:rPr>
      </w:pPr>
      <w:r>
        <w:rPr>
          <w:rFonts w:eastAsia="Times New Roman"/>
          <w:color w:val="000000"/>
          <w:sz w:val="20"/>
          <w:szCs w:val="20"/>
        </w:rPr>
        <w:t>All facilities are designed to allow for high-density cube storage and value-added services, and utilize unit and carto</w:t>
      </w:r>
      <w:r>
        <w:rPr>
          <w:rFonts w:eastAsia="Times New Roman"/>
          <w:color w:val="000000"/>
          <w:sz w:val="20"/>
          <w:szCs w:val="20"/>
        </w:rPr>
        <w:t>n tracking technology to facilitate process control and inventory management. The distribution network is managed through globally integrated information technology systems.</w:t>
      </w:r>
    </w:p>
    <w:p w:rsidR="00000000" w:rsidRDefault="00BB5C2D">
      <w:pPr>
        <w:jc w:val="center"/>
        <w:divId w:val="1294289909"/>
        <w:rPr>
          <w:rFonts w:eastAsia="Times New Roman"/>
        </w:rPr>
      </w:pPr>
      <w:r>
        <w:rPr>
          <w:rFonts w:eastAsia="Times New Roman"/>
          <w:b/>
          <w:bCs/>
          <w:color w:val="000000"/>
          <w:sz w:val="20"/>
          <w:szCs w:val="20"/>
        </w:rPr>
        <w:t xml:space="preserve">Information Systems </w:t>
      </w:r>
    </w:p>
    <w:p w:rsidR="00000000" w:rsidRDefault="00BB5C2D">
      <w:pPr>
        <w:ind w:firstLine="540"/>
        <w:jc w:val="both"/>
        <w:divId w:val="381056250"/>
        <w:rPr>
          <w:rFonts w:eastAsia="Times New Roman"/>
        </w:rPr>
      </w:pPr>
      <w:r>
        <w:rPr>
          <w:rFonts w:eastAsia="Times New Roman"/>
          <w:color w:val="000000"/>
          <w:sz w:val="20"/>
          <w:szCs w:val="20"/>
        </w:rPr>
        <w:t>Our information systems facilitate business processes, consum</w:t>
      </w:r>
      <w:r>
        <w:rPr>
          <w:rFonts w:eastAsia="Times New Roman"/>
          <w:color w:val="000000"/>
          <w:sz w:val="20"/>
          <w:szCs w:val="20"/>
        </w:rPr>
        <w:t>er experiences, and decision-making support across the Company and our extended ecosystem of manufacturers, vendors, business partners, and customers. Our system applications are connected to support the flow of information across functions, including:</w:t>
      </w:r>
    </w:p>
    <w:p w:rsidR="00000000" w:rsidRDefault="00BB5C2D">
      <w:pPr>
        <w:ind w:hanging="360"/>
        <w:jc w:val="both"/>
        <w:divId w:val="1074622765"/>
        <w:rPr>
          <w:rFonts w:eastAsia="Times New Roman"/>
        </w:rPr>
      </w:pPr>
      <w:r>
        <w:rPr>
          <w:rFonts w:eastAsia="Times New Roman"/>
          <w:color w:val="000000"/>
          <w:sz w:val="20"/>
          <w:szCs w:val="20"/>
        </w:rPr>
        <w:t>•pr</w:t>
      </w:r>
      <w:r>
        <w:rPr>
          <w:rFonts w:eastAsia="Times New Roman"/>
          <w:color w:val="000000"/>
          <w:sz w:val="20"/>
          <w:szCs w:val="20"/>
        </w:rPr>
        <w:t>oduct design, sourcing, and production;</w:t>
      </w:r>
    </w:p>
    <w:p w:rsidR="00000000" w:rsidRDefault="00BB5C2D">
      <w:pPr>
        <w:ind w:hanging="360"/>
        <w:jc w:val="both"/>
        <w:divId w:val="22170047"/>
        <w:rPr>
          <w:rFonts w:eastAsia="Times New Roman"/>
        </w:rPr>
      </w:pPr>
      <w:r>
        <w:rPr>
          <w:rFonts w:eastAsia="Times New Roman"/>
          <w:color w:val="000000"/>
          <w:sz w:val="20"/>
          <w:szCs w:val="20"/>
        </w:rPr>
        <w:t>•comprehensive order processing, fulfillment, and distribution;</w:t>
      </w:r>
    </w:p>
    <w:p w:rsidR="00000000" w:rsidRDefault="00BB5C2D">
      <w:pPr>
        <w:ind w:hanging="360"/>
        <w:jc w:val="both"/>
        <w:divId w:val="950429358"/>
        <w:rPr>
          <w:rFonts w:eastAsia="Times New Roman"/>
        </w:rPr>
      </w:pPr>
      <w:r>
        <w:rPr>
          <w:rFonts w:eastAsia="Times New Roman"/>
          <w:color w:val="000000"/>
          <w:sz w:val="20"/>
          <w:szCs w:val="20"/>
        </w:rPr>
        <w:t>•retail store and digital commerce operations;</w:t>
      </w:r>
    </w:p>
    <w:p w:rsidR="00000000" w:rsidRDefault="00BB5C2D">
      <w:pPr>
        <w:ind w:hanging="360"/>
        <w:jc w:val="both"/>
        <w:divId w:val="1135223229"/>
        <w:rPr>
          <w:rFonts w:eastAsia="Times New Roman"/>
        </w:rPr>
      </w:pPr>
      <w:r>
        <w:rPr>
          <w:rFonts w:eastAsia="Times New Roman"/>
          <w:color w:val="000000"/>
          <w:sz w:val="20"/>
          <w:szCs w:val="20"/>
        </w:rPr>
        <w:t>•marketing and advertising;</w:t>
      </w:r>
    </w:p>
    <w:p w:rsidR="00000000" w:rsidRDefault="00BB5C2D">
      <w:pPr>
        <w:ind w:hanging="360"/>
        <w:jc w:val="both"/>
        <w:divId w:val="1903101829"/>
        <w:rPr>
          <w:rFonts w:eastAsia="Times New Roman"/>
        </w:rPr>
      </w:pPr>
      <w:r>
        <w:rPr>
          <w:rFonts w:eastAsia="Times New Roman"/>
          <w:color w:val="000000"/>
          <w:sz w:val="20"/>
          <w:szCs w:val="20"/>
        </w:rPr>
        <w:t>•</w:t>
      </w:r>
      <w:r>
        <w:rPr>
          <w:rFonts w:eastAsia="Times New Roman"/>
          <w:color w:val="000000"/>
          <w:sz w:val="20"/>
          <w:szCs w:val="20"/>
        </w:rPr>
        <w:t>financial accounting and management reporting; and</w:t>
      </w:r>
    </w:p>
    <w:p w:rsidR="00000000" w:rsidRDefault="00BB5C2D">
      <w:pPr>
        <w:ind w:hanging="360"/>
        <w:jc w:val="both"/>
        <w:divId w:val="292758787"/>
        <w:rPr>
          <w:rFonts w:eastAsia="Times New Roman"/>
        </w:rPr>
      </w:pPr>
      <w:r>
        <w:rPr>
          <w:rFonts w:eastAsia="Times New Roman"/>
          <w:color w:val="000000"/>
          <w:sz w:val="20"/>
          <w:szCs w:val="20"/>
        </w:rPr>
        <w:t>•human resources.</w:t>
      </w:r>
    </w:p>
    <w:p w:rsidR="00000000" w:rsidRDefault="00BB5C2D">
      <w:pPr>
        <w:ind w:firstLine="540"/>
        <w:jc w:val="both"/>
        <w:divId w:val="1771654981"/>
        <w:rPr>
          <w:rFonts w:eastAsia="Times New Roman"/>
        </w:rPr>
      </w:pPr>
      <w:r>
        <w:rPr>
          <w:rFonts w:eastAsia="Times New Roman"/>
          <w:color w:val="000000"/>
          <w:sz w:val="20"/>
          <w:szCs w:val="20"/>
        </w:rPr>
        <w:t>Our retail operation systems, including point-of-sale registers and merchandising, planning, and inventory management systems, support operational processes within our store network and l</w:t>
      </w:r>
      <w:r>
        <w:rPr>
          <w:rFonts w:eastAsia="Times New Roman"/>
          <w:color w:val="000000"/>
          <w:sz w:val="20"/>
          <w:szCs w:val="20"/>
        </w:rPr>
        <w:t xml:space="preserve">ink with our digital commerce processes to support omni-channel capabilities. </w:t>
      </w:r>
    </w:p>
    <w:p w:rsidR="00000000" w:rsidRDefault="00BB5C2D">
      <w:pPr>
        <w:ind w:firstLine="540"/>
        <w:jc w:val="both"/>
        <w:divId w:val="438454610"/>
        <w:rPr>
          <w:rFonts w:eastAsia="Times New Roman"/>
        </w:rPr>
      </w:pPr>
      <w:r>
        <w:rPr>
          <w:rFonts w:eastAsia="Times New Roman"/>
          <w:color w:val="000000"/>
          <w:sz w:val="20"/>
          <w:szCs w:val="20"/>
        </w:rPr>
        <w:t>We are continually improving and upgrading our computer systems and software. For example, during Fiscal 2022, we continued to transform our value chain processes and technology</w:t>
      </w:r>
      <w:r>
        <w:rPr>
          <w:rFonts w:eastAsia="Times New Roman"/>
          <w:color w:val="000000"/>
          <w:sz w:val="20"/>
          <w:szCs w:val="20"/>
        </w:rPr>
        <w:t xml:space="preserve"> to support advanced global capabilities for our supply and demand management solutions. In Fiscal 2022, we also continued to accelerate our advanced analytics capabilities across functions. We are also continually enhancing the consumer experience by addi</w:t>
      </w:r>
      <w:r>
        <w:rPr>
          <w:rFonts w:eastAsia="Times New Roman"/>
          <w:color w:val="000000"/>
          <w:sz w:val="20"/>
          <w:szCs w:val="20"/>
        </w:rPr>
        <w:t>ng new functionality to our direct-to-consumer channels, including new Connected Retail capabilities, which now include virtual selling appointments, Buy Online-Pick Up in Store, and mobile checkout and contactless payments, among other capabilities.</w:t>
      </w:r>
    </w:p>
    <w:p w:rsidR="00000000" w:rsidRDefault="00BB5C2D">
      <w:pPr>
        <w:ind w:firstLine="540"/>
        <w:jc w:val="both"/>
        <w:divId w:val="1772893510"/>
        <w:rPr>
          <w:rFonts w:eastAsia="Times New Roman"/>
        </w:rPr>
      </w:pPr>
      <w:r>
        <w:rPr>
          <w:rFonts w:eastAsia="Times New Roman"/>
          <w:color w:val="000000"/>
          <w:sz w:val="20"/>
          <w:szCs w:val="20"/>
        </w:rPr>
        <w:t>We ha</w:t>
      </w:r>
      <w:r>
        <w:rPr>
          <w:rFonts w:eastAsia="Times New Roman"/>
          <w:color w:val="000000"/>
          <w:sz w:val="20"/>
          <w:szCs w:val="20"/>
        </w:rPr>
        <w:t>ve a longstanding information security risk program structured according to the National Institute of Standards and Technology Cybersecurity Framework, industry best practices, privacy legislation, and other global and local standards and regulations. This</w:t>
      </w:r>
      <w:r>
        <w:rPr>
          <w:rFonts w:eastAsia="Times New Roman"/>
          <w:color w:val="000000"/>
          <w:sz w:val="20"/>
          <w:szCs w:val="20"/>
        </w:rPr>
        <w:t xml:space="preserve"> program includes a defense-in-depth approach with multiple layers of security controls, including network segmentation, security monitoring, endpoint protection, and identity and access management, as well as data loss prevention controls. Our Audit Commi</w:t>
      </w:r>
      <w:r>
        <w:rPr>
          <w:rFonts w:eastAsia="Times New Roman"/>
          <w:color w:val="000000"/>
          <w:sz w:val="20"/>
          <w:szCs w:val="20"/>
        </w:rPr>
        <w:t xml:space="preserve">ttee is updated on the overall performance of our information security risk program on a quarterly basis.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151022025"/>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151022025"/>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18</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45" style="width:0;height:1.5pt" o:hralign="center" o:hrstd="t" o:hr="t" fillcolor="#a0a0a0" stroked="f"/>
        </w:pict>
      </w:r>
    </w:p>
    <w:p w:rsidR="00000000" w:rsidRDefault="00BB5C2D">
      <w:pPr>
        <w:divId w:val="1397893643"/>
        <w:rPr>
          <w:rFonts w:eastAsia="Times New Roman"/>
        </w:rPr>
      </w:pPr>
    </w:p>
    <w:p w:rsidR="00000000" w:rsidRDefault="00BB5C2D">
      <w:pPr>
        <w:ind w:firstLine="540"/>
        <w:jc w:val="both"/>
        <w:divId w:val="409618109"/>
        <w:rPr>
          <w:rFonts w:eastAsia="Times New Roman"/>
        </w:rPr>
      </w:pPr>
      <w:r>
        <w:rPr>
          <w:rFonts w:eastAsia="Times New Roman"/>
          <w:color w:val="000000"/>
          <w:sz w:val="20"/>
          <w:szCs w:val="20"/>
        </w:rPr>
        <w:t>Our cybersecurity awareness programs include phishing simulations, general cybersecurity awareness, and data protection modules, as well as more contextual and personalized modules for targeted users and roles. We inco</w:t>
      </w:r>
      <w:r>
        <w:rPr>
          <w:rFonts w:eastAsia="Times New Roman"/>
          <w:color w:val="000000"/>
          <w:sz w:val="20"/>
          <w:szCs w:val="20"/>
        </w:rPr>
        <w:t>rporate external expertise and guidance in all aspects of our program. We leverage cybersecurity specialists to complete external audits and objective assessments of our cybersecurity program and practices, as well as to conduct targeted attack simulations</w:t>
      </w:r>
      <w:r>
        <w:rPr>
          <w:rFonts w:eastAsia="Times New Roman"/>
          <w:color w:val="000000"/>
          <w:sz w:val="20"/>
          <w:szCs w:val="20"/>
        </w:rPr>
        <w:t xml:space="preserve">. We continually enhance our information security capabilities in order to protect against emerging threats, while also increasing our ability to detect and respond to cyber incidents and maximize our resilience to recover from potential cyber-attacks. We </w:t>
      </w:r>
      <w:r>
        <w:rPr>
          <w:rFonts w:eastAsia="Times New Roman"/>
          <w:color w:val="000000"/>
          <w:sz w:val="20"/>
          <w:szCs w:val="20"/>
        </w:rPr>
        <w:t xml:space="preserve">have a robust incident response plan in place that provides a documented runbook for handling high severity cybersecurity incidents and facilitates coordination across multiple parts of our Company. We also routinely perform simulations and drills at both </w:t>
      </w:r>
      <w:r>
        <w:rPr>
          <w:rFonts w:eastAsia="Times New Roman"/>
          <w:color w:val="000000"/>
          <w:sz w:val="20"/>
          <w:szCs w:val="20"/>
        </w:rPr>
        <w:t xml:space="preserve">a technical and leadership level. Additionally, we have purchased network security and cyber liability insurance in order to provide a level of financial protection, should a data breach occur. </w:t>
      </w:r>
    </w:p>
    <w:p w:rsidR="00000000" w:rsidRDefault="00BB5C2D">
      <w:pPr>
        <w:ind w:firstLine="540"/>
        <w:jc w:val="both"/>
        <w:divId w:val="1860583454"/>
        <w:rPr>
          <w:rFonts w:eastAsia="Times New Roman"/>
        </w:rPr>
      </w:pPr>
      <w:r>
        <w:rPr>
          <w:rFonts w:eastAsia="Times New Roman"/>
          <w:color w:val="000000"/>
          <w:sz w:val="20"/>
          <w:szCs w:val="20"/>
        </w:rPr>
        <w:t>See Item 1A — "</w:t>
      </w:r>
      <w:r>
        <w:rPr>
          <w:rFonts w:eastAsia="Times New Roman"/>
          <w:i/>
          <w:iCs/>
          <w:color w:val="000000"/>
          <w:sz w:val="20"/>
          <w:szCs w:val="20"/>
        </w:rPr>
        <w:t>Risk Factors </w:t>
      </w:r>
      <w:r>
        <w:rPr>
          <w:rFonts w:eastAsia="Times New Roman"/>
          <w:color w:val="000000"/>
          <w:sz w:val="20"/>
          <w:szCs w:val="20"/>
        </w:rPr>
        <w:t xml:space="preserve">— </w:t>
      </w:r>
      <w:r>
        <w:rPr>
          <w:rFonts w:eastAsia="Times New Roman"/>
          <w:i/>
          <w:iCs/>
          <w:color w:val="000000"/>
          <w:sz w:val="20"/>
          <w:szCs w:val="20"/>
        </w:rPr>
        <w:t>Risks Related to Information Sy</w:t>
      </w:r>
      <w:r>
        <w:rPr>
          <w:rFonts w:eastAsia="Times New Roman"/>
          <w:i/>
          <w:iCs/>
          <w:color w:val="000000"/>
          <w:sz w:val="20"/>
          <w:szCs w:val="20"/>
        </w:rPr>
        <w:t xml:space="preserve">stems and Data Security </w:t>
      </w:r>
      <w:r>
        <w:rPr>
          <w:rFonts w:eastAsia="Times New Roman"/>
          <w:color w:val="000000"/>
          <w:sz w:val="20"/>
          <w:szCs w:val="20"/>
        </w:rPr>
        <w:t xml:space="preserve">— </w:t>
      </w:r>
      <w:r>
        <w:rPr>
          <w:rFonts w:eastAsia="Times New Roman"/>
          <w:i/>
          <w:iCs/>
          <w:color w:val="000000"/>
          <w:sz w:val="20"/>
          <w:szCs w:val="20"/>
        </w:rPr>
        <w:t>A data security or privacy breach could damage our reputation and our relationships with our customers or employees, expose us to litigation risk, and adversely affect our business</w:t>
      </w:r>
      <w:r>
        <w:rPr>
          <w:rFonts w:eastAsia="Times New Roman"/>
          <w:color w:val="000000"/>
          <w:sz w:val="20"/>
          <w:szCs w:val="20"/>
        </w:rPr>
        <w:t>" and "</w:t>
      </w:r>
      <w:r>
        <w:rPr>
          <w:rFonts w:eastAsia="Times New Roman"/>
          <w:i/>
          <w:iCs/>
          <w:color w:val="000000"/>
          <w:sz w:val="20"/>
          <w:szCs w:val="20"/>
        </w:rPr>
        <w:t>Risk Factors </w:t>
      </w:r>
      <w:r>
        <w:rPr>
          <w:rFonts w:eastAsia="Times New Roman"/>
          <w:color w:val="000000"/>
          <w:sz w:val="20"/>
          <w:szCs w:val="20"/>
        </w:rPr>
        <w:t xml:space="preserve">— </w:t>
      </w:r>
      <w:r>
        <w:rPr>
          <w:rFonts w:eastAsia="Times New Roman"/>
          <w:i/>
          <w:iCs/>
          <w:color w:val="000000"/>
          <w:sz w:val="20"/>
          <w:szCs w:val="20"/>
        </w:rPr>
        <w:t>Risks Related to Information</w:t>
      </w:r>
      <w:r>
        <w:rPr>
          <w:rFonts w:eastAsia="Times New Roman"/>
          <w:i/>
          <w:iCs/>
          <w:color w:val="000000"/>
          <w:sz w:val="20"/>
          <w:szCs w:val="20"/>
        </w:rPr>
        <w:t xml:space="preserve"> Systems and Data Security </w:t>
      </w:r>
      <w:r>
        <w:rPr>
          <w:rFonts w:eastAsia="Times New Roman"/>
          <w:color w:val="000000"/>
          <w:sz w:val="20"/>
          <w:szCs w:val="20"/>
        </w:rPr>
        <w:t xml:space="preserve">— </w:t>
      </w:r>
      <w:r>
        <w:rPr>
          <w:rFonts w:eastAsia="Times New Roman"/>
          <w:i/>
          <w:iCs/>
          <w:color w:val="000000"/>
          <w:sz w:val="20"/>
          <w:szCs w:val="20"/>
        </w:rPr>
        <w:t>Our business could suffer if our computer systems and websites are disrupted or cease to operate effectively</w:t>
      </w:r>
      <w:r>
        <w:rPr>
          <w:rFonts w:eastAsia="Times New Roman"/>
          <w:color w:val="000000"/>
          <w:sz w:val="20"/>
          <w:szCs w:val="20"/>
        </w:rPr>
        <w:t>."</w:t>
      </w:r>
    </w:p>
    <w:p w:rsidR="00000000" w:rsidRDefault="00BB5C2D">
      <w:pPr>
        <w:jc w:val="center"/>
        <w:divId w:val="1365134930"/>
        <w:rPr>
          <w:rFonts w:eastAsia="Times New Roman"/>
        </w:rPr>
      </w:pPr>
      <w:r>
        <w:rPr>
          <w:rFonts w:eastAsia="Times New Roman"/>
          <w:b/>
          <w:bCs/>
          <w:color w:val="000000"/>
          <w:sz w:val="20"/>
          <w:szCs w:val="20"/>
        </w:rPr>
        <w:t>Wholesale Credit Control</w:t>
      </w:r>
    </w:p>
    <w:p w:rsidR="00000000" w:rsidRDefault="00BB5C2D">
      <w:pPr>
        <w:ind w:firstLine="540"/>
        <w:jc w:val="both"/>
        <w:divId w:val="961114455"/>
        <w:rPr>
          <w:rFonts w:eastAsia="Times New Roman"/>
        </w:rPr>
      </w:pPr>
      <w:r>
        <w:rPr>
          <w:rFonts w:eastAsia="Times New Roman"/>
          <w:color w:val="000000"/>
          <w:sz w:val="20"/>
          <w:szCs w:val="20"/>
        </w:rPr>
        <w:t xml:space="preserve">We manage our own credit function. We sell our merchandise principally to major department </w:t>
      </w:r>
      <w:r>
        <w:rPr>
          <w:rFonts w:eastAsia="Times New Roman"/>
          <w:color w:val="000000"/>
          <w:sz w:val="20"/>
          <w:szCs w:val="20"/>
        </w:rPr>
        <w:t>stores, specialty stores, and third-party digital partners, and extend credit based on an evaluation of the wholesale customer's financial capacity and condition, usually without requiring collateral. We monitor credit levels and the financial condition of</w:t>
      </w:r>
      <w:r>
        <w:rPr>
          <w:rFonts w:eastAsia="Times New Roman"/>
          <w:color w:val="000000"/>
          <w:sz w:val="20"/>
          <w:szCs w:val="20"/>
        </w:rPr>
        <w:t xml:space="preserve"> our wholesale customers on a continuing basis to minimize credit risk. We do not factor or underwrite our accounts receivables, nor do we maintain credit insurance to manage the risk of bad debts. In North America, collection and deduction transactional a</w:t>
      </w:r>
      <w:r>
        <w:rPr>
          <w:rFonts w:eastAsia="Times New Roman"/>
          <w:color w:val="000000"/>
          <w:sz w:val="20"/>
          <w:szCs w:val="20"/>
        </w:rPr>
        <w:t>ctivities are provided through a third-party service provider. See Item 1A — "</w:t>
      </w:r>
      <w:r>
        <w:rPr>
          <w:rFonts w:eastAsia="Times New Roman"/>
          <w:i/>
          <w:iCs/>
          <w:color w:val="000000"/>
          <w:sz w:val="20"/>
          <w:szCs w:val="20"/>
        </w:rPr>
        <w:t>Risk Factors </w:t>
      </w:r>
      <w:r>
        <w:rPr>
          <w:rFonts w:eastAsia="Times New Roman"/>
          <w:color w:val="000000"/>
          <w:sz w:val="20"/>
          <w:szCs w:val="20"/>
        </w:rPr>
        <w:t xml:space="preserve">— </w:t>
      </w:r>
      <w:r>
        <w:rPr>
          <w:rFonts w:eastAsia="Times New Roman"/>
          <w:i/>
          <w:iCs/>
          <w:color w:val="000000"/>
          <w:sz w:val="20"/>
          <w:szCs w:val="20"/>
        </w:rPr>
        <w:t xml:space="preserve">Risks Related to our Business and Operations </w:t>
      </w:r>
      <w:r>
        <w:rPr>
          <w:rFonts w:eastAsia="Times New Roman"/>
          <w:color w:val="000000"/>
          <w:sz w:val="20"/>
          <w:szCs w:val="20"/>
        </w:rPr>
        <w:t>— </w:t>
      </w:r>
      <w:r>
        <w:rPr>
          <w:rFonts w:eastAsia="Times New Roman"/>
          <w:i/>
          <w:iCs/>
          <w:color w:val="000000"/>
          <w:sz w:val="20"/>
          <w:szCs w:val="20"/>
        </w:rPr>
        <w:t>A substantial portion of our revenue is derived from a limited number of large wholesale customers. Our business cou</w:t>
      </w:r>
      <w:r>
        <w:rPr>
          <w:rFonts w:eastAsia="Times New Roman"/>
          <w:i/>
          <w:iCs/>
          <w:color w:val="000000"/>
          <w:sz w:val="20"/>
          <w:szCs w:val="20"/>
        </w:rPr>
        <w:t>ld be adversely affected as a result of consolidations, liquidations, restructurings, other ownership changes in the retail industry, and/or any financial instability of our large wholesale customers</w:t>
      </w:r>
      <w:r>
        <w:rPr>
          <w:rFonts w:eastAsia="Times New Roman"/>
          <w:color w:val="000000"/>
          <w:sz w:val="20"/>
          <w:szCs w:val="20"/>
        </w:rPr>
        <w:t>."</w:t>
      </w:r>
    </w:p>
    <w:p w:rsidR="00000000" w:rsidRDefault="00BB5C2D">
      <w:pPr>
        <w:jc w:val="center"/>
        <w:divId w:val="1228690076"/>
        <w:rPr>
          <w:rFonts w:eastAsia="Times New Roman"/>
        </w:rPr>
      </w:pPr>
      <w:r>
        <w:rPr>
          <w:rFonts w:eastAsia="Times New Roman"/>
          <w:b/>
          <w:bCs/>
          <w:color w:val="000000"/>
          <w:sz w:val="20"/>
          <w:szCs w:val="20"/>
        </w:rPr>
        <w:t>Trademarks</w:t>
      </w:r>
    </w:p>
    <w:p w:rsidR="00000000" w:rsidRDefault="00BB5C2D">
      <w:pPr>
        <w:ind w:firstLine="540"/>
        <w:jc w:val="both"/>
        <w:divId w:val="1254433760"/>
        <w:rPr>
          <w:rFonts w:eastAsia="Times New Roman"/>
        </w:rPr>
      </w:pPr>
      <w:r>
        <w:rPr>
          <w:rFonts w:eastAsia="Times New Roman"/>
          <w:color w:val="000000"/>
          <w:sz w:val="20"/>
          <w:szCs w:val="20"/>
        </w:rPr>
        <w:t>We own the RALPH LAUREN, POLO, POLO RALPH L</w:t>
      </w:r>
      <w:r>
        <w:rPr>
          <w:rFonts w:eastAsia="Times New Roman"/>
          <w:color w:val="000000"/>
          <w:sz w:val="20"/>
          <w:szCs w:val="20"/>
        </w:rPr>
        <w:t>AUREN, and the famous Polo Player Design trademarks in the U.S. and over 120 countries worldwide. Other trademarks that we own include:</w:t>
      </w:r>
    </w:p>
    <w:p w:rsidR="00000000" w:rsidRDefault="00BB5C2D">
      <w:pPr>
        <w:ind w:hanging="360"/>
        <w:jc w:val="both"/>
        <w:divId w:val="1832523495"/>
        <w:rPr>
          <w:rFonts w:eastAsia="Times New Roman"/>
        </w:rPr>
      </w:pPr>
      <w:r>
        <w:rPr>
          <w:rFonts w:eastAsia="Times New Roman"/>
          <w:color w:val="000000"/>
          <w:sz w:val="20"/>
          <w:szCs w:val="20"/>
        </w:rPr>
        <w:t>•PURPLE LABEL;</w:t>
      </w:r>
    </w:p>
    <w:p w:rsidR="00000000" w:rsidRDefault="00BB5C2D">
      <w:pPr>
        <w:ind w:hanging="360"/>
        <w:jc w:val="both"/>
        <w:divId w:val="745807776"/>
        <w:rPr>
          <w:rFonts w:eastAsia="Times New Roman"/>
        </w:rPr>
      </w:pPr>
      <w:r>
        <w:rPr>
          <w:rFonts w:eastAsia="Times New Roman"/>
          <w:color w:val="000000"/>
          <w:sz w:val="20"/>
          <w:szCs w:val="20"/>
        </w:rPr>
        <w:t>•DOUBLE RL;</w:t>
      </w:r>
    </w:p>
    <w:p w:rsidR="00000000" w:rsidRDefault="00BB5C2D">
      <w:pPr>
        <w:ind w:hanging="360"/>
        <w:jc w:val="both"/>
        <w:divId w:val="1326859117"/>
        <w:rPr>
          <w:rFonts w:eastAsia="Times New Roman"/>
        </w:rPr>
      </w:pPr>
      <w:r>
        <w:rPr>
          <w:rFonts w:eastAsia="Times New Roman"/>
          <w:color w:val="000000"/>
          <w:sz w:val="20"/>
          <w:szCs w:val="20"/>
        </w:rPr>
        <w:t>•RRL &amp; DESIGN;</w:t>
      </w:r>
    </w:p>
    <w:p w:rsidR="00000000" w:rsidRDefault="00BB5C2D">
      <w:pPr>
        <w:ind w:hanging="360"/>
        <w:jc w:val="both"/>
        <w:divId w:val="1454330022"/>
        <w:rPr>
          <w:rFonts w:eastAsia="Times New Roman"/>
        </w:rPr>
      </w:pPr>
      <w:r>
        <w:rPr>
          <w:rFonts w:eastAsia="Times New Roman"/>
          <w:color w:val="000000"/>
          <w:sz w:val="20"/>
          <w:szCs w:val="20"/>
        </w:rPr>
        <w:t>•RLX;</w:t>
      </w:r>
    </w:p>
    <w:p w:rsidR="00000000" w:rsidRDefault="00BB5C2D">
      <w:pPr>
        <w:ind w:hanging="360"/>
        <w:jc w:val="both"/>
        <w:divId w:val="490608635"/>
        <w:rPr>
          <w:rFonts w:eastAsia="Times New Roman"/>
        </w:rPr>
      </w:pPr>
      <w:r>
        <w:rPr>
          <w:rFonts w:eastAsia="Times New Roman"/>
          <w:color w:val="000000"/>
          <w:sz w:val="20"/>
          <w:szCs w:val="20"/>
        </w:rPr>
        <w:t>•RL;</w:t>
      </w:r>
    </w:p>
    <w:p w:rsidR="00000000" w:rsidRDefault="00BB5C2D">
      <w:pPr>
        <w:ind w:hanging="360"/>
        <w:jc w:val="both"/>
        <w:divId w:val="430400200"/>
        <w:rPr>
          <w:rFonts w:eastAsia="Times New Roman"/>
        </w:rPr>
      </w:pPr>
      <w:r>
        <w:rPr>
          <w:rFonts w:eastAsia="Times New Roman"/>
          <w:color w:val="000000"/>
          <w:sz w:val="20"/>
          <w:szCs w:val="20"/>
        </w:rPr>
        <w:t>•LAUREN RALPH LAUREN;</w:t>
      </w:r>
    </w:p>
    <w:p w:rsidR="00000000" w:rsidRDefault="00BB5C2D">
      <w:pPr>
        <w:ind w:hanging="360"/>
        <w:jc w:val="both"/>
        <w:divId w:val="972830811"/>
        <w:rPr>
          <w:rFonts w:eastAsia="Times New Roman"/>
        </w:rPr>
      </w:pPr>
      <w:r>
        <w:rPr>
          <w:rFonts w:eastAsia="Times New Roman"/>
          <w:color w:val="000000"/>
          <w:sz w:val="20"/>
          <w:szCs w:val="20"/>
        </w:rPr>
        <w:t>•PINK PONY;</w:t>
      </w:r>
    </w:p>
    <w:p w:rsidR="00000000" w:rsidRDefault="00BB5C2D">
      <w:pPr>
        <w:ind w:hanging="360"/>
        <w:jc w:val="both"/>
        <w:divId w:val="632061819"/>
        <w:rPr>
          <w:rFonts w:eastAsia="Times New Roman"/>
        </w:rPr>
      </w:pPr>
      <w:r>
        <w:rPr>
          <w:rFonts w:eastAsia="Times New Roman"/>
          <w:color w:val="000000"/>
          <w:sz w:val="20"/>
          <w:szCs w:val="20"/>
        </w:rPr>
        <w:t>•LAUREN;</w:t>
      </w:r>
    </w:p>
    <w:p w:rsidR="00000000" w:rsidRDefault="00BB5C2D">
      <w:pPr>
        <w:ind w:hanging="360"/>
        <w:jc w:val="both"/>
        <w:divId w:val="895580739"/>
        <w:rPr>
          <w:rFonts w:eastAsia="Times New Roman"/>
        </w:rPr>
      </w:pPr>
      <w:r>
        <w:rPr>
          <w:rFonts w:eastAsia="Times New Roman"/>
          <w:color w:val="000000"/>
          <w:sz w:val="20"/>
          <w:szCs w:val="20"/>
        </w:rPr>
        <w:t>•RALPH;</w:t>
      </w:r>
    </w:p>
    <w:p w:rsidR="00000000" w:rsidRDefault="00BB5C2D">
      <w:pPr>
        <w:ind w:hanging="360"/>
        <w:jc w:val="both"/>
        <w:divId w:val="365179730"/>
        <w:rPr>
          <w:rFonts w:eastAsia="Times New Roman"/>
        </w:rPr>
      </w:pPr>
      <w:r>
        <w:rPr>
          <w:rFonts w:eastAsia="Times New Roman"/>
          <w:color w:val="000000"/>
          <w:sz w:val="20"/>
          <w:szCs w:val="20"/>
        </w:rPr>
        <w:t>•</w:t>
      </w:r>
      <w:r>
        <w:rPr>
          <w:rFonts w:eastAsia="Times New Roman"/>
          <w:color w:val="000000"/>
          <w:sz w:val="20"/>
          <w:szCs w:val="20"/>
        </w:rPr>
        <w:t>POLO BEAR;</w:t>
      </w:r>
    </w:p>
    <w:p w:rsidR="00000000" w:rsidRDefault="00BB5C2D">
      <w:pPr>
        <w:ind w:hanging="360"/>
        <w:jc w:val="both"/>
        <w:divId w:val="1851336295"/>
        <w:rPr>
          <w:rFonts w:eastAsia="Times New Roman"/>
        </w:rPr>
      </w:pPr>
      <w:r>
        <w:rPr>
          <w:rFonts w:eastAsia="Times New Roman"/>
          <w:color w:val="000000"/>
          <w:sz w:val="20"/>
          <w:szCs w:val="20"/>
        </w:rPr>
        <w:t>•CHAPS; and</w:t>
      </w:r>
    </w:p>
    <w:p w:rsidR="00000000" w:rsidRDefault="00BB5C2D">
      <w:pPr>
        <w:ind w:hanging="360"/>
        <w:jc w:val="both"/>
        <w:divId w:val="1042483362"/>
        <w:rPr>
          <w:rFonts w:eastAsia="Times New Roman"/>
        </w:rPr>
      </w:pPr>
      <w:r>
        <w:rPr>
          <w:rFonts w:eastAsia="Times New Roman"/>
          <w:color w:val="000000"/>
          <w:sz w:val="20"/>
          <w:szCs w:val="20"/>
        </w:rPr>
        <w:t>•Various other trademarks.</w:t>
      </w:r>
    </w:p>
    <w:p w:rsidR="00000000" w:rsidRDefault="00BB5C2D">
      <w:pPr>
        <w:ind w:firstLine="540"/>
        <w:jc w:val="both"/>
        <w:divId w:val="1213230593"/>
        <w:rPr>
          <w:rFonts w:eastAsia="Times New Roman"/>
        </w:rPr>
      </w:pPr>
      <w:r>
        <w:rPr>
          <w:rFonts w:eastAsia="Times New Roman"/>
          <w:color w:val="000000"/>
          <w:sz w:val="20"/>
          <w:szCs w:val="20"/>
        </w:rPr>
        <w:t xml:space="preserve">Mr. Ralph Lauren has the royalty-free right to use as trademarks RALPH LAUREN, DOUBLE RL, and RRL in perpetuity in connection with, among other things, beef and living animals. The trademarks DOUBLE RL and </w:t>
      </w:r>
      <w:r>
        <w:rPr>
          <w:rFonts w:eastAsia="Times New Roman"/>
          <w:color w:val="000000"/>
          <w:sz w:val="20"/>
          <w:szCs w:val="20"/>
        </w:rPr>
        <w:t>RRL are currently used by the Double RL Company, an entity wholly owned by Mr. R. Lauren. In addition, Mr. R. Lauren has the right to engage in personal projects involving film or theatrical productions (not including or relating to our business) through R</w:t>
      </w:r>
      <w:r>
        <w:rPr>
          <w:rFonts w:eastAsia="Times New Roman"/>
          <w:color w:val="000000"/>
          <w:sz w:val="20"/>
          <w:szCs w:val="20"/>
        </w:rPr>
        <w:t>RL Productions, Inc., a company wholly owned by Mr. R. Lauren. Any activity by these companies has no impact on us.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68430474"/>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68430474"/>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19</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46" style="width:0;height:1.5pt" o:hralign="center" o:hrstd="t" o:hr="t" fillcolor="#a0a0a0" stroked="f"/>
        </w:pict>
      </w:r>
    </w:p>
    <w:p w:rsidR="00000000" w:rsidRDefault="00BB5C2D">
      <w:pPr>
        <w:divId w:val="30037696"/>
        <w:rPr>
          <w:rFonts w:eastAsia="Times New Roman"/>
        </w:rPr>
      </w:pPr>
    </w:p>
    <w:p w:rsidR="00000000" w:rsidRDefault="00BB5C2D">
      <w:pPr>
        <w:ind w:firstLine="540"/>
        <w:jc w:val="both"/>
        <w:divId w:val="2123374155"/>
        <w:rPr>
          <w:rFonts w:eastAsia="Times New Roman"/>
        </w:rPr>
      </w:pPr>
      <w:r>
        <w:rPr>
          <w:rFonts w:eastAsia="Times New Roman"/>
          <w:color w:val="000000"/>
          <w:sz w:val="20"/>
          <w:szCs w:val="20"/>
        </w:rPr>
        <w:t>Our trademarks are the subject of registrations and pending applications throughout the world for use on a variety of items of apparel, apparel-related products and accessories, home furnishings, restaurant and café se</w:t>
      </w:r>
      <w:r>
        <w:rPr>
          <w:rFonts w:eastAsia="Times New Roman"/>
          <w:color w:val="000000"/>
          <w:sz w:val="20"/>
          <w:szCs w:val="20"/>
        </w:rPr>
        <w:t>rvices, online services and online publications, and beauty products, as well as in connection with retail services, and we continue to expand our worldwide usage and registration of related trademarks. In general, trademarks remain valid and enforceable a</w:t>
      </w:r>
      <w:r>
        <w:rPr>
          <w:rFonts w:eastAsia="Times New Roman"/>
          <w:color w:val="000000"/>
          <w:sz w:val="20"/>
          <w:szCs w:val="20"/>
        </w:rPr>
        <w:t xml:space="preserve">s long as the marks are used in connection with the related products and services and the required registration renewals are filed. We regard the license to use the trademarks and our other proprietary rights in and to the trademarks as extremely valuable </w:t>
      </w:r>
      <w:r>
        <w:rPr>
          <w:rFonts w:eastAsia="Times New Roman"/>
          <w:color w:val="000000"/>
          <w:sz w:val="20"/>
          <w:szCs w:val="20"/>
        </w:rPr>
        <w:t>assets in marketing our products and, on a worldwide basis, vigorously seek to protect them against infringement. As a result of the appeal of our trademarks, our products have been the object of counterfeiting. While we have a broad enforcement program wh</w:t>
      </w:r>
      <w:r>
        <w:rPr>
          <w:rFonts w:eastAsia="Times New Roman"/>
          <w:color w:val="000000"/>
          <w:sz w:val="20"/>
          <w:szCs w:val="20"/>
        </w:rPr>
        <w:t>ich has been generally effective in protecting our intellectual property rights and limiting the sale of counterfeit products in the U.S. and in most major markets abroad, we face greater challenges with respect to enforcing our rights against trademark in</w:t>
      </w:r>
      <w:r>
        <w:rPr>
          <w:rFonts w:eastAsia="Times New Roman"/>
          <w:color w:val="000000"/>
          <w:sz w:val="20"/>
          <w:szCs w:val="20"/>
        </w:rPr>
        <w:t>fringement in certain parts of Asia.</w:t>
      </w:r>
    </w:p>
    <w:p w:rsidR="00000000" w:rsidRDefault="00BB5C2D">
      <w:pPr>
        <w:ind w:firstLine="540"/>
        <w:jc w:val="both"/>
        <w:divId w:val="1015034107"/>
        <w:rPr>
          <w:rFonts w:eastAsia="Times New Roman"/>
        </w:rPr>
      </w:pPr>
      <w:r>
        <w:rPr>
          <w:rFonts w:eastAsia="Times New Roman"/>
          <w:color w:val="000000"/>
          <w:sz w:val="20"/>
          <w:szCs w:val="20"/>
        </w:rPr>
        <w:t>In markets outside of the U.S., our rights to some or all of our trademarks may not be clearly established. Over the course of our international expansion, we have experienced conflicts with various third parties who ha</w:t>
      </w:r>
      <w:r>
        <w:rPr>
          <w:rFonts w:eastAsia="Times New Roman"/>
          <w:color w:val="000000"/>
          <w:sz w:val="20"/>
          <w:szCs w:val="20"/>
        </w:rPr>
        <w:t xml:space="preserve">ve acquired ownership rights in certain trademarks, including POLO and/or a representation of a Polo Player Design, which impede our use and registration of our principal trademarks. While such conflicts are common and may arise again from time to time as </w:t>
      </w:r>
      <w:r>
        <w:rPr>
          <w:rFonts w:eastAsia="Times New Roman"/>
          <w:color w:val="000000"/>
          <w:sz w:val="20"/>
          <w:szCs w:val="20"/>
        </w:rPr>
        <w:t>we continue our international expansion, we have, in general, successfully resolved such conflicts in the past through both legal action and negotiated settlements with third-party owners of the conflicting marks (see Item 1A — "</w:t>
      </w:r>
      <w:r>
        <w:rPr>
          <w:rFonts w:eastAsia="Times New Roman"/>
          <w:i/>
          <w:iCs/>
          <w:color w:val="000000"/>
          <w:sz w:val="20"/>
          <w:szCs w:val="20"/>
        </w:rPr>
        <w:t>Risk Factors</w:t>
      </w:r>
      <w:r>
        <w:rPr>
          <w:rFonts w:eastAsia="Times New Roman"/>
          <w:color w:val="000000"/>
          <w:sz w:val="20"/>
          <w:szCs w:val="20"/>
        </w:rPr>
        <w:t xml:space="preserve"> — </w:t>
      </w:r>
      <w:r>
        <w:rPr>
          <w:rFonts w:eastAsia="Times New Roman"/>
          <w:i/>
          <w:iCs/>
          <w:color w:val="000000"/>
          <w:sz w:val="20"/>
          <w:szCs w:val="20"/>
        </w:rPr>
        <w:t>Risks Relate</w:t>
      </w:r>
      <w:r>
        <w:rPr>
          <w:rFonts w:eastAsia="Times New Roman"/>
          <w:i/>
          <w:iCs/>
          <w:color w:val="000000"/>
          <w:sz w:val="20"/>
          <w:szCs w:val="20"/>
        </w:rPr>
        <w:t xml:space="preserve">d to our Business and Operations </w:t>
      </w:r>
      <w:r>
        <w:rPr>
          <w:rFonts w:eastAsia="Times New Roman"/>
          <w:color w:val="000000"/>
          <w:sz w:val="20"/>
          <w:szCs w:val="20"/>
        </w:rPr>
        <w:t>— </w:t>
      </w:r>
      <w:r>
        <w:rPr>
          <w:rFonts w:eastAsia="Times New Roman"/>
          <w:i/>
          <w:iCs/>
          <w:color w:val="000000"/>
          <w:sz w:val="20"/>
          <w:szCs w:val="20"/>
        </w:rPr>
        <w:t>Our trademarks and other intellectual property rights may not be adequately protected outside the U.S.</w:t>
      </w:r>
      <w:r>
        <w:rPr>
          <w:rFonts w:eastAsia="Times New Roman"/>
          <w:color w:val="000000"/>
          <w:sz w:val="20"/>
          <w:szCs w:val="20"/>
        </w:rPr>
        <w:t>" and Item 3 — "</w:t>
      </w:r>
      <w:r>
        <w:rPr>
          <w:rFonts w:eastAsia="Times New Roman"/>
          <w:i/>
          <w:iCs/>
          <w:color w:val="000000"/>
          <w:sz w:val="20"/>
          <w:szCs w:val="20"/>
        </w:rPr>
        <w:t>Legal Proceedings</w:t>
      </w:r>
      <w:r>
        <w:rPr>
          <w:rFonts w:eastAsia="Times New Roman"/>
          <w:color w:val="000000"/>
          <w:sz w:val="20"/>
          <w:szCs w:val="20"/>
        </w:rPr>
        <w:t>" for further discussion). Although we have not suffered any material restraints or re</w:t>
      </w:r>
      <w:r>
        <w:rPr>
          <w:rFonts w:eastAsia="Times New Roman"/>
          <w:color w:val="000000"/>
          <w:sz w:val="20"/>
          <w:szCs w:val="20"/>
        </w:rPr>
        <w:t>strictions on doing business in desirable markets in the past, we cannot assure that significant impediments will not arise in the future as we expand product offerings and introduce trademarks to new markets.</w:t>
      </w:r>
    </w:p>
    <w:p w:rsidR="00000000" w:rsidRDefault="00BB5C2D">
      <w:pPr>
        <w:jc w:val="center"/>
        <w:divId w:val="569853245"/>
        <w:rPr>
          <w:rFonts w:eastAsia="Times New Roman"/>
        </w:rPr>
      </w:pPr>
      <w:r>
        <w:rPr>
          <w:rFonts w:eastAsia="Times New Roman"/>
          <w:b/>
          <w:bCs/>
          <w:color w:val="000000"/>
          <w:sz w:val="20"/>
          <w:szCs w:val="20"/>
        </w:rPr>
        <w:t>Import Restrictions and Other Government Regul</w:t>
      </w:r>
      <w:r>
        <w:rPr>
          <w:rFonts w:eastAsia="Times New Roman"/>
          <w:b/>
          <w:bCs/>
          <w:color w:val="000000"/>
          <w:sz w:val="20"/>
          <w:szCs w:val="20"/>
        </w:rPr>
        <w:t>ations</w:t>
      </w:r>
    </w:p>
    <w:p w:rsidR="00000000" w:rsidRDefault="00BB5C2D">
      <w:pPr>
        <w:ind w:firstLine="540"/>
        <w:jc w:val="both"/>
        <w:divId w:val="1487357100"/>
        <w:rPr>
          <w:rFonts w:eastAsia="Times New Roman"/>
        </w:rPr>
      </w:pPr>
      <w:r>
        <w:rPr>
          <w:rFonts w:eastAsia="Times New Roman"/>
          <w:color w:val="000000"/>
          <w:sz w:val="20"/>
          <w:szCs w:val="20"/>
        </w:rPr>
        <w:t xml:space="preserve">Virtually all of our merchandise imported into the Americas, Europe, Asia, Australia, and New Zealand is subject to duties. In addition, most of the countries to which we ship could impose safeguard quotas and duties to protect their local industries from </w:t>
      </w:r>
      <w:r>
        <w:rPr>
          <w:rFonts w:eastAsia="Times New Roman"/>
          <w:color w:val="000000"/>
          <w:sz w:val="20"/>
          <w:szCs w:val="20"/>
        </w:rPr>
        <w:t>import surges that threaten to create market disruption. The U.S. and other countries may also unilaterally impose additional duties in response to a particular product being imported (from China or other countries) at unfairly traded prices in such increa</w:t>
      </w:r>
      <w:r>
        <w:rPr>
          <w:rFonts w:eastAsia="Times New Roman"/>
          <w:color w:val="000000"/>
          <w:sz w:val="20"/>
          <w:szCs w:val="20"/>
        </w:rPr>
        <w:t>sed quantities that would cause (or threaten) injury to the relevant domestic industry (generally known as "anti-dumping" actions). If dumping is suspected in the U.S., the U.S. government may self-initiate a dumping case on behalf of the U.S. textile indu</w:t>
      </w:r>
      <w:r>
        <w:rPr>
          <w:rFonts w:eastAsia="Times New Roman"/>
          <w:color w:val="000000"/>
          <w:sz w:val="20"/>
          <w:szCs w:val="20"/>
        </w:rPr>
        <w:t>stry which could significantly affect our costs. Furthermore, additional duties, generally known as countervailing duties, can also be imposed by the U.S. government to offset subsidies provided by a foreign government to foreign manufacturers if the impor</w:t>
      </w:r>
      <w:r>
        <w:rPr>
          <w:rFonts w:eastAsia="Times New Roman"/>
          <w:color w:val="000000"/>
          <w:sz w:val="20"/>
          <w:szCs w:val="20"/>
        </w:rPr>
        <w:t>tation of such subsidized merchandise injures or threatens to injure a U.S. industry.</w:t>
      </w:r>
    </w:p>
    <w:p w:rsidR="00000000" w:rsidRDefault="00BB5C2D">
      <w:pPr>
        <w:ind w:firstLine="540"/>
        <w:jc w:val="both"/>
        <w:divId w:val="235478703"/>
        <w:rPr>
          <w:rFonts w:eastAsia="Times New Roman"/>
        </w:rPr>
      </w:pPr>
      <w:r>
        <w:rPr>
          <w:rFonts w:eastAsia="Times New Roman"/>
          <w:color w:val="000000"/>
          <w:sz w:val="20"/>
          <w:szCs w:val="20"/>
        </w:rPr>
        <w:t>In addition, each of the countries in which our products are sold has laws and regulations covering imports. Because the U.S. and the other countries in which our product</w:t>
      </w:r>
      <w:r>
        <w:rPr>
          <w:rFonts w:eastAsia="Times New Roman"/>
          <w:color w:val="000000"/>
          <w:sz w:val="20"/>
          <w:szCs w:val="20"/>
        </w:rPr>
        <w:t>s are manufactured and sold may, from time to time, impose new duties, tariffs, surcharges, or other import controls or restrictions, or adjust presently prevailing duty or tariff rates or levels, we maintain a program of intensive monitoring of import res</w:t>
      </w:r>
      <w:r>
        <w:rPr>
          <w:rFonts w:eastAsia="Times New Roman"/>
          <w:color w:val="000000"/>
          <w:sz w:val="20"/>
          <w:szCs w:val="20"/>
        </w:rPr>
        <w:t>trictions and opportunities. We seek to minimize our potential exposure to import-related risks through, among other measures, adjustments in product design and fabrication, shifts of production among countries and manufacturers, and through geographical d</w:t>
      </w:r>
      <w:r>
        <w:rPr>
          <w:rFonts w:eastAsia="Times New Roman"/>
          <w:color w:val="000000"/>
          <w:sz w:val="20"/>
          <w:szCs w:val="20"/>
        </w:rPr>
        <w:t>iversification of our sources of supply.</w:t>
      </w:r>
    </w:p>
    <w:p w:rsidR="00000000" w:rsidRDefault="00BB5C2D">
      <w:pPr>
        <w:ind w:firstLine="540"/>
        <w:jc w:val="both"/>
        <w:divId w:val="570233978"/>
        <w:rPr>
          <w:rFonts w:eastAsia="Times New Roman"/>
        </w:rPr>
      </w:pPr>
      <w:r>
        <w:rPr>
          <w:rFonts w:eastAsia="Times New Roman"/>
          <w:color w:val="000000"/>
          <w:sz w:val="20"/>
          <w:szCs w:val="20"/>
        </w:rPr>
        <w:t>As almost all of our products are manufactured by foreign suppliers, the enactment of new legislation or the administration of current international trade regulations or executive action affecting textile agreements</w:t>
      </w:r>
      <w:r>
        <w:rPr>
          <w:rFonts w:eastAsia="Times New Roman"/>
          <w:color w:val="000000"/>
          <w:sz w:val="20"/>
          <w:szCs w:val="20"/>
        </w:rPr>
        <w:t>, or changes in sourcing patterns could adversely affect our operations. See Item 1A — "</w:t>
      </w:r>
      <w:r>
        <w:rPr>
          <w:rFonts w:eastAsia="Times New Roman"/>
          <w:i/>
          <w:iCs/>
          <w:color w:val="000000"/>
          <w:sz w:val="20"/>
          <w:szCs w:val="20"/>
        </w:rPr>
        <w:t>Risk Factors </w:t>
      </w:r>
      <w:r>
        <w:rPr>
          <w:rFonts w:eastAsia="Times New Roman"/>
          <w:color w:val="000000"/>
          <w:sz w:val="20"/>
          <w:szCs w:val="20"/>
        </w:rPr>
        <w:t xml:space="preserve">— </w:t>
      </w:r>
      <w:r>
        <w:rPr>
          <w:rFonts w:eastAsia="Times New Roman"/>
          <w:i/>
          <w:iCs/>
          <w:color w:val="000000"/>
          <w:sz w:val="20"/>
          <w:szCs w:val="20"/>
        </w:rPr>
        <w:t xml:space="preserve">Risks Related to Regulatory, Legal, and Tax Matters </w:t>
      </w:r>
      <w:r>
        <w:rPr>
          <w:rFonts w:eastAsia="Times New Roman"/>
          <w:color w:val="000000"/>
          <w:sz w:val="20"/>
          <w:szCs w:val="20"/>
        </w:rPr>
        <w:t>—</w:t>
      </w:r>
      <w:r>
        <w:rPr>
          <w:rFonts w:eastAsia="Times New Roman"/>
          <w:i/>
          <w:iCs/>
          <w:color w:val="000000"/>
          <w:sz w:val="20"/>
          <w:szCs w:val="20"/>
        </w:rPr>
        <w:t> Our ability to conduct business globally may be affected by a variety of legal, regulatory, politic</w:t>
      </w:r>
      <w:r>
        <w:rPr>
          <w:rFonts w:eastAsia="Times New Roman"/>
          <w:i/>
          <w:iCs/>
          <w:color w:val="000000"/>
          <w:sz w:val="20"/>
          <w:szCs w:val="20"/>
        </w:rPr>
        <w:t>al, and economic risks</w:t>
      </w:r>
      <w:r>
        <w:rPr>
          <w:rFonts w:eastAsia="Times New Roman"/>
          <w:color w:val="000000"/>
          <w:sz w:val="20"/>
          <w:szCs w:val="20"/>
        </w:rPr>
        <w:t>"</w:t>
      </w:r>
      <w:r>
        <w:rPr>
          <w:rFonts w:eastAsia="Times New Roman"/>
          <w:i/>
          <w:iCs/>
          <w:color w:val="000000"/>
          <w:sz w:val="20"/>
          <w:szCs w:val="20"/>
        </w:rPr>
        <w:t xml:space="preserve"> </w:t>
      </w:r>
      <w:r>
        <w:rPr>
          <w:rFonts w:eastAsia="Times New Roman"/>
          <w:color w:val="000000"/>
          <w:sz w:val="20"/>
          <w:szCs w:val="20"/>
        </w:rPr>
        <w:t>and</w:t>
      </w:r>
      <w:r>
        <w:rPr>
          <w:rFonts w:eastAsia="Times New Roman"/>
          <w:i/>
          <w:iCs/>
          <w:color w:val="000000"/>
          <w:sz w:val="20"/>
          <w:szCs w:val="20"/>
        </w:rPr>
        <w:t xml:space="preserve"> </w:t>
      </w:r>
      <w:r>
        <w:rPr>
          <w:rFonts w:eastAsia="Times New Roman"/>
          <w:color w:val="000000"/>
          <w:sz w:val="20"/>
          <w:szCs w:val="20"/>
        </w:rPr>
        <w:t>"</w:t>
      </w:r>
      <w:r>
        <w:rPr>
          <w:rFonts w:eastAsia="Times New Roman"/>
          <w:i/>
          <w:iCs/>
          <w:color w:val="000000"/>
          <w:sz w:val="20"/>
          <w:szCs w:val="20"/>
        </w:rPr>
        <w:t>Risk Factors </w:t>
      </w:r>
      <w:r>
        <w:rPr>
          <w:rFonts w:eastAsia="Times New Roman"/>
          <w:color w:val="000000"/>
          <w:sz w:val="20"/>
          <w:szCs w:val="20"/>
        </w:rPr>
        <w:t xml:space="preserve">— </w:t>
      </w:r>
      <w:r>
        <w:rPr>
          <w:rFonts w:eastAsia="Times New Roman"/>
          <w:i/>
          <w:iCs/>
          <w:color w:val="000000"/>
          <w:sz w:val="20"/>
          <w:szCs w:val="20"/>
        </w:rPr>
        <w:t xml:space="preserve">Risks Related to our Business and Operations </w:t>
      </w:r>
      <w:r>
        <w:rPr>
          <w:rFonts w:eastAsia="Times New Roman"/>
          <w:color w:val="000000"/>
          <w:sz w:val="20"/>
          <w:szCs w:val="20"/>
        </w:rPr>
        <w:t>—</w:t>
      </w:r>
      <w:r>
        <w:rPr>
          <w:rFonts w:eastAsia="Times New Roman"/>
          <w:i/>
          <w:iCs/>
          <w:color w:val="000000"/>
          <w:sz w:val="20"/>
          <w:szCs w:val="20"/>
        </w:rPr>
        <w:t> Our business is subject to risks associated with importing products and the ability of our manufacturers to produce our goods on time and to our specifications.</w:t>
      </w:r>
      <w:r>
        <w:rPr>
          <w:rFonts w:eastAsia="Times New Roman"/>
          <w:color w:val="000000"/>
          <w:sz w:val="20"/>
          <w:szCs w:val="20"/>
        </w:rPr>
        <w:t>"</w:t>
      </w:r>
    </w:p>
    <w:p w:rsidR="00000000" w:rsidRDefault="00BB5C2D">
      <w:pPr>
        <w:ind w:firstLine="540"/>
        <w:jc w:val="both"/>
        <w:divId w:val="745617320"/>
        <w:rPr>
          <w:rFonts w:eastAsia="Times New Roman"/>
        </w:rPr>
      </w:pPr>
      <w:r>
        <w:rPr>
          <w:rFonts w:eastAsia="Times New Roman"/>
          <w:color w:val="000000"/>
          <w:sz w:val="20"/>
          <w:szCs w:val="20"/>
        </w:rPr>
        <w:t xml:space="preserve">We </w:t>
      </w:r>
      <w:r>
        <w:rPr>
          <w:rFonts w:eastAsia="Times New Roman"/>
          <w:color w:val="000000"/>
          <w:sz w:val="20"/>
          <w:szCs w:val="20"/>
        </w:rPr>
        <w:t>are also subject to other international trade agreements, such as the U.S.-Mexico-Canada Agreement, the Central American Free Trade Agreement, the U.S.-Peru Free Trade Agreement, the U.S.-Jordan Free Trade Agreement, the U.S.-Korea Free Trade Agreement and</w:t>
      </w:r>
      <w:r>
        <w:rPr>
          <w:rFonts w:eastAsia="Times New Roman"/>
          <w:color w:val="000000"/>
          <w:sz w:val="20"/>
          <w:szCs w:val="20"/>
        </w:rPr>
        <w:t xml:space="preserve"> other special trade preference programs. A portion of our imported products are eligible for certain of these duty-advantaged programs. </w:t>
      </w:r>
    </w:p>
    <w:p w:rsidR="00000000" w:rsidRDefault="00BB5C2D">
      <w:pPr>
        <w:ind w:firstLine="540"/>
        <w:jc w:val="both"/>
        <w:divId w:val="1312979893"/>
        <w:rPr>
          <w:rFonts w:eastAsia="Times New Roman"/>
        </w:rPr>
      </w:pPr>
      <w:r>
        <w:rPr>
          <w:rFonts w:eastAsia="Times New Roman"/>
          <w:color w:val="000000"/>
          <w:sz w:val="20"/>
          <w:szCs w:val="20"/>
        </w:rPr>
        <w:t xml:space="preserve">Apparel and other products sold by us are under the jurisdiction of multiple governmental agencies, including, in the </w:t>
      </w:r>
      <w:r>
        <w:rPr>
          <w:rFonts w:eastAsia="Times New Roman"/>
          <w:color w:val="000000"/>
          <w:sz w:val="20"/>
          <w:szCs w:val="20"/>
        </w:rPr>
        <w:t>U.S., the Federal Trade Commission, the U.S. Fish and Wildlife Service, the Environmental Protection Agency, and the Consumer Products Safety Commission. Our products are also subject to regulation in the U.S. and other countries, including the U.S. Consum</w:t>
      </w:r>
      <w:r>
        <w:rPr>
          <w:rFonts w:eastAsia="Times New Roman"/>
          <w:color w:val="000000"/>
          <w:sz w:val="20"/>
          <w:szCs w:val="20"/>
        </w:rPr>
        <w:t xml:space="preserve">er Product Safety Improvement Act, which relate principally to product labeling, licensing requirements, and consumer product safety requirements and regulatory testing, particularly with respect to products used by children. Any failure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539054686"/>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539054686"/>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20</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47" style="width:0;height:1.5pt" o:hralign="center" o:hrstd="t" o:hr="t" fillcolor="#a0a0a0" stroked="f"/>
        </w:pict>
      </w:r>
    </w:p>
    <w:p w:rsidR="00000000" w:rsidRDefault="00BB5C2D">
      <w:pPr>
        <w:divId w:val="2016347347"/>
        <w:rPr>
          <w:rFonts w:eastAsia="Times New Roman"/>
        </w:rPr>
      </w:pPr>
    </w:p>
    <w:p w:rsidR="00000000" w:rsidRDefault="00BB5C2D">
      <w:pPr>
        <w:jc w:val="both"/>
        <w:divId w:val="1832939656"/>
        <w:rPr>
          <w:rFonts w:eastAsia="Times New Roman"/>
        </w:rPr>
      </w:pPr>
      <w:r>
        <w:rPr>
          <w:rFonts w:eastAsia="Times New Roman"/>
          <w:color w:val="000000"/>
          <w:sz w:val="20"/>
          <w:szCs w:val="20"/>
        </w:rPr>
        <w:t>to comply with such requirements could result in significant penalties and require us to recall products, which could have a material adverse effect on our business or operating results. We believe that we are in subst</w:t>
      </w:r>
      <w:r>
        <w:rPr>
          <w:rFonts w:eastAsia="Times New Roman"/>
          <w:color w:val="000000"/>
          <w:sz w:val="20"/>
          <w:szCs w:val="20"/>
        </w:rPr>
        <w:t>antial compliance with these regulations, as well as applicable federal, state, local, and foreign rules and regulations governing the discharge of materials hazardous to the environment. Our licensed products, licensing partners, buying/sourcing agents, a</w:t>
      </w:r>
      <w:r>
        <w:rPr>
          <w:rFonts w:eastAsia="Times New Roman"/>
          <w:color w:val="000000"/>
          <w:sz w:val="20"/>
          <w:szCs w:val="20"/>
        </w:rPr>
        <w:t xml:space="preserve">nd the vendors and factories with which we contract for the manufacture and distribution of our products are also subject to regulation. Our agreements require our licensing partners, buying/sourcing agents, vendors, and factories to operate in compliance </w:t>
      </w:r>
      <w:r>
        <w:rPr>
          <w:rFonts w:eastAsia="Times New Roman"/>
          <w:color w:val="000000"/>
          <w:sz w:val="20"/>
          <w:szCs w:val="20"/>
        </w:rPr>
        <w:t>with all applicable laws and regulations, and we are not aware of any violations which could reasonably be expected to have a material adverse effect on our business or operating results.</w:t>
      </w:r>
    </w:p>
    <w:p w:rsidR="00000000" w:rsidRDefault="00BB5C2D">
      <w:pPr>
        <w:ind w:firstLine="540"/>
        <w:jc w:val="both"/>
        <w:divId w:val="1104808975"/>
        <w:rPr>
          <w:rFonts w:eastAsia="Times New Roman"/>
        </w:rPr>
      </w:pPr>
      <w:r>
        <w:rPr>
          <w:rFonts w:eastAsia="Times New Roman"/>
          <w:color w:val="000000"/>
          <w:sz w:val="20"/>
          <w:szCs w:val="20"/>
        </w:rPr>
        <w:t>We are also subject to disclosure and reporting requirements, establ</w:t>
      </w:r>
      <w:r>
        <w:rPr>
          <w:rFonts w:eastAsia="Times New Roman"/>
          <w:color w:val="000000"/>
          <w:sz w:val="20"/>
          <w:szCs w:val="20"/>
        </w:rPr>
        <w:t>ished under existing or new federal or state laws, such as the requirements to identify the origin and existence of certain "conflict minerals" under the Dodd-Frank Wall Street Reform and Consumer Protection Act, and disclosures of specific actions to erad</w:t>
      </w:r>
      <w:r>
        <w:rPr>
          <w:rFonts w:eastAsia="Times New Roman"/>
          <w:color w:val="000000"/>
          <w:sz w:val="20"/>
          <w:szCs w:val="20"/>
        </w:rPr>
        <w:t>icate abusive labor practices in our supply chain under the California Transparency in Supply Chains Act. While we require our suppliers to operate in compliance with all applicable laws and our operating guidelines which promote ethical and socially respo</w:t>
      </w:r>
      <w:r>
        <w:rPr>
          <w:rFonts w:eastAsia="Times New Roman"/>
          <w:color w:val="000000"/>
          <w:sz w:val="20"/>
          <w:szCs w:val="20"/>
        </w:rPr>
        <w:t>nsible business practices, any violation of labor, environmental, health, and safety or other laws, or any divergence by an independent supplier's labor practices from generally accepted industry standards, could damage our reputation, disrupt our sourcing</w:t>
      </w:r>
      <w:r>
        <w:rPr>
          <w:rFonts w:eastAsia="Times New Roman"/>
          <w:color w:val="000000"/>
          <w:sz w:val="20"/>
          <w:szCs w:val="20"/>
        </w:rPr>
        <w:t xml:space="preserve"> capabilities, and increase the cost of doing business, adversely affecting our results of operations. See Item 1A — "</w:t>
      </w:r>
      <w:r>
        <w:rPr>
          <w:rFonts w:eastAsia="Times New Roman"/>
          <w:i/>
          <w:iCs/>
          <w:color w:val="000000"/>
          <w:sz w:val="20"/>
          <w:szCs w:val="20"/>
        </w:rPr>
        <w:t>Risk Factors </w:t>
      </w:r>
      <w:r>
        <w:rPr>
          <w:rFonts w:eastAsia="Times New Roman"/>
          <w:color w:val="000000"/>
          <w:sz w:val="20"/>
          <w:szCs w:val="20"/>
        </w:rPr>
        <w:t xml:space="preserve">— </w:t>
      </w:r>
      <w:r>
        <w:rPr>
          <w:rFonts w:eastAsia="Times New Roman"/>
          <w:i/>
          <w:iCs/>
          <w:color w:val="000000"/>
          <w:sz w:val="20"/>
          <w:szCs w:val="20"/>
        </w:rPr>
        <w:t xml:space="preserve">Risks Related to our Business and Operations </w:t>
      </w:r>
      <w:r>
        <w:rPr>
          <w:rFonts w:eastAsia="Times New Roman"/>
          <w:color w:val="000000"/>
          <w:sz w:val="20"/>
          <w:szCs w:val="20"/>
        </w:rPr>
        <w:t>—</w:t>
      </w:r>
      <w:r>
        <w:rPr>
          <w:rFonts w:eastAsia="Times New Roman"/>
          <w:i/>
          <w:iCs/>
          <w:color w:val="000000"/>
          <w:sz w:val="20"/>
          <w:szCs w:val="20"/>
        </w:rPr>
        <w:t xml:space="preserve"> Our business could suffer if we fail to comply with labor laws or if one of </w:t>
      </w:r>
      <w:r>
        <w:rPr>
          <w:rFonts w:eastAsia="Times New Roman"/>
          <w:i/>
          <w:iCs/>
          <w:color w:val="000000"/>
          <w:sz w:val="20"/>
          <w:szCs w:val="20"/>
        </w:rPr>
        <w:t>our manufacturers fails to use acceptable labor or environmental practices.</w:t>
      </w:r>
      <w:r>
        <w:rPr>
          <w:rFonts w:eastAsia="Times New Roman"/>
          <w:color w:val="000000"/>
          <w:sz w:val="20"/>
          <w:szCs w:val="20"/>
        </w:rPr>
        <w:t>"</w:t>
      </w:r>
    </w:p>
    <w:p w:rsidR="00000000" w:rsidRDefault="00BB5C2D">
      <w:pPr>
        <w:ind w:firstLine="540"/>
        <w:jc w:val="both"/>
        <w:divId w:val="592977862"/>
        <w:rPr>
          <w:rFonts w:eastAsia="Times New Roman"/>
        </w:rPr>
      </w:pPr>
      <w:r>
        <w:rPr>
          <w:rFonts w:eastAsia="Times New Roman"/>
          <w:color w:val="000000"/>
          <w:sz w:val="20"/>
          <w:szCs w:val="20"/>
        </w:rPr>
        <w:t>Although we have not suffered any material restriction from doing business in desirable markets in the past, we cannot assure that significant impediments will not arise in the fu</w:t>
      </w:r>
      <w:r>
        <w:rPr>
          <w:rFonts w:eastAsia="Times New Roman"/>
          <w:color w:val="000000"/>
          <w:sz w:val="20"/>
          <w:szCs w:val="20"/>
        </w:rPr>
        <w:t>ture as we expand product offerings and introduce additional trademarks to new markets.</w:t>
      </w:r>
    </w:p>
    <w:p w:rsidR="00000000" w:rsidRDefault="00BB5C2D">
      <w:pPr>
        <w:jc w:val="center"/>
        <w:divId w:val="2109080585"/>
        <w:rPr>
          <w:rFonts w:eastAsia="Times New Roman"/>
        </w:rPr>
      </w:pPr>
      <w:r>
        <w:rPr>
          <w:rFonts w:eastAsia="Times New Roman"/>
          <w:b/>
          <w:bCs/>
          <w:color w:val="000000"/>
          <w:sz w:val="20"/>
          <w:szCs w:val="20"/>
        </w:rPr>
        <w:t>Human Capital</w:t>
      </w:r>
    </w:p>
    <w:p w:rsidR="00000000" w:rsidRDefault="00BB5C2D">
      <w:pPr>
        <w:ind w:firstLine="540"/>
        <w:jc w:val="both"/>
        <w:divId w:val="1258291675"/>
        <w:rPr>
          <w:rFonts w:eastAsia="Times New Roman"/>
        </w:rPr>
      </w:pPr>
      <w:r>
        <w:rPr>
          <w:rFonts w:eastAsia="Times New Roman"/>
          <w:color w:val="000000"/>
          <w:sz w:val="20"/>
          <w:szCs w:val="20"/>
        </w:rPr>
        <w:t xml:space="preserve">Our purpose is to inspire the dream of a better life through authenticity and timeless style. This purpose extends to how we provide resources to support </w:t>
      </w:r>
      <w:r>
        <w:rPr>
          <w:rFonts w:eastAsia="Times New Roman"/>
          <w:color w:val="000000"/>
          <w:sz w:val="20"/>
          <w:szCs w:val="20"/>
        </w:rPr>
        <w:t>our employees' health, well-being, work-life harmony, and quality of life. We believe that attracting, developing, and retaining a diverse work force that is both skilled and motivated is critical to the successful execution of our long-term growth strateg</w:t>
      </w:r>
      <w:r>
        <w:rPr>
          <w:rFonts w:eastAsia="Times New Roman"/>
          <w:color w:val="000000"/>
          <w:sz w:val="20"/>
          <w:szCs w:val="20"/>
        </w:rPr>
        <w:t xml:space="preserve">y. To this end, we are committed to creating a culture and work environment in which all employees feel welcome and can thrive, both as individuals and as part of our team. </w:t>
      </w:r>
    </w:p>
    <w:p w:rsidR="00000000" w:rsidRDefault="00BB5C2D">
      <w:pPr>
        <w:ind w:firstLine="540"/>
        <w:jc w:val="both"/>
        <w:divId w:val="1005061739"/>
        <w:rPr>
          <w:rFonts w:eastAsia="Times New Roman"/>
        </w:rPr>
      </w:pPr>
      <w:r>
        <w:rPr>
          <w:rFonts w:eastAsia="Times New Roman"/>
          <w:color w:val="000000"/>
          <w:sz w:val="20"/>
          <w:szCs w:val="20"/>
        </w:rPr>
        <w:t>Our Board of Directors regularly reviews our people and development strategy, incl</w:t>
      </w:r>
      <w:r>
        <w:rPr>
          <w:rFonts w:eastAsia="Times New Roman"/>
          <w:color w:val="000000"/>
          <w:sz w:val="20"/>
          <w:szCs w:val="20"/>
        </w:rPr>
        <w:t>uding our employee diversity, respect, and inclusion initiatives.</w:t>
      </w:r>
    </w:p>
    <w:p w:rsidR="00000000" w:rsidRDefault="00BB5C2D">
      <w:pPr>
        <w:ind w:firstLine="540"/>
        <w:jc w:val="both"/>
        <w:divId w:val="815225687"/>
        <w:rPr>
          <w:rFonts w:eastAsia="Times New Roman"/>
        </w:rPr>
      </w:pPr>
      <w:r>
        <w:rPr>
          <w:rFonts w:eastAsia="Times New Roman"/>
          <w:b/>
          <w:bCs/>
          <w:i/>
          <w:iCs/>
          <w:color w:val="000000"/>
          <w:sz w:val="20"/>
          <w:szCs w:val="20"/>
        </w:rPr>
        <w:t>Our Employees</w:t>
      </w:r>
    </w:p>
    <w:p w:rsidR="00000000" w:rsidRDefault="00BB5C2D">
      <w:pPr>
        <w:ind w:firstLine="540"/>
        <w:jc w:val="both"/>
        <w:divId w:val="880703094"/>
        <w:rPr>
          <w:rFonts w:eastAsia="Times New Roman"/>
        </w:rPr>
      </w:pPr>
      <w:r>
        <w:rPr>
          <w:rFonts w:eastAsia="Times New Roman"/>
          <w:color w:val="000000"/>
          <w:sz w:val="20"/>
          <w:szCs w:val="20"/>
        </w:rPr>
        <w:t>As of April </w:t>
      </w:r>
      <w:r>
        <w:rPr>
          <w:rFonts w:eastAsia="Times New Roman"/>
          <w:color w:val="000000"/>
          <w:sz w:val="20"/>
          <w:szCs w:val="20"/>
        </w:rPr>
        <w:t>2, 2022, we had approximately 22,200 employees, comprised of approximately 13,500 full-time and 8,700 part-time employees. Approximately 10,400 of our employees are located in the U.S. and 11,800 are located in foreign countries. Approximately 5 of our U.S</w:t>
      </w:r>
      <w:r>
        <w:rPr>
          <w:rFonts w:eastAsia="Times New Roman"/>
          <w:color w:val="000000"/>
          <w:sz w:val="20"/>
          <w:szCs w:val="20"/>
        </w:rPr>
        <w:t>. production employees in the womenswear business are members of Workers United (which was previously known as UNITE HERE) under an industry association collective bargaining agreement, which our womenswear subsidiary has adopted. We consider our relations</w:t>
      </w:r>
      <w:r>
        <w:rPr>
          <w:rFonts w:eastAsia="Times New Roman"/>
          <w:color w:val="000000"/>
          <w:sz w:val="20"/>
          <w:szCs w:val="20"/>
        </w:rPr>
        <w:t xml:space="preserve"> with both our union and non-union employees to be good.</w:t>
      </w:r>
    </w:p>
    <w:p w:rsidR="00000000" w:rsidRDefault="00BB5C2D">
      <w:pPr>
        <w:ind w:firstLine="540"/>
        <w:jc w:val="both"/>
        <w:divId w:val="1088885721"/>
        <w:rPr>
          <w:rFonts w:eastAsia="Times New Roman"/>
        </w:rPr>
      </w:pPr>
      <w:r>
        <w:rPr>
          <w:rFonts w:eastAsia="Times New Roman"/>
          <w:color w:val="000000"/>
          <w:sz w:val="20"/>
          <w:szCs w:val="20"/>
        </w:rPr>
        <w:t>As of April 2, 2022, approximately 64% and 36% of our global workforce self-identified as female and male, respectively, and in the U.S., approximately 62% of our workforce self-identified as an unde</w:t>
      </w:r>
      <w:r>
        <w:rPr>
          <w:rFonts w:eastAsia="Times New Roman"/>
          <w:color w:val="000000"/>
          <w:sz w:val="20"/>
          <w:szCs w:val="20"/>
        </w:rPr>
        <w:t>rrepresented race and ethnic group and 33% self-identified as white, with the remaining 5% electing not to disclose such information.</w:t>
      </w:r>
    </w:p>
    <w:p w:rsidR="00000000" w:rsidRDefault="00BB5C2D">
      <w:pPr>
        <w:ind w:firstLine="540"/>
        <w:jc w:val="both"/>
        <w:divId w:val="156044726"/>
        <w:rPr>
          <w:rFonts w:eastAsia="Times New Roman"/>
        </w:rPr>
      </w:pPr>
      <w:r>
        <w:rPr>
          <w:rFonts w:eastAsia="Times New Roman"/>
          <w:b/>
          <w:bCs/>
          <w:i/>
          <w:iCs/>
          <w:color w:val="000000"/>
          <w:sz w:val="20"/>
          <w:szCs w:val="20"/>
        </w:rPr>
        <w:t>Diversity, Equity, and Inclusion</w:t>
      </w:r>
    </w:p>
    <w:p w:rsidR="00000000" w:rsidRDefault="00BB5C2D">
      <w:pPr>
        <w:ind w:firstLine="540"/>
        <w:jc w:val="both"/>
        <w:divId w:val="2098161936"/>
        <w:rPr>
          <w:rFonts w:eastAsia="Times New Roman"/>
        </w:rPr>
      </w:pPr>
      <w:r>
        <w:rPr>
          <w:rFonts w:eastAsia="Times New Roman"/>
          <w:color w:val="000000"/>
          <w:sz w:val="20"/>
          <w:szCs w:val="20"/>
        </w:rPr>
        <w:t>We believe the diversity of our employees and our culture of inclusivity drive innovation</w:t>
      </w:r>
      <w:r>
        <w:rPr>
          <w:rFonts w:eastAsia="Times New Roman"/>
          <w:color w:val="000000"/>
          <w:sz w:val="20"/>
          <w:szCs w:val="20"/>
        </w:rPr>
        <w:t xml:space="preserve"> and creativity, and we are committed to further strengthening such diversity and inclusion across race, ethnicity, gender, sexual orientation, disability, and mental health and wellness, among other demographics, ensuring fairness for all. Our diversity, </w:t>
      </w:r>
      <w:r>
        <w:rPr>
          <w:rFonts w:eastAsia="Times New Roman"/>
          <w:color w:val="000000"/>
          <w:sz w:val="20"/>
          <w:szCs w:val="20"/>
        </w:rPr>
        <w:t>equity, and inclusion ("DE&amp;I") strategy is guided by the following five pillars:</w:t>
      </w:r>
    </w:p>
    <w:p w:rsidR="00000000" w:rsidRDefault="00BB5C2D">
      <w:pPr>
        <w:ind w:hanging="360"/>
        <w:jc w:val="both"/>
        <w:divId w:val="902258017"/>
        <w:rPr>
          <w:rFonts w:eastAsia="Times New Roman"/>
        </w:rPr>
      </w:pPr>
      <w:r>
        <w:rPr>
          <w:rFonts w:eastAsia="Times New Roman"/>
          <w:color w:val="000000"/>
          <w:sz w:val="20"/>
          <w:szCs w:val="20"/>
        </w:rPr>
        <w:t>1.</w:t>
      </w:r>
      <w:r>
        <w:rPr>
          <w:rFonts w:eastAsia="Times New Roman"/>
          <w:i/>
          <w:iCs/>
          <w:color w:val="000000"/>
          <w:sz w:val="20"/>
          <w:szCs w:val="20"/>
        </w:rPr>
        <w:t>Talent</w:t>
      </w:r>
      <w:r>
        <w:rPr>
          <w:rFonts w:eastAsia="Times New Roman"/>
          <w:color w:val="000000"/>
          <w:sz w:val="20"/>
          <w:szCs w:val="20"/>
        </w:rPr>
        <w:t xml:space="preserve"> — Cultivate diverse teams and elevate underrepresented talent to leadership ranks. In calendar 2019, we achieved our goal to have gender parity in our leadership rank</w:t>
      </w:r>
      <w:r>
        <w:rPr>
          <w:rFonts w:eastAsia="Times New Roman"/>
          <w:color w:val="000000"/>
          <w:sz w:val="20"/>
          <w:szCs w:val="20"/>
        </w:rPr>
        <w:t>s for Vice President and above. We are committed to have at least 20% of People of Color in our global leadership team by end of Fiscal 2023.</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806703244"/>
          <w:jc w:val="center"/>
        </w:trPr>
        <w:tc>
          <w:tcPr>
            <w:tcW w:w="50" w:type="pct"/>
            <w:vAlign w:val="center"/>
            <w:hideMark/>
          </w:tcPr>
          <w:p w:rsidR="00000000" w:rsidRDefault="00BB5C2D">
            <w:pPr>
              <w:ind w:hanging="36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806703244"/>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21</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48" style="width:0;height:1.5pt" o:hralign="center" o:hrstd="t" o:hr="t" fillcolor="#a0a0a0" stroked="f"/>
        </w:pict>
      </w:r>
    </w:p>
    <w:p w:rsidR="00000000" w:rsidRDefault="00BB5C2D">
      <w:pPr>
        <w:divId w:val="1481920706"/>
        <w:rPr>
          <w:rFonts w:eastAsia="Times New Roman"/>
        </w:rPr>
      </w:pPr>
    </w:p>
    <w:p w:rsidR="00000000" w:rsidRDefault="00BB5C2D">
      <w:pPr>
        <w:ind w:hanging="360"/>
        <w:jc w:val="both"/>
        <w:divId w:val="639843586"/>
        <w:rPr>
          <w:rFonts w:eastAsia="Times New Roman"/>
        </w:rPr>
      </w:pPr>
      <w:r>
        <w:rPr>
          <w:rFonts w:eastAsia="Times New Roman"/>
          <w:color w:val="000000"/>
          <w:sz w:val="20"/>
          <w:szCs w:val="20"/>
        </w:rPr>
        <w:t>2.</w:t>
      </w:r>
      <w:r>
        <w:rPr>
          <w:rFonts w:eastAsia="Times New Roman"/>
          <w:i/>
          <w:iCs/>
          <w:color w:val="000000"/>
          <w:sz w:val="20"/>
          <w:szCs w:val="20"/>
        </w:rPr>
        <w:t>Collaboration and Belonging</w:t>
      </w:r>
      <w:r>
        <w:rPr>
          <w:rFonts w:eastAsia="Times New Roman"/>
          <w:color w:val="000000"/>
          <w:sz w:val="20"/>
          <w:szCs w:val="20"/>
        </w:rPr>
        <w:t xml:space="preserve"> — Enable open dialogue and create safe spaces for the amplification of diverse voices and perspectives. During Fiscal 2022, we expanded our RL Community Groups to include a Veterans Networ</w:t>
      </w:r>
      <w:r>
        <w:rPr>
          <w:rFonts w:eastAsia="Times New Roman"/>
          <w:color w:val="000000"/>
          <w:sz w:val="20"/>
          <w:szCs w:val="20"/>
        </w:rPr>
        <w:t>k, focused on supporting veterans and active military personnel, including our employees, spouses, family members, and allies, and a community group focused on religion, spirituality, and faith, focusing on the co-existence of people of different faiths in</w:t>
      </w:r>
      <w:r>
        <w:rPr>
          <w:rFonts w:eastAsia="Times New Roman"/>
          <w:color w:val="000000"/>
          <w:sz w:val="20"/>
          <w:szCs w:val="20"/>
        </w:rPr>
        <w:t xml:space="preserve"> the workplace. We also continued to deepen our work in our Racial Equity Manifesto with specific and action-oriented commitments to elevate, amplify, and support the Black Community.</w:t>
      </w:r>
    </w:p>
    <w:p w:rsidR="00000000" w:rsidRDefault="00BB5C2D">
      <w:pPr>
        <w:ind w:hanging="360"/>
        <w:jc w:val="both"/>
        <w:divId w:val="201209946"/>
        <w:rPr>
          <w:rFonts w:eastAsia="Times New Roman"/>
        </w:rPr>
      </w:pPr>
      <w:r>
        <w:rPr>
          <w:rFonts w:eastAsia="Times New Roman"/>
          <w:color w:val="000000"/>
          <w:sz w:val="20"/>
          <w:szCs w:val="20"/>
        </w:rPr>
        <w:t>3.</w:t>
      </w:r>
      <w:r>
        <w:rPr>
          <w:rFonts w:eastAsia="Times New Roman"/>
          <w:i/>
          <w:iCs/>
          <w:color w:val="000000"/>
          <w:sz w:val="20"/>
          <w:szCs w:val="20"/>
        </w:rPr>
        <w:t>Learning</w:t>
      </w:r>
      <w:r>
        <w:rPr>
          <w:rFonts w:eastAsia="Times New Roman"/>
          <w:color w:val="000000"/>
          <w:sz w:val="20"/>
          <w:szCs w:val="20"/>
        </w:rPr>
        <w:t xml:space="preserve"> — Build an inclusive culture through awareness, education, an</w:t>
      </w:r>
      <w:r>
        <w:rPr>
          <w:rFonts w:eastAsia="Times New Roman"/>
          <w:color w:val="000000"/>
          <w:sz w:val="20"/>
          <w:szCs w:val="20"/>
        </w:rPr>
        <w:t>d deployment of mandatory DE&amp;I trainings globally. During Fiscal 2022, we expanded inclusive leadership learning with the rollout of Includership training for managers of people, which is also now included in our new hire onboarding. In addition, we have m</w:t>
      </w:r>
      <w:r>
        <w:rPr>
          <w:rFonts w:eastAsia="Times New Roman"/>
          <w:color w:val="000000"/>
          <w:sz w:val="20"/>
          <w:szCs w:val="20"/>
        </w:rPr>
        <w:t>entoring and professional development programs offering internal and external development and career acceleration programs for underrepresented talent. We also provided scholarship funds to academic programs supporting underrepresented students.</w:t>
      </w:r>
    </w:p>
    <w:p w:rsidR="00000000" w:rsidRDefault="00BB5C2D">
      <w:pPr>
        <w:ind w:hanging="360"/>
        <w:jc w:val="both"/>
        <w:divId w:val="1521502767"/>
        <w:rPr>
          <w:rFonts w:eastAsia="Times New Roman"/>
        </w:rPr>
      </w:pPr>
      <w:r>
        <w:rPr>
          <w:rFonts w:eastAsia="Times New Roman"/>
          <w:color w:val="000000"/>
          <w:sz w:val="20"/>
          <w:szCs w:val="20"/>
        </w:rPr>
        <w:t>4.</w:t>
      </w:r>
      <w:r>
        <w:rPr>
          <w:rFonts w:eastAsia="Times New Roman"/>
          <w:i/>
          <w:iCs/>
          <w:color w:val="000000"/>
          <w:sz w:val="20"/>
          <w:szCs w:val="20"/>
        </w:rPr>
        <w:t>Communic</w:t>
      </w:r>
      <w:r>
        <w:rPr>
          <w:rFonts w:eastAsia="Times New Roman"/>
          <w:i/>
          <w:iCs/>
          <w:color w:val="000000"/>
          <w:sz w:val="20"/>
          <w:szCs w:val="20"/>
        </w:rPr>
        <w:t>ation and Messaging</w:t>
      </w:r>
      <w:r>
        <w:rPr>
          <w:rFonts w:eastAsia="Times New Roman"/>
          <w:color w:val="000000"/>
          <w:sz w:val="20"/>
          <w:szCs w:val="20"/>
        </w:rPr>
        <w:t xml:space="preserve"> — Maximize our inclusive message and increase the transparency of our DE&amp;I initiatives. We gather direct feedback from our employees and measure their engagement to better understand how we can improve. </w:t>
      </w:r>
    </w:p>
    <w:p w:rsidR="00000000" w:rsidRDefault="00BB5C2D">
      <w:pPr>
        <w:ind w:hanging="360"/>
        <w:jc w:val="both"/>
        <w:divId w:val="146018186"/>
        <w:rPr>
          <w:rFonts w:eastAsia="Times New Roman"/>
        </w:rPr>
      </w:pPr>
      <w:r>
        <w:rPr>
          <w:rFonts w:eastAsia="Times New Roman"/>
          <w:color w:val="000000"/>
          <w:sz w:val="20"/>
          <w:szCs w:val="20"/>
        </w:rPr>
        <w:t>5.</w:t>
      </w:r>
      <w:r>
        <w:rPr>
          <w:rFonts w:eastAsia="Times New Roman"/>
          <w:i/>
          <w:iCs/>
          <w:color w:val="000000"/>
          <w:sz w:val="20"/>
          <w:szCs w:val="20"/>
        </w:rPr>
        <w:t>Celebration and Recognition</w:t>
      </w:r>
      <w:r>
        <w:rPr>
          <w:rFonts w:eastAsia="Times New Roman"/>
          <w:color w:val="000000"/>
          <w:sz w:val="20"/>
          <w:szCs w:val="20"/>
        </w:rPr>
        <w:t xml:space="preserve"> — </w:t>
      </w:r>
      <w:r>
        <w:rPr>
          <w:rFonts w:eastAsia="Times New Roman"/>
          <w:color w:val="000000"/>
          <w:sz w:val="20"/>
          <w:szCs w:val="20"/>
        </w:rPr>
        <w:t xml:space="preserve">Appreciate our unique differences and increase educational events for all employees with a focus on diverse experiences. In Fiscal 2022, we increased educational and celebratory events focused on diverse experiences with over 70 virtual and in-person DE&amp;I </w:t>
      </w:r>
      <w:r>
        <w:rPr>
          <w:rFonts w:eastAsia="Times New Roman"/>
          <w:color w:val="000000"/>
          <w:sz w:val="20"/>
          <w:szCs w:val="20"/>
        </w:rPr>
        <w:t>events with 10,000 participants globally. Our DE&amp;I efforts have been recognized in recent years, including being named a Best Place to Work for LGTBQIA+, receiving 100% on the Human Rights Campaign's Corporate Equality Index for the third year in a row, as</w:t>
      </w:r>
      <w:r>
        <w:rPr>
          <w:rFonts w:eastAsia="Times New Roman"/>
          <w:color w:val="000000"/>
          <w:sz w:val="20"/>
          <w:szCs w:val="20"/>
        </w:rPr>
        <w:t xml:space="preserve"> well as being named Best Place to Advance for Women by Parity.Org.</w:t>
      </w:r>
    </w:p>
    <w:p w:rsidR="00000000" w:rsidRDefault="00BB5C2D">
      <w:pPr>
        <w:ind w:firstLine="540"/>
        <w:jc w:val="both"/>
        <w:divId w:val="965506236"/>
        <w:rPr>
          <w:rFonts w:eastAsia="Times New Roman"/>
        </w:rPr>
      </w:pPr>
      <w:r>
        <w:rPr>
          <w:rFonts w:eastAsia="Times New Roman"/>
          <w:color w:val="000000"/>
          <w:sz w:val="20"/>
          <w:szCs w:val="20"/>
        </w:rPr>
        <w:t>During Fiscal 2022, our internal Global DE&amp;I Synthesis Committee continued to meet bi-quarterly, whose members are directly accountable for executing on our DE&amp;I strategies ensuring consis</w:t>
      </w:r>
      <w:r>
        <w:rPr>
          <w:rFonts w:eastAsia="Times New Roman"/>
          <w:color w:val="000000"/>
          <w:sz w:val="20"/>
          <w:szCs w:val="20"/>
        </w:rPr>
        <w:t>tent support to achieve our goals. This committee leads all 29 of our employee resource groups and their impact work, which provides a robust structural framework to action on our DE&amp;I commitments. We also continue to expand our advisory councils, includin</w:t>
      </w:r>
      <w:r>
        <w:rPr>
          <w:rFonts w:eastAsia="Times New Roman"/>
          <w:color w:val="000000"/>
          <w:sz w:val="20"/>
          <w:szCs w:val="20"/>
        </w:rPr>
        <w:t>g the Black Advisory Council (U.S.A.), Race &amp; Ethnicity Council in Europe, Middle East, and Africa, Asian Pacific Islander Council, Native American Council, and Hispanic, Latino, and Latinx Council, who advise our executive leadership team, marketing campa</w:t>
      </w:r>
      <w:r>
        <w:rPr>
          <w:rFonts w:eastAsia="Times New Roman"/>
          <w:color w:val="000000"/>
          <w:sz w:val="20"/>
          <w:szCs w:val="20"/>
        </w:rPr>
        <w:t xml:space="preserve">igns, and long-term programs and initiatives to amplify the voices of underrepresented groups at Ralph Lauren. </w:t>
      </w:r>
    </w:p>
    <w:p w:rsidR="00000000" w:rsidRDefault="00BB5C2D">
      <w:pPr>
        <w:ind w:firstLine="540"/>
        <w:jc w:val="both"/>
        <w:divId w:val="1899396531"/>
        <w:rPr>
          <w:rFonts w:eastAsia="Times New Roman"/>
        </w:rPr>
      </w:pPr>
      <w:r>
        <w:rPr>
          <w:rFonts w:eastAsia="Times New Roman"/>
          <w:color w:val="000000"/>
          <w:sz w:val="20"/>
          <w:szCs w:val="20"/>
        </w:rPr>
        <w:t>In addition to our robust DE&amp;</w:t>
      </w:r>
      <w:r>
        <w:rPr>
          <w:rFonts w:eastAsia="Times New Roman"/>
          <w:color w:val="000000"/>
          <w:sz w:val="20"/>
          <w:szCs w:val="20"/>
        </w:rPr>
        <w:t xml:space="preserve">I governance structure, our employees play a key role in embedding a culture of inclusion at Ralph Lauren through our other employee resource groups, including our Gender Community Group, Pride Group, and Disability, Mental Health, and Wellness Group, and </w:t>
      </w:r>
      <w:r>
        <w:rPr>
          <w:rFonts w:eastAsia="Times New Roman"/>
          <w:color w:val="000000"/>
          <w:sz w:val="20"/>
          <w:szCs w:val="20"/>
        </w:rPr>
        <w:t>our new community groups focused on veterans and co-existence of people of different faiths in the workplace. These groups promote dialogue, define DE&amp;I focus areas, and help us properly prioritize action plans and necessary resources to develop solutions.</w:t>
      </w:r>
      <w:r>
        <w:rPr>
          <w:rFonts w:eastAsia="Times New Roman"/>
          <w:color w:val="000000"/>
          <w:sz w:val="20"/>
          <w:szCs w:val="20"/>
        </w:rPr>
        <w:t xml:space="preserve"> </w:t>
      </w:r>
    </w:p>
    <w:p w:rsidR="00000000" w:rsidRDefault="00BB5C2D">
      <w:pPr>
        <w:ind w:firstLine="540"/>
        <w:jc w:val="both"/>
        <w:divId w:val="1608004282"/>
        <w:rPr>
          <w:rFonts w:eastAsia="Times New Roman"/>
        </w:rPr>
      </w:pPr>
      <w:r>
        <w:rPr>
          <w:rFonts w:eastAsia="Times New Roman"/>
          <w:color w:val="000000"/>
          <w:sz w:val="20"/>
          <w:szCs w:val="20"/>
        </w:rPr>
        <w:t xml:space="preserve">Additional information relating to our DE&amp;I initiatives and goals can be found in our annual sustainability reports, which is available at our website at http://investor.ralphlauren.com under the caption "Global Citizenship &amp; Sustainability Report." Our </w:t>
      </w:r>
      <w:r>
        <w:rPr>
          <w:rFonts w:eastAsia="Times New Roman"/>
          <w:color w:val="000000"/>
          <w:sz w:val="20"/>
          <w:szCs w:val="20"/>
        </w:rPr>
        <w:t>2022 Global Citizenship &amp; Sustainability Report is expected to be published in June 2022. The content of our sustainability reports is not incorporated by reference into this Annual Report on Form 10-K or in any other report or document we file with the SE</w:t>
      </w:r>
      <w:r>
        <w:rPr>
          <w:rFonts w:eastAsia="Times New Roman"/>
          <w:color w:val="000000"/>
          <w:sz w:val="20"/>
          <w:szCs w:val="20"/>
        </w:rPr>
        <w:t xml:space="preserve">C. </w:t>
      </w:r>
    </w:p>
    <w:p w:rsidR="00000000" w:rsidRDefault="00BB5C2D">
      <w:pPr>
        <w:ind w:firstLine="540"/>
        <w:jc w:val="both"/>
        <w:divId w:val="318925887"/>
        <w:rPr>
          <w:rFonts w:eastAsia="Times New Roman"/>
        </w:rPr>
      </w:pPr>
      <w:r>
        <w:rPr>
          <w:rFonts w:eastAsia="Times New Roman"/>
          <w:b/>
          <w:bCs/>
          <w:i/>
          <w:iCs/>
          <w:color w:val="000000"/>
          <w:sz w:val="20"/>
          <w:szCs w:val="20"/>
        </w:rPr>
        <w:t>Learning and Development</w:t>
      </w:r>
    </w:p>
    <w:p w:rsidR="00000000" w:rsidRDefault="00BB5C2D">
      <w:pPr>
        <w:ind w:firstLine="540"/>
        <w:jc w:val="both"/>
        <w:divId w:val="1480338561"/>
        <w:rPr>
          <w:rFonts w:eastAsia="Times New Roman"/>
        </w:rPr>
      </w:pPr>
      <w:r>
        <w:rPr>
          <w:rFonts w:eastAsia="Times New Roman"/>
          <w:color w:val="000000"/>
          <w:sz w:val="20"/>
          <w:szCs w:val="20"/>
        </w:rPr>
        <w:t>We are committed to the growth and development of our employees and offer a wide range of development programs for all levels. In addition to receiving ongoing on-the-job training and coaching, our employees can build skills an</w:t>
      </w:r>
      <w:r>
        <w:rPr>
          <w:rFonts w:eastAsia="Times New Roman"/>
          <w:color w:val="000000"/>
          <w:sz w:val="20"/>
          <w:szCs w:val="20"/>
        </w:rPr>
        <w:t xml:space="preserve">d prepare for the future through our Ralph Lauren Learning Portal. During Fiscal 2022 we launched our RL Success Drivers, representing key attributes, skills, ways of thinking, and behaviors that ultimately create conditions that better enable individuals </w:t>
      </w:r>
      <w:r>
        <w:rPr>
          <w:rFonts w:eastAsia="Times New Roman"/>
          <w:color w:val="000000"/>
          <w:sz w:val="20"/>
          <w:szCs w:val="20"/>
        </w:rPr>
        <w:t>and teams to succeed. Success requires all of our employees to be leaders and the RL Success Drivers act as the language of such leadership by applying a common language that defines high performance and leadership excellence. We also launched our RL Learn</w:t>
      </w:r>
      <w:r>
        <w:rPr>
          <w:rFonts w:eastAsia="Times New Roman"/>
          <w:color w:val="000000"/>
          <w:sz w:val="20"/>
          <w:szCs w:val="20"/>
        </w:rPr>
        <w:t xml:space="preserve">ing Academy, representing a collection of customized collaborative and experiential learning programs rooted in the RL Success Drivers that further supports our employees' career progression, reinforces our company's culture, and promotes overall wellness </w:t>
      </w:r>
      <w:r>
        <w:rPr>
          <w:rFonts w:eastAsia="Times New Roman"/>
          <w:color w:val="000000"/>
          <w:sz w:val="20"/>
          <w:szCs w:val="20"/>
        </w:rPr>
        <w:t>and balance. We continue to build our learning portfolio and have added new courses this year, many of which focus on hybrid working environments, including leading teams in such hybrid environments, as well as DE&amp;I education. We also support learning beyo</w:t>
      </w:r>
      <w:r>
        <w:rPr>
          <w:rFonts w:eastAsia="Times New Roman"/>
          <w:color w:val="000000"/>
          <w:sz w:val="20"/>
          <w:szCs w:val="20"/>
        </w:rPr>
        <w:t xml:space="preserve">nd our walls through tuition assistance. These collective learning and development programs help foster career mobility for our employees, while simultaneously allowing us to fill open positions with existing employees who know our company best.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464202643"/>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464202643"/>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22</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49" style="width:0;height:1.5pt" o:hralign="center" o:hrstd="t" o:hr="t" fillcolor="#a0a0a0" stroked="f"/>
        </w:pict>
      </w:r>
    </w:p>
    <w:p w:rsidR="00000000" w:rsidRDefault="00BB5C2D">
      <w:pPr>
        <w:divId w:val="1500660253"/>
        <w:rPr>
          <w:rFonts w:eastAsia="Times New Roman"/>
        </w:rPr>
      </w:pPr>
    </w:p>
    <w:p w:rsidR="00000000" w:rsidRDefault="00BB5C2D">
      <w:pPr>
        <w:ind w:firstLine="540"/>
        <w:jc w:val="both"/>
        <w:divId w:val="1437015240"/>
        <w:rPr>
          <w:rFonts w:eastAsia="Times New Roman"/>
        </w:rPr>
      </w:pPr>
      <w:r>
        <w:rPr>
          <w:rFonts w:eastAsia="Times New Roman"/>
          <w:b/>
          <w:bCs/>
          <w:i/>
          <w:iCs/>
          <w:color w:val="000000"/>
          <w:sz w:val="20"/>
          <w:szCs w:val="20"/>
        </w:rPr>
        <w:t>Employee Safety and Well-Being</w:t>
      </w:r>
    </w:p>
    <w:p w:rsidR="00000000" w:rsidRDefault="00BB5C2D">
      <w:pPr>
        <w:ind w:firstLine="540"/>
        <w:jc w:val="both"/>
        <w:divId w:val="808667952"/>
        <w:rPr>
          <w:rFonts w:eastAsia="Times New Roman"/>
        </w:rPr>
      </w:pPr>
      <w:r>
        <w:rPr>
          <w:rFonts w:eastAsia="Times New Roman"/>
          <w:color w:val="000000"/>
          <w:sz w:val="20"/>
          <w:szCs w:val="20"/>
        </w:rPr>
        <w:t>We are committed to the safety, health, and overall well-being of each of our employees and their families, providing a wide array of physical, emotional, social, and financial support to</w:t>
      </w:r>
      <w:r>
        <w:rPr>
          <w:rFonts w:eastAsia="Times New Roman"/>
          <w:color w:val="000000"/>
          <w:sz w:val="20"/>
          <w:szCs w:val="20"/>
        </w:rPr>
        <w:t xml:space="preserve"> meet this objective. THRIVE, our global wellness program, provides access to volunteer events and physical and mental wellness support. During Fiscal 2022, we launched the THRIVE application to give employees real-time access to wellness articles and resi</w:t>
      </w:r>
      <w:r>
        <w:rPr>
          <w:rFonts w:eastAsia="Times New Roman"/>
          <w:color w:val="000000"/>
          <w:sz w:val="20"/>
          <w:szCs w:val="20"/>
        </w:rPr>
        <w:t xml:space="preserve">liency training and also to provide tools to set and track measurable wellness goals. We gather direct feedback from our workforce, including through regular employee surveys, which allows us to measure their engagement and understand how we can improve. </w:t>
      </w:r>
    </w:p>
    <w:p w:rsidR="00000000" w:rsidRDefault="00BB5C2D">
      <w:pPr>
        <w:ind w:firstLine="540"/>
        <w:jc w:val="both"/>
        <w:divId w:val="480462769"/>
        <w:rPr>
          <w:rFonts w:eastAsia="Times New Roman"/>
        </w:rPr>
      </w:pPr>
      <w:r>
        <w:rPr>
          <w:rFonts w:eastAsia="Times New Roman"/>
          <w:color w:val="000000"/>
          <w:sz w:val="20"/>
          <w:szCs w:val="20"/>
        </w:rPr>
        <w:t>Throughout the COVID-19 pandemic, our priority has been to ensure the safety and well-being of all of our employees, customers, and the communities in which we operate in around the world. In this regard, we have implemented new health and safety protocols</w:t>
      </w:r>
      <w:r>
        <w:rPr>
          <w:rFonts w:eastAsia="Times New Roman"/>
          <w:color w:val="000000"/>
          <w:sz w:val="20"/>
          <w:szCs w:val="20"/>
        </w:rPr>
        <w:t xml:space="preserve"> in our stores, distribution centers, and corporate offices. We have also expanded employee well-being services in the U.S. to include additional backup childcare, as well as MyStrength, an online wellness portal. Globally, we host monthly wellness webinar</w:t>
      </w:r>
      <w:r>
        <w:rPr>
          <w:rFonts w:eastAsia="Times New Roman"/>
          <w:color w:val="000000"/>
          <w:sz w:val="20"/>
          <w:szCs w:val="20"/>
        </w:rPr>
        <w:t>s and provide weekly meditation classes through our RL Well-Being Exchange program. Financial grants have also been provided through the Ralph Lauren Employee Relief Fund for employees facing special circumstances.</w:t>
      </w:r>
    </w:p>
    <w:p w:rsidR="00000000" w:rsidRDefault="00BB5C2D">
      <w:pPr>
        <w:ind w:firstLine="540"/>
        <w:jc w:val="both"/>
        <w:divId w:val="1975062873"/>
        <w:rPr>
          <w:rFonts w:eastAsia="Times New Roman"/>
        </w:rPr>
      </w:pPr>
      <w:r>
        <w:rPr>
          <w:rFonts w:eastAsia="Times New Roman"/>
          <w:b/>
          <w:bCs/>
          <w:i/>
          <w:iCs/>
          <w:color w:val="000000"/>
          <w:sz w:val="20"/>
          <w:szCs w:val="20"/>
        </w:rPr>
        <w:t>Compensation and Benefits</w:t>
      </w:r>
    </w:p>
    <w:p w:rsidR="00000000" w:rsidRDefault="00BB5C2D">
      <w:pPr>
        <w:ind w:firstLine="540"/>
        <w:jc w:val="both"/>
        <w:divId w:val="266236065"/>
        <w:rPr>
          <w:rFonts w:eastAsia="Times New Roman"/>
        </w:rPr>
      </w:pPr>
      <w:r>
        <w:rPr>
          <w:rFonts w:eastAsia="Times New Roman"/>
          <w:color w:val="000000"/>
          <w:sz w:val="20"/>
          <w:szCs w:val="20"/>
        </w:rPr>
        <w:t>We are committe</w:t>
      </w:r>
      <w:r>
        <w:rPr>
          <w:rFonts w:eastAsia="Times New Roman"/>
          <w:color w:val="000000"/>
          <w:sz w:val="20"/>
          <w:szCs w:val="20"/>
        </w:rPr>
        <w:t>d to providing competitive compensation and benefits to attract and retain a diverse and talented workforce. We are also committed to achieving pay equity throughout our organization, conducting annual assessments in partnership with an independent firm wh</w:t>
      </w:r>
      <w:r>
        <w:rPr>
          <w:rFonts w:eastAsia="Times New Roman"/>
          <w:color w:val="000000"/>
          <w:sz w:val="20"/>
          <w:szCs w:val="20"/>
        </w:rPr>
        <w:t xml:space="preserve">o is a leader in workplace equity and creators of a comprehensive analytics software platform used to analyze our employee compensation based on gender, race, and ethnicity. We offer a wide array of both employer-paid and employee-paid benefits to support </w:t>
      </w:r>
      <w:r>
        <w:rPr>
          <w:rFonts w:eastAsia="Times New Roman"/>
          <w:color w:val="000000"/>
          <w:sz w:val="20"/>
          <w:szCs w:val="20"/>
        </w:rPr>
        <w:t>our employees' overall financial, physical, and mental well-being, including, but not limited to, healthcare and welfare benefits, retirement savings, paid time off, temporary leave, sabbaticals, and flexible work arrangements. We also provide our employee</w:t>
      </w:r>
      <w:r>
        <w:rPr>
          <w:rFonts w:eastAsia="Times New Roman"/>
          <w:color w:val="000000"/>
          <w:sz w:val="20"/>
          <w:szCs w:val="20"/>
        </w:rPr>
        <w:t>s a merchandise discount on most of our products. During Fiscal 2022, we further expanded our medical benefits in the U.S. to a larger portion of our part-time employees, ensuring equitable benefits for our front-line employees. We introduced a new healthc</w:t>
      </w:r>
      <w:r>
        <w:rPr>
          <w:rFonts w:eastAsia="Times New Roman"/>
          <w:color w:val="000000"/>
          <w:sz w:val="20"/>
          <w:szCs w:val="20"/>
        </w:rPr>
        <w:t>are benefit for our Puerto Rico retail employees and in our U.S. distribution center which allows them to benefit from a reduction in total cost of care. Additionally, we launched a multi-year plan to increase hourly wages for our store and distribution ce</w:t>
      </w:r>
      <w:r>
        <w:rPr>
          <w:rFonts w:eastAsia="Times New Roman"/>
          <w:color w:val="000000"/>
          <w:sz w:val="20"/>
          <w:szCs w:val="20"/>
        </w:rPr>
        <w:t>nter employees.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484512952"/>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484512952"/>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23</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50" style="width:0;height:1.5pt" o:hralign="center" o:hrstd="t" o:hr="t" fillcolor="#a0a0a0" stroked="f"/>
        </w:pict>
      </w:r>
    </w:p>
    <w:p w:rsidR="00000000" w:rsidRDefault="00BB5C2D">
      <w:pPr>
        <w:divId w:val="1817407004"/>
        <w:rPr>
          <w:rFonts w:eastAsia="Times New Roman"/>
        </w:rPr>
      </w:pPr>
    </w:p>
    <w:p w:rsidR="00000000" w:rsidRDefault="00BB5C2D">
      <w:pPr>
        <w:jc w:val="center"/>
        <w:divId w:val="1683819735"/>
        <w:rPr>
          <w:rFonts w:eastAsia="Times New Roman"/>
        </w:rPr>
      </w:pPr>
      <w:r>
        <w:rPr>
          <w:rFonts w:eastAsia="Times New Roman"/>
          <w:b/>
          <w:bCs/>
          <w:color w:val="000000"/>
          <w:sz w:val="20"/>
          <w:szCs w:val="20"/>
        </w:rPr>
        <w:t>Information About Our Executive Officers</w:t>
      </w:r>
    </w:p>
    <w:p w:rsidR="00000000" w:rsidRDefault="00BB5C2D">
      <w:pPr>
        <w:ind w:firstLine="540"/>
        <w:divId w:val="271281747"/>
        <w:rPr>
          <w:rFonts w:eastAsia="Times New Roman"/>
        </w:rPr>
      </w:pPr>
      <w:r>
        <w:rPr>
          <w:rFonts w:eastAsia="Times New Roman"/>
          <w:color w:val="000000"/>
          <w:sz w:val="20"/>
          <w:szCs w:val="20"/>
        </w:rPr>
        <w:t>As of the filing date of this Form 10-K, the following are our current executive officers and their principal recent business experience:</w:t>
      </w:r>
    </w:p>
    <w:tbl>
      <w:tblPr>
        <w:tblW w:w="4912" w:type="pct"/>
        <w:tblCellMar>
          <w:top w:w="15" w:type="dxa"/>
          <w:left w:w="15" w:type="dxa"/>
          <w:bottom w:w="15" w:type="dxa"/>
          <w:right w:w="15" w:type="dxa"/>
        </w:tblCellMar>
        <w:tblLook w:val="04A0" w:firstRow="1" w:lastRow="0" w:firstColumn="1" w:lastColumn="0" w:noHBand="0" w:noVBand="1"/>
      </w:tblPr>
      <w:tblGrid>
        <w:gridCol w:w="52"/>
        <w:gridCol w:w="1824"/>
        <w:gridCol w:w="37"/>
        <w:gridCol w:w="37"/>
        <w:gridCol w:w="105"/>
        <w:gridCol w:w="36"/>
        <w:gridCol w:w="72"/>
        <w:gridCol w:w="556"/>
        <w:gridCol w:w="36"/>
        <w:gridCol w:w="37"/>
        <w:gridCol w:w="101"/>
        <w:gridCol w:w="36"/>
        <w:gridCol w:w="52"/>
        <w:gridCol w:w="5142"/>
        <w:gridCol w:w="37"/>
      </w:tblGrid>
      <w:tr w:rsidR="00000000">
        <w:trPr>
          <w:divId w:val="1963725599"/>
        </w:trPr>
        <w:tc>
          <w:tcPr>
            <w:tcW w:w="50" w:type="pct"/>
            <w:vAlign w:val="center"/>
            <w:hideMark/>
          </w:tcPr>
          <w:p w:rsidR="00000000" w:rsidRDefault="00BB5C2D">
            <w:pPr>
              <w:ind w:firstLine="540"/>
              <w:rPr>
                <w:rFonts w:eastAsia="Times New Roman"/>
              </w:rPr>
            </w:pPr>
          </w:p>
        </w:tc>
        <w:tc>
          <w:tcPr>
            <w:tcW w:w="113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71"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383"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316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963725599"/>
        </w:trPr>
        <w:tc>
          <w:tcPr>
            <w:tcW w:w="0" w:type="auto"/>
            <w:gridSpan w:val="3"/>
            <w:shd w:val="clear" w:color="auto" w:fill="CCEEFF"/>
            <w:tcMar>
              <w:top w:w="30" w:type="dxa"/>
              <w:left w:w="20" w:type="dxa"/>
              <w:bottom w:w="30" w:type="dxa"/>
              <w:right w:w="20" w:type="dxa"/>
            </w:tcMar>
            <w:hideMark/>
          </w:tcPr>
          <w:p w:rsidR="00000000" w:rsidRDefault="00BB5C2D">
            <w:pPr>
              <w:spacing w:after="100"/>
              <w:divId w:val="190384304"/>
              <w:rPr>
                <w:rFonts w:eastAsia="Times New Roman"/>
              </w:rPr>
            </w:pPr>
            <w:r>
              <w:rPr>
                <w:rFonts w:eastAsia="Times New Roman"/>
                <w:b/>
                <w:bCs/>
                <w:color w:val="000000"/>
                <w:sz w:val="20"/>
                <w:szCs w:val="20"/>
              </w:rPr>
              <w:t>Ralph Lauren</w:t>
            </w:r>
            <w:r>
              <w:rPr>
                <w:rFonts w:eastAsia="Times New Roman"/>
                <w:color w:val="000000"/>
                <w:sz w:val="20"/>
                <w:szCs w:val="20"/>
              </w:rPr>
              <w:t xml:space="preserve"> </w:t>
            </w: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shd w:val="clear" w:color="auto" w:fill="CCEEFF"/>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Age 82</w:t>
            </w: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jc w:val="both"/>
              <w:rPr>
                <w:rFonts w:eastAsia="Times New Roman"/>
              </w:rPr>
            </w:pPr>
            <w:r>
              <w:rPr>
                <w:rFonts w:eastAsia="Times New Roman"/>
                <w:color w:val="000000"/>
                <w:sz w:val="16"/>
                <w:szCs w:val="16"/>
              </w:rPr>
              <w:t>  </w:t>
            </w:r>
          </w:p>
        </w:tc>
        <w:tc>
          <w:tcPr>
            <w:tcW w:w="0" w:type="auto"/>
            <w:gridSpan w:val="3"/>
            <w:shd w:val="clear" w:color="auto" w:fill="CCEEFF"/>
            <w:tcMar>
              <w:top w:w="30" w:type="dxa"/>
              <w:left w:w="20" w:type="dxa"/>
              <w:bottom w:w="30" w:type="dxa"/>
              <w:right w:w="20" w:type="dxa"/>
            </w:tcMar>
            <w:hideMark/>
          </w:tcPr>
          <w:p w:rsidR="00000000" w:rsidRDefault="00BB5C2D">
            <w:pPr>
              <w:spacing w:after="100"/>
              <w:jc w:val="both"/>
              <w:rPr>
                <w:rFonts w:eastAsia="Times New Roman"/>
              </w:rPr>
            </w:pPr>
            <w:r>
              <w:rPr>
                <w:rFonts w:eastAsia="Times New Roman"/>
                <w:color w:val="000000"/>
                <w:sz w:val="20"/>
                <w:szCs w:val="20"/>
              </w:rPr>
              <w:t>Mr. Ralph Lauren founded our business in 1967 and, for five decades, has cultivated the iconography of America into a global lifestyle brand. He has been our Executive Chairman and Chief Creative Officer since November 2015, and a director of the Company s</w:t>
            </w:r>
            <w:r>
              <w:rPr>
                <w:rFonts w:eastAsia="Times New Roman"/>
                <w:color w:val="000000"/>
                <w:sz w:val="20"/>
                <w:szCs w:val="20"/>
              </w:rPr>
              <w:t xml:space="preserve">ince prior to our initial public offering in 1997. He had previously been our Chairman and Chief Executive Officer since prior to our initial public offering in 1997 until November 2015. In addition, he was previously a member of our Advisory Board or the </w:t>
            </w:r>
            <w:r>
              <w:rPr>
                <w:rFonts w:eastAsia="Times New Roman"/>
                <w:color w:val="000000"/>
                <w:sz w:val="20"/>
                <w:szCs w:val="20"/>
              </w:rPr>
              <w:t xml:space="preserve">Board of Directors of our predecessors since their organization. </w:t>
            </w:r>
          </w:p>
        </w:tc>
      </w:tr>
      <w:tr w:rsidR="00000000">
        <w:trPr>
          <w:divId w:val="1963725599"/>
          <w:trHeight w:val="240"/>
        </w:trPr>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both"/>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963725599"/>
        </w:trPr>
        <w:tc>
          <w:tcPr>
            <w:tcW w:w="0" w:type="auto"/>
            <w:gridSpan w:val="3"/>
            <w:shd w:val="clear" w:color="auto" w:fill="CCEEFF"/>
            <w:tcMar>
              <w:top w:w="30" w:type="dxa"/>
              <w:left w:w="20" w:type="dxa"/>
              <w:bottom w:w="30" w:type="dxa"/>
              <w:right w:w="20" w:type="dxa"/>
            </w:tcMar>
            <w:hideMark/>
          </w:tcPr>
          <w:p w:rsidR="00000000" w:rsidRDefault="00BB5C2D">
            <w:pPr>
              <w:spacing w:after="100"/>
              <w:divId w:val="1650748107"/>
              <w:rPr>
                <w:rFonts w:eastAsia="Times New Roman"/>
              </w:rPr>
            </w:pPr>
            <w:r>
              <w:rPr>
                <w:rFonts w:eastAsia="Times New Roman"/>
                <w:b/>
                <w:bCs/>
                <w:color w:val="000000"/>
                <w:sz w:val="20"/>
                <w:szCs w:val="20"/>
              </w:rPr>
              <w:t>Patrice Louvet</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Age 57</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B5C2D">
            <w:pPr>
              <w:spacing w:after="100"/>
              <w:jc w:val="both"/>
              <w:rPr>
                <w:rFonts w:eastAsia="Times New Roman"/>
              </w:rPr>
            </w:pPr>
            <w:r>
              <w:rPr>
                <w:rFonts w:eastAsia="Times New Roman"/>
                <w:color w:val="000000"/>
                <w:sz w:val="20"/>
                <w:szCs w:val="20"/>
              </w:rPr>
              <w:t xml:space="preserve">Mr. Louvet has served as our President and Chief Executive Officer, and a director of the Company since July 2017. Prior to joining the Company, he served as the Group President, Global Beauty, of Procter &amp; Gamble Co. ("P&amp;G") since February 2015. Prior to </w:t>
            </w:r>
            <w:r>
              <w:rPr>
                <w:rFonts w:eastAsia="Times New Roman"/>
                <w:color w:val="000000"/>
                <w:sz w:val="20"/>
                <w:szCs w:val="20"/>
              </w:rPr>
              <w:t>that role, Mr. Louvet held successively senior leadership positions at P&amp;G, including the roles of Group President, Global Grooming (Gillette), and President of P&amp;G's Global Prestige Business. Before he joined P&amp;G, he served as a Naval Officer, Admiral Aid</w:t>
            </w:r>
            <w:r>
              <w:rPr>
                <w:rFonts w:eastAsia="Times New Roman"/>
                <w:color w:val="000000"/>
                <w:sz w:val="20"/>
                <w:szCs w:val="20"/>
              </w:rPr>
              <w:t xml:space="preserve">e de Camp in the French Navy from 1987 to 1989. Mr. Louvet graduated from École Supérieure de Commerce de Paris and received his M.B.A. from the University of Illinois. He has served as a member of the board of directors of Bacardi Limited since July 2012 </w:t>
            </w:r>
            <w:r>
              <w:rPr>
                <w:rFonts w:eastAsia="Times New Roman"/>
                <w:color w:val="000000"/>
                <w:sz w:val="20"/>
                <w:szCs w:val="20"/>
              </w:rPr>
              <w:t>and as a member of the board of directors of the National Retail Federation since January 2020.</w:t>
            </w:r>
          </w:p>
        </w:tc>
      </w:tr>
      <w:tr w:rsidR="00000000">
        <w:trPr>
          <w:divId w:val="1963725599"/>
          <w:trHeight w:val="300"/>
        </w:trPr>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both"/>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963725599"/>
        </w:trPr>
        <w:tc>
          <w:tcPr>
            <w:tcW w:w="0" w:type="auto"/>
            <w:gridSpan w:val="3"/>
            <w:shd w:val="clear" w:color="auto" w:fill="CCEEFF"/>
            <w:tcMar>
              <w:top w:w="30" w:type="dxa"/>
              <w:left w:w="20" w:type="dxa"/>
              <w:bottom w:w="30" w:type="dxa"/>
              <w:right w:w="20" w:type="dxa"/>
            </w:tcMar>
            <w:hideMark/>
          </w:tcPr>
          <w:p w:rsidR="00000000" w:rsidRDefault="00BB5C2D">
            <w:pPr>
              <w:spacing w:after="100"/>
              <w:divId w:val="618680462"/>
              <w:rPr>
                <w:rFonts w:eastAsia="Times New Roman"/>
              </w:rPr>
            </w:pPr>
            <w:r>
              <w:rPr>
                <w:rFonts w:eastAsia="Times New Roman"/>
                <w:b/>
                <w:bCs/>
                <w:color w:val="000000"/>
                <w:sz w:val="20"/>
                <w:szCs w:val="20"/>
              </w:rPr>
              <w:t>Jane Hamilton Nielsen</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Age 58</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B5C2D">
            <w:pPr>
              <w:spacing w:after="100"/>
              <w:jc w:val="both"/>
              <w:rPr>
                <w:rFonts w:eastAsia="Times New Roman"/>
              </w:rPr>
            </w:pPr>
            <w:r>
              <w:rPr>
                <w:rFonts w:eastAsia="Times New Roman"/>
                <w:color w:val="000000"/>
                <w:sz w:val="20"/>
                <w:szCs w:val="20"/>
              </w:rPr>
              <w:t>Ms. Nielsen has been our Chief Financial Officer since September 2016 and our Chief Operating Officer since March 2019. She served as Chief Financial Officer of Coach, Inc. from September 2011 to August 2016. From 2009 to 2011, she was Senior Vice Presiden</w:t>
            </w:r>
            <w:r>
              <w:rPr>
                <w:rFonts w:eastAsia="Times New Roman"/>
                <w:color w:val="000000"/>
                <w:sz w:val="20"/>
                <w:szCs w:val="20"/>
              </w:rPr>
              <w:t>t and Chief Financial Officer of PepsiCo Beverages Americas and the Global Nutrition Group, divisions of PepsiCo, Inc., with responsibility for all financial management including financial reporting, performance management, capital allocation, and strategi</w:t>
            </w:r>
            <w:r>
              <w:rPr>
                <w:rFonts w:eastAsia="Times New Roman"/>
                <w:color w:val="000000"/>
                <w:sz w:val="20"/>
                <w:szCs w:val="20"/>
              </w:rPr>
              <w:t>c planning. Prior to that, Ms. Nielsen held various senior roles in finance at PepsiCo, Inc. and Pepsi Bottling Group starting in 1996. She also serves on the board of directors of Mondelez International since May 2021, and previously served on the board o</w:t>
            </w:r>
            <w:r>
              <w:rPr>
                <w:rFonts w:eastAsia="Times New Roman"/>
                <w:color w:val="000000"/>
                <w:sz w:val="20"/>
                <w:szCs w:val="20"/>
              </w:rPr>
              <w:t>f directors of Pinnacle Foods Inc. Ms. Nielsen received her M.B.A. from the Harvard Business School and B.A. from Smith College.</w:t>
            </w:r>
          </w:p>
        </w:tc>
      </w:tr>
      <w:tr w:rsidR="00000000">
        <w:trPr>
          <w:divId w:val="1963725599"/>
          <w:trHeight w:val="300"/>
        </w:trPr>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both"/>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963725599"/>
        </w:trPr>
        <w:tc>
          <w:tcPr>
            <w:tcW w:w="0" w:type="auto"/>
            <w:gridSpan w:val="3"/>
            <w:shd w:val="clear" w:color="auto" w:fill="CCEEFF"/>
            <w:tcMar>
              <w:top w:w="30" w:type="dxa"/>
              <w:left w:w="20" w:type="dxa"/>
              <w:bottom w:w="30" w:type="dxa"/>
              <w:right w:w="20" w:type="dxa"/>
            </w:tcMar>
            <w:hideMark/>
          </w:tcPr>
          <w:p w:rsidR="00000000" w:rsidRDefault="00BB5C2D">
            <w:pPr>
              <w:spacing w:after="100"/>
              <w:divId w:val="1799571921"/>
              <w:rPr>
                <w:rFonts w:eastAsia="Times New Roman"/>
              </w:rPr>
            </w:pPr>
            <w:r>
              <w:rPr>
                <w:rFonts w:eastAsia="Times New Roman"/>
                <w:b/>
                <w:bCs/>
                <w:color w:val="000000"/>
                <w:sz w:val="20"/>
                <w:szCs w:val="20"/>
              </w:rPr>
              <w:t>David Lauren</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Age 50</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B5C2D">
            <w:pPr>
              <w:spacing w:after="100"/>
              <w:jc w:val="both"/>
              <w:rPr>
                <w:rFonts w:eastAsia="Times New Roman"/>
              </w:rPr>
            </w:pPr>
            <w:r>
              <w:rPr>
                <w:rFonts w:eastAsia="Times New Roman"/>
                <w:color w:val="000000"/>
                <w:sz w:val="20"/>
                <w:szCs w:val="20"/>
              </w:rPr>
              <w:t>Mr. David Lauren has been our Chief Branding and Innovation Officer, Strategic Advisor to the CEO, and Vice Chairman of the Board since April 2022. He served as our Chief Innovation Officer, Strategic Advisor to the CEO, and Vice Chairman of the Board from</w:t>
            </w:r>
            <w:r>
              <w:rPr>
                <w:rFonts w:eastAsia="Times New Roman"/>
                <w:color w:val="000000"/>
                <w:sz w:val="20"/>
                <w:szCs w:val="20"/>
              </w:rPr>
              <w:t xml:space="preserve"> October 2016 to March 2022. From November 2010 to October 2016, he served as our Executive Vice President of Global Advertising, Marketing and Communications. Prior to that, he served in numerous leadership roles at the Company with responsibility for adv</w:t>
            </w:r>
            <w:r>
              <w:rPr>
                <w:rFonts w:eastAsia="Times New Roman"/>
                <w:color w:val="000000"/>
                <w:sz w:val="20"/>
                <w:szCs w:val="20"/>
              </w:rPr>
              <w:t>ertising, marketing, and communications. He has been a director of the Company since August 2013. Mr. D. Lauren oversees the Company's branding and innovation processes and capabilities to drive its brand strength and financial performance across all chann</w:t>
            </w:r>
            <w:r>
              <w:rPr>
                <w:rFonts w:eastAsia="Times New Roman"/>
                <w:color w:val="000000"/>
                <w:sz w:val="20"/>
                <w:szCs w:val="20"/>
              </w:rPr>
              <w:t>els. He has been instrumental in growing the Company's global digital commerce business and pioneering our technology initiatives. He serves on the board of trustees of the Ralph Lauren Center for Cancer Care and Prevention and the board of directors of Th</w:t>
            </w:r>
            <w:r>
              <w:rPr>
                <w:rFonts w:eastAsia="Times New Roman"/>
                <w:color w:val="000000"/>
                <w:sz w:val="20"/>
                <w:szCs w:val="20"/>
              </w:rPr>
              <w:t xml:space="preserve">e National Museum of American History. Mr. D. Lauren is also the President of the Ralph Lauren Corporate Foundation. Before joining the Company in 2000, he was Editor-In-Chief and President of Swing, a general interest publication for Generation X. Mr. D. </w:t>
            </w:r>
            <w:r>
              <w:rPr>
                <w:rFonts w:eastAsia="Times New Roman"/>
                <w:color w:val="000000"/>
                <w:sz w:val="20"/>
                <w:szCs w:val="20"/>
              </w:rPr>
              <w:t>Lauren is the son of Mr. R. Lauren.</w:t>
            </w: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trPr>
          <w:jc w:val="center"/>
        </w:trPr>
        <w:tc>
          <w:tcPr>
            <w:tcW w:w="50" w:type="pct"/>
            <w:vAlign w:val="center"/>
            <w:hideMark/>
          </w:tcPr>
          <w:p w:rsidR="00000000" w:rsidRDefault="00BB5C2D">
            <w:pPr>
              <w:ind w:firstLine="540"/>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24</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51" style="width:0;height:1.5pt" o:hralign="center" o:hrstd="t" o:hr="t" fillcolor="#a0a0a0" stroked="f"/>
        </w:pict>
      </w:r>
    </w:p>
    <w:p w:rsidR="00000000" w:rsidRDefault="00BB5C2D">
      <w:pPr>
        <w:divId w:val="621422737"/>
        <w:rPr>
          <w:rFonts w:eastAsia="Times New Roman"/>
        </w:rPr>
      </w:pPr>
    </w:p>
    <w:p w:rsidR="00000000" w:rsidRDefault="00BB5C2D">
      <w:pPr>
        <w:ind w:hanging="900"/>
        <w:jc w:val="both"/>
        <w:divId w:val="723217704"/>
        <w:rPr>
          <w:rFonts w:eastAsia="Times New Roman"/>
        </w:rPr>
      </w:pPr>
      <w:r>
        <w:rPr>
          <w:rFonts w:eastAsia="Times New Roman"/>
          <w:b/>
          <w:bCs/>
          <w:color w:val="000000"/>
          <w:sz w:val="20"/>
          <w:szCs w:val="20"/>
        </w:rPr>
        <w:t>Item 1A.    </w:t>
      </w:r>
      <w:r>
        <w:rPr>
          <w:rFonts w:eastAsia="Times New Roman"/>
          <w:b/>
          <w:bCs/>
          <w:i/>
          <w:iCs/>
          <w:color w:val="000000"/>
          <w:sz w:val="20"/>
          <w:szCs w:val="20"/>
        </w:rPr>
        <w:t>Risk Factors</w:t>
      </w:r>
    </w:p>
    <w:p w:rsidR="00000000" w:rsidRDefault="00BB5C2D">
      <w:pPr>
        <w:ind w:firstLine="540"/>
        <w:jc w:val="both"/>
        <w:divId w:val="1126660448"/>
        <w:rPr>
          <w:rFonts w:eastAsia="Times New Roman"/>
        </w:rPr>
      </w:pPr>
      <w:r>
        <w:rPr>
          <w:rFonts w:eastAsia="Times New Roman"/>
          <w:color w:val="000000"/>
          <w:sz w:val="20"/>
          <w:szCs w:val="20"/>
        </w:rPr>
        <w:t>There are risks associated with an investment in our securities. The following risk factors should be read carefully in connection with evaluating our business and the forward-looking statement</w:t>
      </w:r>
      <w:r>
        <w:rPr>
          <w:rFonts w:eastAsia="Times New Roman"/>
          <w:color w:val="000000"/>
          <w:sz w:val="20"/>
          <w:szCs w:val="20"/>
        </w:rPr>
        <w:t>s contained in this Annual Report on Form 10-K. Any of the following risk factors could materially adversely affect our business, including our prospects, results of operations, financial condition, liquidity, the trading price of our securities, and/or th</w:t>
      </w:r>
      <w:r>
        <w:rPr>
          <w:rFonts w:eastAsia="Times New Roman"/>
          <w:color w:val="000000"/>
          <w:sz w:val="20"/>
          <w:szCs w:val="20"/>
        </w:rPr>
        <w:t>e actual outcome of matters as to which forward-looking statements are made in this report. Additional risks and uncertainties not currently known to us or that we currently view as immaterial may also materially adversely affect our business in future per</w:t>
      </w:r>
      <w:r>
        <w:rPr>
          <w:rFonts w:eastAsia="Times New Roman"/>
          <w:color w:val="000000"/>
          <w:sz w:val="20"/>
          <w:szCs w:val="20"/>
        </w:rPr>
        <w:t>iods or if circumstances change.</w:t>
      </w:r>
    </w:p>
    <w:p w:rsidR="00000000" w:rsidRDefault="00BB5C2D">
      <w:pPr>
        <w:jc w:val="both"/>
        <w:divId w:val="307976870"/>
        <w:rPr>
          <w:rFonts w:eastAsia="Times New Roman"/>
        </w:rPr>
      </w:pPr>
      <w:r>
        <w:rPr>
          <w:rFonts w:eastAsia="Times New Roman"/>
          <w:b/>
          <w:bCs/>
          <w:color w:val="000000"/>
          <w:sz w:val="20"/>
          <w:szCs w:val="20"/>
          <w:u w:val="single"/>
        </w:rPr>
        <w:t>Risks Related to Macroeconomic Conditions</w:t>
      </w:r>
    </w:p>
    <w:p w:rsidR="00000000" w:rsidRDefault="00BB5C2D">
      <w:pPr>
        <w:jc w:val="both"/>
        <w:divId w:val="1112285885"/>
        <w:rPr>
          <w:rFonts w:eastAsia="Times New Roman"/>
        </w:rPr>
      </w:pPr>
      <w:r>
        <w:rPr>
          <w:rFonts w:eastAsia="Times New Roman"/>
          <w:b/>
          <w:bCs/>
          <w:color w:val="000000"/>
          <w:sz w:val="20"/>
          <w:szCs w:val="20"/>
        </w:rPr>
        <w:t>Infectious disease outbreaks, such as the COVID-19 pandemic, could have a material adverse effect on our business.</w:t>
      </w:r>
    </w:p>
    <w:p w:rsidR="00000000" w:rsidRDefault="00BB5C2D">
      <w:pPr>
        <w:ind w:firstLine="540"/>
        <w:jc w:val="both"/>
        <w:divId w:val="742221919"/>
        <w:rPr>
          <w:rFonts w:eastAsia="Times New Roman"/>
        </w:rPr>
      </w:pPr>
      <w:r>
        <w:rPr>
          <w:rFonts w:eastAsia="Times New Roman"/>
          <w:color w:val="000000"/>
          <w:sz w:val="20"/>
          <w:szCs w:val="20"/>
        </w:rPr>
        <w:t>Our business could be adversely affected by infectious disease outbreaks, such as the novel strain of coronavirus commonly referred to as COVID-19. COVID-19, which emerged beginning in the fourth quarter of Fiscal 2020, has spread rapidly across the globe,</w:t>
      </w:r>
      <w:r>
        <w:rPr>
          <w:rFonts w:eastAsia="Times New Roman"/>
          <w:color w:val="000000"/>
          <w:sz w:val="20"/>
          <w:szCs w:val="20"/>
        </w:rPr>
        <w:t xml:space="preserve"> including throughout all major geographies in which we operate (North America, Europe, and Asia), resulting in adverse economic conditions and business disruptions, as well as significant volatility in global financial markets. Governments worldwide have </w:t>
      </w:r>
      <w:r>
        <w:rPr>
          <w:rFonts w:eastAsia="Times New Roman"/>
          <w:color w:val="000000"/>
          <w:sz w:val="20"/>
          <w:szCs w:val="20"/>
        </w:rPr>
        <w:t>periodically imposed varying degrees of preventative and protective actions, such as temporary travel bans, stay-at-home orders, and forced business closures or other operational restrictions, including reduced capacity limits and operating hours, all in a</w:t>
      </w:r>
      <w:r>
        <w:rPr>
          <w:rFonts w:eastAsia="Times New Roman"/>
          <w:color w:val="000000"/>
          <w:sz w:val="20"/>
          <w:szCs w:val="20"/>
        </w:rPr>
        <w:t>n effort to reduce the spread of the virus. Such factors, among others, have resulted in a significant decline in retail traffic, tourism, and consumer spending on discretionary items.</w:t>
      </w:r>
    </w:p>
    <w:p w:rsidR="00000000" w:rsidRDefault="00BB5C2D">
      <w:pPr>
        <w:ind w:firstLine="540"/>
        <w:jc w:val="both"/>
        <w:divId w:val="452989880"/>
        <w:rPr>
          <w:rFonts w:eastAsia="Times New Roman"/>
        </w:rPr>
      </w:pPr>
      <w:r>
        <w:rPr>
          <w:rFonts w:eastAsia="Times New Roman"/>
          <w:color w:val="000000"/>
          <w:sz w:val="20"/>
          <w:szCs w:val="20"/>
        </w:rPr>
        <w:t>As a result of the COVID-19 pandemic, we have experienced varying degre</w:t>
      </w:r>
      <w:r>
        <w:rPr>
          <w:rFonts w:eastAsia="Times New Roman"/>
          <w:color w:val="000000"/>
          <w:sz w:val="20"/>
          <w:szCs w:val="20"/>
        </w:rPr>
        <w:t xml:space="preserve">es of business disruptions and periods of closure of our stores, distribution centers, and corporate facilities, as have our wholesale customers, licensing partners, suppliers, and vendors, as described in Item 1 — </w:t>
      </w:r>
      <w:r>
        <w:rPr>
          <w:rFonts w:eastAsia="Times New Roman"/>
          <w:i/>
          <w:iCs/>
          <w:color w:val="000000"/>
          <w:sz w:val="20"/>
          <w:szCs w:val="20"/>
        </w:rPr>
        <w:t>"Business — Recent Developments."</w:t>
      </w:r>
      <w:r>
        <w:rPr>
          <w:rFonts w:eastAsia="Times New Roman"/>
          <w:color w:val="000000"/>
          <w:sz w:val="20"/>
          <w:szCs w:val="20"/>
        </w:rPr>
        <w:t xml:space="preserve"> Collect</w:t>
      </w:r>
      <w:r>
        <w:rPr>
          <w:rFonts w:eastAsia="Times New Roman"/>
          <w:color w:val="000000"/>
          <w:sz w:val="20"/>
          <w:szCs w:val="20"/>
        </w:rPr>
        <w:t>ively, these disruptions have had a material adverse impact on our business throughout the pandemic, particularly during Fiscal 2021. Despite the introduction of COVID-19 vaccines, the pandemic remains highly volatile and continues to evolve, including the</w:t>
      </w:r>
      <w:r>
        <w:rPr>
          <w:rFonts w:eastAsia="Times New Roman"/>
          <w:color w:val="000000"/>
          <w:sz w:val="20"/>
          <w:szCs w:val="20"/>
        </w:rPr>
        <w:t xml:space="preserve"> emergence of variants of the virus, such as the Delta and Omicron variants, which has and could continue to adversely affect consumer sentiment and confidence. Accordingly, we cannot predict for how long and to what extent this crisis will continue to imp</w:t>
      </w:r>
      <w:r>
        <w:rPr>
          <w:rFonts w:eastAsia="Times New Roman"/>
          <w:color w:val="000000"/>
          <w:sz w:val="20"/>
          <w:szCs w:val="20"/>
        </w:rPr>
        <w:t>act our business operations or the overall global economy. Potential impacts to our business include, but are not limited to:</w:t>
      </w:r>
    </w:p>
    <w:p w:rsidR="00000000" w:rsidRDefault="00BB5C2D">
      <w:pPr>
        <w:ind w:hanging="360"/>
        <w:jc w:val="both"/>
        <w:divId w:val="238372756"/>
        <w:rPr>
          <w:rFonts w:eastAsia="Times New Roman"/>
        </w:rPr>
      </w:pPr>
      <w:r>
        <w:rPr>
          <w:rFonts w:eastAsia="Times New Roman"/>
          <w:color w:val="000000"/>
          <w:sz w:val="20"/>
          <w:szCs w:val="20"/>
        </w:rPr>
        <w:t>•our ability to successfully execute our long-term growth strategy;</w:t>
      </w:r>
    </w:p>
    <w:p w:rsidR="00000000" w:rsidRDefault="00BB5C2D">
      <w:pPr>
        <w:ind w:hanging="360"/>
        <w:jc w:val="both"/>
        <w:divId w:val="148984836"/>
        <w:rPr>
          <w:rFonts w:eastAsia="Times New Roman"/>
        </w:rPr>
      </w:pPr>
      <w:r>
        <w:rPr>
          <w:rFonts w:eastAsia="Times New Roman"/>
          <w:color w:val="000000"/>
          <w:sz w:val="20"/>
          <w:szCs w:val="20"/>
        </w:rPr>
        <w:t>•reduced retail traffic at our stores and those of our wholesa</w:t>
      </w:r>
      <w:r>
        <w:rPr>
          <w:rFonts w:eastAsia="Times New Roman"/>
          <w:color w:val="000000"/>
          <w:sz w:val="20"/>
          <w:szCs w:val="20"/>
        </w:rPr>
        <w:t>le customers and licensing partners due to forced closures or other operational restrictions, such as reduced capacity limits and operating hours, declines in tourism, and/or potential changes in consumer behavior and shopping preferences, such as their wi</w:t>
      </w:r>
      <w:r>
        <w:rPr>
          <w:rFonts w:eastAsia="Times New Roman"/>
          <w:color w:val="000000"/>
          <w:sz w:val="20"/>
          <w:szCs w:val="20"/>
        </w:rPr>
        <w:t>llingness to congregate in shopping centers or other populated locations and the overall growing preference to shop online versus at traditional brick and mortar locations;</w:t>
      </w:r>
    </w:p>
    <w:p w:rsidR="00000000" w:rsidRDefault="00BB5C2D">
      <w:pPr>
        <w:ind w:hanging="360"/>
        <w:jc w:val="both"/>
        <w:divId w:val="877012412"/>
        <w:rPr>
          <w:rFonts w:eastAsia="Times New Roman"/>
        </w:rPr>
      </w:pPr>
      <w:r>
        <w:rPr>
          <w:rFonts w:eastAsia="Times New Roman"/>
          <w:color w:val="000000"/>
          <w:sz w:val="20"/>
          <w:szCs w:val="20"/>
        </w:rPr>
        <w:t>•potential declines in the level of consumer purchases of discretionary items and l</w:t>
      </w:r>
      <w:r>
        <w:rPr>
          <w:rFonts w:eastAsia="Times New Roman"/>
          <w:color w:val="000000"/>
          <w:sz w:val="20"/>
          <w:szCs w:val="20"/>
        </w:rPr>
        <w:t>uxury retail products, including our products, caused by higher unemployment and lower disposal income levels, inflationary pressures, travel and social gathering restrictions, work-from-home arrangements, or other factors beyond our control;</w:t>
      </w:r>
    </w:p>
    <w:p w:rsidR="00000000" w:rsidRDefault="00BB5C2D">
      <w:pPr>
        <w:ind w:hanging="360"/>
        <w:jc w:val="both"/>
        <w:divId w:val="549420652"/>
        <w:rPr>
          <w:rFonts w:eastAsia="Times New Roman"/>
        </w:rPr>
      </w:pPr>
      <w:r>
        <w:rPr>
          <w:rFonts w:eastAsia="Times New Roman"/>
          <w:color w:val="000000"/>
          <w:sz w:val="20"/>
          <w:szCs w:val="20"/>
        </w:rPr>
        <w:t>•</w:t>
      </w:r>
      <w:r>
        <w:rPr>
          <w:rFonts w:eastAsia="Times New Roman"/>
          <w:color w:val="000000"/>
          <w:sz w:val="20"/>
          <w:szCs w:val="20"/>
        </w:rPr>
        <w:t>the potential build-up of excess inventory as a result of store closures and/or lower consumer demand;</w:t>
      </w:r>
    </w:p>
    <w:p w:rsidR="00000000" w:rsidRDefault="00BB5C2D">
      <w:pPr>
        <w:ind w:hanging="360"/>
        <w:jc w:val="both"/>
        <w:divId w:val="648097655"/>
        <w:rPr>
          <w:rFonts w:eastAsia="Times New Roman"/>
        </w:rPr>
      </w:pPr>
      <w:r>
        <w:rPr>
          <w:rFonts w:eastAsia="Times New Roman"/>
          <w:color w:val="000000"/>
          <w:sz w:val="20"/>
          <w:szCs w:val="20"/>
        </w:rPr>
        <w:t>•temporary closures or other operational restrictions of our distribution centers and/or corporate facilities;</w:t>
      </w:r>
    </w:p>
    <w:p w:rsidR="00000000" w:rsidRDefault="00BB5C2D">
      <w:pPr>
        <w:ind w:hanging="360"/>
        <w:jc w:val="both"/>
        <w:divId w:val="111871689"/>
        <w:rPr>
          <w:rFonts w:eastAsia="Times New Roman"/>
        </w:rPr>
      </w:pPr>
      <w:r>
        <w:rPr>
          <w:rFonts w:eastAsia="Times New Roman"/>
          <w:color w:val="000000"/>
          <w:sz w:val="20"/>
          <w:szCs w:val="20"/>
        </w:rPr>
        <w:t>•supply chain disruptions resulting from c</w:t>
      </w:r>
      <w:r>
        <w:rPr>
          <w:rFonts w:eastAsia="Times New Roman"/>
          <w:color w:val="000000"/>
          <w:sz w:val="20"/>
          <w:szCs w:val="20"/>
        </w:rPr>
        <w:t>losed factories, reduced workforces, scarcity of raw materials, shipping and loading capacity constraints, and scrutiny or embargoing of goods produced in infected areas, including any related cost increases;</w:t>
      </w:r>
    </w:p>
    <w:p w:rsidR="00000000" w:rsidRDefault="00BB5C2D">
      <w:pPr>
        <w:ind w:hanging="360"/>
        <w:jc w:val="both"/>
        <w:divId w:val="1403336183"/>
        <w:rPr>
          <w:rFonts w:eastAsia="Times New Roman"/>
        </w:rPr>
      </w:pPr>
      <w:r>
        <w:rPr>
          <w:rFonts w:eastAsia="Times New Roman"/>
          <w:color w:val="000000"/>
          <w:sz w:val="20"/>
          <w:szCs w:val="20"/>
        </w:rPr>
        <w:t>•our ability to attract, retain, and manage emp</w:t>
      </w:r>
      <w:r>
        <w:rPr>
          <w:rFonts w:eastAsia="Times New Roman"/>
          <w:color w:val="000000"/>
          <w:sz w:val="20"/>
          <w:szCs w:val="20"/>
        </w:rPr>
        <w:t>loyees in the current environment, which include remote working arrangements;</w:t>
      </w:r>
    </w:p>
    <w:p w:rsidR="00000000" w:rsidRDefault="00BB5C2D">
      <w:pPr>
        <w:ind w:hanging="360"/>
        <w:jc w:val="both"/>
        <w:divId w:val="1355381655"/>
        <w:rPr>
          <w:rFonts w:eastAsia="Times New Roman"/>
        </w:rPr>
      </w:pPr>
      <w:r>
        <w:rPr>
          <w:rFonts w:eastAsia="Times New Roman"/>
          <w:color w:val="000000"/>
          <w:sz w:val="20"/>
          <w:szCs w:val="20"/>
        </w:rPr>
        <w:t>•additional costs to protect the health and safety of our employees, customers, and communities, such as more frequent and thorough cleanings of our facilities and supplying pers</w:t>
      </w:r>
      <w:r>
        <w:rPr>
          <w:rFonts w:eastAsia="Times New Roman"/>
          <w:color w:val="000000"/>
          <w:sz w:val="20"/>
          <w:szCs w:val="20"/>
        </w:rPr>
        <w:t xml:space="preserve">onal protection equipment; </w:t>
      </w:r>
    </w:p>
    <w:p w:rsidR="00000000" w:rsidRDefault="00BB5C2D">
      <w:pPr>
        <w:ind w:hanging="360"/>
        <w:jc w:val="both"/>
        <w:divId w:val="36050234"/>
        <w:rPr>
          <w:rFonts w:eastAsia="Times New Roman"/>
        </w:rPr>
      </w:pPr>
      <w:r>
        <w:rPr>
          <w:rFonts w:eastAsia="Times New Roman"/>
          <w:color w:val="000000"/>
          <w:sz w:val="20"/>
          <w:szCs w:val="20"/>
        </w:rPr>
        <w:t>•the potential loss of one or more of our significant wholesale customers or licensing partners, or the loss of a large number of smaller wholesale customers or licensing partners, if they are not able to withstand prolonged per</w:t>
      </w:r>
      <w:r>
        <w:rPr>
          <w:rFonts w:eastAsia="Times New Roman"/>
          <w:color w:val="000000"/>
          <w:sz w:val="20"/>
          <w:szCs w:val="20"/>
        </w:rPr>
        <w:t>iods of adverse economic conditions, and our ability to collect outstanding receivables;</w:t>
      </w:r>
    </w:p>
    <w:p w:rsidR="00000000" w:rsidRDefault="00BB5C2D">
      <w:pPr>
        <w:ind w:hanging="360"/>
        <w:jc w:val="both"/>
        <w:divId w:val="1296061921"/>
        <w:rPr>
          <w:rFonts w:eastAsia="Times New Roman"/>
        </w:rPr>
      </w:pPr>
      <w:r>
        <w:rPr>
          <w:rFonts w:eastAsia="Times New Roman"/>
          <w:color w:val="000000"/>
          <w:sz w:val="20"/>
          <w:szCs w:val="20"/>
        </w:rPr>
        <w:t>•increased vulnerability to data security or privacy breaches as a result of a substantial portion of our corporate employees continuing to work remotely;</w:t>
      </w:r>
    </w:p>
    <w:p w:rsidR="00000000" w:rsidRDefault="00BB5C2D">
      <w:pPr>
        <w:ind w:hanging="360"/>
        <w:jc w:val="both"/>
        <w:divId w:val="745227558"/>
        <w:rPr>
          <w:rFonts w:eastAsia="Times New Roman"/>
        </w:rPr>
      </w:pPr>
      <w:r>
        <w:rPr>
          <w:rFonts w:eastAsia="Times New Roman"/>
          <w:color w:val="000000"/>
          <w:sz w:val="20"/>
          <w:szCs w:val="20"/>
        </w:rPr>
        <w:t>•our ability</w:t>
      </w:r>
      <w:r>
        <w:rPr>
          <w:rFonts w:eastAsia="Times New Roman"/>
          <w:color w:val="000000"/>
          <w:sz w:val="20"/>
          <w:szCs w:val="20"/>
        </w:rPr>
        <w:t xml:space="preserve"> to successfully negotiate with landlords to obtain rent abatements, rent deferrals, and other relief;</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200559968"/>
          <w:jc w:val="center"/>
        </w:trPr>
        <w:tc>
          <w:tcPr>
            <w:tcW w:w="50" w:type="pct"/>
            <w:vAlign w:val="center"/>
            <w:hideMark/>
          </w:tcPr>
          <w:p w:rsidR="00000000" w:rsidRDefault="00BB5C2D">
            <w:pPr>
              <w:ind w:hanging="36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200559968"/>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25</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52" style="width:0;height:1.5pt" o:hralign="center" o:hrstd="t" o:hr="t" fillcolor="#a0a0a0" stroked="f"/>
        </w:pict>
      </w:r>
    </w:p>
    <w:p w:rsidR="00000000" w:rsidRDefault="00BB5C2D">
      <w:pPr>
        <w:divId w:val="796339254"/>
        <w:rPr>
          <w:rFonts w:eastAsia="Times New Roman"/>
        </w:rPr>
      </w:pPr>
    </w:p>
    <w:p w:rsidR="00000000" w:rsidRDefault="00BB5C2D">
      <w:pPr>
        <w:ind w:hanging="360"/>
        <w:jc w:val="both"/>
        <w:divId w:val="1976593376"/>
        <w:rPr>
          <w:rFonts w:eastAsia="Times New Roman"/>
        </w:rPr>
      </w:pPr>
      <w:r>
        <w:rPr>
          <w:rFonts w:eastAsia="Times New Roman"/>
          <w:color w:val="000000"/>
          <w:sz w:val="20"/>
          <w:szCs w:val="20"/>
        </w:rPr>
        <w:t>•our ability to access capital markets and maintain compliance with covenants associated with our existing debt instruments, as well as the ability of our key customers, suppliers, and vendors to do the same with regar</w:t>
      </w:r>
      <w:r>
        <w:rPr>
          <w:rFonts w:eastAsia="Times New Roman"/>
          <w:color w:val="000000"/>
          <w:sz w:val="20"/>
          <w:szCs w:val="20"/>
        </w:rPr>
        <w:t>d to their own obligations;</w:t>
      </w:r>
    </w:p>
    <w:p w:rsidR="00000000" w:rsidRDefault="00BB5C2D">
      <w:pPr>
        <w:ind w:hanging="360"/>
        <w:jc w:val="both"/>
        <w:divId w:val="414985028"/>
        <w:rPr>
          <w:rFonts w:eastAsia="Times New Roman"/>
        </w:rPr>
      </w:pPr>
      <w:r>
        <w:rPr>
          <w:rFonts w:eastAsia="Times New Roman"/>
          <w:color w:val="000000"/>
          <w:sz w:val="20"/>
          <w:szCs w:val="20"/>
        </w:rPr>
        <w:t>•our ability to generate sufficient cash flows to support our operations, including repayment of our debt obligations as they become due, as well as to return value to our shareholders in the form of dividend payments and repurc</w:t>
      </w:r>
      <w:r>
        <w:rPr>
          <w:rFonts w:eastAsia="Times New Roman"/>
          <w:color w:val="000000"/>
          <w:sz w:val="20"/>
          <w:szCs w:val="20"/>
        </w:rPr>
        <w:t>hases of our common stock;</w:t>
      </w:r>
    </w:p>
    <w:p w:rsidR="00000000" w:rsidRDefault="00BB5C2D">
      <w:pPr>
        <w:ind w:hanging="360"/>
        <w:jc w:val="both"/>
        <w:divId w:val="1740252234"/>
        <w:rPr>
          <w:rFonts w:eastAsia="Times New Roman"/>
        </w:rPr>
      </w:pPr>
      <w:r>
        <w:rPr>
          <w:rFonts w:eastAsia="Times New Roman"/>
          <w:color w:val="000000"/>
          <w:sz w:val="20"/>
          <w:szCs w:val="20"/>
        </w:rPr>
        <w:t>•diversion of management attention and resources from ongoing business activities and/or a decrease in employee morale; and</w:t>
      </w:r>
    </w:p>
    <w:p w:rsidR="00000000" w:rsidRDefault="00BB5C2D">
      <w:pPr>
        <w:ind w:hanging="360"/>
        <w:jc w:val="both"/>
        <w:divId w:val="732312419"/>
        <w:rPr>
          <w:rFonts w:eastAsia="Times New Roman"/>
        </w:rPr>
      </w:pPr>
      <w:r>
        <w:rPr>
          <w:rFonts w:eastAsia="Times New Roman"/>
          <w:color w:val="000000"/>
          <w:sz w:val="20"/>
          <w:szCs w:val="20"/>
        </w:rPr>
        <w:t>•our ability to maintain an effective system of internal controls and compliance with the requirements un</w:t>
      </w:r>
      <w:r>
        <w:rPr>
          <w:rFonts w:eastAsia="Times New Roman"/>
          <w:color w:val="000000"/>
          <w:sz w:val="20"/>
          <w:szCs w:val="20"/>
        </w:rPr>
        <w:t>der the Sarbanes-Oxley Act of 2002.</w:t>
      </w:r>
    </w:p>
    <w:p w:rsidR="00000000" w:rsidRDefault="00BB5C2D">
      <w:pPr>
        <w:divId w:val="81072579"/>
        <w:rPr>
          <w:rFonts w:eastAsia="Times New Roman"/>
        </w:rPr>
      </w:pPr>
      <w:r>
        <w:rPr>
          <w:rFonts w:eastAsia="Times New Roman"/>
          <w:color w:val="000000"/>
          <w:sz w:val="20"/>
          <w:szCs w:val="20"/>
        </w:rPr>
        <w:t>Additional discussion related to the various risks and uncertainties described above is included elsewhere within this "Risk Factors" section of this Form 10-K.</w:t>
      </w:r>
    </w:p>
    <w:p w:rsidR="00000000" w:rsidRDefault="00BB5C2D">
      <w:pPr>
        <w:jc w:val="both"/>
        <w:divId w:val="2128548454"/>
        <w:rPr>
          <w:rFonts w:eastAsia="Times New Roman"/>
        </w:rPr>
      </w:pPr>
      <w:r>
        <w:rPr>
          <w:rFonts w:eastAsia="Times New Roman"/>
          <w:b/>
          <w:bCs/>
          <w:color w:val="000000"/>
          <w:sz w:val="20"/>
          <w:szCs w:val="20"/>
        </w:rPr>
        <w:t xml:space="preserve">Economic, political, and other conditions may adversely affect the level of consumer purchases </w:t>
      </w:r>
      <w:r>
        <w:rPr>
          <w:rFonts w:eastAsia="Times New Roman"/>
          <w:b/>
          <w:bCs/>
          <w:color w:val="000000"/>
          <w:sz w:val="20"/>
          <w:szCs w:val="20"/>
        </w:rPr>
        <w:t>of discretionary items and luxury retail products, including our products.</w:t>
      </w:r>
    </w:p>
    <w:p w:rsidR="00000000" w:rsidRDefault="00BB5C2D">
      <w:pPr>
        <w:ind w:firstLine="540"/>
        <w:jc w:val="both"/>
        <w:divId w:val="1791170741"/>
        <w:rPr>
          <w:rFonts w:eastAsia="Times New Roman"/>
        </w:rPr>
      </w:pPr>
      <w:r>
        <w:rPr>
          <w:rFonts w:eastAsia="Times New Roman"/>
          <w:color w:val="000000"/>
          <w:sz w:val="20"/>
          <w:szCs w:val="20"/>
        </w:rPr>
        <w:t>The industries in which we operate are cyclical. Many economic and other factors outside of our control affect the level of consumer spending in the apparel, footwear, accessory, an</w:t>
      </w:r>
      <w:r>
        <w:rPr>
          <w:rFonts w:eastAsia="Times New Roman"/>
          <w:color w:val="000000"/>
          <w:sz w:val="20"/>
          <w:szCs w:val="20"/>
        </w:rPr>
        <w:t>d home product industries, including, among others, man-made or natural disasters, such as pandemic diseases; consumer perceptions of personal well-being and safety; consumer perceptions of current and future economic conditions; employment levels and wage</w:t>
      </w:r>
      <w:r>
        <w:rPr>
          <w:rFonts w:eastAsia="Times New Roman"/>
          <w:color w:val="000000"/>
          <w:sz w:val="20"/>
          <w:szCs w:val="20"/>
        </w:rPr>
        <w:t xml:space="preserve"> rates; stock market performance; inflation; interest rates; foreign currency exchange rates; the housing market; consumer debt levels; the availability of consumer credit; commodity prices, including fuel and energy costs; global food supplies; taxation; </w:t>
      </w:r>
      <w:r>
        <w:rPr>
          <w:rFonts w:eastAsia="Times New Roman"/>
          <w:color w:val="000000"/>
          <w:sz w:val="20"/>
          <w:szCs w:val="20"/>
        </w:rPr>
        <w:t>general domestic and international political conditions; the threat, outbreak, or escalation of terrorism, military conflicts, or other hostilities; and weather conditions.</w:t>
      </w:r>
    </w:p>
    <w:p w:rsidR="00000000" w:rsidRDefault="00BB5C2D">
      <w:pPr>
        <w:ind w:firstLine="540"/>
        <w:jc w:val="both"/>
        <w:divId w:val="1802992663"/>
        <w:rPr>
          <w:rFonts w:eastAsia="Times New Roman"/>
        </w:rPr>
      </w:pPr>
      <w:r>
        <w:rPr>
          <w:rFonts w:eastAsia="Times New Roman"/>
          <w:color w:val="000000"/>
          <w:sz w:val="20"/>
          <w:szCs w:val="20"/>
        </w:rPr>
        <w:t>Consumer purchases of discretionary items and luxury retail products, including our</w:t>
      </w:r>
      <w:r>
        <w:rPr>
          <w:rFonts w:eastAsia="Times New Roman"/>
          <w:color w:val="000000"/>
          <w:sz w:val="20"/>
          <w:szCs w:val="20"/>
        </w:rPr>
        <w:t xml:space="preserve"> products, tend to decline during periods of recession or high inflation and at other times when disposable income is lower. Unfavorable economic conditions and other factors, such as pandemic diseases and other health-related concerns, political unrest, m</w:t>
      </w:r>
      <w:r>
        <w:rPr>
          <w:rFonts w:eastAsia="Times New Roman"/>
          <w:color w:val="000000"/>
          <w:sz w:val="20"/>
          <w:szCs w:val="20"/>
        </w:rPr>
        <w:t>ilitary conflicts, and acts of terrorism, may also reduce consumers' willingness and ability to travel to major cities and vacation destinations in which our stores and shop-within-shops are located. Further, consumers may prefer to spend more of their dis</w:t>
      </w:r>
      <w:r>
        <w:rPr>
          <w:rFonts w:eastAsia="Times New Roman"/>
          <w:color w:val="000000"/>
          <w:sz w:val="20"/>
          <w:szCs w:val="20"/>
        </w:rPr>
        <w:t>cretionary income on "experiences," such as dining and entertainment, over consumer goods. Stay-at-home orders, social gathering restrictions, and work-from-home arrangements, such as those resulting from the COVID-19 pandemic, may also diminish consumers'</w:t>
      </w:r>
      <w:r>
        <w:rPr>
          <w:rFonts w:eastAsia="Times New Roman"/>
          <w:color w:val="000000"/>
          <w:sz w:val="20"/>
          <w:szCs w:val="20"/>
        </w:rPr>
        <w:t xml:space="preserve"> demand for luxury apparel products. Accordingly, a downturn or an uncertain outlook in the economies in which we, or our wholesale customers and licensing partners, sell our products, or other changes in consumer preferences, may materially adversely affe</w:t>
      </w:r>
      <w:r>
        <w:rPr>
          <w:rFonts w:eastAsia="Times New Roman"/>
          <w:color w:val="000000"/>
          <w:sz w:val="20"/>
          <w:szCs w:val="20"/>
        </w:rPr>
        <w:t>ct our business.</w:t>
      </w:r>
    </w:p>
    <w:p w:rsidR="00000000" w:rsidRDefault="00BB5C2D">
      <w:pPr>
        <w:jc w:val="both"/>
        <w:divId w:val="582028234"/>
        <w:rPr>
          <w:rFonts w:eastAsia="Times New Roman"/>
        </w:rPr>
      </w:pPr>
      <w:r>
        <w:rPr>
          <w:rFonts w:eastAsia="Times New Roman"/>
          <w:b/>
          <w:bCs/>
          <w:color w:val="000000"/>
          <w:sz w:val="20"/>
          <w:szCs w:val="20"/>
        </w:rPr>
        <w:t>Economic conditions could have a negative impact on our major customers, suppliers, vendors, and lenders, which in turn could materially adversely affect our business.</w:t>
      </w:r>
    </w:p>
    <w:p w:rsidR="00000000" w:rsidRDefault="00BB5C2D">
      <w:pPr>
        <w:ind w:firstLine="540"/>
        <w:jc w:val="both"/>
        <w:divId w:val="1075198864"/>
        <w:rPr>
          <w:rFonts w:eastAsia="Times New Roman"/>
        </w:rPr>
      </w:pPr>
      <w:r>
        <w:rPr>
          <w:rFonts w:eastAsia="Times New Roman"/>
          <w:color w:val="000000"/>
          <w:sz w:val="20"/>
          <w:szCs w:val="20"/>
        </w:rPr>
        <w:t>Although we believe that our existing cash and investments, cash provid</w:t>
      </w:r>
      <w:r>
        <w:rPr>
          <w:rFonts w:eastAsia="Times New Roman"/>
          <w:color w:val="000000"/>
          <w:sz w:val="20"/>
          <w:szCs w:val="20"/>
        </w:rPr>
        <w:t>ed by operations, and available borrowing capacity under our credit and overdraft facilities and commercial paper borrowing program will provide us with sufficient liquidity, the impact of economic conditions on our major customers, suppliers, vendors, and</w:t>
      </w:r>
      <w:r>
        <w:rPr>
          <w:rFonts w:eastAsia="Times New Roman"/>
          <w:color w:val="000000"/>
          <w:sz w:val="20"/>
          <w:szCs w:val="20"/>
        </w:rPr>
        <w:t xml:space="preserve"> lenders, including those resulting from the COVID-19 pandemic, and their ability to access global capital markets cannot be predicted. The inability of major manufacturers to ship our products could impair our ability to meet the delivery date requirement</w:t>
      </w:r>
      <w:r>
        <w:rPr>
          <w:rFonts w:eastAsia="Times New Roman"/>
          <w:color w:val="000000"/>
          <w:sz w:val="20"/>
          <w:szCs w:val="20"/>
        </w:rPr>
        <w:t>s of our customers. Deterioration in global financial or capital markets could affect our ability to access sources of liquidity to provide for our future cash needs, increase the cost of any future financing, or cause our lenders to be unable to meet thei</w:t>
      </w:r>
      <w:r>
        <w:rPr>
          <w:rFonts w:eastAsia="Times New Roman"/>
          <w:color w:val="000000"/>
          <w:sz w:val="20"/>
          <w:szCs w:val="20"/>
        </w:rPr>
        <w:t xml:space="preserve">r funding commitments under our credit and overdraft facilities. A disruption in the ability of our significant customers to access liquidity could cause serious disruptions or an overall deterioration of their businesses which could lead to a significant </w:t>
      </w:r>
      <w:r>
        <w:rPr>
          <w:rFonts w:eastAsia="Times New Roman"/>
          <w:color w:val="000000"/>
          <w:sz w:val="20"/>
          <w:szCs w:val="20"/>
        </w:rPr>
        <w:t>reduction in their future orders of our products and the inability or failure on their part to meet their payment obligations to us, any of which could have a material adverse effect on our business.</w:t>
      </w:r>
    </w:p>
    <w:p w:rsidR="00000000" w:rsidRDefault="00BB5C2D">
      <w:pPr>
        <w:jc w:val="both"/>
        <w:divId w:val="462500247"/>
        <w:rPr>
          <w:rFonts w:eastAsia="Times New Roman"/>
        </w:rPr>
      </w:pPr>
      <w:r>
        <w:rPr>
          <w:rFonts w:eastAsia="Times New Roman"/>
          <w:b/>
          <w:bCs/>
          <w:color w:val="000000"/>
          <w:sz w:val="20"/>
          <w:szCs w:val="20"/>
        </w:rPr>
        <w:t>Our business is exposed to domestic and foreign currency</w:t>
      </w:r>
      <w:r>
        <w:rPr>
          <w:rFonts w:eastAsia="Times New Roman"/>
          <w:b/>
          <w:bCs/>
          <w:color w:val="000000"/>
          <w:sz w:val="20"/>
          <w:szCs w:val="20"/>
        </w:rPr>
        <w:t xml:space="preserve"> fluctuations.</w:t>
      </w:r>
    </w:p>
    <w:p w:rsidR="00000000" w:rsidRDefault="00BB5C2D">
      <w:pPr>
        <w:ind w:firstLine="720"/>
        <w:jc w:val="both"/>
        <w:divId w:val="2117823955"/>
        <w:rPr>
          <w:rFonts w:eastAsia="Times New Roman"/>
        </w:rPr>
      </w:pPr>
      <w:r>
        <w:rPr>
          <w:rFonts w:eastAsia="Times New Roman"/>
          <w:color w:val="000000"/>
          <w:sz w:val="20"/>
          <w:szCs w:val="20"/>
        </w:rPr>
        <w:t>Our business is exposed to foreign currency exchange risk. Specifically, changes in exchange rates between the U.S. dollar and other currencies impact our financial results from a transactional perspective, as our foreign operations generall</w:t>
      </w:r>
      <w:r>
        <w:rPr>
          <w:rFonts w:eastAsia="Times New Roman"/>
          <w:color w:val="000000"/>
          <w:sz w:val="20"/>
          <w:szCs w:val="20"/>
        </w:rPr>
        <w:t>y purchase inventory in U.S. dollars, as is common for most apparel companies. Given that we source most of our products overseas, the cost of these products may be affected by changes in the value of the relevant currencies. Changes in currency exchange r</w:t>
      </w:r>
      <w:r>
        <w:rPr>
          <w:rFonts w:eastAsia="Times New Roman"/>
          <w:color w:val="000000"/>
          <w:sz w:val="20"/>
          <w:szCs w:val="20"/>
        </w:rPr>
        <w:t xml:space="preserve">ates may also impact consumers' willingness or ability to travel abroad and/or purchase our products while traveling,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324746676"/>
          <w:jc w:val="center"/>
        </w:trPr>
        <w:tc>
          <w:tcPr>
            <w:tcW w:w="50" w:type="pct"/>
            <w:vAlign w:val="center"/>
            <w:hideMark/>
          </w:tcPr>
          <w:p w:rsidR="00000000" w:rsidRDefault="00BB5C2D">
            <w:pPr>
              <w:ind w:firstLine="72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324746676"/>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26</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53" style="width:0;height:1.5pt" o:hralign="center" o:hrstd="t" o:hr="t" fillcolor="#a0a0a0" stroked="f"/>
        </w:pict>
      </w:r>
    </w:p>
    <w:p w:rsidR="00000000" w:rsidRDefault="00BB5C2D">
      <w:pPr>
        <w:divId w:val="633097833"/>
        <w:rPr>
          <w:rFonts w:eastAsia="Times New Roman"/>
        </w:rPr>
      </w:pPr>
    </w:p>
    <w:p w:rsidR="00000000" w:rsidRDefault="00BB5C2D">
      <w:pPr>
        <w:jc w:val="both"/>
        <w:divId w:val="978806185"/>
        <w:rPr>
          <w:rFonts w:eastAsia="Times New Roman"/>
        </w:rPr>
      </w:pPr>
      <w:r>
        <w:rPr>
          <w:rFonts w:eastAsia="Times New Roman"/>
          <w:color w:val="000000"/>
          <w:sz w:val="20"/>
          <w:szCs w:val="20"/>
        </w:rPr>
        <w:t>as well as affect the U.S. Dollar value of the foreign currency denominated prices at which our international businesses sell products. Additionally, the operating results and financial position of our international su</w:t>
      </w:r>
      <w:r>
        <w:rPr>
          <w:rFonts w:eastAsia="Times New Roman"/>
          <w:color w:val="000000"/>
          <w:sz w:val="20"/>
          <w:szCs w:val="20"/>
        </w:rPr>
        <w:t>bsidiaries are exposed to foreign exchange rate fluctuations as their financial results are translated from the respective local currency into U.S. Dollars during the financial statement consolidation process. The foreign currencies to which we are exposed</w:t>
      </w:r>
      <w:r>
        <w:rPr>
          <w:rFonts w:eastAsia="Times New Roman"/>
          <w:color w:val="000000"/>
          <w:sz w:val="20"/>
          <w:szCs w:val="20"/>
        </w:rPr>
        <w:t xml:space="preserve"> to from a transactional and translational perspective primarily include the Euro, the Japanese Yen, the South Korean Won, the Australian Dollar, the Canadian Dollar, the British Pound Sterling, the Swiss Franc, and the Chinese Renminbi. The expansion of o</w:t>
      </w:r>
      <w:r>
        <w:rPr>
          <w:rFonts w:eastAsia="Times New Roman"/>
          <w:color w:val="000000"/>
          <w:sz w:val="20"/>
          <w:szCs w:val="20"/>
        </w:rPr>
        <w:t>ur international business increases our exposure to foreign currency exchange risk.</w:t>
      </w:r>
    </w:p>
    <w:p w:rsidR="00000000" w:rsidRDefault="00BB5C2D">
      <w:pPr>
        <w:ind w:firstLine="720"/>
        <w:jc w:val="both"/>
        <w:divId w:val="585530658"/>
        <w:rPr>
          <w:rFonts w:eastAsia="Times New Roman"/>
        </w:rPr>
      </w:pPr>
      <w:r>
        <w:rPr>
          <w:rFonts w:eastAsia="Times New Roman"/>
          <w:color w:val="000000"/>
          <w:sz w:val="20"/>
          <w:szCs w:val="20"/>
        </w:rPr>
        <w:t>Although we hedge certain exposures to changes in foreign currency exchange rates arising in the ordinary course of business, we cannot fully anticipate all of our currency</w:t>
      </w:r>
      <w:r>
        <w:rPr>
          <w:rFonts w:eastAsia="Times New Roman"/>
          <w:color w:val="000000"/>
          <w:sz w:val="20"/>
          <w:szCs w:val="20"/>
        </w:rPr>
        <w:t xml:space="preserve"> exposures and therefore foreign currency fluctuations may have a material adverse impact on our business. In addition, factors that could impact the effectiveness of our hedging activities include the volatility of currency markets, the accuracy of foreca</w:t>
      </w:r>
      <w:r>
        <w:rPr>
          <w:rFonts w:eastAsia="Times New Roman"/>
          <w:color w:val="000000"/>
          <w:sz w:val="20"/>
          <w:szCs w:val="20"/>
        </w:rPr>
        <w:t xml:space="preserve">sted transactions, and the availability of hedging instruments. As such, our hedging activities may not completely mitigate the impact of foreign currency fluctuations on our results of operations. See Item 7 — </w:t>
      </w:r>
      <w:r>
        <w:rPr>
          <w:rFonts w:eastAsia="Times New Roman"/>
          <w:i/>
          <w:iCs/>
          <w:color w:val="000000"/>
          <w:sz w:val="20"/>
          <w:szCs w:val="20"/>
        </w:rPr>
        <w:t>"Management's Discussion and Analysis of Fina</w:t>
      </w:r>
      <w:r>
        <w:rPr>
          <w:rFonts w:eastAsia="Times New Roman"/>
          <w:i/>
          <w:iCs/>
          <w:color w:val="000000"/>
          <w:sz w:val="20"/>
          <w:szCs w:val="20"/>
        </w:rPr>
        <w:t>ncial Condition and Results of Operations — Market Risk Management."</w:t>
      </w:r>
    </w:p>
    <w:p w:rsidR="00000000" w:rsidRDefault="00BB5C2D">
      <w:pPr>
        <w:jc w:val="both"/>
        <w:divId w:val="534075564"/>
        <w:rPr>
          <w:rFonts w:eastAsia="Times New Roman"/>
        </w:rPr>
      </w:pPr>
      <w:r>
        <w:rPr>
          <w:rFonts w:eastAsia="Times New Roman"/>
          <w:b/>
          <w:bCs/>
          <w:color w:val="000000"/>
          <w:sz w:val="20"/>
          <w:szCs w:val="20"/>
          <w:u w:val="single"/>
        </w:rPr>
        <w:t>Risks Related to our Strategic Initiatives and Restructuring Activities</w:t>
      </w:r>
    </w:p>
    <w:p w:rsidR="00000000" w:rsidRDefault="00BB5C2D">
      <w:pPr>
        <w:jc w:val="both"/>
        <w:divId w:val="1665207482"/>
        <w:rPr>
          <w:rFonts w:eastAsia="Times New Roman"/>
        </w:rPr>
      </w:pPr>
      <w:r>
        <w:rPr>
          <w:rFonts w:eastAsia="Times New Roman"/>
          <w:b/>
          <w:bCs/>
          <w:color w:val="000000"/>
          <w:sz w:val="20"/>
          <w:szCs w:val="20"/>
        </w:rPr>
        <w:t>We cannot assure the successful implementation of our growth strategy.</w:t>
      </w:r>
    </w:p>
    <w:p w:rsidR="00000000" w:rsidRDefault="00BB5C2D">
      <w:pPr>
        <w:ind w:firstLine="540"/>
        <w:jc w:val="both"/>
        <w:divId w:val="1108501877"/>
        <w:rPr>
          <w:rFonts w:eastAsia="Times New Roman"/>
        </w:rPr>
      </w:pPr>
      <w:r>
        <w:rPr>
          <w:rFonts w:eastAsia="Times New Roman"/>
          <w:color w:val="000000"/>
          <w:sz w:val="20"/>
          <w:szCs w:val="20"/>
        </w:rPr>
        <w:t xml:space="preserve">We have developed a long-term growth strategy with the objective of delivering sustainable, profitable growth and long-term value creation for shareholders, as described in Item 1 — </w:t>
      </w:r>
      <w:r>
        <w:rPr>
          <w:rFonts w:eastAsia="Times New Roman"/>
          <w:i/>
          <w:iCs/>
          <w:color w:val="000000"/>
          <w:sz w:val="20"/>
          <w:szCs w:val="20"/>
        </w:rPr>
        <w:t>"Bu</w:t>
      </w:r>
      <w:r>
        <w:rPr>
          <w:rFonts w:eastAsia="Times New Roman"/>
          <w:i/>
          <w:iCs/>
          <w:color w:val="000000"/>
          <w:sz w:val="20"/>
          <w:szCs w:val="20"/>
        </w:rPr>
        <w:t>siness — Objectives and Opportunities."</w:t>
      </w:r>
      <w:r>
        <w:rPr>
          <w:rFonts w:eastAsia="Times New Roman"/>
          <w:color w:val="000000"/>
          <w:sz w:val="20"/>
          <w:szCs w:val="20"/>
        </w:rPr>
        <w:t xml:space="preserve"> Our ability to successfully execute our growth strategy is subject to various risks and uncertainties, as described herein.</w:t>
      </w:r>
    </w:p>
    <w:p w:rsidR="00000000" w:rsidRDefault="00BB5C2D">
      <w:pPr>
        <w:ind w:firstLine="540"/>
        <w:jc w:val="both"/>
        <w:divId w:val="1647314116"/>
        <w:rPr>
          <w:rFonts w:eastAsia="Times New Roman"/>
        </w:rPr>
      </w:pPr>
      <w:r>
        <w:rPr>
          <w:rFonts w:eastAsia="Times New Roman"/>
          <w:color w:val="000000"/>
          <w:sz w:val="20"/>
          <w:szCs w:val="20"/>
        </w:rPr>
        <w:t>Although we believe that our growth strategy will lead to long-term growth in revenue and pr</w:t>
      </w:r>
      <w:r>
        <w:rPr>
          <w:rFonts w:eastAsia="Times New Roman"/>
          <w:color w:val="000000"/>
          <w:sz w:val="20"/>
          <w:szCs w:val="20"/>
        </w:rPr>
        <w:t>ofitability, there can be no assurance regarding the timing of or extent to which we will realize the anticipated benefits, if at all. Our failure to realize the anticipated benefits, which may be due to our inability to execute the various elements of our</w:t>
      </w:r>
      <w:r>
        <w:rPr>
          <w:rFonts w:eastAsia="Times New Roman"/>
          <w:color w:val="000000"/>
          <w:sz w:val="20"/>
          <w:szCs w:val="20"/>
        </w:rPr>
        <w:t xml:space="preserve"> growth strategy, changes in consumer preferences, competition, economic conditions (including inflationary pressures), and other risks described herein, including those related to the COVID-19 pandemic and supply chain challenges, could have a material ad</w:t>
      </w:r>
      <w:r>
        <w:rPr>
          <w:rFonts w:eastAsia="Times New Roman"/>
          <w:color w:val="000000"/>
          <w:sz w:val="20"/>
          <w:szCs w:val="20"/>
        </w:rPr>
        <w:t>verse effect on our business. Such a failure could also result in the implementation of additional restructuring-related activities beyond those currently planned, which may be dilutive to our earnings in the short term.</w:t>
      </w:r>
    </w:p>
    <w:p w:rsidR="00000000" w:rsidRDefault="00BB5C2D">
      <w:pPr>
        <w:ind w:firstLine="540"/>
        <w:jc w:val="both"/>
        <w:divId w:val="1786652858"/>
        <w:rPr>
          <w:rFonts w:eastAsia="Times New Roman"/>
        </w:rPr>
      </w:pPr>
      <w:r>
        <w:rPr>
          <w:rFonts w:eastAsia="Times New Roman"/>
          <w:color w:val="000000"/>
          <w:sz w:val="20"/>
          <w:szCs w:val="20"/>
        </w:rPr>
        <w:t xml:space="preserve">Achievement of our growth strategy </w:t>
      </w:r>
      <w:r>
        <w:rPr>
          <w:rFonts w:eastAsia="Times New Roman"/>
          <w:color w:val="000000"/>
          <w:sz w:val="20"/>
          <w:szCs w:val="20"/>
        </w:rPr>
        <w:t>may require investment in new capabilities, distribution channels, and technologies. These investments may result in short-term costs without accompanying current revenues and, therefore, may be dilutive to our earnings in the short term. There can be no a</w:t>
      </w:r>
      <w:r>
        <w:rPr>
          <w:rFonts w:eastAsia="Times New Roman"/>
          <w:color w:val="000000"/>
          <w:sz w:val="20"/>
          <w:szCs w:val="20"/>
        </w:rPr>
        <w:t>ssurance regarding the timing of or extent to which we will realize the anticipated benefits of these investments and other costs, if at all.</w:t>
      </w:r>
    </w:p>
    <w:p w:rsidR="00000000" w:rsidRDefault="00BB5C2D">
      <w:pPr>
        <w:jc w:val="both"/>
        <w:divId w:val="35081366"/>
        <w:rPr>
          <w:rFonts w:eastAsia="Times New Roman"/>
        </w:rPr>
      </w:pPr>
      <w:r>
        <w:rPr>
          <w:rFonts w:eastAsia="Times New Roman"/>
          <w:b/>
          <w:bCs/>
          <w:color w:val="000000"/>
          <w:sz w:val="20"/>
          <w:szCs w:val="20"/>
        </w:rPr>
        <w:t>We may not be successful in the expansion of our multi-channel distribution network or accelerating growth in cert</w:t>
      </w:r>
      <w:r>
        <w:rPr>
          <w:rFonts w:eastAsia="Times New Roman"/>
          <w:b/>
          <w:bCs/>
          <w:color w:val="000000"/>
          <w:sz w:val="20"/>
          <w:szCs w:val="20"/>
        </w:rPr>
        <w:t>ain product categories.</w:t>
      </w:r>
    </w:p>
    <w:p w:rsidR="00000000" w:rsidRDefault="00BB5C2D">
      <w:pPr>
        <w:ind w:firstLine="540"/>
        <w:jc w:val="both"/>
        <w:divId w:val="824858659"/>
        <w:rPr>
          <w:rFonts w:eastAsia="Times New Roman"/>
        </w:rPr>
      </w:pPr>
      <w:r>
        <w:rPr>
          <w:rFonts w:eastAsia="Times New Roman"/>
          <w:color w:val="000000"/>
          <w:sz w:val="20"/>
          <w:szCs w:val="20"/>
        </w:rPr>
        <w:t>Implementation of our growth strategy involves the continuation and expansion of our multi-channel distribution network, including within international markets such as China, which is subject to many factors, including, but not limi</w:t>
      </w:r>
      <w:r>
        <w:rPr>
          <w:rFonts w:eastAsia="Times New Roman"/>
          <w:color w:val="000000"/>
          <w:sz w:val="20"/>
          <w:szCs w:val="20"/>
        </w:rPr>
        <w:t>ted to, our ability to (i) identify new or underpenetrated markets where our products and brand will be accepted by consumers; (ii) attract customers, particularly in new markets; (iii) identify desirable freestanding and department store locations, the av</w:t>
      </w:r>
      <w:r>
        <w:rPr>
          <w:rFonts w:eastAsia="Times New Roman"/>
          <w:color w:val="000000"/>
          <w:sz w:val="20"/>
          <w:szCs w:val="20"/>
        </w:rPr>
        <w:t>ailability of which may be out of our control; (iv) negotiate acceptable lease terms, including desired tenant improvement allowances; (v) efficiently and cost effectively build-out stores and shop-within-shops; (vi) source sufficient inventory levels time</w:t>
      </w:r>
      <w:r>
        <w:rPr>
          <w:rFonts w:eastAsia="Times New Roman"/>
          <w:color w:val="000000"/>
          <w:sz w:val="20"/>
          <w:szCs w:val="20"/>
        </w:rPr>
        <w:t>ly to meet the needs of the new stores and shop-within-shops; (vii) hire, train, and retain competent store personnel; and (viii) integrate new stores and shop-within-shops into our existing systems and operations.</w:t>
      </w:r>
    </w:p>
    <w:p w:rsidR="00000000" w:rsidRDefault="00BB5C2D">
      <w:pPr>
        <w:ind w:firstLine="540"/>
        <w:jc w:val="both"/>
        <w:divId w:val="1431197772"/>
        <w:rPr>
          <w:rFonts w:eastAsia="Times New Roman"/>
        </w:rPr>
      </w:pPr>
      <w:r>
        <w:rPr>
          <w:rFonts w:eastAsia="Times New Roman"/>
          <w:color w:val="000000"/>
          <w:sz w:val="20"/>
          <w:szCs w:val="20"/>
        </w:rPr>
        <w:t>Any of these challenges could delay or ot</w:t>
      </w:r>
      <w:r>
        <w:rPr>
          <w:rFonts w:eastAsia="Times New Roman"/>
          <w:color w:val="000000"/>
          <w:sz w:val="20"/>
          <w:szCs w:val="20"/>
        </w:rPr>
        <w:t>herwise prevent us from successfully executing our distribution expansion strategy. There can be no assurance that our new stores and shop-within-shops will be successful and profitable or if the capital costs associated with the build-out of such new loca</w:t>
      </w:r>
      <w:r>
        <w:rPr>
          <w:rFonts w:eastAsia="Times New Roman"/>
          <w:color w:val="000000"/>
          <w:sz w:val="20"/>
          <w:szCs w:val="20"/>
        </w:rPr>
        <w:t>tions will be recovered. Further, entry into new markets may bring us into competition with new or existing competitors that have a more established market presence than us or other competitive advantages. Other risks related to our international expansion</w:t>
      </w:r>
      <w:r>
        <w:rPr>
          <w:rFonts w:eastAsia="Times New Roman"/>
          <w:color w:val="000000"/>
          <w:sz w:val="20"/>
          <w:szCs w:val="20"/>
        </w:rPr>
        <w:t xml:space="preserve"> plans include (i) changes in general economic conditions in specific countries and markets, including those resulting from pandemic diseases, civil or political instability, or military conflicts; (ii) changes in diplomatic and trade relationships and any</w:t>
      </w:r>
      <w:r>
        <w:rPr>
          <w:rFonts w:eastAsia="Times New Roman"/>
          <w:color w:val="000000"/>
          <w:sz w:val="20"/>
          <w:szCs w:val="20"/>
        </w:rPr>
        <w:t xml:space="preserve"> resulting anti-American sentiment; (iii) foreign government regulation; and (iv) restrictions on the repatriation of funds held internationally, among other risks described herein. If our expansion plans are unsuccessful or do not deliver an appropriate r</w:t>
      </w:r>
      <w:r>
        <w:rPr>
          <w:rFonts w:eastAsia="Times New Roman"/>
          <w:color w:val="000000"/>
          <w:sz w:val="20"/>
          <w:szCs w:val="20"/>
        </w:rPr>
        <w:t>eturn on our investments, our business, results of operations, and financial condition could be adversely affected.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602810146"/>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602810146"/>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27</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54" style="width:0;height:1.5pt" o:hralign="center" o:hrstd="t" o:hr="t" fillcolor="#a0a0a0" stroked="f"/>
        </w:pict>
      </w:r>
    </w:p>
    <w:p w:rsidR="00000000" w:rsidRDefault="00BB5C2D">
      <w:pPr>
        <w:divId w:val="442383457"/>
        <w:rPr>
          <w:rFonts w:eastAsia="Times New Roman"/>
        </w:rPr>
      </w:pPr>
    </w:p>
    <w:p w:rsidR="00000000" w:rsidRDefault="00BB5C2D">
      <w:pPr>
        <w:ind w:firstLine="540"/>
        <w:jc w:val="both"/>
        <w:divId w:val="1380399029"/>
        <w:rPr>
          <w:rFonts w:eastAsia="Times New Roman"/>
        </w:rPr>
      </w:pPr>
      <w:r>
        <w:rPr>
          <w:rFonts w:eastAsia="Times New Roman"/>
          <w:color w:val="000000"/>
          <w:sz w:val="20"/>
          <w:szCs w:val="20"/>
        </w:rPr>
        <w:t>The success of our business also depends largely on our ability to continue to maintain, enhance, and expand our digital footprint and capabilities. In recent years, consumers have been increasingly shopping online usi</w:t>
      </w:r>
      <w:r>
        <w:rPr>
          <w:rFonts w:eastAsia="Times New Roman"/>
          <w:color w:val="000000"/>
          <w:sz w:val="20"/>
          <w:szCs w:val="20"/>
        </w:rPr>
        <w:t>ng computers, smartphones, tablets, and other devices, and using such devices to perform comparison shopping on a real-time basis. The COVID-19 pandemic has further amplified this trend due in part to travel bans, stay-at-home orders, forced business closu</w:t>
      </w:r>
      <w:r>
        <w:rPr>
          <w:rFonts w:eastAsia="Times New Roman"/>
          <w:color w:val="000000"/>
          <w:sz w:val="20"/>
          <w:szCs w:val="20"/>
        </w:rPr>
        <w:t>res, and other operational restrictions, which impede upon the ease at which consumers can shop at brick and mortar locations. Many consumers may also prefer to avoid populated locations, such as indoor shopping centers, in fear of exposing themselves to t</w:t>
      </w:r>
      <w:r>
        <w:rPr>
          <w:rFonts w:eastAsia="Times New Roman"/>
          <w:color w:val="000000"/>
          <w:sz w:val="20"/>
          <w:szCs w:val="20"/>
        </w:rPr>
        <w:t>he virus or other infectious diseases. Any failure on our part, or on the part of our third-party digital partners, to provide attractive, reliable, secure, and user-friendly digital commerce platforms, including mobile apps, could negatively impact our cu</w:t>
      </w:r>
      <w:r>
        <w:rPr>
          <w:rFonts w:eastAsia="Times New Roman"/>
          <w:color w:val="000000"/>
          <w:sz w:val="20"/>
          <w:szCs w:val="20"/>
        </w:rPr>
        <w:t>stomers' shopping experience resulting in reduced website traffic, diminished loyalty to our brands, and lost sales. In addition, as we continue to expand and increase the global presence of our digital commerce business, sales from our brick and mortar st</w:t>
      </w:r>
      <w:r>
        <w:rPr>
          <w:rFonts w:eastAsia="Times New Roman"/>
          <w:color w:val="000000"/>
          <w:sz w:val="20"/>
          <w:szCs w:val="20"/>
        </w:rPr>
        <w:t>ores and wholesale channels of distribution in areas where digital commerce sites are introduced may decline due to changes in consumer shopping habits and cannibalization.</w:t>
      </w:r>
    </w:p>
    <w:p w:rsidR="00000000" w:rsidRDefault="00BB5C2D">
      <w:pPr>
        <w:ind w:firstLine="540"/>
        <w:jc w:val="both"/>
        <w:divId w:val="1141383647"/>
        <w:rPr>
          <w:rFonts w:eastAsia="Times New Roman"/>
        </w:rPr>
      </w:pPr>
      <w:r>
        <w:rPr>
          <w:rFonts w:eastAsia="Times New Roman"/>
          <w:color w:val="000000"/>
          <w:sz w:val="20"/>
          <w:szCs w:val="20"/>
        </w:rPr>
        <w:t>Our growth strategy also includes accelerating growth in certain high-value, underd</w:t>
      </w:r>
      <w:r>
        <w:rPr>
          <w:rFonts w:eastAsia="Times New Roman"/>
          <w:color w:val="000000"/>
          <w:sz w:val="20"/>
          <w:szCs w:val="20"/>
        </w:rPr>
        <w:t>eveloped product categories, comprised of denim, wear to work, outerwear, footwear, and accessories. We compete with other retailers in these product categories, some of which may be significantly larger than us and more established in these product catego</w:t>
      </w:r>
      <w:r>
        <w:rPr>
          <w:rFonts w:eastAsia="Times New Roman"/>
          <w:color w:val="000000"/>
          <w:sz w:val="20"/>
          <w:szCs w:val="20"/>
        </w:rPr>
        <w:t>ries, and competition is intense, as described within other risk factors herein. There can be no assurance that our targeted expansion in these product categories will be successful.</w:t>
      </w:r>
    </w:p>
    <w:p w:rsidR="00000000" w:rsidRDefault="00BB5C2D">
      <w:pPr>
        <w:jc w:val="both"/>
        <w:divId w:val="2103606031"/>
        <w:rPr>
          <w:rFonts w:eastAsia="Times New Roman"/>
        </w:rPr>
      </w:pPr>
      <w:r>
        <w:rPr>
          <w:rFonts w:eastAsia="Times New Roman"/>
          <w:b/>
          <w:bCs/>
          <w:color w:val="000000"/>
          <w:sz w:val="20"/>
          <w:szCs w:val="20"/>
        </w:rPr>
        <w:t>The success of our business depends on our ability to respond to constant</w:t>
      </w:r>
      <w:r>
        <w:rPr>
          <w:rFonts w:eastAsia="Times New Roman"/>
          <w:b/>
          <w:bCs/>
          <w:color w:val="000000"/>
          <w:sz w:val="20"/>
          <w:szCs w:val="20"/>
        </w:rPr>
        <w:t>ly changing fashion and retail trends and consumer preferences in a timely manner, develop products that resonate with our existing customers and attract new customers, and provide a seamless shopping experience to our customers.</w:t>
      </w:r>
    </w:p>
    <w:p w:rsidR="00000000" w:rsidRDefault="00BB5C2D">
      <w:pPr>
        <w:ind w:firstLine="540"/>
        <w:jc w:val="both"/>
        <w:divId w:val="479465247"/>
        <w:rPr>
          <w:rFonts w:eastAsia="Times New Roman"/>
        </w:rPr>
      </w:pPr>
      <w:r>
        <w:rPr>
          <w:rFonts w:eastAsia="Times New Roman"/>
          <w:color w:val="000000"/>
          <w:sz w:val="20"/>
          <w:szCs w:val="20"/>
        </w:rPr>
        <w:t>The industries in which we operate have historically been subject to rapidly changing fashion trends and consumer preferences. Our success depends in large part on our ability to originate and define fashion product and home product trends, as well as to a</w:t>
      </w:r>
      <w:r>
        <w:rPr>
          <w:rFonts w:eastAsia="Times New Roman"/>
          <w:color w:val="000000"/>
          <w:sz w:val="20"/>
          <w:szCs w:val="20"/>
        </w:rPr>
        <w:t>nticipate, gauge, and react to changing consumer preferences in a timely manner. Our products must appeal to a broad range of consumers worldwide whose preferences cannot be predicted with certainty and are subject to rapid change, influenced by fashion tr</w:t>
      </w:r>
      <w:r>
        <w:rPr>
          <w:rFonts w:eastAsia="Times New Roman"/>
          <w:color w:val="000000"/>
          <w:sz w:val="20"/>
          <w:szCs w:val="20"/>
        </w:rPr>
        <w:t>ends, economic conditions, and weather conditions, among other factors. This issue is further compounded by the increasing use of digital and social media by consumers and the speed by which information and opinions are shared across the globe. We cannot a</w:t>
      </w:r>
      <w:r>
        <w:rPr>
          <w:rFonts w:eastAsia="Times New Roman"/>
          <w:color w:val="000000"/>
          <w:sz w:val="20"/>
          <w:szCs w:val="20"/>
        </w:rPr>
        <w:t>ssure that we will be able to continue to develop appealing styles or successfully meet constantly changing consumer preferences in the future. In addition, we cannot assure that any new products or brands that we introduce will be successfully received by</w:t>
      </w:r>
      <w:r>
        <w:rPr>
          <w:rFonts w:eastAsia="Times New Roman"/>
          <w:color w:val="000000"/>
          <w:sz w:val="20"/>
          <w:szCs w:val="20"/>
        </w:rPr>
        <w:t xml:space="preserve"> consumers. Any failure on our part to anticipate, identify, and respond effectively to changing consumer preferences and fashion trends could adversely affect consumer acceptance of our products and leave us with a substantial amount of unsold inventory o</w:t>
      </w:r>
      <w:r>
        <w:rPr>
          <w:rFonts w:eastAsia="Times New Roman"/>
          <w:color w:val="000000"/>
          <w:sz w:val="20"/>
          <w:szCs w:val="20"/>
        </w:rPr>
        <w:t>r missed opportunities. Conversely, if we underestimate consumer demand for our products or if manufacturers fail to supply quality products in a timely manner, we may experience inventory shortages. Any of these outcomes could have a material adverse effe</w:t>
      </w:r>
      <w:r>
        <w:rPr>
          <w:rFonts w:eastAsia="Times New Roman"/>
          <w:color w:val="000000"/>
          <w:sz w:val="20"/>
          <w:szCs w:val="20"/>
        </w:rPr>
        <w:t xml:space="preserve">ct on our business. For a discussion of risks related to our inventory management, see </w:t>
      </w:r>
      <w:r>
        <w:rPr>
          <w:rFonts w:eastAsia="Times New Roman"/>
          <w:i/>
          <w:iCs/>
          <w:color w:val="000000"/>
          <w:sz w:val="20"/>
          <w:szCs w:val="20"/>
        </w:rPr>
        <w:t xml:space="preserve">"Risks Related to our Strategic Initiatives and Restructuring Activities — Our profitability may decline if we are unable to effectively manage inventory or as a result </w:t>
      </w:r>
      <w:r>
        <w:rPr>
          <w:rFonts w:eastAsia="Times New Roman"/>
          <w:i/>
          <w:iCs/>
          <w:color w:val="000000"/>
          <w:sz w:val="20"/>
          <w:szCs w:val="20"/>
        </w:rPr>
        <w:t>of increasing pressure on margins."</w:t>
      </w:r>
    </w:p>
    <w:p w:rsidR="00000000" w:rsidRDefault="00BB5C2D">
      <w:pPr>
        <w:ind w:firstLine="540"/>
        <w:jc w:val="both"/>
        <w:divId w:val="647591568"/>
        <w:rPr>
          <w:rFonts w:eastAsia="Times New Roman"/>
        </w:rPr>
      </w:pPr>
      <w:r>
        <w:rPr>
          <w:rFonts w:eastAsia="Times New Roman"/>
          <w:color w:val="000000"/>
          <w:sz w:val="20"/>
          <w:szCs w:val="20"/>
        </w:rPr>
        <w:t>Our marketing and advertising programs are integral to the success of our product offerings and on our ability to attract new customers and retain existing customers. Our communication campaigns are increasingly being ex</w:t>
      </w:r>
      <w:r>
        <w:rPr>
          <w:rFonts w:eastAsia="Times New Roman"/>
          <w:color w:val="000000"/>
          <w:sz w:val="20"/>
          <w:szCs w:val="20"/>
        </w:rPr>
        <w:t>ecuted through digital and social media platforms to drive further engagement with the younger consumer, with a focus on influencers. However, we cannot assure that our marketing and advertising programs will be successful or appeal to consumers.</w:t>
      </w:r>
    </w:p>
    <w:p w:rsidR="00000000" w:rsidRDefault="00BB5C2D">
      <w:pPr>
        <w:ind w:firstLine="540"/>
        <w:jc w:val="both"/>
        <w:divId w:val="491917005"/>
        <w:rPr>
          <w:rFonts w:eastAsia="Times New Roman"/>
        </w:rPr>
      </w:pPr>
      <w:r>
        <w:rPr>
          <w:rFonts w:eastAsia="Times New Roman"/>
          <w:color w:val="000000"/>
          <w:sz w:val="20"/>
          <w:szCs w:val="20"/>
        </w:rPr>
        <w:t>The succe</w:t>
      </w:r>
      <w:r>
        <w:rPr>
          <w:rFonts w:eastAsia="Times New Roman"/>
          <w:color w:val="000000"/>
          <w:sz w:val="20"/>
          <w:szCs w:val="20"/>
        </w:rPr>
        <w:t>ss of our business also depends on our ability to continue to develop and maintain a reliable omni-channel experience for our customers, as well as our ability to introduce new Connected Retail capabilities, such as virtual selling appointments, Buy Online</w:t>
      </w:r>
      <w:r>
        <w:rPr>
          <w:rFonts w:eastAsia="Times New Roman"/>
          <w:color w:val="000000"/>
          <w:sz w:val="20"/>
          <w:szCs w:val="20"/>
        </w:rPr>
        <w:t>-Pick Up in Store, and mobile checkout and contactless payments, among other capabilities. Our business has evolved from an in-store experience to a shopping experience through multiple technologies, including computers, smartphones, tablets, and other dev</w:t>
      </w:r>
      <w:r>
        <w:rPr>
          <w:rFonts w:eastAsia="Times New Roman"/>
          <w:color w:val="000000"/>
          <w:sz w:val="20"/>
          <w:szCs w:val="20"/>
        </w:rPr>
        <w:t>ices, as our customers have become increasingly technologically savvy and expect a seamless omni-channel experience regardless of whether they are shopping in stores or online. We are increasingly using digital and social media platforms to interact with c</w:t>
      </w:r>
      <w:r>
        <w:rPr>
          <w:rFonts w:eastAsia="Times New Roman"/>
          <w:color w:val="000000"/>
          <w:sz w:val="20"/>
          <w:szCs w:val="20"/>
        </w:rPr>
        <w:t>ustomers and enhance their shopping experience. If we are unable to develop and continuously improve our customer-facing technologies, the efforts of which typically require significant capital investments, we may not be able to provide a convenient and co</w:t>
      </w:r>
      <w:r>
        <w:rPr>
          <w:rFonts w:eastAsia="Times New Roman"/>
          <w:color w:val="000000"/>
          <w:sz w:val="20"/>
          <w:szCs w:val="20"/>
        </w:rPr>
        <w:t>nsistent experience to our customers regardless of the sales channel. This could negatively affect our ability to compete with other retailers and result in diminished loyalty to our brands, which could adversely impact our business.</w:t>
      </w:r>
    </w:p>
    <w:p w:rsidR="00000000" w:rsidRDefault="00BB5C2D">
      <w:pPr>
        <w:ind w:firstLine="540"/>
        <w:jc w:val="both"/>
        <w:divId w:val="1328940597"/>
        <w:rPr>
          <w:rFonts w:eastAsia="Times New Roman"/>
        </w:rPr>
      </w:pPr>
      <w:r>
        <w:rPr>
          <w:rFonts w:eastAsia="Times New Roman"/>
          <w:color w:val="000000"/>
          <w:sz w:val="20"/>
          <w:szCs w:val="20"/>
        </w:rPr>
        <w:t>We have also implement</w:t>
      </w:r>
      <w:r>
        <w:rPr>
          <w:rFonts w:eastAsia="Times New Roman"/>
          <w:color w:val="000000"/>
          <w:sz w:val="20"/>
          <w:szCs w:val="20"/>
        </w:rPr>
        <w:t>ed, and expect to continue to implement, new store design concepts and other renovations to our existing store portfolio as part of our growth strategy. There can be no assurance that any of our store designs will resonate with customers or otherwise achie</w:t>
      </w:r>
      <w:r>
        <w:rPr>
          <w:rFonts w:eastAsia="Times New Roman"/>
          <w:color w:val="000000"/>
          <w:sz w:val="20"/>
          <w:szCs w:val="20"/>
        </w:rPr>
        <w:t xml:space="preserve">ve the desired sales and profitability measures necessary to recover our initial capital investments, and such risks may be further compounded during periods of adverse economic conditions. If customers are not receptive to the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580143130"/>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580143130"/>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28</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55" style="width:0;height:1.5pt" o:hralign="center" o:hrstd="t" o:hr="t" fillcolor="#a0a0a0" stroked="f"/>
        </w:pict>
      </w:r>
    </w:p>
    <w:p w:rsidR="00000000" w:rsidRDefault="00BB5C2D">
      <w:pPr>
        <w:divId w:val="1410469113"/>
        <w:rPr>
          <w:rFonts w:eastAsia="Times New Roman"/>
        </w:rPr>
      </w:pPr>
    </w:p>
    <w:p w:rsidR="00000000" w:rsidRDefault="00BB5C2D">
      <w:pPr>
        <w:jc w:val="both"/>
        <w:divId w:val="693075001"/>
        <w:rPr>
          <w:rFonts w:eastAsia="Times New Roman"/>
        </w:rPr>
      </w:pPr>
      <w:r>
        <w:rPr>
          <w:rFonts w:eastAsia="Times New Roman"/>
          <w:color w:val="000000"/>
          <w:sz w:val="20"/>
          <w:szCs w:val="20"/>
        </w:rPr>
        <w:t>design layout or visual merchandising of our stores, our business could be adversely affected. In addition, the failure of our store designs to achieve acceptable results could lead to asset impairment charges and/or o</w:t>
      </w:r>
      <w:r>
        <w:rPr>
          <w:rFonts w:eastAsia="Times New Roman"/>
          <w:color w:val="000000"/>
          <w:sz w:val="20"/>
          <w:szCs w:val="20"/>
        </w:rPr>
        <w:t xml:space="preserve">ur decision to close a store prior to the lease expiration date resulting in other store closure-related charges, including early lease termination fees. For additional discussion of risks related to the early termination of our leases, see </w:t>
      </w:r>
      <w:r>
        <w:rPr>
          <w:rFonts w:eastAsia="Times New Roman"/>
          <w:i/>
          <w:iCs/>
          <w:color w:val="000000"/>
          <w:sz w:val="20"/>
          <w:szCs w:val="20"/>
        </w:rPr>
        <w:t xml:space="preserve">"Risks Related </w:t>
      </w:r>
      <w:r>
        <w:rPr>
          <w:rFonts w:eastAsia="Times New Roman"/>
          <w:i/>
          <w:iCs/>
          <w:color w:val="000000"/>
          <w:sz w:val="20"/>
          <w:szCs w:val="20"/>
        </w:rPr>
        <w:t xml:space="preserve">to our Business and Operations </w:t>
      </w:r>
      <w:r>
        <w:rPr>
          <w:rFonts w:eastAsia="Times New Roman"/>
          <w:color w:val="000000"/>
          <w:sz w:val="20"/>
          <w:szCs w:val="20"/>
        </w:rPr>
        <w:t xml:space="preserve">— </w:t>
      </w:r>
      <w:r>
        <w:rPr>
          <w:rFonts w:eastAsia="Times New Roman"/>
          <w:i/>
          <w:iCs/>
          <w:color w:val="000000"/>
          <w:sz w:val="20"/>
          <w:szCs w:val="20"/>
        </w:rPr>
        <w:t>Our business is subject to risks associated with leasing real estate and other assets under long-term, non-cancellable leases."</w:t>
      </w:r>
    </w:p>
    <w:p w:rsidR="00000000" w:rsidRDefault="00BB5C2D">
      <w:pPr>
        <w:jc w:val="both"/>
        <w:divId w:val="1377005628"/>
        <w:rPr>
          <w:rFonts w:eastAsia="Times New Roman"/>
        </w:rPr>
      </w:pPr>
      <w:r>
        <w:rPr>
          <w:rFonts w:eastAsia="Times New Roman"/>
          <w:b/>
          <w:bCs/>
          <w:color w:val="000000"/>
          <w:sz w:val="20"/>
          <w:szCs w:val="20"/>
        </w:rPr>
        <w:t>Our profitability may decline if we are unable to effectively manage inventory or as a result o</w:t>
      </w:r>
      <w:r>
        <w:rPr>
          <w:rFonts w:eastAsia="Times New Roman"/>
          <w:b/>
          <w:bCs/>
          <w:color w:val="000000"/>
          <w:sz w:val="20"/>
          <w:szCs w:val="20"/>
        </w:rPr>
        <w:t>f increasing pressure on margins.</w:t>
      </w:r>
    </w:p>
    <w:p w:rsidR="00000000" w:rsidRDefault="00BB5C2D">
      <w:pPr>
        <w:ind w:firstLine="540"/>
        <w:jc w:val="both"/>
        <w:divId w:val="1184632380"/>
        <w:rPr>
          <w:rFonts w:eastAsia="Times New Roman"/>
        </w:rPr>
      </w:pPr>
      <w:r>
        <w:rPr>
          <w:rFonts w:eastAsia="Times New Roman"/>
          <w:color w:val="000000"/>
          <w:sz w:val="20"/>
          <w:szCs w:val="20"/>
        </w:rPr>
        <w:t>We have implemented key strategic initiatives designed to optimize our inventory levels and improve the efficiency and responsiveness of our supply chain. Although we have shortened lead times for the design, sourcing, and</w:t>
      </w:r>
      <w:r>
        <w:rPr>
          <w:rFonts w:eastAsia="Times New Roman"/>
          <w:color w:val="000000"/>
          <w:sz w:val="20"/>
          <w:szCs w:val="20"/>
        </w:rPr>
        <w:t xml:space="preserve"> production of certain of our product lines, we expect to continue to place orders with our vendors for the majority of products in advance of the related selling season. As a result, we are vulnerable to changes in consumer preferences and demand and pric</w:t>
      </w:r>
      <w:r>
        <w:rPr>
          <w:rFonts w:eastAsia="Times New Roman"/>
          <w:color w:val="000000"/>
          <w:sz w:val="20"/>
          <w:szCs w:val="20"/>
        </w:rPr>
        <w:t>ing shifts. Our failure to continue to shorten lead times or to correctly anticipate consumer preferences and demand could result in the build-up of excess inventory. Other factors beyond our control could also result in the build-up of excess inventory, i</w:t>
      </w:r>
      <w:r>
        <w:rPr>
          <w:rFonts w:eastAsia="Times New Roman"/>
          <w:color w:val="000000"/>
          <w:sz w:val="20"/>
          <w:szCs w:val="20"/>
        </w:rPr>
        <w:t>ncluding unforeseen adverse economic conditions or business disruptions, such as those caused by the COVID-19 pandemic. Excess inventory levels could result in the utilization of less-preferred distribution channels, markdowns, promotional sales, donations</w:t>
      </w:r>
      <w:r>
        <w:rPr>
          <w:rFonts w:eastAsia="Times New Roman"/>
          <w:color w:val="000000"/>
          <w:sz w:val="20"/>
          <w:szCs w:val="20"/>
        </w:rPr>
        <w:t>, or destruction to dispose of such excess or slow-moving inventory, which may negatively impact our overall profitability and/or impair the image of our brands. Conversely, if we underestimate consumer demand for our products or if manufacturers fail to s</w:t>
      </w:r>
      <w:r>
        <w:rPr>
          <w:rFonts w:eastAsia="Times New Roman"/>
          <w:color w:val="000000"/>
          <w:sz w:val="20"/>
          <w:szCs w:val="20"/>
        </w:rPr>
        <w:t>upply quality products in a timely manner, we may experience inventory shortages, which may negatively impact customer relationships, diminish brand loyalty, and result in lost sales. Any of these outcomes could have a material adverse effect on our busine</w:t>
      </w:r>
      <w:r>
        <w:rPr>
          <w:rFonts w:eastAsia="Times New Roman"/>
          <w:color w:val="000000"/>
          <w:sz w:val="20"/>
          <w:szCs w:val="20"/>
        </w:rPr>
        <w:t>ss.</w:t>
      </w:r>
    </w:p>
    <w:p w:rsidR="00000000" w:rsidRDefault="00BB5C2D">
      <w:pPr>
        <w:ind w:firstLine="540"/>
        <w:jc w:val="both"/>
        <w:divId w:val="683288925"/>
        <w:rPr>
          <w:rFonts w:eastAsia="Times New Roman"/>
        </w:rPr>
      </w:pPr>
      <w:r>
        <w:rPr>
          <w:rFonts w:eastAsia="Times New Roman"/>
          <w:color w:val="000000"/>
          <w:sz w:val="20"/>
          <w:szCs w:val="20"/>
        </w:rPr>
        <w:t>Additionally, our industry is subject to significant pricing pressure caused by many factors, including intense competition and a highly promotional retail environment, consolidation in the retail industry, pressure from retailers to reduce the costs o</w:t>
      </w:r>
      <w:r>
        <w:rPr>
          <w:rFonts w:eastAsia="Times New Roman"/>
          <w:color w:val="000000"/>
          <w:sz w:val="20"/>
          <w:szCs w:val="20"/>
        </w:rPr>
        <w:t>f products, and changes in consumer spending patterns. Although we continue to limit our promotional activity in connection with our quality of sales initiatives, these factors may cause us to reduce our sales prices to retailers and consumers, which could</w:t>
      </w:r>
      <w:r>
        <w:rPr>
          <w:rFonts w:eastAsia="Times New Roman"/>
          <w:color w:val="000000"/>
          <w:sz w:val="20"/>
          <w:szCs w:val="20"/>
        </w:rPr>
        <w:t xml:space="preserve"> cause our gross margin to decline if we are unable to appropriately manage inventory levels and/or otherwise offset price reductions with comparable reductions in our costs. If our sales prices decline and we fail to sufficiently reduce our product costs </w:t>
      </w:r>
      <w:r>
        <w:rPr>
          <w:rFonts w:eastAsia="Times New Roman"/>
          <w:color w:val="000000"/>
          <w:sz w:val="20"/>
          <w:szCs w:val="20"/>
        </w:rPr>
        <w:t>or operating expenses, our profitability will decline. In addition, changes in our customer, channel, and geographic sales mix could have a negative impact on our profitability. Any of these outcomes could have a material adverse effect on our business.</w:t>
      </w:r>
    </w:p>
    <w:p w:rsidR="00000000" w:rsidRDefault="00BB5C2D">
      <w:pPr>
        <w:jc w:val="both"/>
        <w:divId w:val="1959531280"/>
        <w:rPr>
          <w:rFonts w:eastAsia="Times New Roman"/>
        </w:rPr>
      </w:pPr>
      <w:r>
        <w:rPr>
          <w:rFonts w:eastAsia="Times New Roman"/>
          <w:b/>
          <w:bCs/>
          <w:color w:val="000000"/>
          <w:sz w:val="20"/>
          <w:szCs w:val="20"/>
        </w:rPr>
        <w:t>We</w:t>
      </w:r>
      <w:r>
        <w:rPr>
          <w:rFonts w:eastAsia="Times New Roman"/>
          <w:b/>
          <w:bCs/>
          <w:color w:val="000000"/>
          <w:sz w:val="20"/>
          <w:szCs w:val="20"/>
        </w:rPr>
        <w:t xml:space="preserve"> may not fully realize the expected cost savings and/or operating efficiencies from our restructuring plans.</w:t>
      </w:r>
    </w:p>
    <w:p w:rsidR="00000000" w:rsidRDefault="00BB5C2D">
      <w:pPr>
        <w:ind w:firstLine="540"/>
        <w:jc w:val="both"/>
        <w:divId w:val="1748182901"/>
        <w:rPr>
          <w:rFonts w:eastAsia="Times New Roman"/>
        </w:rPr>
      </w:pPr>
      <w:r>
        <w:rPr>
          <w:rFonts w:eastAsia="Times New Roman"/>
          <w:color w:val="000000"/>
          <w:sz w:val="20"/>
          <w:szCs w:val="20"/>
        </w:rPr>
        <w:t>We have implemented restructuring plans to support key strategic initiatives, such as the Fiscal 2021 Strategic Realignment Plan, as described in I</w:t>
      </w:r>
      <w:r>
        <w:rPr>
          <w:rFonts w:eastAsia="Times New Roman"/>
          <w:color w:val="000000"/>
          <w:sz w:val="20"/>
          <w:szCs w:val="20"/>
        </w:rPr>
        <w:t xml:space="preserve">tem 1 — </w:t>
      </w:r>
      <w:r>
        <w:rPr>
          <w:rFonts w:eastAsia="Times New Roman"/>
          <w:i/>
          <w:iCs/>
          <w:color w:val="000000"/>
          <w:sz w:val="20"/>
          <w:szCs w:val="20"/>
        </w:rPr>
        <w:t>"Business — Recent Developments."</w:t>
      </w:r>
      <w:r>
        <w:rPr>
          <w:rFonts w:eastAsia="Times New Roman"/>
          <w:color w:val="000000"/>
          <w:sz w:val="20"/>
          <w:szCs w:val="20"/>
        </w:rPr>
        <w:t xml:space="preserve"> Although designed to deliver long-term sustainable growth, restructuring plans present significant potential risks that may impair our ability to achieve anticipated operating enhancements and/or cost reductions, o</w:t>
      </w:r>
      <w:r>
        <w:rPr>
          <w:rFonts w:eastAsia="Times New Roman"/>
          <w:color w:val="000000"/>
          <w:sz w:val="20"/>
          <w:szCs w:val="20"/>
        </w:rPr>
        <w:t>r otherwise harm our business, including (i) higher than anticipated costs in implementing planned workforce reductions, particularly in highly regulated locations outside the U.S.; (ii) higher than anticipated lease termination and store or facility closu</w:t>
      </w:r>
      <w:r>
        <w:rPr>
          <w:rFonts w:eastAsia="Times New Roman"/>
          <w:color w:val="000000"/>
          <w:sz w:val="20"/>
          <w:szCs w:val="20"/>
        </w:rPr>
        <w:t xml:space="preserve">re costs (see </w:t>
      </w:r>
      <w:r>
        <w:rPr>
          <w:rFonts w:eastAsia="Times New Roman"/>
          <w:i/>
          <w:iCs/>
          <w:color w:val="000000"/>
          <w:sz w:val="20"/>
          <w:szCs w:val="20"/>
        </w:rPr>
        <w:t xml:space="preserve">"Risks Related to our Business and Operations </w:t>
      </w:r>
      <w:r>
        <w:rPr>
          <w:rFonts w:eastAsia="Times New Roman"/>
          <w:color w:val="000000"/>
          <w:sz w:val="20"/>
          <w:szCs w:val="20"/>
        </w:rPr>
        <w:t xml:space="preserve">— </w:t>
      </w:r>
      <w:r>
        <w:rPr>
          <w:rFonts w:eastAsia="Times New Roman"/>
          <w:i/>
          <w:iCs/>
          <w:color w:val="000000"/>
          <w:sz w:val="20"/>
          <w:szCs w:val="20"/>
        </w:rPr>
        <w:t>Our business is subject to risks associated with leasing real estate and other assets under long-term, non-cancellable leases"</w:t>
      </w:r>
      <w:r>
        <w:rPr>
          <w:rFonts w:eastAsia="Times New Roman"/>
          <w:color w:val="000000"/>
          <w:sz w:val="20"/>
          <w:szCs w:val="20"/>
        </w:rPr>
        <w:t>); (iii) failure to meet operational targets or customer requirement</w:t>
      </w:r>
      <w:r>
        <w:rPr>
          <w:rFonts w:eastAsia="Times New Roman"/>
          <w:color w:val="000000"/>
          <w:sz w:val="20"/>
          <w:szCs w:val="20"/>
        </w:rPr>
        <w:t>s due to the loss of employees or inadequate transfer of knowledge; (iv) failure to maintain adequate controls and procedures while executing, and subsequent to completing, our restructuring plans; (v) diversion of management attention and resources from o</w:t>
      </w:r>
      <w:r>
        <w:rPr>
          <w:rFonts w:eastAsia="Times New Roman"/>
          <w:color w:val="000000"/>
          <w:sz w:val="20"/>
          <w:szCs w:val="20"/>
        </w:rPr>
        <w:t>ngoing business activities and/or a decrease in employee morale; (vii) attrition beyond any planned reduction in workforce; and (viii) damage to our reputation and brand image due to our restructuring-related activities.</w:t>
      </w:r>
    </w:p>
    <w:p w:rsidR="00000000" w:rsidRDefault="00BB5C2D">
      <w:pPr>
        <w:ind w:firstLine="540"/>
        <w:jc w:val="both"/>
        <w:divId w:val="1152523186"/>
        <w:rPr>
          <w:rFonts w:eastAsia="Times New Roman"/>
        </w:rPr>
      </w:pPr>
      <w:r>
        <w:rPr>
          <w:rFonts w:eastAsia="Times New Roman"/>
          <w:color w:val="000000"/>
          <w:sz w:val="20"/>
          <w:szCs w:val="20"/>
        </w:rPr>
        <w:t>If we are not successful in impleme</w:t>
      </w:r>
      <w:r>
        <w:rPr>
          <w:rFonts w:eastAsia="Times New Roman"/>
          <w:color w:val="000000"/>
          <w:sz w:val="20"/>
          <w:szCs w:val="20"/>
        </w:rPr>
        <w:t>nting and managing our restructuring plans, we may not be able to achieve targeted operating enhancements, sales growth, and/or cost reductions, which could adversely impact our business. Our failure to achieve targeted results for any reason, including bu</w:t>
      </w:r>
      <w:r>
        <w:rPr>
          <w:rFonts w:eastAsia="Times New Roman"/>
          <w:color w:val="000000"/>
          <w:sz w:val="20"/>
          <w:szCs w:val="20"/>
        </w:rPr>
        <w:t>siness disruptions from pandemic diseases such as COVID-19, could also lead to the implementation of additional restructuring-related activities, which may be dilutive to our earnings in the short term.</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033189552"/>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033189552"/>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29</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56" style="width:0;height:1.5pt" o:hralign="center" o:hrstd="t" o:hr="t" fillcolor="#a0a0a0" stroked="f"/>
        </w:pict>
      </w:r>
    </w:p>
    <w:p w:rsidR="00000000" w:rsidRDefault="00BB5C2D">
      <w:pPr>
        <w:divId w:val="1110667357"/>
        <w:rPr>
          <w:rFonts w:eastAsia="Times New Roman"/>
        </w:rPr>
      </w:pPr>
    </w:p>
    <w:p w:rsidR="00000000" w:rsidRDefault="00BB5C2D">
      <w:pPr>
        <w:jc w:val="both"/>
        <w:divId w:val="1822499061"/>
        <w:rPr>
          <w:rFonts w:eastAsia="Times New Roman"/>
        </w:rPr>
      </w:pPr>
      <w:r>
        <w:rPr>
          <w:rFonts w:eastAsia="Times New Roman"/>
          <w:b/>
          <w:bCs/>
          <w:color w:val="000000"/>
          <w:sz w:val="20"/>
          <w:szCs w:val="20"/>
          <w:u w:val="single"/>
        </w:rPr>
        <w:t>Risks Related to our Business and Operations</w:t>
      </w:r>
    </w:p>
    <w:p w:rsidR="00000000" w:rsidRDefault="00BB5C2D">
      <w:pPr>
        <w:jc w:val="both"/>
        <w:divId w:val="1772359086"/>
        <w:rPr>
          <w:rFonts w:eastAsia="Times New Roman"/>
        </w:rPr>
      </w:pPr>
      <w:r>
        <w:rPr>
          <w:rFonts w:eastAsia="Times New Roman"/>
          <w:b/>
          <w:bCs/>
          <w:color w:val="000000"/>
          <w:sz w:val="20"/>
          <w:szCs w:val="20"/>
        </w:rPr>
        <w:t xml:space="preserve">The loss of the services of Mr. Ralph Lauren or any other changes to our executive and senior management team may be disruptive to, or cause uncertainty in, our business. </w:t>
      </w:r>
    </w:p>
    <w:p w:rsidR="00000000" w:rsidRDefault="00BB5C2D">
      <w:pPr>
        <w:ind w:firstLine="540"/>
        <w:jc w:val="both"/>
        <w:divId w:val="1439637063"/>
        <w:rPr>
          <w:rFonts w:eastAsia="Times New Roman"/>
        </w:rPr>
      </w:pPr>
      <w:r>
        <w:rPr>
          <w:rFonts w:eastAsia="Times New Roman"/>
          <w:color w:val="000000"/>
          <w:sz w:val="20"/>
          <w:szCs w:val="20"/>
        </w:rPr>
        <w:t>M</w:t>
      </w:r>
      <w:r>
        <w:rPr>
          <w:rFonts w:eastAsia="Times New Roman"/>
          <w:color w:val="000000"/>
          <w:sz w:val="20"/>
          <w:szCs w:val="20"/>
        </w:rPr>
        <w:t xml:space="preserve">r. Ralph Lauren's leadership in the design and marketing areas of our business has been a critical element of our success since the inception of our Company. Mr. R. Lauren is instrumental to, and closely identified with, our brand that bears his name. Our </w:t>
      </w:r>
      <w:r>
        <w:rPr>
          <w:rFonts w:eastAsia="Times New Roman"/>
          <w:color w:val="000000"/>
          <w:sz w:val="20"/>
          <w:szCs w:val="20"/>
        </w:rPr>
        <w:t>ability to maintain our brand image and leverage the goodwill associated with Mr. R. Lauren's name may be damaged if we were to lose his services. The death or disability of Mr. R. Lauren or other extended or permanent loss of his services, or any negative</w:t>
      </w:r>
      <w:r>
        <w:rPr>
          <w:rFonts w:eastAsia="Times New Roman"/>
          <w:color w:val="000000"/>
          <w:sz w:val="20"/>
          <w:szCs w:val="20"/>
        </w:rPr>
        <w:t xml:space="preserve"> market or industry perception with respect to him or arising from his loss, could have a material adverse effect on our business.</w:t>
      </w:r>
    </w:p>
    <w:p w:rsidR="00000000" w:rsidRDefault="00BB5C2D">
      <w:pPr>
        <w:ind w:firstLine="540"/>
        <w:jc w:val="both"/>
        <w:divId w:val="331105987"/>
        <w:rPr>
          <w:rFonts w:eastAsia="Times New Roman"/>
        </w:rPr>
      </w:pPr>
      <w:r>
        <w:rPr>
          <w:rFonts w:eastAsia="Times New Roman"/>
          <w:color w:val="000000"/>
          <w:sz w:val="20"/>
          <w:szCs w:val="20"/>
        </w:rPr>
        <w:t xml:space="preserve">We also depend on the service and management experience of other key executive officers and members of senior management who </w:t>
      </w:r>
      <w:r>
        <w:rPr>
          <w:rFonts w:eastAsia="Times New Roman"/>
          <w:color w:val="000000"/>
          <w:sz w:val="20"/>
          <w:szCs w:val="20"/>
        </w:rPr>
        <w:t xml:space="preserve">have substantial experience and expertise in our industry and our business and have made significant contributions to our growth and success. Competition in our industry to attract and retain these employees is intense and is influenced by our reputation, </w:t>
      </w:r>
      <w:r>
        <w:rPr>
          <w:rFonts w:eastAsia="Times New Roman"/>
          <w:color w:val="000000"/>
          <w:sz w:val="20"/>
          <w:szCs w:val="20"/>
        </w:rPr>
        <w:t>our ability to offer competitive compensation and benefits, and economic conditions, among other factors. Any changes in our executive and senior management team, including those resulting from our restructuring actions, may be disruptive to, or cause unce</w:t>
      </w:r>
      <w:r>
        <w:rPr>
          <w:rFonts w:eastAsia="Times New Roman"/>
          <w:color w:val="000000"/>
          <w:sz w:val="20"/>
          <w:szCs w:val="20"/>
        </w:rPr>
        <w:t>rtainty in, our business and future strategic direction. The departure of any key individuals and the failure to ensure a smooth transition and effective transfer of knowledge involving senior employees could hinder or delay our strategic planning and exec</w:t>
      </w:r>
      <w:r>
        <w:rPr>
          <w:rFonts w:eastAsia="Times New Roman"/>
          <w:color w:val="000000"/>
          <w:sz w:val="20"/>
          <w:szCs w:val="20"/>
        </w:rPr>
        <w:t>ution, as well as adversely affect our ability to attract and retain other experienced and talented employees. Furthermore, the retail industry (among others) has been adversely affected by overall labor shortages resulting from a combination of the COVID-</w:t>
      </w:r>
      <w:r>
        <w:rPr>
          <w:rFonts w:eastAsia="Times New Roman"/>
          <w:color w:val="000000"/>
          <w:sz w:val="20"/>
          <w:szCs w:val="20"/>
        </w:rPr>
        <w:t>19 pandemic, labor disputes, strikes, and other factors. The introduction of new work arrangements and company-specific requirements regarding when and how often employees are required to work on-site versus remotely may also impact companies' ability to a</w:t>
      </w:r>
      <w:r>
        <w:rPr>
          <w:rFonts w:eastAsia="Times New Roman"/>
          <w:color w:val="000000"/>
          <w:sz w:val="20"/>
          <w:szCs w:val="20"/>
        </w:rPr>
        <w:t>ttract and retain employees. The departure of key individuals or our failure to maintain sufficient employee staffing levels could have a material adverse impact on our business, as well as impede our ability to maintain an effective system of internal con</w:t>
      </w:r>
      <w:r>
        <w:rPr>
          <w:rFonts w:eastAsia="Times New Roman"/>
          <w:color w:val="000000"/>
          <w:sz w:val="20"/>
          <w:szCs w:val="20"/>
        </w:rPr>
        <w:t xml:space="preserve">trols and compliance with the requirements under the Sarbanes-Oxley Act of 2002. </w:t>
      </w:r>
    </w:p>
    <w:p w:rsidR="00000000" w:rsidRDefault="00BB5C2D">
      <w:pPr>
        <w:ind w:firstLine="540"/>
        <w:jc w:val="both"/>
        <w:divId w:val="863441110"/>
        <w:rPr>
          <w:rFonts w:eastAsia="Times New Roman"/>
        </w:rPr>
      </w:pPr>
      <w:r>
        <w:rPr>
          <w:rFonts w:eastAsia="Times New Roman"/>
          <w:color w:val="000000"/>
          <w:sz w:val="20"/>
          <w:szCs w:val="20"/>
        </w:rPr>
        <w:t>We are not protected by a material amount of key-man or similar life insurance covering our executive officers, including Mr. R. Lauren, or other members of senior management</w:t>
      </w:r>
      <w:r>
        <w:rPr>
          <w:rFonts w:eastAsia="Times New Roman"/>
          <w:color w:val="000000"/>
          <w:sz w:val="20"/>
          <w:szCs w:val="20"/>
        </w:rPr>
        <w:t>. We have entered into employment agreements with certain of our executive officers, but competition for experienced executives in our industry is intense and the non-compete period with respect to certain of our executive officers could, in some circumsta</w:t>
      </w:r>
      <w:r>
        <w:rPr>
          <w:rFonts w:eastAsia="Times New Roman"/>
          <w:color w:val="000000"/>
          <w:sz w:val="20"/>
          <w:szCs w:val="20"/>
        </w:rPr>
        <w:t>nces in the event of their termination of employment with our Company, end prior to the employment term set forth in their employment agreements.</w:t>
      </w:r>
    </w:p>
    <w:p w:rsidR="00000000" w:rsidRDefault="00BB5C2D">
      <w:pPr>
        <w:jc w:val="both"/>
        <w:divId w:val="1812943146"/>
        <w:rPr>
          <w:rFonts w:eastAsia="Times New Roman"/>
        </w:rPr>
      </w:pPr>
      <w:r>
        <w:rPr>
          <w:rFonts w:eastAsia="Times New Roman"/>
          <w:b/>
          <w:bCs/>
          <w:color w:val="000000"/>
          <w:sz w:val="20"/>
          <w:szCs w:val="20"/>
        </w:rPr>
        <w:t>We face intense competition worldwide in the markets in which we operate.</w:t>
      </w:r>
    </w:p>
    <w:p w:rsidR="00000000" w:rsidRDefault="00BB5C2D">
      <w:pPr>
        <w:ind w:firstLine="540"/>
        <w:jc w:val="both"/>
        <w:divId w:val="1325205606"/>
        <w:rPr>
          <w:rFonts w:eastAsia="Times New Roman"/>
        </w:rPr>
      </w:pPr>
      <w:r>
        <w:rPr>
          <w:rFonts w:eastAsia="Times New Roman"/>
          <w:color w:val="000000"/>
          <w:sz w:val="20"/>
          <w:szCs w:val="20"/>
        </w:rPr>
        <w:t xml:space="preserve">We face increasing competition from </w:t>
      </w:r>
      <w:r>
        <w:rPr>
          <w:rFonts w:eastAsia="Times New Roman"/>
          <w:color w:val="000000"/>
          <w:sz w:val="20"/>
          <w:szCs w:val="20"/>
        </w:rPr>
        <w:t>companies selling apparel, footwear, accessories, home, and other of our product categories through the Internet. Although we sell our products through the Internet, increased competition and promotional activity in the worldwide apparel, footwear, accesso</w:t>
      </w:r>
      <w:r>
        <w:rPr>
          <w:rFonts w:eastAsia="Times New Roman"/>
          <w:color w:val="000000"/>
          <w:sz w:val="20"/>
          <w:szCs w:val="20"/>
        </w:rPr>
        <w:t>ry, and home product industries from Internet-based competitors could reduce our sales, prices, and margins. We also face intense competition from other domestic and foreign fashion-oriented apparel, footwear, accessory, and casual apparel producers that s</w:t>
      </w:r>
      <w:r>
        <w:rPr>
          <w:rFonts w:eastAsia="Times New Roman"/>
          <w:color w:val="000000"/>
          <w:sz w:val="20"/>
          <w:szCs w:val="20"/>
        </w:rPr>
        <w:t>ell products through brick and mortar stores and wholesale and licensing channels. We compete with these companies primarily on the basis of:</w:t>
      </w:r>
    </w:p>
    <w:p w:rsidR="00000000" w:rsidRDefault="00BB5C2D">
      <w:pPr>
        <w:ind w:hanging="360"/>
        <w:divId w:val="1289314160"/>
        <w:rPr>
          <w:rFonts w:eastAsia="Times New Roman"/>
        </w:rPr>
      </w:pPr>
      <w:r>
        <w:rPr>
          <w:rFonts w:eastAsia="Times New Roman"/>
          <w:color w:val="000000"/>
          <w:sz w:val="20"/>
          <w:szCs w:val="20"/>
        </w:rPr>
        <w:t xml:space="preserve">•anticipating and responding in a timely fashion to changing consumer demands and shopping preferences, including </w:t>
      </w:r>
      <w:r>
        <w:rPr>
          <w:rFonts w:eastAsia="Times New Roman"/>
          <w:color w:val="000000"/>
          <w:sz w:val="20"/>
          <w:szCs w:val="20"/>
        </w:rPr>
        <w:t>the ever-increasing shift to digital brand engagement, social media communications, and online and cross-channel shopping;</w:t>
      </w:r>
    </w:p>
    <w:p w:rsidR="00000000" w:rsidRDefault="00BB5C2D">
      <w:pPr>
        <w:ind w:hanging="360"/>
        <w:divId w:val="1932228334"/>
        <w:rPr>
          <w:rFonts w:eastAsia="Times New Roman"/>
        </w:rPr>
      </w:pPr>
      <w:r>
        <w:rPr>
          <w:rFonts w:eastAsia="Times New Roman"/>
          <w:color w:val="000000"/>
          <w:sz w:val="20"/>
          <w:szCs w:val="20"/>
        </w:rPr>
        <w:t>•creating and maintaining favorable brand recognition, loyalty, and a reputation for quality, including through digital brand engagem</w:t>
      </w:r>
      <w:r>
        <w:rPr>
          <w:rFonts w:eastAsia="Times New Roman"/>
          <w:color w:val="000000"/>
          <w:sz w:val="20"/>
          <w:szCs w:val="20"/>
        </w:rPr>
        <w:t>ent and online and social media presence;</w:t>
      </w:r>
    </w:p>
    <w:p w:rsidR="00000000" w:rsidRDefault="00BB5C2D">
      <w:pPr>
        <w:ind w:hanging="360"/>
        <w:divId w:val="1181043656"/>
        <w:rPr>
          <w:rFonts w:eastAsia="Times New Roman"/>
        </w:rPr>
      </w:pPr>
      <w:r>
        <w:rPr>
          <w:rFonts w:eastAsia="Times New Roman"/>
          <w:color w:val="000000"/>
          <w:sz w:val="20"/>
          <w:szCs w:val="20"/>
        </w:rPr>
        <w:t>•developing and producing innovative, high-quality products in sizes, colors, and styles that appeal to consumers of varying age groups;</w:t>
      </w:r>
    </w:p>
    <w:p w:rsidR="00000000" w:rsidRDefault="00BB5C2D">
      <w:pPr>
        <w:ind w:hanging="360"/>
        <w:divId w:val="1730879757"/>
        <w:rPr>
          <w:rFonts w:eastAsia="Times New Roman"/>
        </w:rPr>
      </w:pPr>
      <w:r>
        <w:rPr>
          <w:rFonts w:eastAsia="Times New Roman"/>
          <w:color w:val="000000"/>
          <w:sz w:val="20"/>
          <w:szCs w:val="20"/>
        </w:rPr>
        <w:t>•</w:t>
      </w:r>
      <w:r>
        <w:rPr>
          <w:rFonts w:eastAsia="Times New Roman"/>
          <w:color w:val="000000"/>
          <w:sz w:val="20"/>
          <w:szCs w:val="20"/>
        </w:rPr>
        <w:t>competitively pricing our products and creating an acceptable value proposition for consumers, including price increases to mitigate inflationary pressures while simultaneously balancing the risk of lower consumer demand in response to any such price incre</w:t>
      </w:r>
      <w:r>
        <w:rPr>
          <w:rFonts w:eastAsia="Times New Roman"/>
          <w:color w:val="000000"/>
          <w:sz w:val="20"/>
          <w:szCs w:val="20"/>
        </w:rPr>
        <w:t>ases;</w:t>
      </w:r>
    </w:p>
    <w:p w:rsidR="00000000" w:rsidRDefault="00BB5C2D">
      <w:pPr>
        <w:ind w:hanging="360"/>
        <w:divId w:val="2078938883"/>
        <w:rPr>
          <w:rFonts w:eastAsia="Times New Roman"/>
        </w:rPr>
      </w:pPr>
      <w:r>
        <w:rPr>
          <w:rFonts w:eastAsia="Times New Roman"/>
          <w:color w:val="000000"/>
          <w:sz w:val="20"/>
          <w:szCs w:val="20"/>
        </w:rPr>
        <w:t>•providing strong and effective marketing support in several diverse demographic markets, including through digital and social media platforms in order to stay better connected to consumers;</w:t>
      </w:r>
    </w:p>
    <w:p w:rsidR="00000000" w:rsidRDefault="00BB5C2D">
      <w:pPr>
        <w:ind w:hanging="360"/>
        <w:divId w:val="1748920853"/>
        <w:rPr>
          <w:rFonts w:eastAsia="Times New Roman"/>
        </w:rPr>
      </w:pPr>
      <w:r>
        <w:rPr>
          <w:rFonts w:eastAsia="Times New Roman"/>
          <w:color w:val="000000"/>
          <w:sz w:val="20"/>
          <w:szCs w:val="20"/>
        </w:rPr>
        <w:t xml:space="preserve">•providing attractive, reliable, secure, and user-friendly </w:t>
      </w:r>
      <w:r>
        <w:rPr>
          <w:rFonts w:eastAsia="Times New Roman"/>
          <w:color w:val="000000"/>
          <w:sz w:val="20"/>
          <w:szCs w:val="20"/>
        </w:rPr>
        <w:t>digital commerce sites;</w:t>
      </w:r>
    </w:p>
    <w:p w:rsidR="00000000" w:rsidRDefault="00BB5C2D">
      <w:pPr>
        <w:ind w:hanging="360"/>
        <w:divId w:val="1034692879"/>
        <w:rPr>
          <w:rFonts w:eastAsia="Times New Roman"/>
        </w:rPr>
      </w:pPr>
      <w:r>
        <w:rPr>
          <w:rFonts w:eastAsia="Times New Roman"/>
          <w:color w:val="000000"/>
          <w:sz w:val="20"/>
          <w:szCs w:val="20"/>
        </w:rPr>
        <w:t>•obtaining sufficient retail floor space and effective presentation of our products at stores and shop-within-shops;</w:t>
      </w:r>
    </w:p>
    <w:p w:rsidR="00000000" w:rsidRDefault="00BB5C2D">
      <w:pPr>
        <w:ind w:hanging="360"/>
        <w:divId w:val="882324750"/>
        <w:rPr>
          <w:rFonts w:eastAsia="Times New Roman"/>
        </w:rPr>
      </w:pPr>
      <w:r>
        <w:rPr>
          <w:rFonts w:eastAsia="Times New Roman"/>
          <w:color w:val="000000"/>
          <w:sz w:val="20"/>
          <w:szCs w:val="20"/>
        </w:rPr>
        <w:t xml:space="preserve">•attracting consumer traffic to stores, shop-within-shops, and digital commerce sites;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2078280412"/>
          <w:jc w:val="center"/>
        </w:trPr>
        <w:tc>
          <w:tcPr>
            <w:tcW w:w="50" w:type="pct"/>
            <w:vAlign w:val="center"/>
            <w:hideMark/>
          </w:tcPr>
          <w:p w:rsidR="00000000" w:rsidRDefault="00BB5C2D">
            <w:pPr>
              <w:ind w:hanging="360"/>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2078280412"/>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30</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57" style="width:0;height:1.5pt" o:hralign="center" o:hrstd="t" o:hr="t" fillcolor="#a0a0a0" stroked="f"/>
        </w:pict>
      </w:r>
    </w:p>
    <w:p w:rsidR="00000000" w:rsidRDefault="00BB5C2D">
      <w:pPr>
        <w:divId w:val="385446257"/>
        <w:rPr>
          <w:rFonts w:eastAsia="Times New Roman"/>
        </w:rPr>
      </w:pPr>
    </w:p>
    <w:p w:rsidR="00000000" w:rsidRDefault="00BB5C2D">
      <w:pPr>
        <w:ind w:hanging="360"/>
        <w:divId w:val="799495296"/>
        <w:rPr>
          <w:rFonts w:eastAsia="Times New Roman"/>
        </w:rPr>
      </w:pPr>
      <w:r>
        <w:rPr>
          <w:rFonts w:eastAsia="Times New Roman"/>
          <w:color w:val="000000"/>
          <w:sz w:val="20"/>
          <w:szCs w:val="20"/>
        </w:rPr>
        <w:t>•sourcing sustainable raw materials at cost-effective prices;</w:t>
      </w:r>
    </w:p>
    <w:p w:rsidR="00000000" w:rsidRDefault="00BB5C2D">
      <w:pPr>
        <w:ind w:hanging="360"/>
        <w:divId w:val="1192570970"/>
        <w:rPr>
          <w:rFonts w:eastAsia="Times New Roman"/>
        </w:rPr>
      </w:pPr>
      <w:r>
        <w:rPr>
          <w:rFonts w:eastAsia="Times New Roman"/>
          <w:color w:val="000000"/>
          <w:sz w:val="20"/>
          <w:szCs w:val="20"/>
        </w:rPr>
        <w:t>•anticipating and maintaining proper inventory levels;</w:t>
      </w:r>
    </w:p>
    <w:p w:rsidR="00000000" w:rsidRDefault="00BB5C2D">
      <w:pPr>
        <w:ind w:hanging="360"/>
        <w:divId w:val="2011131505"/>
        <w:rPr>
          <w:rFonts w:eastAsia="Times New Roman"/>
        </w:rPr>
      </w:pPr>
      <w:r>
        <w:rPr>
          <w:rFonts w:eastAsia="Times New Roman"/>
          <w:color w:val="000000"/>
          <w:sz w:val="20"/>
          <w:szCs w:val="20"/>
        </w:rPr>
        <w:t>•ensuring product availability and optimizing supply chain and distribution efficiencies with third-p</w:t>
      </w:r>
      <w:r>
        <w:rPr>
          <w:rFonts w:eastAsia="Times New Roman"/>
          <w:color w:val="000000"/>
          <w:sz w:val="20"/>
          <w:szCs w:val="20"/>
        </w:rPr>
        <w:t>arty manufacturers and retailers;</w:t>
      </w:r>
    </w:p>
    <w:p w:rsidR="00000000" w:rsidRDefault="00BB5C2D">
      <w:pPr>
        <w:ind w:hanging="360"/>
        <w:divId w:val="92557333"/>
        <w:rPr>
          <w:rFonts w:eastAsia="Times New Roman"/>
        </w:rPr>
      </w:pPr>
      <w:r>
        <w:rPr>
          <w:rFonts w:eastAsia="Times New Roman"/>
          <w:color w:val="000000"/>
          <w:sz w:val="20"/>
          <w:szCs w:val="20"/>
        </w:rPr>
        <w:t>•maintaining and growing market share;</w:t>
      </w:r>
    </w:p>
    <w:p w:rsidR="00000000" w:rsidRDefault="00BB5C2D">
      <w:pPr>
        <w:ind w:hanging="360"/>
        <w:divId w:val="1270157839"/>
        <w:rPr>
          <w:rFonts w:eastAsia="Times New Roman"/>
        </w:rPr>
      </w:pPr>
      <w:r>
        <w:rPr>
          <w:rFonts w:eastAsia="Times New Roman"/>
          <w:color w:val="000000"/>
          <w:sz w:val="20"/>
          <w:szCs w:val="20"/>
        </w:rPr>
        <w:t>•recruiting and retaining employees to operate our retail stores, distribution centers, and various corporate functions;</w:t>
      </w:r>
    </w:p>
    <w:p w:rsidR="00000000" w:rsidRDefault="00BB5C2D">
      <w:pPr>
        <w:ind w:hanging="360"/>
        <w:divId w:val="1421373428"/>
        <w:rPr>
          <w:rFonts w:eastAsia="Times New Roman"/>
        </w:rPr>
      </w:pPr>
      <w:r>
        <w:rPr>
          <w:rFonts w:eastAsia="Times New Roman"/>
          <w:color w:val="000000"/>
          <w:sz w:val="20"/>
          <w:szCs w:val="20"/>
        </w:rPr>
        <w:t>•protecting our intellectual property; and</w:t>
      </w:r>
    </w:p>
    <w:p w:rsidR="00000000" w:rsidRDefault="00BB5C2D">
      <w:pPr>
        <w:ind w:hanging="360"/>
        <w:divId w:val="278491729"/>
        <w:rPr>
          <w:rFonts w:eastAsia="Times New Roman"/>
        </w:rPr>
      </w:pPr>
      <w:r>
        <w:rPr>
          <w:rFonts w:eastAsia="Times New Roman"/>
          <w:color w:val="000000"/>
          <w:sz w:val="20"/>
          <w:szCs w:val="20"/>
        </w:rPr>
        <w:t>•ability to withsta</w:t>
      </w:r>
      <w:r>
        <w:rPr>
          <w:rFonts w:eastAsia="Times New Roman"/>
          <w:color w:val="000000"/>
          <w:sz w:val="20"/>
          <w:szCs w:val="20"/>
        </w:rPr>
        <w:t>nd prolonged periods of adverse economic conditions or business disruptions.</w:t>
      </w:r>
    </w:p>
    <w:p w:rsidR="00000000" w:rsidRDefault="00BB5C2D">
      <w:pPr>
        <w:ind w:firstLine="540"/>
        <w:jc w:val="both"/>
        <w:divId w:val="1238785931"/>
        <w:rPr>
          <w:rFonts w:eastAsia="Times New Roman"/>
        </w:rPr>
      </w:pPr>
      <w:r>
        <w:rPr>
          <w:rFonts w:eastAsia="Times New Roman"/>
          <w:color w:val="000000"/>
          <w:sz w:val="20"/>
          <w:szCs w:val="20"/>
        </w:rPr>
        <w:t>Some of our competitors may be significantly larger and more diversified and may have greater financial, marketing, and distribution resources, more desirable store locations, and</w:t>
      </w:r>
      <w:r>
        <w:rPr>
          <w:rFonts w:eastAsia="Times New Roman"/>
          <w:color w:val="000000"/>
          <w:sz w:val="20"/>
          <w:szCs w:val="20"/>
        </w:rPr>
        <w:t>/or greater digital commerce presence than us, among other competitive advantages. Such competitive advantages may enable them to better withstand unfavorable economic conditions, compete more effectively on the basis of price and production, and/or more q</w:t>
      </w:r>
      <w:r>
        <w:rPr>
          <w:rFonts w:eastAsia="Times New Roman"/>
          <w:color w:val="000000"/>
          <w:sz w:val="20"/>
          <w:szCs w:val="20"/>
        </w:rPr>
        <w:t>uickly respond to rapidly changing fashion trends and consumer preferences than us. In addition, technological advances and the retail industry's low barriers to entry allow for the introduction of new competitors and products at a rapid pace, which has be</w:t>
      </w:r>
      <w:r>
        <w:rPr>
          <w:rFonts w:eastAsia="Times New Roman"/>
          <w:color w:val="000000"/>
          <w:sz w:val="20"/>
          <w:szCs w:val="20"/>
        </w:rPr>
        <w:t>en further compounded by the increasing shift to digital shopping channels. Any increased competition, or our failure to adequately address any of these competitive factors, could result in reduced market share or sales, which could adversely affect our bu</w:t>
      </w:r>
      <w:r>
        <w:rPr>
          <w:rFonts w:eastAsia="Times New Roman"/>
          <w:color w:val="000000"/>
          <w:sz w:val="20"/>
          <w:szCs w:val="20"/>
        </w:rPr>
        <w:t>siness.</w:t>
      </w:r>
    </w:p>
    <w:p w:rsidR="00000000" w:rsidRDefault="00BB5C2D">
      <w:pPr>
        <w:jc w:val="both"/>
        <w:divId w:val="211964987"/>
        <w:rPr>
          <w:rFonts w:eastAsia="Times New Roman"/>
        </w:rPr>
      </w:pPr>
      <w:r>
        <w:rPr>
          <w:rFonts w:eastAsia="Times New Roman"/>
          <w:b/>
          <w:bCs/>
          <w:color w:val="000000"/>
          <w:sz w:val="20"/>
          <w:szCs w:val="20"/>
        </w:rPr>
        <w:t>The success of our business depends on our ability to retain the value and reputation of our brands.</w:t>
      </w:r>
    </w:p>
    <w:p w:rsidR="00000000" w:rsidRDefault="00BB5C2D">
      <w:pPr>
        <w:ind w:firstLine="540"/>
        <w:jc w:val="both"/>
        <w:divId w:val="2011328025"/>
        <w:rPr>
          <w:rFonts w:eastAsia="Times New Roman"/>
        </w:rPr>
      </w:pPr>
      <w:r>
        <w:rPr>
          <w:rFonts w:eastAsia="Times New Roman"/>
          <w:color w:val="000000"/>
          <w:sz w:val="20"/>
          <w:szCs w:val="20"/>
        </w:rPr>
        <w:t>Our success depends on the value and reputation of our brands and our ability to consistently anticipate, identify, and respond to customers' demands, preferences, and fashion trends in the design, pricing, and production of our products, including the pre</w:t>
      </w:r>
      <w:r>
        <w:rPr>
          <w:rFonts w:eastAsia="Times New Roman"/>
          <w:color w:val="000000"/>
          <w:sz w:val="20"/>
          <w:szCs w:val="20"/>
        </w:rPr>
        <w:t>ference for certain products to be manufactured in the U.S., and deliver high-quality and sustainable products. Any negative publicity regarding Mr. R. Lauren, or other members of our executive and senior management team, or our Company as a whole, especia</w:t>
      </w:r>
      <w:r>
        <w:rPr>
          <w:rFonts w:eastAsia="Times New Roman"/>
          <w:color w:val="000000"/>
          <w:sz w:val="20"/>
          <w:szCs w:val="20"/>
        </w:rPr>
        <w:t>lly through social media which accelerates and increases the potential scope of negative publicity, could negatively impact the image of our brands with our customers and result in diminished loyalty to our brands and potentially lead to adverse consumer a</w:t>
      </w:r>
      <w:r>
        <w:rPr>
          <w:rFonts w:eastAsia="Times New Roman"/>
          <w:color w:val="000000"/>
          <w:sz w:val="20"/>
          <w:szCs w:val="20"/>
        </w:rPr>
        <w:t xml:space="preserve">ctions, including boycotts, even if the subject of such publicity is unverified or inaccurate and we seek to correct it. Consumer sentiment can also be influenced by our partnership with athletes and other public figures. Even if we react appropriately to </w:t>
      </w:r>
      <w:r>
        <w:rPr>
          <w:rFonts w:eastAsia="Times New Roman"/>
          <w:color w:val="000000"/>
          <w:sz w:val="20"/>
          <w:szCs w:val="20"/>
        </w:rPr>
        <w:t>negative publicity, our customers' perception of our brand image and our reputation could be negatively impacted. Any failure on our part to retain the value and reputation of brands could adversely impact our business.</w:t>
      </w:r>
    </w:p>
    <w:p w:rsidR="00000000" w:rsidRDefault="00BB5C2D">
      <w:pPr>
        <w:jc w:val="both"/>
        <w:divId w:val="1649742766"/>
        <w:rPr>
          <w:rFonts w:eastAsia="Times New Roman"/>
        </w:rPr>
      </w:pPr>
      <w:r>
        <w:rPr>
          <w:rFonts w:eastAsia="Times New Roman"/>
          <w:b/>
          <w:bCs/>
          <w:color w:val="000000"/>
          <w:sz w:val="20"/>
          <w:szCs w:val="20"/>
        </w:rPr>
        <w:t>Our trademarks and other intellectua</w:t>
      </w:r>
      <w:r>
        <w:rPr>
          <w:rFonts w:eastAsia="Times New Roman"/>
          <w:b/>
          <w:bCs/>
          <w:color w:val="000000"/>
          <w:sz w:val="20"/>
          <w:szCs w:val="20"/>
        </w:rPr>
        <w:t>l property rights may not be adequately protected outside the U.S.</w:t>
      </w:r>
    </w:p>
    <w:p w:rsidR="00000000" w:rsidRDefault="00BB5C2D">
      <w:pPr>
        <w:ind w:firstLine="540"/>
        <w:jc w:val="both"/>
        <w:divId w:val="152383076"/>
        <w:rPr>
          <w:rFonts w:eastAsia="Times New Roman"/>
        </w:rPr>
      </w:pPr>
      <w:r>
        <w:rPr>
          <w:rFonts w:eastAsia="Times New Roman"/>
          <w:color w:val="000000"/>
          <w:sz w:val="20"/>
          <w:szCs w:val="20"/>
        </w:rPr>
        <w:t>We believe that our trademarks, intellectual property, and other proprietary rights are extremely important to our success and our competitive position. We devote substantial resources to t</w:t>
      </w:r>
      <w:r>
        <w:rPr>
          <w:rFonts w:eastAsia="Times New Roman"/>
          <w:color w:val="000000"/>
          <w:sz w:val="20"/>
          <w:szCs w:val="20"/>
        </w:rPr>
        <w:t>he establishment and protection of our trademarks and anti-counterfeiting activities worldwide. However, significant counterfeiting and imitation of our products continue to exist. In addition, the laws of certain foreign countries may not protect trademar</w:t>
      </w:r>
      <w:r>
        <w:rPr>
          <w:rFonts w:eastAsia="Times New Roman"/>
          <w:color w:val="000000"/>
          <w:sz w:val="20"/>
          <w:szCs w:val="20"/>
        </w:rPr>
        <w:t xml:space="preserve">ks or other proprietary rights to the same extent as do the laws of the U.S. and, as a result, our intellectual property may be more vulnerable and difficult to protect in such countries. Over the course of our international expansion, we have experienced </w:t>
      </w:r>
      <w:r>
        <w:rPr>
          <w:rFonts w:eastAsia="Times New Roman"/>
          <w:color w:val="000000"/>
          <w:sz w:val="20"/>
          <w:szCs w:val="20"/>
        </w:rPr>
        <w:t xml:space="preserve">conflicts with various third parties that have acquired or claimed ownership rights to some of our key trademarks that include Polo and/or a representation of a polo player astride a horse, or otherwise have contested our rights to our trademarks. We have </w:t>
      </w:r>
      <w:r>
        <w:rPr>
          <w:rFonts w:eastAsia="Times New Roman"/>
          <w:color w:val="000000"/>
          <w:sz w:val="20"/>
          <w:szCs w:val="20"/>
        </w:rPr>
        <w:t>resolved certain of these conflicts through both legal action and negotiated settlements. We cannot guarantee that the actions we have taken to establish and protect our trademarks and other proprietary rights will be adequate to prevent counterfeiting, lo</w:t>
      </w:r>
      <w:r>
        <w:rPr>
          <w:rFonts w:eastAsia="Times New Roman"/>
          <w:color w:val="000000"/>
          <w:sz w:val="20"/>
          <w:szCs w:val="20"/>
        </w:rPr>
        <w:t>st business, or brand dilution, any of which may have a material adverse effect on our business. We expect to continue to devote substantial resources to challenge brands arising from imitation of our products. Also, there can be no assurance that others w</w:t>
      </w:r>
      <w:r>
        <w:rPr>
          <w:rFonts w:eastAsia="Times New Roman"/>
          <w:color w:val="000000"/>
          <w:sz w:val="20"/>
          <w:szCs w:val="20"/>
        </w:rPr>
        <w:t xml:space="preserve">ill not assert rights in, or ownership of, trademarks and other proprietary rights of ours or that we will be able to successfully resolve these types of conflicts to our satisfaction or at all. See Item 1 — </w:t>
      </w:r>
      <w:r>
        <w:rPr>
          <w:rFonts w:eastAsia="Times New Roman"/>
          <w:i/>
          <w:iCs/>
          <w:color w:val="000000"/>
          <w:sz w:val="20"/>
          <w:szCs w:val="20"/>
        </w:rPr>
        <w:t>"Business — Trademarks," and Item 3 — "Legal Pro</w:t>
      </w:r>
      <w:r>
        <w:rPr>
          <w:rFonts w:eastAsia="Times New Roman"/>
          <w:i/>
          <w:iCs/>
          <w:color w:val="000000"/>
          <w:sz w:val="20"/>
          <w:szCs w:val="20"/>
        </w:rPr>
        <w:t>ceedings."</w:t>
      </w:r>
    </w:p>
    <w:p w:rsidR="00000000" w:rsidRDefault="00BB5C2D">
      <w:pPr>
        <w:jc w:val="both"/>
        <w:divId w:val="1014771188"/>
        <w:rPr>
          <w:rFonts w:eastAsia="Times New Roman"/>
        </w:rPr>
      </w:pPr>
      <w:r>
        <w:rPr>
          <w:rFonts w:eastAsia="Times New Roman"/>
          <w:b/>
          <w:bCs/>
          <w:color w:val="000000"/>
          <w:sz w:val="20"/>
          <w:szCs w:val="20"/>
        </w:rPr>
        <w:t>Our business is subject to risks associated with importing products and the ability of our manufacturers to produce our goods on time and to our specifications.</w:t>
      </w:r>
    </w:p>
    <w:p w:rsidR="00000000" w:rsidRDefault="00BB5C2D">
      <w:pPr>
        <w:ind w:firstLine="540"/>
        <w:jc w:val="both"/>
        <w:divId w:val="191037605"/>
        <w:rPr>
          <w:rFonts w:eastAsia="Times New Roman"/>
        </w:rPr>
      </w:pPr>
      <w:r>
        <w:rPr>
          <w:rFonts w:eastAsia="Times New Roman"/>
          <w:color w:val="000000"/>
          <w:sz w:val="20"/>
          <w:szCs w:val="20"/>
        </w:rPr>
        <w:t>We do not own or operate any manufacturing facilities and depend exclusively on inde</w:t>
      </w:r>
      <w:r>
        <w:rPr>
          <w:rFonts w:eastAsia="Times New Roman"/>
          <w:color w:val="000000"/>
          <w:sz w:val="20"/>
          <w:szCs w:val="20"/>
        </w:rPr>
        <w:t>pendent third parties for the manufacture of our products. Our products are manufactured to our specifications through arrangements with over 300 foreign manufacturers in various countries. In Fiscal 2022, approximately 97% of our products (by dollar value</w:t>
      </w:r>
      <w:r>
        <w:rPr>
          <w:rFonts w:eastAsia="Times New Roman"/>
          <w:color w:val="000000"/>
          <w:sz w:val="20"/>
          <w:szCs w:val="20"/>
        </w:rPr>
        <w:t>) were produced outside of the U.S., primarily in Asia, Europe, and Latin America, with approximately 19% of our products sourced from China and another 19% from Vietnam. Risks inherent in importing our products include:</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578248361"/>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578248361"/>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58" style="width:0;height:1.5pt" o:hralign="center" o:hrstd="t" o:hr="t" fillcolor="#a0a0a0" stroked="f"/>
        </w:pict>
      </w:r>
    </w:p>
    <w:p w:rsidR="00000000" w:rsidRDefault="00BB5C2D">
      <w:pPr>
        <w:divId w:val="726294213"/>
        <w:rPr>
          <w:rFonts w:eastAsia="Times New Roman"/>
        </w:rPr>
      </w:pPr>
    </w:p>
    <w:p w:rsidR="00000000" w:rsidRDefault="00BB5C2D">
      <w:pPr>
        <w:ind w:hanging="360"/>
        <w:jc w:val="both"/>
        <w:divId w:val="504634074"/>
        <w:rPr>
          <w:rFonts w:eastAsia="Times New Roman"/>
        </w:rPr>
      </w:pPr>
      <w:r>
        <w:rPr>
          <w:rFonts w:eastAsia="Times New Roman"/>
          <w:color w:val="000000"/>
          <w:sz w:val="20"/>
          <w:szCs w:val="20"/>
        </w:rPr>
        <w:t>•pandemic diseases, such as COVID-19, which could result in closed factories, reduced workforces, scarcity of raw materials, port congestion, and scrutiny or embargoing of goods produced in infected areas;</w:t>
      </w:r>
    </w:p>
    <w:p w:rsidR="00000000" w:rsidRDefault="00BB5C2D">
      <w:pPr>
        <w:ind w:hanging="360"/>
        <w:jc w:val="both"/>
        <w:divId w:val="738333403"/>
        <w:rPr>
          <w:rFonts w:eastAsia="Times New Roman"/>
        </w:rPr>
      </w:pPr>
      <w:r>
        <w:rPr>
          <w:rFonts w:eastAsia="Times New Roman"/>
          <w:color w:val="000000"/>
          <w:sz w:val="20"/>
          <w:szCs w:val="20"/>
        </w:rPr>
        <w:t xml:space="preserve">•changes in </w:t>
      </w:r>
      <w:r>
        <w:rPr>
          <w:rFonts w:eastAsia="Times New Roman"/>
          <w:color w:val="000000"/>
          <w:sz w:val="20"/>
          <w:szCs w:val="20"/>
        </w:rPr>
        <w:t>social, political, and economic conditions, including those resulting from military conflicts, terrorist acts, or other hostilities, that could result in the disruption of trade from the countries in which our manufacturers or suppliers are located;</w:t>
      </w:r>
    </w:p>
    <w:p w:rsidR="00000000" w:rsidRDefault="00BB5C2D">
      <w:pPr>
        <w:ind w:hanging="360"/>
        <w:jc w:val="both"/>
        <w:divId w:val="1612204706"/>
        <w:rPr>
          <w:rFonts w:eastAsia="Times New Roman"/>
        </w:rPr>
      </w:pPr>
      <w:r>
        <w:rPr>
          <w:rFonts w:eastAsia="Times New Roman"/>
          <w:color w:val="000000"/>
          <w:sz w:val="20"/>
          <w:szCs w:val="20"/>
        </w:rPr>
        <w:t>•chang</w:t>
      </w:r>
      <w:r>
        <w:rPr>
          <w:rFonts w:eastAsia="Times New Roman"/>
          <w:color w:val="000000"/>
          <w:sz w:val="20"/>
          <w:szCs w:val="20"/>
        </w:rPr>
        <w:t>es in diplomatic and trade relationships, including the imposition of any sanctions, restrictions, and other responses, such as those recently issued by the U.S. and other countries against Russia in response to its war with Ukraine;</w:t>
      </w:r>
    </w:p>
    <w:p w:rsidR="00000000" w:rsidRDefault="00BB5C2D">
      <w:pPr>
        <w:ind w:hanging="360"/>
        <w:jc w:val="both"/>
        <w:divId w:val="1078988439"/>
        <w:rPr>
          <w:rFonts w:eastAsia="Times New Roman"/>
        </w:rPr>
      </w:pPr>
      <w:r>
        <w:rPr>
          <w:rFonts w:eastAsia="Times New Roman"/>
          <w:color w:val="000000"/>
          <w:sz w:val="20"/>
          <w:szCs w:val="20"/>
        </w:rPr>
        <w:t>•the imposition of add</w:t>
      </w:r>
      <w:r>
        <w:rPr>
          <w:rFonts w:eastAsia="Times New Roman"/>
          <w:color w:val="000000"/>
          <w:sz w:val="20"/>
          <w:szCs w:val="20"/>
        </w:rPr>
        <w:t>itional regulations, quotas, or safeguards relating to imports or exports, and costs of complying with such regulations and other laws relating to the identification and reporting of the sources of raw materials used in our products;</w:t>
      </w:r>
    </w:p>
    <w:p w:rsidR="00000000" w:rsidRDefault="00BB5C2D">
      <w:pPr>
        <w:ind w:hanging="360"/>
        <w:jc w:val="both"/>
        <w:divId w:val="876433892"/>
        <w:rPr>
          <w:rFonts w:eastAsia="Times New Roman"/>
        </w:rPr>
      </w:pPr>
      <w:r>
        <w:rPr>
          <w:rFonts w:eastAsia="Times New Roman"/>
          <w:color w:val="000000"/>
          <w:sz w:val="20"/>
          <w:szCs w:val="20"/>
        </w:rPr>
        <w:t>•the imposition of add</w:t>
      </w:r>
      <w:r>
        <w:rPr>
          <w:rFonts w:eastAsia="Times New Roman"/>
          <w:color w:val="000000"/>
          <w:sz w:val="20"/>
          <w:szCs w:val="20"/>
        </w:rPr>
        <w:t>itional duties, tariffs, taxes, and other charges on imports or exports;</w:t>
      </w:r>
    </w:p>
    <w:p w:rsidR="00000000" w:rsidRDefault="00BB5C2D">
      <w:pPr>
        <w:ind w:hanging="360"/>
        <w:jc w:val="both"/>
        <w:divId w:val="900017355"/>
        <w:rPr>
          <w:rFonts w:eastAsia="Times New Roman"/>
        </w:rPr>
      </w:pPr>
      <w:r>
        <w:rPr>
          <w:rFonts w:eastAsia="Times New Roman"/>
          <w:color w:val="000000"/>
          <w:sz w:val="20"/>
          <w:szCs w:val="20"/>
        </w:rPr>
        <w:t>•unfavorable changes in the availability, cost, or quality of raw materials and commodities;</w:t>
      </w:r>
    </w:p>
    <w:p w:rsidR="00000000" w:rsidRDefault="00BB5C2D">
      <w:pPr>
        <w:ind w:hanging="360"/>
        <w:jc w:val="both"/>
        <w:divId w:val="19477021"/>
        <w:rPr>
          <w:rFonts w:eastAsia="Times New Roman"/>
        </w:rPr>
      </w:pPr>
      <w:r>
        <w:rPr>
          <w:rFonts w:eastAsia="Times New Roman"/>
          <w:color w:val="000000"/>
          <w:sz w:val="20"/>
          <w:szCs w:val="20"/>
        </w:rPr>
        <w:t>•</w:t>
      </w:r>
      <w:r>
        <w:rPr>
          <w:rFonts w:eastAsia="Times New Roman"/>
          <w:color w:val="000000"/>
          <w:sz w:val="20"/>
          <w:szCs w:val="20"/>
        </w:rPr>
        <w:t>increases in the cost of labor, travel, and transportation;</w:t>
      </w:r>
    </w:p>
    <w:p w:rsidR="00000000" w:rsidRDefault="00BB5C2D">
      <w:pPr>
        <w:ind w:hanging="360"/>
        <w:jc w:val="both"/>
        <w:divId w:val="481893473"/>
        <w:rPr>
          <w:rFonts w:eastAsia="Times New Roman"/>
        </w:rPr>
      </w:pPr>
      <w:r>
        <w:rPr>
          <w:rFonts w:eastAsia="Times New Roman"/>
          <w:color w:val="000000"/>
          <w:sz w:val="20"/>
          <w:szCs w:val="20"/>
        </w:rPr>
        <w:t>•disruptions of shipping and international trade caused by natural and man-made disasters, labor shortages (stemming from labor disputes, strikes, or otherwise), or other unforeseen events, includ</w:t>
      </w:r>
      <w:r>
        <w:rPr>
          <w:rFonts w:eastAsia="Times New Roman"/>
          <w:color w:val="000000"/>
          <w:sz w:val="20"/>
          <w:szCs w:val="20"/>
        </w:rPr>
        <w:t>ing any resulting impact to shipping prices;</w:t>
      </w:r>
    </w:p>
    <w:p w:rsidR="00000000" w:rsidRDefault="00BB5C2D">
      <w:pPr>
        <w:ind w:hanging="360"/>
        <w:jc w:val="both"/>
        <w:divId w:val="1162042375"/>
        <w:rPr>
          <w:rFonts w:eastAsia="Times New Roman"/>
        </w:rPr>
      </w:pPr>
      <w:r>
        <w:rPr>
          <w:rFonts w:eastAsia="Times New Roman"/>
          <w:color w:val="000000"/>
          <w:sz w:val="20"/>
          <w:szCs w:val="20"/>
        </w:rPr>
        <w:t>•heightened terrorism-related cargo and supply chain security concerns, which could subject imported or exported goods to additional, more frequent, or more thorough inspections, leading to delays in the deliver</w:t>
      </w:r>
      <w:r>
        <w:rPr>
          <w:rFonts w:eastAsia="Times New Roman"/>
          <w:color w:val="000000"/>
          <w:sz w:val="20"/>
          <w:szCs w:val="20"/>
        </w:rPr>
        <w:t>y of cargo;</w:t>
      </w:r>
    </w:p>
    <w:p w:rsidR="00000000" w:rsidRDefault="00BB5C2D">
      <w:pPr>
        <w:ind w:hanging="360"/>
        <w:jc w:val="both"/>
        <w:divId w:val="387806963"/>
        <w:rPr>
          <w:rFonts w:eastAsia="Times New Roman"/>
        </w:rPr>
      </w:pPr>
      <w:r>
        <w:rPr>
          <w:rFonts w:eastAsia="Times New Roman"/>
          <w:color w:val="000000"/>
          <w:sz w:val="20"/>
          <w:szCs w:val="20"/>
        </w:rPr>
        <w:t>•decreased scrutiny by customs officials for counterfeit goods, leading to lost sales, increased costs for our anti-counterfeiting measures, and damage to the reputation of our brands; and</w:t>
      </w:r>
    </w:p>
    <w:p w:rsidR="00000000" w:rsidRDefault="00BB5C2D">
      <w:pPr>
        <w:ind w:hanging="360"/>
        <w:jc w:val="both"/>
        <w:divId w:val="1698656116"/>
        <w:rPr>
          <w:rFonts w:eastAsia="Times New Roman"/>
        </w:rPr>
      </w:pPr>
      <w:r>
        <w:rPr>
          <w:rFonts w:eastAsia="Times New Roman"/>
          <w:color w:val="000000"/>
          <w:sz w:val="20"/>
          <w:szCs w:val="20"/>
        </w:rPr>
        <w:t xml:space="preserve">•the imposition of sanctions in the form of additional </w:t>
      </w:r>
      <w:r>
        <w:rPr>
          <w:rFonts w:eastAsia="Times New Roman"/>
          <w:color w:val="000000"/>
          <w:sz w:val="20"/>
          <w:szCs w:val="20"/>
        </w:rPr>
        <w:t xml:space="preserve">duties either by the U.S. or its trading partners to remedy perceived illegal actions by national governments. </w:t>
      </w:r>
    </w:p>
    <w:p w:rsidR="00000000" w:rsidRDefault="00BB5C2D">
      <w:pPr>
        <w:ind w:firstLine="540"/>
        <w:jc w:val="both"/>
        <w:divId w:val="1346634643"/>
        <w:rPr>
          <w:rFonts w:eastAsia="Times New Roman"/>
        </w:rPr>
      </w:pPr>
      <w:r>
        <w:rPr>
          <w:rFonts w:eastAsia="Times New Roman"/>
          <w:color w:val="000000"/>
          <w:sz w:val="20"/>
          <w:szCs w:val="20"/>
        </w:rPr>
        <w:t>The entire apparel industry, including our Company, continues to face supply chain challenges as a result of COVID-19-related business disruptio</w:t>
      </w:r>
      <w:r>
        <w:rPr>
          <w:rFonts w:eastAsia="Times New Roman"/>
          <w:color w:val="000000"/>
          <w:sz w:val="20"/>
          <w:szCs w:val="20"/>
        </w:rPr>
        <w:t>ns, political instability, inflationary pressures, and other factors, including reduced freight availability, port congestion, labor shortages, and rising wages and energy costs, among other factors. The inability of a manufacturer to ship orders of our pr</w:t>
      </w:r>
      <w:r>
        <w:rPr>
          <w:rFonts w:eastAsia="Times New Roman"/>
          <w:color w:val="000000"/>
          <w:sz w:val="20"/>
          <w:szCs w:val="20"/>
        </w:rPr>
        <w:t>oducts in a timely manner or to meet our strict quality standards could cause us to miss the delivery date requirements of our customers for those items, which could result in cancellation of orders, refusal to accept deliveries, or a substantial reduction</w:t>
      </w:r>
      <w:r>
        <w:rPr>
          <w:rFonts w:eastAsia="Times New Roman"/>
          <w:color w:val="000000"/>
          <w:sz w:val="20"/>
          <w:szCs w:val="20"/>
        </w:rPr>
        <w:t xml:space="preserve"> in purchase prices. We have also incurred, and expect to continue to incur, higher freight and other logistic costs as a result of certain of the beforementioned factors, as well as our increased use of air freight as we attempt to mitigate delays in inve</w:t>
      </w:r>
      <w:r>
        <w:rPr>
          <w:rFonts w:eastAsia="Times New Roman"/>
          <w:color w:val="000000"/>
          <w:sz w:val="20"/>
          <w:szCs w:val="20"/>
        </w:rPr>
        <w:t>ntory receipts. Prices of raw materials used to manufacture our products are also subject to significant fluctuation as a result of certain of the beforementioned factors, as well as crop yields which could be negatively impacted by severe weather conditio</w:t>
      </w:r>
      <w:r>
        <w:rPr>
          <w:rFonts w:eastAsia="Times New Roman"/>
          <w:color w:val="000000"/>
          <w:sz w:val="20"/>
          <w:szCs w:val="20"/>
        </w:rPr>
        <w:t>ns. We may not be able to offset such increases in raw materials, freight, or other sourcing costs through pricing actions or other means. Any one of these factors could have a material adverse effect on our business. For a discussion of risks related to t</w:t>
      </w:r>
      <w:r>
        <w:rPr>
          <w:rFonts w:eastAsia="Times New Roman"/>
          <w:color w:val="000000"/>
          <w:sz w:val="20"/>
          <w:szCs w:val="20"/>
        </w:rPr>
        <w:t xml:space="preserve">he potential imposition of additional regulations and laws, see </w:t>
      </w:r>
      <w:r>
        <w:rPr>
          <w:rFonts w:eastAsia="Times New Roman"/>
          <w:i/>
          <w:iCs/>
          <w:color w:val="000000"/>
          <w:sz w:val="20"/>
          <w:szCs w:val="20"/>
        </w:rPr>
        <w:t xml:space="preserve">"Risks Related to Regulatory, Legal, and Tax Matters </w:t>
      </w:r>
      <w:r>
        <w:rPr>
          <w:rFonts w:eastAsia="Times New Roman"/>
          <w:color w:val="000000"/>
          <w:sz w:val="20"/>
          <w:szCs w:val="20"/>
        </w:rPr>
        <w:t xml:space="preserve">— </w:t>
      </w:r>
      <w:r>
        <w:rPr>
          <w:rFonts w:eastAsia="Times New Roman"/>
          <w:i/>
          <w:iCs/>
          <w:color w:val="000000"/>
          <w:sz w:val="20"/>
          <w:szCs w:val="20"/>
        </w:rPr>
        <w:t>Our ability to conduct business globally may be affected by a variety of legal, regulatory, political, and economic risks."</w:t>
      </w:r>
    </w:p>
    <w:p w:rsidR="00000000" w:rsidRDefault="00BB5C2D">
      <w:pPr>
        <w:jc w:val="both"/>
        <w:divId w:val="740564800"/>
        <w:rPr>
          <w:rFonts w:eastAsia="Times New Roman"/>
        </w:rPr>
      </w:pPr>
      <w:r>
        <w:rPr>
          <w:rFonts w:eastAsia="Times New Roman"/>
          <w:b/>
          <w:bCs/>
          <w:color w:val="000000"/>
          <w:sz w:val="20"/>
          <w:szCs w:val="20"/>
        </w:rPr>
        <w:t xml:space="preserve">Our business </w:t>
      </w:r>
      <w:r>
        <w:rPr>
          <w:rFonts w:eastAsia="Times New Roman"/>
          <w:b/>
          <w:bCs/>
          <w:color w:val="000000"/>
          <w:sz w:val="20"/>
          <w:szCs w:val="20"/>
        </w:rPr>
        <w:t>could suffer if we need to replace manufacturers or distribution centers.</w:t>
      </w:r>
    </w:p>
    <w:p w:rsidR="00000000" w:rsidRDefault="00BB5C2D">
      <w:pPr>
        <w:ind w:firstLine="540"/>
        <w:jc w:val="both"/>
        <w:divId w:val="1549493759"/>
        <w:rPr>
          <w:rFonts w:eastAsia="Times New Roman"/>
        </w:rPr>
      </w:pPr>
      <w:r>
        <w:rPr>
          <w:rFonts w:eastAsia="Times New Roman"/>
          <w:color w:val="000000"/>
          <w:sz w:val="20"/>
          <w:szCs w:val="20"/>
        </w:rPr>
        <w:t>We do not own or operate any manufacturing facilities and depend exclusively on independent third parties for the manufacture of our products. We compete with other companies for the</w:t>
      </w:r>
      <w:r>
        <w:rPr>
          <w:rFonts w:eastAsia="Times New Roman"/>
          <w:color w:val="000000"/>
          <w:sz w:val="20"/>
          <w:szCs w:val="20"/>
        </w:rPr>
        <w:t xml:space="preserve"> production capacity of our manufacturers. Some of these competitors may place larger orders than we do, and thus may have an advantage in securing production capacity. If we experience a significant increase in demand, or if an existing manufacturer of ou</w:t>
      </w:r>
      <w:r>
        <w:rPr>
          <w:rFonts w:eastAsia="Times New Roman"/>
          <w:color w:val="000000"/>
          <w:sz w:val="20"/>
          <w:szCs w:val="20"/>
        </w:rPr>
        <w:t xml:space="preserve">rs must be replaced, we may have to expand our third-party manufacturing capacity. We cannot guarantee that this additional capacity will be available when required on terms that are acceptable to us. See Item 1 — </w:t>
      </w:r>
      <w:r>
        <w:rPr>
          <w:rFonts w:eastAsia="Times New Roman"/>
          <w:i/>
          <w:iCs/>
          <w:color w:val="000000"/>
          <w:sz w:val="20"/>
          <w:szCs w:val="20"/>
        </w:rPr>
        <w:t>"Business — Sourcing, Production and Quali</w:t>
      </w:r>
      <w:r>
        <w:rPr>
          <w:rFonts w:eastAsia="Times New Roman"/>
          <w:i/>
          <w:iCs/>
          <w:color w:val="000000"/>
          <w:sz w:val="20"/>
          <w:szCs w:val="20"/>
        </w:rPr>
        <w:t>ty."</w:t>
      </w:r>
      <w:r>
        <w:rPr>
          <w:rFonts w:eastAsia="Times New Roman"/>
          <w:color w:val="000000"/>
          <w:sz w:val="20"/>
          <w:szCs w:val="20"/>
        </w:rPr>
        <w:t xml:space="preserve"> We enter into purchase order commitments each season specifying a time for delivery, method of payment, design and quality specifications, and other standard industry provisions, but do not have long-term contracts with any manufacturer. None of the m</w:t>
      </w:r>
      <w:r>
        <w:rPr>
          <w:rFonts w:eastAsia="Times New Roman"/>
          <w:color w:val="000000"/>
          <w:sz w:val="20"/>
          <w:szCs w:val="20"/>
        </w:rPr>
        <w:t>anufacturers we use produce our products exclusively.</w:t>
      </w:r>
    </w:p>
    <w:p w:rsidR="00000000" w:rsidRDefault="00BB5C2D">
      <w:pPr>
        <w:ind w:firstLine="540"/>
        <w:jc w:val="both"/>
        <w:divId w:val="44837399"/>
        <w:rPr>
          <w:rFonts w:eastAsia="Times New Roman"/>
        </w:rPr>
      </w:pPr>
      <w:r>
        <w:rPr>
          <w:rFonts w:eastAsia="Times New Roman"/>
          <w:color w:val="000000"/>
          <w:sz w:val="20"/>
          <w:szCs w:val="20"/>
        </w:rPr>
        <w:t xml:space="preserve">In addition, we rely on a number of owned, leased, and independently-operated distribution facilities around the world to warehouse and ship products to our customers and perform other related logistic </w:t>
      </w:r>
      <w:r>
        <w:rPr>
          <w:rFonts w:eastAsia="Times New Roman"/>
          <w:color w:val="000000"/>
          <w:sz w:val="20"/>
          <w:szCs w:val="20"/>
        </w:rPr>
        <w:t>services. Our ability to meet the needs of our customers depends on the proper operation of these distribution centers. Our distributions centers generally utilize computer-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2042244298"/>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2042244298"/>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59" style="width:0;height:1.5pt" o:hralign="center" o:hrstd="t" o:hr="t" fillcolor="#a0a0a0" stroked="f"/>
        </w:pict>
      </w:r>
    </w:p>
    <w:p w:rsidR="00000000" w:rsidRDefault="00BB5C2D">
      <w:pPr>
        <w:divId w:val="743138258"/>
        <w:rPr>
          <w:rFonts w:eastAsia="Times New Roman"/>
        </w:rPr>
      </w:pPr>
    </w:p>
    <w:p w:rsidR="00000000" w:rsidRDefault="00BB5C2D">
      <w:pPr>
        <w:jc w:val="both"/>
        <w:divId w:val="590939055"/>
        <w:rPr>
          <w:rFonts w:eastAsia="Times New Roman"/>
        </w:rPr>
      </w:pPr>
      <w:r>
        <w:rPr>
          <w:rFonts w:eastAsia="Times New Roman"/>
          <w:color w:val="000000"/>
          <w:sz w:val="20"/>
          <w:szCs w:val="20"/>
        </w:rPr>
        <w:t xml:space="preserve">controlled and automated equipment, which are subject to various risks, including software viruses, security breaches, power interruptions, or other system failures. If any of our distribution centers were to close or </w:t>
      </w:r>
      <w:r>
        <w:rPr>
          <w:rFonts w:eastAsia="Times New Roman"/>
          <w:color w:val="000000"/>
          <w:sz w:val="20"/>
          <w:szCs w:val="20"/>
        </w:rPr>
        <w:t>become inoperable or inaccessible for any reason, including pandemic diseases such as COVID-19, or if we fail to successfully consolidate existing facilities or transition to new facilities, we could experience a substantial loss of inventory, disruption o</w:t>
      </w:r>
      <w:r>
        <w:rPr>
          <w:rFonts w:eastAsia="Times New Roman"/>
          <w:color w:val="000000"/>
          <w:sz w:val="20"/>
          <w:szCs w:val="20"/>
        </w:rPr>
        <w:t>f deliveries to our customers and our stores, increased costs, and longer lead times associated with the distribution of products during the period that would be required to reopen or replace the facility. Any such disruptions could have a material adverse</w:t>
      </w:r>
      <w:r>
        <w:rPr>
          <w:rFonts w:eastAsia="Times New Roman"/>
          <w:color w:val="000000"/>
          <w:sz w:val="20"/>
          <w:szCs w:val="20"/>
        </w:rPr>
        <w:t xml:space="preserve"> effect on our business.</w:t>
      </w:r>
    </w:p>
    <w:p w:rsidR="00000000" w:rsidRDefault="00BB5C2D">
      <w:pPr>
        <w:ind w:firstLine="540"/>
        <w:jc w:val="both"/>
        <w:divId w:val="1575621679"/>
        <w:rPr>
          <w:rFonts w:eastAsia="Times New Roman"/>
        </w:rPr>
      </w:pPr>
      <w:r>
        <w:rPr>
          <w:rFonts w:eastAsia="Times New Roman"/>
          <w:color w:val="000000"/>
          <w:sz w:val="20"/>
          <w:szCs w:val="20"/>
        </w:rPr>
        <w:t>We also rely upon third-party transportation providers for substantially all of our product shipments, including shipments to and from our distribution centers, to our stores and shop-within-shops, and to our digital commerce and w</w:t>
      </w:r>
      <w:r>
        <w:rPr>
          <w:rFonts w:eastAsia="Times New Roman"/>
          <w:color w:val="000000"/>
          <w:sz w:val="20"/>
          <w:szCs w:val="20"/>
        </w:rPr>
        <w:t>holesale customers. Our utilization of these shipping services is subject to various risks, including, but not limited to, potential labor shortages (stemming from labor disputes, strikes, or otherwise), severe weather, and pandemic diseases, which could d</w:t>
      </w:r>
      <w:r>
        <w:rPr>
          <w:rFonts w:eastAsia="Times New Roman"/>
          <w:color w:val="000000"/>
          <w:sz w:val="20"/>
          <w:szCs w:val="20"/>
        </w:rPr>
        <w:t>elay the timing of shipments, and increases in wages and fuel prices, which could result in higher transportation costs. The rapid increase of online shopping driven by changes in consumer shopping preferences has amplified certain of these risks resulting</w:t>
      </w:r>
      <w:r>
        <w:rPr>
          <w:rFonts w:eastAsia="Times New Roman"/>
          <w:color w:val="000000"/>
          <w:sz w:val="20"/>
          <w:szCs w:val="20"/>
        </w:rPr>
        <w:t xml:space="preserve"> in capacity constraints. As previously noted, we have incurred, and expect to continue to incur, higher freight and other logistic costs as a result of certain of the beforementioned factors, as well as our increased use of air freight as we attempt to mi</w:t>
      </w:r>
      <w:r>
        <w:rPr>
          <w:rFonts w:eastAsia="Times New Roman"/>
          <w:color w:val="000000"/>
          <w:sz w:val="20"/>
          <w:szCs w:val="20"/>
        </w:rPr>
        <w:t>tigate delays in inventory receipts. Any delays in the timing of our product shipments or increases in transportation costs could have a material adverse effect on our business.</w:t>
      </w:r>
    </w:p>
    <w:p w:rsidR="00000000" w:rsidRDefault="00BB5C2D">
      <w:pPr>
        <w:jc w:val="both"/>
        <w:divId w:val="1591309923"/>
        <w:rPr>
          <w:rFonts w:eastAsia="Times New Roman"/>
        </w:rPr>
      </w:pPr>
      <w:r>
        <w:rPr>
          <w:rFonts w:eastAsia="Times New Roman"/>
          <w:b/>
          <w:bCs/>
          <w:color w:val="000000"/>
          <w:sz w:val="20"/>
          <w:szCs w:val="20"/>
        </w:rPr>
        <w:t>Our business is subject to risks associated with leasing real estate and other assets under long-term, non-cancellable leases.</w:t>
      </w:r>
    </w:p>
    <w:p w:rsidR="00000000" w:rsidRDefault="00BB5C2D">
      <w:pPr>
        <w:ind w:firstLine="720"/>
        <w:jc w:val="both"/>
        <w:divId w:val="1569607208"/>
        <w:rPr>
          <w:rFonts w:eastAsia="Times New Roman"/>
        </w:rPr>
      </w:pPr>
      <w:r>
        <w:rPr>
          <w:rFonts w:eastAsia="Times New Roman"/>
          <w:color w:val="000000"/>
          <w:sz w:val="20"/>
          <w:szCs w:val="20"/>
        </w:rPr>
        <w:t>We generally operate most of our stores and corporate facilities under long-term, non-cancellable leasing arrangements. Our retai</w:t>
      </w:r>
      <w:r>
        <w:rPr>
          <w:rFonts w:eastAsia="Times New Roman"/>
          <w:color w:val="000000"/>
          <w:sz w:val="20"/>
          <w:szCs w:val="20"/>
        </w:rPr>
        <w:t>l store leases typically require us to make minimum rental payments, and often contingent rental payments based upon sales. In addition, our leases generally require us to pay our proportionate share of the cost of insurance, taxes, maintenance, and utilit</w:t>
      </w:r>
      <w:r>
        <w:rPr>
          <w:rFonts w:eastAsia="Times New Roman"/>
          <w:color w:val="000000"/>
          <w:sz w:val="20"/>
          <w:szCs w:val="20"/>
        </w:rPr>
        <w:t>ies. We generally cannot cancel our leases at our option. If we decide to close a store, or if we decide to downsize, consolidate, or relocate any of our corporate facilities, we may be required to record an impairment charge and/or exit costs associated w</w:t>
      </w:r>
      <w:r>
        <w:rPr>
          <w:rFonts w:eastAsia="Times New Roman"/>
          <w:color w:val="000000"/>
          <w:sz w:val="20"/>
          <w:szCs w:val="20"/>
        </w:rPr>
        <w:t>ith the disposal of the store or corporate facility. In addition, we may remain obligated under the applicable lease for, among other things, payment of the base rent for the remaining lease term, even after the space is exited or otherwise closed and even</w:t>
      </w:r>
      <w:r>
        <w:rPr>
          <w:rFonts w:eastAsia="Times New Roman"/>
          <w:color w:val="000000"/>
          <w:sz w:val="20"/>
          <w:szCs w:val="20"/>
        </w:rPr>
        <w:t xml:space="preserve"> if such closures are beyond our control (such as the forced store closures resulting from the COVID-19 pandemic). Such costs and obligations related to the early or temporary closure of our stores or termination of our leases could have a material adverse</w:t>
      </w:r>
      <w:r>
        <w:rPr>
          <w:rFonts w:eastAsia="Times New Roman"/>
          <w:color w:val="000000"/>
          <w:sz w:val="20"/>
          <w:szCs w:val="20"/>
        </w:rPr>
        <w:t xml:space="preserve"> effect on our business. In addition, as each of our leases naturally expires, we may be unable to negotiate renewals, either on commercially acceptable terms or at all, which could lead to store closures resulting in lost sales.</w:t>
      </w:r>
    </w:p>
    <w:p w:rsidR="00000000" w:rsidRDefault="00BB5C2D">
      <w:pPr>
        <w:jc w:val="both"/>
        <w:divId w:val="1650355020"/>
        <w:rPr>
          <w:rFonts w:eastAsia="Times New Roman"/>
        </w:rPr>
      </w:pPr>
      <w:r>
        <w:rPr>
          <w:rFonts w:eastAsia="Times New Roman"/>
          <w:b/>
          <w:bCs/>
          <w:color w:val="000000"/>
          <w:sz w:val="20"/>
          <w:szCs w:val="20"/>
        </w:rPr>
        <w:t>A substantial portion of o</w:t>
      </w:r>
      <w:r>
        <w:rPr>
          <w:rFonts w:eastAsia="Times New Roman"/>
          <w:b/>
          <w:bCs/>
          <w:color w:val="000000"/>
          <w:sz w:val="20"/>
          <w:szCs w:val="20"/>
        </w:rPr>
        <w:t>ur revenue is derived from a limited number of large wholesale customers. Our business could be adversely affected as a result of consolidations, liquidations, restructurings, other ownership changes in the retail industry, and/or any financial instability</w:t>
      </w:r>
      <w:r>
        <w:rPr>
          <w:rFonts w:eastAsia="Times New Roman"/>
          <w:b/>
          <w:bCs/>
          <w:color w:val="000000"/>
          <w:sz w:val="20"/>
          <w:szCs w:val="20"/>
        </w:rPr>
        <w:t xml:space="preserve"> of our large wholesale customers.</w:t>
      </w:r>
    </w:p>
    <w:p w:rsidR="00000000" w:rsidRDefault="00BB5C2D">
      <w:pPr>
        <w:ind w:firstLine="540"/>
        <w:jc w:val="both"/>
        <w:divId w:val="1626615952"/>
        <w:rPr>
          <w:rFonts w:eastAsia="Times New Roman"/>
        </w:rPr>
      </w:pPr>
      <w:r>
        <w:rPr>
          <w:rFonts w:eastAsia="Times New Roman"/>
          <w:color w:val="000000"/>
          <w:sz w:val="20"/>
          <w:szCs w:val="20"/>
        </w:rPr>
        <w:t>Several of our department store customers, including some under common ownership, account for a significant portion of our wholesale net sales. A substantial portion of sales of our licensed products by our domestic licen</w:t>
      </w:r>
      <w:r>
        <w:rPr>
          <w:rFonts w:eastAsia="Times New Roman"/>
          <w:color w:val="000000"/>
          <w:sz w:val="20"/>
          <w:szCs w:val="20"/>
        </w:rPr>
        <w:t>sing partners are also made to our largest department store customers. Sales to our three largest wholesale customers accounted for approximately 16% of total net revenues for Fiscal 2022, and these customers accounted for approximately 31% of our total gr</w:t>
      </w:r>
      <w:r>
        <w:rPr>
          <w:rFonts w:eastAsia="Times New Roman"/>
          <w:color w:val="000000"/>
          <w:sz w:val="20"/>
          <w:szCs w:val="20"/>
        </w:rPr>
        <w:t>oss trade accounts receivable outstanding as of April 2, 2022. Substantially all sales to our three largest wholesale customers related to our North America segment.</w:t>
      </w:r>
    </w:p>
    <w:p w:rsidR="00000000" w:rsidRDefault="00BB5C2D">
      <w:pPr>
        <w:ind w:firstLine="540"/>
        <w:jc w:val="both"/>
        <w:divId w:val="246614906"/>
        <w:rPr>
          <w:rFonts w:eastAsia="Times New Roman"/>
        </w:rPr>
      </w:pPr>
      <w:r>
        <w:rPr>
          <w:rFonts w:eastAsia="Times New Roman"/>
          <w:color w:val="000000"/>
          <w:sz w:val="20"/>
          <w:szCs w:val="20"/>
        </w:rPr>
        <w:t xml:space="preserve">We typically do not enter into long-term agreements with our customers. Instead, we enter </w:t>
      </w:r>
      <w:r>
        <w:rPr>
          <w:rFonts w:eastAsia="Times New Roman"/>
          <w:color w:val="000000"/>
          <w:sz w:val="20"/>
          <w:szCs w:val="20"/>
        </w:rPr>
        <w:t>into a number of purchase order commitments with our customers for each of our product lines every season. A decision by the controlling owner of a group of stores or any other significant customer, whether motivated by economic conditions, financial diffi</w:t>
      </w:r>
      <w:r>
        <w:rPr>
          <w:rFonts w:eastAsia="Times New Roman"/>
          <w:color w:val="000000"/>
          <w:sz w:val="20"/>
          <w:szCs w:val="20"/>
        </w:rPr>
        <w:t>culties, competitive conditions, or otherwise, to decrease or eliminate the amount of merchandise purchased from us or our licensing partners or to change their manner of doing business with us or our licensing partners or their new strategic and operation</w:t>
      </w:r>
      <w:r>
        <w:rPr>
          <w:rFonts w:eastAsia="Times New Roman"/>
          <w:color w:val="000000"/>
          <w:sz w:val="20"/>
          <w:szCs w:val="20"/>
        </w:rPr>
        <w:t>al initiatives, including their continued focus on further development of their "private label" initiatives, could have a material adverse effect on our business.</w:t>
      </w:r>
    </w:p>
    <w:p w:rsidR="00000000" w:rsidRDefault="00BB5C2D">
      <w:pPr>
        <w:ind w:firstLine="540"/>
        <w:jc w:val="both"/>
        <w:divId w:val="1329283049"/>
        <w:rPr>
          <w:rFonts w:eastAsia="Times New Roman"/>
        </w:rPr>
      </w:pPr>
      <w:r>
        <w:rPr>
          <w:rFonts w:eastAsia="Times New Roman"/>
          <w:color w:val="000000"/>
          <w:sz w:val="20"/>
          <w:szCs w:val="20"/>
        </w:rPr>
        <w:t>The department store sector has also experienced numerous consolidations, restructurings, reo</w:t>
      </w:r>
      <w:r>
        <w:rPr>
          <w:rFonts w:eastAsia="Times New Roman"/>
          <w:color w:val="000000"/>
          <w:sz w:val="20"/>
          <w:szCs w:val="20"/>
        </w:rPr>
        <w:t>rganizations, and other ownership changes in recent years, which could potentially increase in frequency as a result of prolonged periods of adverse economic conditions, such as those being caused by the COVID-19 pandemic, or changes in consumer shopping p</w:t>
      </w:r>
      <w:r>
        <w:rPr>
          <w:rFonts w:eastAsia="Times New Roman"/>
          <w:color w:val="000000"/>
          <w:sz w:val="20"/>
          <w:szCs w:val="20"/>
        </w:rPr>
        <w:t>references, such as the increasing shift away from traditional brick and mortar wholesale retailers to larger online retailers. Our wholesale customers have experienced significant business disruptions as a result of the pandemic, including declines in ret</w:t>
      </w:r>
      <w:r>
        <w:rPr>
          <w:rFonts w:eastAsia="Times New Roman"/>
          <w:color w:val="000000"/>
          <w:sz w:val="20"/>
          <w:szCs w:val="20"/>
        </w:rPr>
        <w:t xml:space="preserve">ail traffic, temporary store closures, and other operational restrictions. There can be no assurance that our wholesale customers have adequate financial resources and/or access to additional capital to withstand prolonged periods of such adverse economic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269246501"/>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269246501"/>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33</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60" style="width:0;height:1.5pt" o:hralign="center" o:hrstd="t" o:hr="t" fillcolor="#a0a0a0" stroked="f"/>
        </w:pict>
      </w:r>
    </w:p>
    <w:p w:rsidR="00000000" w:rsidRDefault="00BB5C2D">
      <w:pPr>
        <w:divId w:val="1911232863"/>
        <w:rPr>
          <w:rFonts w:eastAsia="Times New Roman"/>
        </w:rPr>
      </w:pPr>
    </w:p>
    <w:p w:rsidR="00000000" w:rsidRDefault="00BB5C2D">
      <w:pPr>
        <w:jc w:val="both"/>
        <w:divId w:val="71513593"/>
        <w:rPr>
          <w:rFonts w:eastAsia="Times New Roman"/>
        </w:rPr>
      </w:pPr>
      <w:r>
        <w:rPr>
          <w:rFonts w:eastAsia="Times New Roman"/>
          <w:color w:val="000000"/>
          <w:sz w:val="20"/>
          <w:szCs w:val="20"/>
        </w:rPr>
        <w:t>conditions. The loss of one or more significant wholesale customers, or the loss of a large number of smaller wholesale customers, could have a material adverse effect on our business.</w:t>
      </w:r>
    </w:p>
    <w:p w:rsidR="00000000" w:rsidRDefault="00BB5C2D">
      <w:pPr>
        <w:ind w:firstLine="540"/>
        <w:jc w:val="both"/>
        <w:divId w:val="603273618"/>
        <w:rPr>
          <w:rFonts w:eastAsia="Times New Roman"/>
        </w:rPr>
      </w:pPr>
      <w:r>
        <w:rPr>
          <w:rFonts w:eastAsia="Times New Roman"/>
          <w:color w:val="000000"/>
          <w:sz w:val="20"/>
          <w:szCs w:val="20"/>
        </w:rPr>
        <w:t>Further, even prior to the COVID-</w:t>
      </w:r>
      <w:r>
        <w:rPr>
          <w:rFonts w:eastAsia="Times New Roman"/>
          <w:color w:val="000000"/>
          <w:sz w:val="20"/>
          <w:szCs w:val="20"/>
        </w:rPr>
        <w:t>19 pandemic, certain of our large wholesale customers, particularly those located in the U.S., have been highly promotional and have aggressively marked down their merchandise, including our products. The continuation of such promotional activity could neg</w:t>
      </w:r>
      <w:r>
        <w:rPr>
          <w:rFonts w:eastAsia="Times New Roman"/>
          <w:color w:val="000000"/>
          <w:sz w:val="20"/>
          <w:szCs w:val="20"/>
        </w:rPr>
        <w:t>atively impact our brand image and/or lead to requests from those customers for increased markdown allowances at the end of the season. In response and in connection with our growth plan, we strategically reduce shipments to certain of our customers and cl</w:t>
      </w:r>
      <w:r>
        <w:rPr>
          <w:rFonts w:eastAsia="Times New Roman"/>
          <w:color w:val="000000"/>
          <w:sz w:val="20"/>
          <w:szCs w:val="20"/>
        </w:rPr>
        <w:t>ose less productive doors when deemed appropriate.</w:t>
      </w:r>
    </w:p>
    <w:p w:rsidR="00000000" w:rsidRDefault="00BB5C2D">
      <w:pPr>
        <w:ind w:firstLine="540"/>
        <w:jc w:val="both"/>
        <w:divId w:val="909728897"/>
        <w:rPr>
          <w:rFonts w:eastAsia="Times New Roman"/>
        </w:rPr>
      </w:pPr>
      <w:r>
        <w:rPr>
          <w:rFonts w:eastAsia="Times New Roman"/>
          <w:color w:val="000000"/>
          <w:sz w:val="20"/>
          <w:szCs w:val="20"/>
        </w:rPr>
        <w:t>We sell our wholesale merchandise primarily to major department stores, specialty stores, and third-party digital partners across North America, Europe, Asia, and Australia, and extend credit based on an e</w:t>
      </w:r>
      <w:r>
        <w:rPr>
          <w:rFonts w:eastAsia="Times New Roman"/>
          <w:color w:val="000000"/>
          <w:sz w:val="20"/>
          <w:szCs w:val="20"/>
        </w:rPr>
        <w:t>valuation of each wholesale customer's financial condition, usually without requiring collateral. However, the financial difficulties of a wholesale customer, including those resulting from the COVID-19 pandemic, could cause us to limit or eliminate our bu</w:t>
      </w:r>
      <w:r>
        <w:rPr>
          <w:rFonts w:eastAsia="Times New Roman"/>
          <w:color w:val="000000"/>
          <w:sz w:val="20"/>
          <w:szCs w:val="20"/>
        </w:rPr>
        <w:t>siness with that customer. We may also assume more credit risk relating to that customer's receivables. Our inability to collect on our trade accounts receivable from any one of these customers could have a material adverse effect on our business. See Item</w:t>
      </w:r>
      <w:r>
        <w:rPr>
          <w:rFonts w:eastAsia="Times New Roman"/>
          <w:color w:val="000000"/>
          <w:sz w:val="20"/>
          <w:szCs w:val="20"/>
        </w:rPr>
        <w:t xml:space="preserve"> 1 — </w:t>
      </w:r>
      <w:r>
        <w:rPr>
          <w:rFonts w:eastAsia="Times New Roman"/>
          <w:i/>
          <w:iCs/>
          <w:color w:val="000000"/>
          <w:sz w:val="20"/>
          <w:szCs w:val="20"/>
        </w:rPr>
        <w:t>"Business — Wholesale Credit Control."</w:t>
      </w:r>
    </w:p>
    <w:p w:rsidR="00000000" w:rsidRDefault="00BB5C2D">
      <w:pPr>
        <w:jc w:val="both"/>
        <w:divId w:val="1407990112"/>
        <w:rPr>
          <w:rFonts w:eastAsia="Times New Roman"/>
        </w:rPr>
      </w:pPr>
      <w:r>
        <w:rPr>
          <w:rFonts w:eastAsia="Times New Roman"/>
          <w:b/>
          <w:bCs/>
          <w:color w:val="000000"/>
          <w:sz w:val="20"/>
          <w:szCs w:val="20"/>
        </w:rPr>
        <w:t xml:space="preserve">We have a substantial amount of indebtedness which could restrict our ability to engage in additional capital-related transactions in the future. </w:t>
      </w:r>
    </w:p>
    <w:p w:rsidR="00000000" w:rsidRDefault="00BB5C2D">
      <w:pPr>
        <w:ind w:firstLine="540"/>
        <w:jc w:val="both"/>
        <w:divId w:val="756555812"/>
        <w:rPr>
          <w:rFonts w:eastAsia="Times New Roman"/>
        </w:rPr>
      </w:pPr>
      <w:r>
        <w:rPr>
          <w:rFonts w:eastAsia="Times New Roman"/>
          <w:color w:val="000000"/>
          <w:sz w:val="20"/>
          <w:szCs w:val="20"/>
        </w:rPr>
        <w:t>As of April </w:t>
      </w:r>
      <w:r>
        <w:rPr>
          <w:rFonts w:eastAsia="Times New Roman"/>
          <w:color w:val="000000"/>
          <w:sz w:val="20"/>
          <w:szCs w:val="20"/>
        </w:rPr>
        <w:t>2, 2022, our consolidated indebtedness was approximately $1.636 billion, comprised of our outstanding borrowings under Senior Notes. We also maintain several credit and overdraft facilities, including our Global Credit Facility, which collectively had a re</w:t>
      </w:r>
      <w:r>
        <w:rPr>
          <w:rFonts w:eastAsia="Times New Roman"/>
          <w:color w:val="000000"/>
          <w:sz w:val="20"/>
          <w:szCs w:val="20"/>
        </w:rPr>
        <w:t>maining availability of approximately $564 million as of April 2, 2022. Accordingly, the amount of our indebtedness could further increase materially if we decide to draw upon our credit or overdraft facilities. This substantial level of indebtedness could</w:t>
      </w:r>
      <w:r>
        <w:rPr>
          <w:rFonts w:eastAsia="Times New Roman"/>
          <w:color w:val="000000"/>
          <w:sz w:val="20"/>
          <w:szCs w:val="20"/>
        </w:rPr>
        <w:t xml:space="preserve"> have adverse consequences to our business, including (i) making it more difficult to satisfy our debt obligations as they become due; (ii) impairing our ability to obtain additional financing in the future; (iii) limiting our flexibility to plan for, or r</w:t>
      </w:r>
      <w:r>
        <w:rPr>
          <w:rFonts w:eastAsia="Times New Roman"/>
          <w:color w:val="000000"/>
          <w:sz w:val="20"/>
          <w:szCs w:val="20"/>
        </w:rPr>
        <w:t xml:space="preserve">eact to, changes in our business; and (iv) increasing our vulnerability to adverse economic and industry conditions. </w:t>
      </w:r>
    </w:p>
    <w:p w:rsidR="00000000" w:rsidRDefault="00BB5C2D">
      <w:pPr>
        <w:ind w:firstLine="540"/>
        <w:jc w:val="both"/>
        <w:divId w:val="154421749"/>
        <w:rPr>
          <w:rFonts w:eastAsia="Times New Roman"/>
        </w:rPr>
      </w:pPr>
      <w:r>
        <w:rPr>
          <w:rFonts w:eastAsia="Times New Roman"/>
          <w:color w:val="000000"/>
          <w:sz w:val="20"/>
          <w:szCs w:val="20"/>
        </w:rPr>
        <w:t>We rely on our operating cash flows to repay our outstanding borrowings, as well as to fund any working capital needs, capital expenditure</w:t>
      </w:r>
      <w:r>
        <w:rPr>
          <w:rFonts w:eastAsia="Times New Roman"/>
          <w:color w:val="000000"/>
          <w:sz w:val="20"/>
          <w:szCs w:val="20"/>
        </w:rPr>
        <w:t>s, dividend payments, share repurchases, and other general corporate purposes. Prolonged periods of adverse economic conditions or business disruptions in any of our key regions, or a combination thereof, such as those resulting from the COVID-19 pandemic,</w:t>
      </w:r>
      <w:r>
        <w:rPr>
          <w:rFonts w:eastAsia="Times New Roman"/>
          <w:color w:val="000000"/>
          <w:sz w:val="20"/>
          <w:szCs w:val="20"/>
        </w:rPr>
        <w:t xml:space="preserve"> could impede our ability to pay our obligations as they become due or return value to our shareholders, as well as delay previously planned expenditures related to our operations. Credit rating agencies also periodically review our capital structure and o</w:t>
      </w:r>
      <w:r>
        <w:rPr>
          <w:rFonts w:eastAsia="Times New Roman"/>
          <w:color w:val="000000"/>
          <w:sz w:val="20"/>
          <w:szCs w:val="20"/>
        </w:rPr>
        <w:t>ur ability to generate earnings. A prolonged period of deteriorated financial performance or our inability to comply with debt covenants (as discussed below) could make future financing more difficult to secure and/or expensive. Further, factors beyond our</w:t>
      </w:r>
      <w:r>
        <w:rPr>
          <w:rFonts w:eastAsia="Times New Roman"/>
          <w:color w:val="000000"/>
          <w:sz w:val="20"/>
          <w:szCs w:val="20"/>
        </w:rPr>
        <w:t xml:space="preserve"> control, such as adverse economic conditions, could disrupt capital markets and limit the availability or willingness of financial institutions to extend capital to us in the future.</w:t>
      </w:r>
    </w:p>
    <w:p w:rsidR="00000000" w:rsidRDefault="00BB5C2D">
      <w:pPr>
        <w:ind w:firstLine="540"/>
        <w:jc w:val="both"/>
        <w:divId w:val="1192765227"/>
        <w:rPr>
          <w:rFonts w:eastAsia="Times New Roman"/>
        </w:rPr>
      </w:pPr>
      <w:r>
        <w:rPr>
          <w:rFonts w:eastAsia="Times New Roman"/>
          <w:color w:val="000000"/>
          <w:sz w:val="20"/>
          <w:szCs w:val="20"/>
        </w:rPr>
        <w:t>Certain of our debt instruments contain a number of affirmative and nega</w:t>
      </w:r>
      <w:r>
        <w:rPr>
          <w:rFonts w:eastAsia="Times New Roman"/>
          <w:color w:val="000000"/>
          <w:sz w:val="20"/>
          <w:szCs w:val="20"/>
        </w:rPr>
        <w:t>tive covenants, including maintaining a leverage ratio at or below a specified level. Our failure to comply with such covenants or otherwise secure temporary waivers of non-compliance, could result in the termination of the related facilities and/or our le</w:t>
      </w:r>
      <w:r>
        <w:rPr>
          <w:rFonts w:eastAsia="Times New Roman"/>
          <w:color w:val="000000"/>
          <w:sz w:val="20"/>
          <w:szCs w:val="20"/>
        </w:rPr>
        <w:t>nders demanding any amounts outstanding to be immediately repaid, which could have a material adverse effect on our business. Further, even if we are able to obtain waivers of non-compliance, such waivers may result in incremental fees, higher interest rat</w:t>
      </w:r>
      <w:r>
        <w:rPr>
          <w:rFonts w:eastAsia="Times New Roman"/>
          <w:color w:val="000000"/>
          <w:sz w:val="20"/>
          <w:szCs w:val="20"/>
        </w:rPr>
        <w:t xml:space="preserve">es, and/or additional restrictions and covenants. </w:t>
      </w:r>
    </w:p>
    <w:p w:rsidR="00000000" w:rsidRDefault="00BB5C2D">
      <w:pPr>
        <w:jc w:val="both"/>
        <w:divId w:val="587890345"/>
        <w:rPr>
          <w:rFonts w:eastAsia="Times New Roman"/>
        </w:rPr>
      </w:pPr>
      <w:r>
        <w:rPr>
          <w:rFonts w:eastAsia="Times New Roman"/>
          <w:b/>
          <w:bCs/>
          <w:color w:val="000000"/>
          <w:sz w:val="20"/>
          <w:szCs w:val="20"/>
        </w:rPr>
        <w:t>We rely on our licensing partners to preserve the value of our licenses. Failure to maintain licensing partners could harm our business.</w:t>
      </w:r>
    </w:p>
    <w:p w:rsidR="00000000" w:rsidRDefault="00BB5C2D">
      <w:pPr>
        <w:ind w:firstLine="540"/>
        <w:jc w:val="both"/>
        <w:divId w:val="1070730745"/>
        <w:rPr>
          <w:rFonts w:eastAsia="Times New Roman"/>
        </w:rPr>
      </w:pPr>
      <w:r>
        <w:rPr>
          <w:rFonts w:eastAsia="Times New Roman"/>
          <w:color w:val="000000"/>
          <w:sz w:val="20"/>
          <w:szCs w:val="20"/>
        </w:rPr>
        <w:t>The risks associated with our own products also apply to our license</w:t>
      </w:r>
      <w:r>
        <w:rPr>
          <w:rFonts w:eastAsia="Times New Roman"/>
          <w:color w:val="000000"/>
          <w:sz w:val="20"/>
          <w:szCs w:val="20"/>
        </w:rPr>
        <w:t>d products in addition to any number of possible risks specific to a licensing partner's business, including risks associated with a particular licensing partner's ability to (i) obtain capital; (ii) execute its business plans; (iii) manage its labor relat</w:t>
      </w:r>
      <w:r>
        <w:rPr>
          <w:rFonts w:eastAsia="Times New Roman"/>
          <w:color w:val="000000"/>
          <w:sz w:val="20"/>
          <w:szCs w:val="20"/>
        </w:rPr>
        <w:t>ions; (iv) maintain relationships with its suppliers and customers; (v) generate sufficient cash flows to fund its operations and pay its obligations as they become due, including minimum royalties due to us; (vi) withstand prolonged periods of adverse eco</w:t>
      </w:r>
      <w:r>
        <w:rPr>
          <w:rFonts w:eastAsia="Times New Roman"/>
          <w:color w:val="000000"/>
          <w:sz w:val="20"/>
          <w:szCs w:val="20"/>
        </w:rPr>
        <w:t>nomic conditions, such as those being caused by the COVID-19 pandemic and the Russia-Ukraine war; and (vii) manage its credit and bankruptcy risks effectively.</w:t>
      </w:r>
    </w:p>
    <w:p w:rsidR="00000000" w:rsidRDefault="00BB5C2D">
      <w:pPr>
        <w:ind w:firstLine="540"/>
        <w:jc w:val="both"/>
        <w:divId w:val="98650359"/>
        <w:rPr>
          <w:rFonts w:eastAsia="Times New Roman"/>
        </w:rPr>
      </w:pPr>
      <w:r>
        <w:rPr>
          <w:rFonts w:eastAsia="Times New Roman"/>
          <w:color w:val="000000"/>
          <w:sz w:val="20"/>
          <w:szCs w:val="20"/>
        </w:rPr>
        <w:t>Although a number of our license agreements prohibit our licensing partners from entering into l</w:t>
      </w:r>
      <w:r>
        <w:rPr>
          <w:rFonts w:eastAsia="Times New Roman"/>
          <w:color w:val="000000"/>
          <w:sz w:val="20"/>
          <w:szCs w:val="20"/>
        </w:rPr>
        <w:t>icensing arrangements with our competitors, our licensing partners generally are not precluded from offering, under other non-competitor brands, the types of products covered by their license agreements with us. A substantial portion of sales of our produc</w:t>
      </w:r>
      <w:r>
        <w:rPr>
          <w:rFonts w:eastAsia="Times New Roman"/>
          <w:color w:val="000000"/>
          <w:sz w:val="20"/>
          <w:szCs w:val="20"/>
        </w:rPr>
        <w:t xml:space="preserve">ts by our domestic licensing partners are also made to our largest customers. While we have significant control over our licensing partners'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716855819"/>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716855819"/>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34</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61" style="width:0;height:1.5pt" o:hralign="center" o:hrstd="t" o:hr="t" fillcolor="#a0a0a0" stroked="f"/>
        </w:pict>
      </w:r>
    </w:p>
    <w:p w:rsidR="00000000" w:rsidRDefault="00BB5C2D">
      <w:pPr>
        <w:divId w:val="1506704818"/>
        <w:rPr>
          <w:rFonts w:eastAsia="Times New Roman"/>
        </w:rPr>
      </w:pPr>
    </w:p>
    <w:p w:rsidR="00000000" w:rsidRDefault="00BB5C2D">
      <w:pPr>
        <w:jc w:val="both"/>
        <w:divId w:val="1944610302"/>
        <w:rPr>
          <w:rFonts w:eastAsia="Times New Roman"/>
        </w:rPr>
      </w:pPr>
      <w:r>
        <w:rPr>
          <w:rFonts w:eastAsia="Times New Roman"/>
          <w:color w:val="000000"/>
          <w:sz w:val="20"/>
          <w:szCs w:val="20"/>
        </w:rPr>
        <w:t>products and advertising, we rely on our licensing partners for, among other things, operational and financial control over their businesses. Changes in management, reduced sales of licensed products, poor execution, o</w:t>
      </w:r>
      <w:r>
        <w:rPr>
          <w:rFonts w:eastAsia="Times New Roman"/>
          <w:color w:val="000000"/>
          <w:sz w:val="20"/>
          <w:szCs w:val="20"/>
        </w:rPr>
        <w:t>r financial difficulties with respect to any of our licensing partners could adversely affect our revenues, both directly from reduced licensing revenue received and indirectly from reduced sales of our other products. Although we believe that we could rep</w:t>
      </w:r>
      <w:r>
        <w:rPr>
          <w:rFonts w:eastAsia="Times New Roman"/>
          <w:color w:val="000000"/>
          <w:sz w:val="20"/>
          <w:szCs w:val="20"/>
        </w:rPr>
        <w:t>lace our existing licensing partners in most circumstances, if necessary, our inability to do so for any period of time could adversely affect our revenues, both directly from reduced licensing revenue received and indirectly from reduced sales of our othe</w:t>
      </w:r>
      <w:r>
        <w:rPr>
          <w:rFonts w:eastAsia="Times New Roman"/>
          <w:color w:val="000000"/>
          <w:sz w:val="20"/>
          <w:szCs w:val="20"/>
        </w:rPr>
        <w:t xml:space="preserve">r products. See Item 1 — </w:t>
      </w:r>
      <w:r>
        <w:rPr>
          <w:rFonts w:eastAsia="Times New Roman"/>
          <w:i/>
          <w:iCs/>
          <w:color w:val="000000"/>
          <w:sz w:val="20"/>
          <w:szCs w:val="20"/>
        </w:rPr>
        <w:t>"Business — Our Licensing Business."</w:t>
      </w:r>
    </w:p>
    <w:p w:rsidR="00000000" w:rsidRDefault="00BB5C2D">
      <w:pPr>
        <w:jc w:val="both"/>
        <w:divId w:val="1572420148"/>
        <w:rPr>
          <w:rFonts w:eastAsia="Times New Roman"/>
        </w:rPr>
      </w:pPr>
      <w:r>
        <w:rPr>
          <w:rFonts w:eastAsia="Times New Roman"/>
          <w:b/>
          <w:bCs/>
          <w:color w:val="000000"/>
          <w:sz w:val="20"/>
          <w:szCs w:val="20"/>
        </w:rPr>
        <w:t>Our business could be adversely affected by man-made or natural disasters and other catastrophic events in the locations in which we or our customers or suppliers operate.</w:t>
      </w:r>
    </w:p>
    <w:p w:rsidR="00000000" w:rsidRDefault="00BB5C2D">
      <w:pPr>
        <w:ind w:firstLine="540"/>
        <w:jc w:val="both"/>
        <w:divId w:val="1789739489"/>
        <w:rPr>
          <w:rFonts w:eastAsia="Times New Roman"/>
        </w:rPr>
      </w:pPr>
      <w:r>
        <w:rPr>
          <w:rFonts w:eastAsia="Times New Roman"/>
          <w:color w:val="000000"/>
          <w:sz w:val="20"/>
          <w:szCs w:val="20"/>
        </w:rPr>
        <w:t>Our operations, includ</w:t>
      </w:r>
      <w:r>
        <w:rPr>
          <w:rFonts w:eastAsia="Times New Roman"/>
          <w:color w:val="000000"/>
          <w:sz w:val="20"/>
          <w:szCs w:val="20"/>
        </w:rPr>
        <w:t>ing retail, distribution, and warehousing operations, are susceptible to man-made or natural disasters, including pandemic diseases such as COVID-19, severe weather, geological events, and other catastrophic events, such as terrorist attacks and military c</w:t>
      </w:r>
      <w:r>
        <w:rPr>
          <w:rFonts w:eastAsia="Times New Roman"/>
          <w:color w:val="000000"/>
          <w:sz w:val="20"/>
          <w:szCs w:val="20"/>
        </w:rPr>
        <w:t>onflict, any of which could disrupt our operations. In addition, the operations of our customers and suppliers could experience similar disruptions. The occurrence of natural disasters or other catastrophic events may result in sudden disruptions in the bu</w:t>
      </w:r>
      <w:r>
        <w:rPr>
          <w:rFonts w:eastAsia="Times New Roman"/>
          <w:color w:val="000000"/>
          <w:sz w:val="20"/>
          <w:szCs w:val="20"/>
        </w:rPr>
        <w:t>siness operations of the local economies affected, as well as of the regional and global economies. The occurrence of such events could also adversely affect financial markets and the availability of capital. In addition, our business can be affected by un</w:t>
      </w:r>
      <w:r>
        <w:rPr>
          <w:rFonts w:eastAsia="Times New Roman"/>
          <w:color w:val="000000"/>
          <w:sz w:val="20"/>
          <w:szCs w:val="20"/>
        </w:rPr>
        <w:t>seasonable weather conditions, such as extended periods of unseasonably warm temperatures in the winter or unseasonably cold temperatures in the summer. There is growing concern that climate change may increase both the frequency and severity of extreme we</w:t>
      </w:r>
      <w:r>
        <w:rPr>
          <w:rFonts w:eastAsia="Times New Roman"/>
          <w:color w:val="000000"/>
          <w:sz w:val="20"/>
          <w:szCs w:val="20"/>
        </w:rPr>
        <w:t>ather conditions and natural disasters. Any of these events could result in decreased demand for our products and disruptions in our sales channels and manufacturing and distribution networks, which could have a material adverse effect on our business.</w:t>
      </w:r>
    </w:p>
    <w:p w:rsidR="00000000" w:rsidRDefault="00BB5C2D">
      <w:pPr>
        <w:jc w:val="both"/>
        <w:divId w:val="1601530126"/>
        <w:rPr>
          <w:rFonts w:eastAsia="Times New Roman"/>
        </w:rPr>
      </w:pPr>
      <w:r>
        <w:rPr>
          <w:rFonts w:eastAsia="Times New Roman"/>
          <w:b/>
          <w:bCs/>
          <w:color w:val="000000"/>
          <w:sz w:val="20"/>
          <w:szCs w:val="20"/>
          <w:u w:val="single"/>
        </w:rPr>
        <w:t>Ris</w:t>
      </w:r>
      <w:r>
        <w:rPr>
          <w:rFonts w:eastAsia="Times New Roman"/>
          <w:b/>
          <w:bCs/>
          <w:color w:val="000000"/>
          <w:sz w:val="20"/>
          <w:szCs w:val="20"/>
          <w:u w:val="single"/>
        </w:rPr>
        <w:t>ks Related to Information Systems and Data Security</w:t>
      </w:r>
    </w:p>
    <w:p w:rsidR="00000000" w:rsidRDefault="00BB5C2D">
      <w:pPr>
        <w:jc w:val="both"/>
        <w:divId w:val="1982805862"/>
        <w:rPr>
          <w:rFonts w:eastAsia="Times New Roman"/>
        </w:rPr>
      </w:pPr>
      <w:r>
        <w:rPr>
          <w:rFonts w:eastAsia="Times New Roman"/>
          <w:b/>
          <w:bCs/>
          <w:color w:val="000000"/>
          <w:sz w:val="20"/>
          <w:szCs w:val="20"/>
        </w:rPr>
        <w:t>A data security or privacy breach could damage our reputation and our relationships with our customers or employees, expose us to litigation risk, and adversely affect our business.</w:t>
      </w:r>
    </w:p>
    <w:p w:rsidR="00000000" w:rsidRDefault="00BB5C2D">
      <w:pPr>
        <w:ind w:firstLine="540"/>
        <w:jc w:val="both"/>
        <w:divId w:val="1791708612"/>
        <w:rPr>
          <w:rFonts w:eastAsia="Times New Roman"/>
        </w:rPr>
      </w:pPr>
      <w:r>
        <w:rPr>
          <w:rFonts w:eastAsia="Times New Roman"/>
          <w:color w:val="000000"/>
          <w:sz w:val="20"/>
          <w:szCs w:val="20"/>
        </w:rPr>
        <w:t>We are dependent on information technology systems and networks, including the Internet, for a significant portion of our direct-to-consumer sales, including our digital commerce operations and retail business credit card transaction authorization and proc</w:t>
      </w:r>
      <w:r>
        <w:rPr>
          <w:rFonts w:eastAsia="Times New Roman"/>
          <w:color w:val="000000"/>
          <w:sz w:val="20"/>
          <w:szCs w:val="20"/>
        </w:rPr>
        <w:t>essing. We are also responsible for storing data relating to our customers and employees and rely on third parties for the operation of our digital commerce sites and for the various social media tools and websites we use as part of our marketing strategy.</w:t>
      </w:r>
      <w:r>
        <w:rPr>
          <w:rFonts w:eastAsia="Times New Roman"/>
          <w:color w:val="000000"/>
          <w:sz w:val="20"/>
          <w:szCs w:val="20"/>
        </w:rPr>
        <w:t xml:space="preserve"> In our normal course of business, we often collect, transmit, and/or retain certain sensitive and confidential customer information, including credit card information. There is significant concern by consumers, employees, and lawmakers alike over the secu</w:t>
      </w:r>
      <w:r>
        <w:rPr>
          <w:rFonts w:eastAsia="Times New Roman"/>
          <w:color w:val="000000"/>
          <w:sz w:val="20"/>
          <w:szCs w:val="20"/>
        </w:rPr>
        <w:t>rity of personal information transmitted over the Internet, consumer identity theft, and user privacy, as cyber-criminals are becoming increasingly more sophisticated in their attempts to gain unauthorized access to computer systems and confidential or sen</w:t>
      </w:r>
      <w:r>
        <w:rPr>
          <w:rFonts w:eastAsia="Times New Roman"/>
          <w:color w:val="000000"/>
          <w:sz w:val="20"/>
          <w:szCs w:val="20"/>
        </w:rPr>
        <w:t>sitive data.</w:t>
      </w:r>
    </w:p>
    <w:p w:rsidR="00000000" w:rsidRDefault="00BB5C2D">
      <w:pPr>
        <w:ind w:firstLine="540"/>
        <w:jc w:val="both"/>
        <w:divId w:val="2147161213"/>
        <w:rPr>
          <w:rFonts w:eastAsia="Times New Roman"/>
        </w:rPr>
      </w:pPr>
      <w:r>
        <w:rPr>
          <w:rFonts w:eastAsia="Times New Roman"/>
          <w:color w:val="000000"/>
          <w:sz w:val="20"/>
          <w:szCs w:val="20"/>
        </w:rPr>
        <w:t>Despite the security measures we currently have in place (including those described in Item 1 — "Business — Information Systems"), our facilities and systems and those of our third-party service providers may be vulnerable to targeted or rando</w:t>
      </w:r>
      <w:r>
        <w:rPr>
          <w:rFonts w:eastAsia="Times New Roman"/>
          <w:color w:val="000000"/>
          <w:sz w:val="20"/>
          <w:szCs w:val="20"/>
        </w:rPr>
        <w:t>m attacks that could lead to security breaches, acts of vandalism, phishing attacks, denial-of-service attacks, computer viruses, malware, ransomware, misplaced or lost data, programming and/or human errors, or other Internet or email events. The increased</w:t>
      </w:r>
      <w:r>
        <w:rPr>
          <w:rFonts w:eastAsia="Times New Roman"/>
          <w:color w:val="000000"/>
          <w:sz w:val="20"/>
          <w:szCs w:val="20"/>
        </w:rPr>
        <w:t xml:space="preserve"> use of smartphones, tablets, and other wireless devices, as well as ongoing work-from-home arrangements for a substantial portion of our corporate employees, may also heighten these and other operational risks. The retail industry in particular continues </w:t>
      </w:r>
      <w:r>
        <w:rPr>
          <w:rFonts w:eastAsia="Times New Roman"/>
          <w:color w:val="000000"/>
          <w:sz w:val="20"/>
          <w:szCs w:val="20"/>
        </w:rPr>
        <w:t>to be the target of many cyber-attacks, which are becoming increasingly more difficult to anticipate and prevent due to their rapidly evolving nature. Furthermore, economic sanctions issued by one country against another, such as those recently issued by t</w:t>
      </w:r>
      <w:r>
        <w:rPr>
          <w:rFonts w:eastAsia="Times New Roman"/>
          <w:color w:val="000000"/>
          <w:sz w:val="20"/>
          <w:szCs w:val="20"/>
        </w:rPr>
        <w:t>he U.S. and other countries against Russia in response to its war with Ukraine, could increase the risk of retaliatory state-sponsored cyber-attacks. Given the rapidly evolving nature, sophistication, and complexity of cyber-attacks, despite our reasonable</w:t>
      </w:r>
      <w:r>
        <w:rPr>
          <w:rFonts w:eastAsia="Times New Roman"/>
          <w:color w:val="000000"/>
          <w:sz w:val="20"/>
          <w:szCs w:val="20"/>
        </w:rPr>
        <w:t xml:space="preserve"> efforts to mitigate and prevent such attacks, it is possible that we may not be able to anticipate, prevent, detect, or implement effective preventive measures to protect against all cyber-attack incidents.</w:t>
      </w:r>
    </w:p>
    <w:p w:rsidR="00000000" w:rsidRDefault="00BB5C2D">
      <w:pPr>
        <w:ind w:firstLine="540"/>
        <w:jc w:val="both"/>
        <w:divId w:val="2105027320"/>
        <w:rPr>
          <w:rFonts w:eastAsia="Times New Roman"/>
        </w:rPr>
      </w:pPr>
      <w:r>
        <w:rPr>
          <w:rFonts w:eastAsia="Times New Roman"/>
          <w:color w:val="000000"/>
          <w:sz w:val="20"/>
          <w:szCs w:val="20"/>
        </w:rPr>
        <w:t xml:space="preserve">Although we have purchased network security and </w:t>
      </w:r>
      <w:r>
        <w:rPr>
          <w:rFonts w:eastAsia="Times New Roman"/>
          <w:color w:val="000000"/>
          <w:sz w:val="20"/>
          <w:szCs w:val="20"/>
        </w:rPr>
        <w:t>cyber liability insurance to provide a level of financial protection should a data breach occur, such insurance may not cover us against all claims or costs associated with such a breach, and we cannot be certain that such insurance will continue to be ava</w:t>
      </w:r>
      <w:r>
        <w:rPr>
          <w:rFonts w:eastAsia="Times New Roman"/>
          <w:color w:val="000000"/>
          <w:sz w:val="20"/>
          <w:szCs w:val="20"/>
        </w:rPr>
        <w:t xml:space="preserve">ilable to us on economically reasonable terms or at all, or that our insurers will not deny coverage as to any future claim. Additionally, the technology we use to protect our systems from being breached or compromised could become outdated as a result of </w:t>
      </w:r>
      <w:r>
        <w:rPr>
          <w:rFonts w:eastAsia="Times New Roman"/>
          <w:color w:val="000000"/>
          <w:sz w:val="20"/>
          <w:szCs w:val="20"/>
        </w:rPr>
        <w:t>advances in computer capabilities or other technological developments, thereby requiring us to make further investments in capital or other resources to protect us against cyber-attacks, the cost of which could be significant. Further, measures we implemen</w:t>
      </w:r>
      <w:r>
        <w:rPr>
          <w:rFonts w:eastAsia="Times New Roman"/>
          <w:color w:val="000000"/>
          <w:sz w:val="20"/>
          <w:szCs w:val="20"/>
        </w:rPr>
        <w:t>t to protect our computer systems against cyber-attacks may make them harder to use or reduce the speed at which they operate, which in turn could negatively impact our customers' shopping experience resulting in reduced website traffic, diminished loyalty</w:t>
      </w:r>
      <w:r>
        <w:rPr>
          <w:rFonts w:eastAsia="Times New Roman"/>
          <w:color w:val="000000"/>
          <w:sz w:val="20"/>
          <w:szCs w:val="20"/>
        </w:rPr>
        <w:t xml:space="preserve"> to our brands, and lost sales.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768498474"/>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768498474"/>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35</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62" style="width:0;height:1.5pt" o:hralign="center" o:hrstd="t" o:hr="t" fillcolor="#a0a0a0" stroked="f"/>
        </w:pict>
      </w:r>
    </w:p>
    <w:p w:rsidR="00000000" w:rsidRDefault="00BB5C2D">
      <w:pPr>
        <w:divId w:val="1223979176"/>
        <w:rPr>
          <w:rFonts w:eastAsia="Times New Roman"/>
        </w:rPr>
      </w:pPr>
    </w:p>
    <w:p w:rsidR="00000000" w:rsidRDefault="00BB5C2D">
      <w:pPr>
        <w:ind w:firstLine="540"/>
        <w:jc w:val="both"/>
        <w:divId w:val="2136026319"/>
        <w:rPr>
          <w:rFonts w:eastAsia="Times New Roman"/>
        </w:rPr>
      </w:pPr>
      <w:r>
        <w:rPr>
          <w:rFonts w:eastAsia="Times New Roman"/>
          <w:color w:val="000000"/>
          <w:sz w:val="20"/>
          <w:szCs w:val="20"/>
        </w:rPr>
        <w:t>Any perceived or actual electronic or physical security breach involving the misappropriation, loss, or other unauthorized disclosure of confidential or personally identifiable information, including penetration of our</w:t>
      </w:r>
      <w:r>
        <w:rPr>
          <w:rFonts w:eastAsia="Times New Roman"/>
          <w:color w:val="000000"/>
          <w:sz w:val="20"/>
          <w:szCs w:val="20"/>
        </w:rPr>
        <w:t xml:space="preserve"> network security, whether by us or by a third party, could disrupt our business, severely damage our reputation and our relationships with our customers, employees, or vendors, expose us to risks of litigation, significant fines and penalties, liability, </w:t>
      </w:r>
      <w:r>
        <w:rPr>
          <w:rFonts w:eastAsia="Times New Roman"/>
          <w:color w:val="000000"/>
          <w:sz w:val="20"/>
          <w:szCs w:val="20"/>
        </w:rPr>
        <w:t>and higher costs for insurance or insurance not being available to us on economically feasible terms or at all, and result in deterioration in our customers', employees', or vendors' confidence in us, and adversely affect our business, results of operation</w:t>
      </w:r>
      <w:r>
        <w:rPr>
          <w:rFonts w:eastAsia="Times New Roman"/>
          <w:color w:val="000000"/>
          <w:sz w:val="20"/>
          <w:szCs w:val="20"/>
        </w:rPr>
        <w:t>s, and financial condition. Since we do not control third-party service providers and cannot guarantee that no electronic or physical computer break-ins and security breaches will occur in the future, any perceived or actual unauthorized disclosure of pers</w:t>
      </w:r>
      <w:r>
        <w:rPr>
          <w:rFonts w:eastAsia="Times New Roman"/>
          <w:color w:val="000000"/>
          <w:sz w:val="20"/>
          <w:szCs w:val="20"/>
        </w:rPr>
        <w:t>onally identifiable information regarding our employees, customers, or website visitors could harm our reputation and credibility, result in lost sales, impair our ability to attract website visitors, and/or reduce our ability to attract and retain employe</w:t>
      </w:r>
      <w:r>
        <w:rPr>
          <w:rFonts w:eastAsia="Times New Roman"/>
          <w:color w:val="000000"/>
          <w:sz w:val="20"/>
          <w:szCs w:val="20"/>
        </w:rPr>
        <w:t>es and customers. As these threats develop and grow, we may find it necessary to make significant further investments to protect data and our infrastructure, including the implementation of new computer systems or upgrades to existing systems, deployment o</w:t>
      </w:r>
      <w:r>
        <w:rPr>
          <w:rFonts w:eastAsia="Times New Roman"/>
          <w:color w:val="000000"/>
          <w:sz w:val="20"/>
          <w:szCs w:val="20"/>
        </w:rPr>
        <w:t>f additional personnel and protection-related technologies, engagement of third-party consultants, and training of employees.</w:t>
      </w:r>
    </w:p>
    <w:p w:rsidR="00000000" w:rsidRDefault="00BB5C2D">
      <w:pPr>
        <w:ind w:firstLine="540"/>
        <w:jc w:val="both"/>
        <w:divId w:val="614605476"/>
        <w:rPr>
          <w:rFonts w:eastAsia="Times New Roman"/>
        </w:rPr>
      </w:pPr>
      <w:r>
        <w:rPr>
          <w:rFonts w:eastAsia="Times New Roman"/>
          <w:color w:val="000000"/>
          <w:sz w:val="20"/>
          <w:szCs w:val="20"/>
        </w:rPr>
        <w:t xml:space="preserve">In addition, the regulatory environment relating to information security and privacy is becoming increasingly more demanding with </w:t>
      </w:r>
      <w:r>
        <w:rPr>
          <w:rFonts w:eastAsia="Times New Roman"/>
          <w:color w:val="000000"/>
          <w:sz w:val="20"/>
          <w:szCs w:val="20"/>
        </w:rPr>
        <w:t>frequent new requirements surrounding the handling, protection, and use of personal and sensitive information. We may incur significant costs in complying with the various applicable state, federal, and foreign laws regarding protection of, and unauthorize</w:t>
      </w:r>
      <w:r>
        <w:rPr>
          <w:rFonts w:eastAsia="Times New Roman"/>
          <w:color w:val="000000"/>
          <w:sz w:val="20"/>
          <w:szCs w:val="20"/>
        </w:rPr>
        <w:t>d disclosure of, personal information. Additionally, failing to comply with such laws and regulations could damage the reputation of our brands and lead to adverse consumer actions, as well as expose us to government enforcement action and/or private litig</w:t>
      </w:r>
      <w:r>
        <w:rPr>
          <w:rFonts w:eastAsia="Times New Roman"/>
          <w:color w:val="000000"/>
          <w:sz w:val="20"/>
          <w:szCs w:val="20"/>
        </w:rPr>
        <w:t>ation, any of which could adversely affect our business.</w:t>
      </w:r>
    </w:p>
    <w:p w:rsidR="00000000" w:rsidRDefault="00BB5C2D">
      <w:pPr>
        <w:jc w:val="both"/>
        <w:divId w:val="57292546"/>
        <w:rPr>
          <w:rFonts w:eastAsia="Times New Roman"/>
        </w:rPr>
      </w:pPr>
      <w:r>
        <w:rPr>
          <w:rFonts w:eastAsia="Times New Roman"/>
          <w:b/>
          <w:bCs/>
          <w:color w:val="000000"/>
          <w:sz w:val="20"/>
          <w:szCs w:val="20"/>
        </w:rPr>
        <w:t>Our business could suffer if our computer systems and websites are disrupted or cease to operate effectively.</w:t>
      </w:r>
    </w:p>
    <w:p w:rsidR="00000000" w:rsidRDefault="00BB5C2D">
      <w:pPr>
        <w:ind w:firstLine="540"/>
        <w:jc w:val="both"/>
        <w:divId w:val="1828784488"/>
        <w:rPr>
          <w:rFonts w:eastAsia="Times New Roman"/>
        </w:rPr>
      </w:pPr>
      <w:r>
        <w:rPr>
          <w:rFonts w:eastAsia="Times New Roman"/>
          <w:color w:val="000000"/>
          <w:sz w:val="20"/>
          <w:szCs w:val="20"/>
        </w:rPr>
        <w:t>We are dependent on our computer systems to record and process transactions and manage an</w:t>
      </w:r>
      <w:r>
        <w:rPr>
          <w:rFonts w:eastAsia="Times New Roman"/>
          <w:color w:val="000000"/>
          <w:sz w:val="20"/>
          <w:szCs w:val="20"/>
        </w:rPr>
        <w:t>d operate our business, including designing, marketing, manufacturing, importing, tracking, and distributing our products, processing payments, accounting for and reporting financial results, and managing our employees and employee benefit programs. In add</w:t>
      </w:r>
      <w:r>
        <w:rPr>
          <w:rFonts w:eastAsia="Times New Roman"/>
          <w:color w:val="000000"/>
          <w:sz w:val="20"/>
          <w:szCs w:val="20"/>
        </w:rPr>
        <w:t>ition, we have digital commerce and other informational websites in North America, Europe, and Asia, including Australia and New Zealand, and have plans for additional digital commerce sites in the future. Our digital commerce operations are a critical ele</w:t>
      </w:r>
      <w:r>
        <w:rPr>
          <w:rFonts w:eastAsia="Times New Roman"/>
          <w:color w:val="000000"/>
          <w:sz w:val="20"/>
          <w:szCs w:val="20"/>
        </w:rPr>
        <w:t>ment of our long-term growth strategy and are vital to the overall success of our business. Furthermore, a substantial portion of our corporate employees continue to work remotely. Given the complexity of our business and the significant number of transact</w:t>
      </w:r>
      <w:r>
        <w:rPr>
          <w:rFonts w:eastAsia="Times New Roman"/>
          <w:color w:val="000000"/>
          <w:sz w:val="20"/>
          <w:szCs w:val="20"/>
        </w:rPr>
        <w:t>ions that we engage in on a daily basis, it is imperative that we maintain uninterrupted operation of our computer hardware and software systems.</w:t>
      </w:r>
    </w:p>
    <w:p w:rsidR="00000000" w:rsidRDefault="00BB5C2D">
      <w:pPr>
        <w:ind w:firstLine="540"/>
        <w:jc w:val="both"/>
        <w:divId w:val="1714883614"/>
        <w:rPr>
          <w:rFonts w:eastAsia="Times New Roman"/>
        </w:rPr>
      </w:pPr>
      <w:r>
        <w:rPr>
          <w:rFonts w:eastAsia="Times New Roman"/>
          <w:color w:val="000000"/>
          <w:sz w:val="20"/>
          <w:szCs w:val="20"/>
        </w:rPr>
        <w:t>Despite our preventative efforts, our systems are vulnerable to damage or interruption from, among other thing</w:t>
      </w:r>
      <w:r>
        <w:rPr>
          <w:rFonts w:eastAsia="Times New Roman"/>
          <w:color w:val="000000"/>
          <w:sz w:val="20"/>
          <w:szCs w:val="20"/>
        </w:rPr>
        <w:t>s, security breaches, computer viruses, technical malfunctions, inadequate system capacity, power outages, natural disasters, and usage errors by our employees or third-party consultants. If our information technology systems become damaged or otherwise ce</w:t>
      </w:r>
      <w:r>
        <w:rPr>
          <w:rFonts w:eastAsia="Times New Roman"/>
          <w:color w:val="000000"/>
          <w:sz w:val="20"/>
          <w:szCs w:val="20"/>
        </w:rPr>
        <w:t>ase to function properly, we may have to make significant investments to repair or replace them. Additionally, confidential or sensitive data related to our customers, employees, or vendors could be lost or compromised. We are continually improving and upg</w:t>
      </w:r>
      <w:r>
        <w:rPr>
          <w:rFonts w:eastAsia="Times New Roman"/>
          <w:color w:val="000000"/>
          <w:sz w:val="20"/>
          <w:szCs w:val="20"/>
        </w:rPr>
        <w:t>rading our computer systems and software, which also involves risks and uncertainties. Any disruptions, delays, or deficiencies in the design, implementation, or transition of such systems could result in increased costs, disruptions in the sourcing, sale,</w:t>
      </w:r>
      <w:r>
        <w:rPr>
          <w:rFonts w:eastAsia="Times New Roman"/>
          <w:color w:val="000000"/>
          <w:sz w:val="20"/>
          <w:szCs w:val="20"/>
        </w:rPr>
        <w:t xml:space="preserve"> and shipment of our product, delays in the collection of cash from our customers, and/or adversely affect our ability to accurately report our financial results in a timely manner. Any material disruptions in our information technology systems could have </w:t>
      </w:r>
      <w:r>
        <w:rPr>
          <w:rFonts w:eastAsia="Times New Roman"/>
          <w:color w:val="000000"/>
          <w:sz w:val="20"/>
          <w:szCs w:val="20"/>
        </w:rPr>
        <w:t>a material adverse effect on our business.</w:t>
      </w:r>
    </w:p>
    <w:p w:rsidR="00000000" w:rsidRDefault="00BB5C2D">
      <w:pPr>
        <w:jc w:val="both"/>
        <w:divId w:val="1961835851"/>
        <w:rPr>
          <w:rFonts w:eastAsia="Times New Roman"/>
        </w:rPr>
      </w:pPr>
      <w:r>
        <w:rPr>
          <w:rFonts w:eastAsia="Times New Roman"/>
          <w:b/>
          <w:bCs/>
          <w:color w:val="000000"/>
          <w:sz w:val="20"/>
          <w:szCs w:val="20"/>
          <w:u w:val="single"/>
        </w:rPr>
        <w:t>Risks Related to Environmental, Social, and Governance Issues</w:t>
      </w:r>
    </w:p>
    <w:p w:rsidR="00000000" w:rsidRDefault="00BB5C2D">
      <w:pPr>
        <w:jc w:val="both"/>
        <w:divId w:val="1897811949"/>
        <w:rPr>
          <w:rFonts w:eastAsia="Times New Roman"/>
        </w:rPr>
      </w:pPr>
      <w:r>
        <w:rPr>
          <w:rFonts w:eastAsia="Times New Roman"/>
          <w:b/>
          <w:bCs/>
          <w:color w:val="000000"/>
          <w:sz w:val="20"/>
          <w:szCs w:val="20"/>
        </w:rPr>
        <w:t>Our business could suffer if we fail to meet our global citizenship and sustainability goals or if such goals do not meet the expectations of our stake</w:t>
      </w:r>
      <w:r>
        <w:rPr>
          <w:rFonts w:eastAsia="Times New Roman"/>
          <w:b/>
          <w:bCs/>
          <w:color w:val="000000"/>
          <w:sz w:val="20"/>
          <w:szCs w:val="20"/>
        </w:rPr>
        <w:t>holders</w:t>
      </w:r>
    </w:p>
    <w:p w:rsidR="00000000" w:rsidRDefault="00BB5C2D">
      <w:pPr>
        <w:ind w:firstLine="540"/>
        <w:jc w:val="both"/>
        <w:divId w:val="1276476455"/>
        <w:rPr>
          <w:rFonts w:eastAsia="Times New Roman"/>
        </w:rPr>
      </w:pPr>
      <w:r>
        <w:rPr>
          <w:rFonts w:eastAsia="Times New Roman"/>
          <w:color w:val="000000"/>
          <w:sz w:val="20"/>
          <w:szCs w:val="20"/>
        </w:rPr>
        <w:t>There is an increased focus from consumers, employees, investors, advocacy groups, and other stakeholders concerning environmental, social, and governance ("ESG") matters, including climate change, and the related sustainability initiatives of comp</w:t>
      </w:r>
      <w:r>
        <w:rPr>
          <w:rFonts w:eastAsia="Times New Roman"/>
          <w:color w:val="000000"/>
          <w:sz w:val="20"/>
          <w:szCs w:val="20"/>
        </w:rPr>
        <w:t>anies. Furthermore, investors have placed increased importance on the social cost of their investments. Although we have established certain long-term initiatives and goals regarding our impact on the environment and society as a whole, including our diver</w:t>
      </w:r>
      <w:r>
        <w:rPr>
          <w:rFonts w:eastAsia="Times New Roman"/>
          <w:color w:val="000000"/>
          <w:sz w:val="20"/>
          <w:szCs w:val="20"/>
        </w:rPr>
        <w:t>sity, equity, and inclusion initiatives, there can be no assurance that our various stakeholders will agree with our initiatives or if we will be successful in achieving our goals by our targeted dates or at all. Further, we could incur additional costs, f</w:t>
      </w:r>
      <w:r>
        <w:rPr>
          <w:rFonts w:eastAsia="Times New Roman"/>
          <w:color w:val="000000"/>
          <w:sz w:val="20"/>
          <w:szCs w:val="20"/>
        </w:rPr>
        <w:t xml:space="preserve">ace market and technological barriers, and require additional resources to monitor, report, and comply with various ESG practices. Our failure, or perceived failure, to achieve our sustainability goals could damage the reputation of our brands and lead to </w:t>
      </w:r>
      <w:r>
        <w:rPr>
          <w:rFonts w:eastAsia="Times New Roman"/>
          <w:color w:val="000000"/>
          <w:sz w:val="20"/>
          <w:szCs w:val="20"/>
        </w:rPr>
        <w:t>adverse consumer actions and/or investment decisions by investors, as well as our ability to attract and retain employees.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947009515"/>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947009515"/>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36</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63" style="width:0;height:1.5pt" o:hralign="center" o:hrstd="t" o:hr="t" fillcolor="#a0a0a0" stroked="f"/>
        </w:pict>
      </w:r>
    </w:p>
    <w:p w:rsidR="00000000" w:rsidRDefault="00BB5C2D">
      <w:pPr>
        <w:divId w:val="780877703"/>
        <w:rPr>
          <w:rFonts w:eastAsia="Times New Roman"/>
        </w:rPr>
      </w:pPr>
    </w:p>
    <w:p w:rsidR="00000000" w:rsidRDefault="00BB5C2D">
      <w:pPr>
        <w:jc w:val="both"/>
        <w:divId w:val="1153108116"/>
        <w:rPr>
          <w:rFonts w:eastAsia="Times New Roman"/>
        </w:rPr>
      </w:pPr>
      <w:r>
        <w:rPr>
          <w:rFonts w:eastAsia="Times New Roman"/>
          <w:b/>
          <w:bCs/>
          <w:color w:val="000000"/>
          <w:sz w:val="20"/>
          <w:szCs w:val="20"/>
        </w:rPr>
        <w:t>Climate change, or our ability to adhere to any legislation and regulatory requirements related to climate change, may adversely affect our business.</w:t>
      </w:r>
    </w:p>
    <w:p w:rsidR="00000000" w:rsidRDefault="00BB5C2D">
      <w:pPr>
        <w:ind w:firstLine="540"/>
        <w:jc w:val="both"/>
        <w:divId w:val="233197550"/>
        <w:rPr>
          <w:rFonts w:eastAsia="Times New Roman"/>
        </w:rPr>
      </w:pPr>
      <w:r>
        <w:rPr>
          <w:rFonts w:eastAsia="Times New Roman"/>
          <w:color w:val="000000"/>
          <w:sz w:val="20"/>
          <w:szCs w:val="20"/>
        </w:rPr>
        <w:t>Our business is susceptible to risks associated with climate change, including potential disruptions to our retail stores, distribution centers, and corporate facilities. Increased frequency and/or severity of adverse weather events due to climate change c</w:t>
      </w:r>
      <w:r>
        <w:rPr>
          <w:rFonts w:eastAsia="Times New Roman"/>
          <w:color w:val="000000"/>
          <w:sz w:val="20"/>
          <w:szCs w:val="20"/>
        </w:rPr>
        <w:t>ould adversely impact global supply chains, including the availability and cost of raw materials (such as cotton, a key raw material used in the production of our products that is highly susceptible to severe weather conditions), the ability of our manufac</w:t>
      </w:r>
      <w:r>
        <w:rPr>
          <w:rFonts w:eastAsia="Times New Roman"/>
          <w:color w:val="000000"/>
          <w:sz w:val="20"/>
          <w:szCs w:val="20"/>
        </w:rPr>
        <w:t>turers to fulfill our orders timely and to our specifications, and shipping disruptions and/or higher freight costs. An increase in extreme weather conditions could also result in more frequent damage and/or closures of our stores and distribution centers,</w:t>
      </w:r>
      <w:r>
        <w:rPr>
          <w:rFonts w:eastAsia="Times New Roman"/>
          <w:color w:val="000000"/>
          <w:sz w:val="20"/>
          <w:szCs w:val="20"/>
        </w:rPr>
        <w:t xml:space="preserve"> adversely impact retail traffic, consumer's disposable income levels or spending habits on discretionary items, or otherwise disrupt business operations in the communities in which we operate, any of which could result in lost sales or higher costs. </w:t>
      </w:r>
    </w:p>
    <w:p w:rsidR="00000000" w:rsidRDefault="00BB5C2D">
      <w:pPr>
        <w:ind w:firstLine="540"/>
        <w:jc w:val="both"/>
        <w:divId w:val="2080011973"/>
        <w:rPr>
          <w:rFonts w:eastAsia="Times New Roman"/>
        </w:rPr>
      </w:pPr>
      <w:r>
        <w:rPr>
          <w:rFonts w:eastAsia="Times New Roman"/>
          <w:color w:val="000000"/>
          <w:sz w:val="20"/>
          <w:szCs w:val="20"/>
        </w:rPr>
        <w:t>In a</w:t>
      </w:r>
      <w:r>
        <w:rPr>
          <w:rFonts w:eastAsia="Times New Roman"/>
          <w:color w:val="000000"/>
          <w:sz w:val="20"/>
          <w:szCs w:val="20"/>
        </w:rPr>
        <w:t xml:space="preserve">ddition, many countries in which we and our suppliers operate have begun enacting new legislation and regulations in an attempt to mitigate the potential impacts of climate change, which could result in higher sourcing, operational, and compliance-related </w:t>
      </w:r>
      <w:r>
        <w:rPr>
          <w:rFonts w:eastAsia="Times New Roman"/>
          <w:color w:val="000000"/>
          <w:sz w:val="20"/>
          <w:szCs w:val="20"/>
        </w:rPr>
        <w:t>costs. Such proposed measures also include expanded disclosure requirements regarding greenhouse gas emissions and other climate-related information, including independent auditors providing some level of attestation to the accuracy of such disclosures. Ou</w:t>
      </w:r>
      <w:r>
        <w:rPr>
          <w:rFonts w:eastAsia="Times New Roman"/>
          <w:color w:val="000000"/>
          <w:sz w:val="20"/>
          <w:szCs w:val="20"/>
        </w:rPr>
        <w:t>r ability to comply with any such new laws and regulations may lead to increased costs and operational complexity. Any failure on our part to comply with such climate change-related regulations could lead to adverse consumer actions and/or investment decis</w:t>
      </w:r>
      <w:r>
        <w:rPr>
          <w:rFonts w:eastAsia="Times New Roman"/>
          <w:color w:val="000000"/>
          <w:sz w:val="20"/>
          <w:szCs w:val="20"/>
        </w:rPr>
        <w:t xml:space="preserve">ions by investors, as well as expose us to government enforcement action and/or private litigation. </w:t>
      </w:r>
    </w:p>
    <w:p w:rsidR="00000000" w:rsidRDefault="00BB5C2D">
      <w:pPr>
        <w:jc w:val="both"/>
        <w:divId w:val="2111392663"/>
        <w:rPr>
          <w:rFonts w:eastAsia="Times New Roman"/>
        </w:rPr>
      </w:pPr>
      <w:r>
        <w:rPr>
          <w:rFonts w:eastAsia="Times New Roman"/>
          <w:b/>
          <w:bCs/>
          <w:color w:val="000000"/>
          <w:sz w:val="20"/>
          <w:szCs w:val="20"/>
          <w:u w:val="single"/>
        </w:rPr>
        <w:t>Risks Related to Regulatory, Legal, and Tax Matters</w:t>
      </w:r>
    </w:p>
    <w:p w:rsidR="00000000" w:rsidRDefault="00BB5C2D">
      <w:pPr>
        <w:jc w:val="both"/>
        <w:divId w:val="163154"/>
        <w:rPr>
          <w:rFonts w:eastAsia="Times New Roman"/>
        </w:rPr>
      </w:pPr>
      <w:r>
        <w:rPr>
          <w:rFonts w:eastAsia="Times New Roman"/>
          <w:b/>
          <w:bCs/>
          <w:color w:val="000000"/>
          <w:sz w:val="20"/>
          <w:szCs w:val="20"/>
        </w:rPr>
        <w:t xml:space="preserve">Our ability to conduct business globally may be affected by a variety of legal, regulatory, political, </w:t>
      </w:r>
      <w:r>
        <w:rPr>
          <w:rFonts w:eastAsia="Times New Roman"/>
          <w:b/>
          <w:bCs/>
          <w:color w:val="000000"/>
          <w:sz w:val="20"/>
          <w:szCs w:val="20"/>
        </w:rPr>
        <w:t>and economic risks.</w:t>
      </w:r>
    </w:p>
    <w:p w:rsidR="00000000" w:rsidRDefault="00BB5C2D">
      <w:pPr>
        <w:ind w:firstLine="540"/>
        <w:jc w:val="both"/>
        <w:divId w:val="1301881745"/>
        <w:rPr>
          <w:rFonts w:eastAsia="Times New Roman"/>
        </w:rPr>
      </w:pPr>
      <w:r>
        <w:rPr>
          <w:rFonts w:eastAsia="Times New Roman"/>
          <w:color w:val="000000"/>
          <w:sz w:val="20"/>
          <w:szCs w:val="20"/>
        </w:rPr>
        <w:t xml:space="preserve">Our ability to capitalize on growth in new international markets and to maintain our current level of operations in our existing markets is subject to certain risks associated with operating in various locations around the globe. These </w:t>
      </w:r>
      <w:r>
        <w:rPr>
          <w:rFonts w:eastAsia="Times New Roman"/>
          <w:color w:val="000000"/>
          <w:sz w:val="20"/>
          <w:szCs w:val="20"/>
        </w:rPr>
        <w:t>include, but are not limited to:</w:t>
      </w:r>
    </w:p>
    <w:p w:rsidR="00000000" w:rsidRDefault="00BB5C2D">
      <w:pPr>
        <w:ind w:hanging="360"/>
        <w:divId w:val="1976138564"/>
        <w:rPr>
          <w:rFonts w:eastAsia="Times New Roman"/>
        </w:rPr>
      </w:pPr>
      <w:r>
        <w:rPr>
          <w:rFonts w:eastAsia="Times New Roman"/>
          <w:color w:val="000000"/>
          <w:sz w:val="20"/>
          <w:szCs w:val="20"/>
        </w:rPr>
        <w:t xml:space="preserve">•complying with a variety of U.S. and foreign laws and regulations, including, but not limited to, trade, forced labor, product labeling, and product safety restrictions, as well as the Foreign Corrupt Practices Act, which </w:t>
      </w:r>
      <w:r>
        <w:rPr>
          <w:rFonts w:eastAsia="Times New Roman"/>
          <w:color w:val="000000"/>
          <w:sz w:val="20"/>
          <w:szCs w:val="20"/>
        </w:rPr>
        <w:t>prohibits U.S. companies from making improper payments to foreign officials for the purpose of obtaining or retaining business, and similar foreign country laws, such as the U.K. Bribery Act, which prohibits U.K. and related companies from any form of brib</w:t>
      </w:r>
      <w:r>
        <w:rPr>
          <w:rFonts w:eastAsia="Times New Roman"/>
          <w:color w:val="000000"/>
          <w:sz w:val="20"/>
          <w:szCs w:val="20"/>
        </w:rPr>
        <w:t>ery;</w:t>
      </w:r>
    </w:p>
    <w:p w:rsidR="00000000" w:rsidRDefault="00BB5C2D">
      <w:pPr>
        <w:ind w:hanging="360"/>
        <w:divId w:val="471945275"/>
        <w:rPr>
          <w:rFonts w:eastAsia="Times New Roman"/>
        </w:rPr>
      </w:pPr>
      <w:r>
        <w:rPr>
          <w:rFonts w:eastAsia="Times New Roman"/>
          <w:color w:val="000000"/>
          <w:sz w:val="20"/>
          <w:szCs w:val="20"/>
        </w:rPr>
        <w:t>•adapting to local customs and culture;</w:t>
      </w:r>
    </w:p>
    <w:p w:rsidR="00000000" w:rsidRDefault="00BB5C2D">
      <w:pPr>
        <w:ind w:hanging="360"/>
        <w:divId w:val="1974019912"/>
        <w:rPr>
          <w:rFonts w:eastAsia="Times New Roman"/>
        </w:rPr>
      </w:pPr>
      <w:r>
        <w:rPr>
          <w:rFonts w:eastAsia="Times New Roman"/>
          <w:color w:val="000000"/>
          <w:sz w:val="20"/>
          <w:szCs w:val="20"/>
        </w:rPr>
        <w:t>•unexpected changes in laws, judicial processes, or regulatory requirements;</w:t>
      </w:r>
    </w:p>
    <w:p w:rsidR="00000000" w:rsidRDefault="00BB5C2D">
      <w:pPr>
        <w:ind w:hanging="360"/>
        <w:divId w:val="58552243"/>
        <w:rPr>
          <w:rFonts w:eastAsia="Times New Roman"/>
        </w:rPr>
      </w:pPr>
      <w:r>
        <w:rPr>
          <w:rFonts w:eastAsia="Times New Roman"/>
          <w:color w:val="000000"/>
          <w:sz w:val="20"/>
          <w:szCs w:val="20"/>
        </w:rPr>
        <w:t>•the imposition of additional duties, tariffs, taxes, and other charges or other barriers to trade;</w:t>
      </w:r>
    </w:p>
    <w:p w:rsidR="00000000" w:rsidRDefault="00BB5C2D">
      <w:pPr>
        <w:ind w:hanging="360"/>
        <w:divId w:val="1158033791"/>
        <w:rPr>
          <w:rFonts w:eastAsia="Times New Roman"/>
        </w:rPr>
      </w:pPr>
      <w:r>
        <w:rPr>
          <w:rFonts w:eastAsia="Times New Roman"/>
          <w:color w:val="000000"/>
          <w:sz w:val="20"/>
          <w:szCs w:val="20"/>
        </w:rPr>
        <w:t>•</w:t>
      </w:r>
      <w:r>
        <w:rPr>
          <w:rFonts w:eastAsia="Times New Roman"/>
          <w:color w:val="000000"/>
          <w:sz w:val="20"/>
          <w:szCs w:val="20"/>
        </w:rPr>
        <w:t>changes in diplomatic and trade relationships;</w:t>
      </w:r>
    </w:p>
    <w:p w:rsidR="00000000" w:rsidRDefault="00BB5C2D">
      <w:pPr>
        <w:ind w:hanging="360"/>
        <w:divId w:val="1528955742"/>
        <w:rPr>
          <w:rFonts w:eastAsia="Times New Roman"/>
        </w:rPr>
      </w:pPr>
      <w:r>
        <w:rPr>
          <w:rFonts w:eastAsia="Times New Roman"/>
          <w:color w:val="000000"/>
          <w:sz w:val="20"/>
          <w:szCs w:val="20"/>
        </w:rPr>
        <w:t xml:space="preserve">•civil and political instability, military conflicts, and terrorist attacks; </w:t>
      </w:r>
    </w:p>
    <w:p w:rsidR="00000000" w:rsidRDefault="00BB5C2D">
      <w:pPr>
        <w:ind w:hanging="360"/>
        <w:divId w:val="844326859"/>
        <w:rPr>
          <w:rFonts w:eastAsia="Times New Roman"/>
        </w:rPr>
      </w:pPr>
      <w:r>
        <w:rPr>
          <w:rFonts w:eastAsia="Times New Roman"/>
          <w:color w:val="000000"/>
          <w:sz w:val="20"/>
          <w:szCs w:val="20"/>
        </w:rPr>
        <w:t>•pandemic diseases, such as COVID-19; and</w:t>
      </w:r>
    </w:p>
    <w:p w:rsidR="00000000" w:rsidRDefault="00BB5C2D">
      <w:pPr>
        <w:ind w:hanging="360"/>
        <w:divId w:val="2092922514"/>
        <w:rPr>
          <w:rFonts w:eastAsia="Times New Roman"/>
        </w:rPr>
      </w:pPr>
      <w:r>
        <w:rPr>
          <w:rFonts w:eastAsia="Times New Roman"/>
          <w:color w:val="000000"/>
          <w:sz w:val="20"/>
          <w:szCs w:val="20"/>
        </w:rPr>
        <w:t>•general economic fluctuations in specific countries or markets.</w:t>
      </w:r>
    </w:p>
    <w:p w:rsidR="00000000" w:rsidRDefault="00BB5C2D">
      <w:pPr>
        <w:ind w:firstLine="540"/>
        <w:jc w:val="both"/>
        <w:divId w:val="1902323773"/>
        <w:rPr>
          <w:rFonts w:eastAsia="Times New Roman"/>
        </w:rPr>
      </w:pPr>
      <w:r>
        <w:rPr>
          <w:rFonts w:eastAsia="Times New Roman"/>
          <w:color w:val="000000"/>
          <w:sz w:val="20"/>
          <w:szCs w:val="20"/>
        </w:rPr>
        <w:t>Changes in regulatory, g</w:t>
      </w:r>
      <w:r>
        <w:rPr>
          <w:rFonts w:eastAsia="Times New Roman"/>
          <w:color w:val="000000"/>
          <w:sz w:val="20"/>
          <w:szCs w:val="20"/>
        </w:rPr>
        <w:t>eopolitical, social, economic, or monetary policies and other factors may have a material adverse effect on our business in the future or may require us to exit a particular market or significantly modify our current business practices. For example, in rec</w:t>
      </w:r>
      <w:r>
        <w:rPr>
          <w:rFonts w:eastAsia="Times New Roman"/>
          <w:color w:val="000000"/>
          <w:sz w:val="20"/>
          <w:szCs w:val="20"/>
        </w:rPr>
        <w:t>ent years both the U.S. and China have imposed new tariffs on each other related to the importation of certain product categories, including imports of apparel into the U.S. from China. As a result of actions to mitigate our exposure to the resulting tarif</w:t>
      </w:r>
      <w:r>
        <w:rPr>
          <w:rFonts w:eastAsia="Times New Roman"/>
          <w:color w:val="000000"/>
          <w:sz w:val="20"/>
          <w:szCs w:val="20"/>
        </w:rPr>
        <w:t>fs, which have included diverting production to and sourcing from other countries, driving productivity within our existing supplier base, and taking pricing actions, the tariffs enacted to date have not had a material adverse impact on our business operat</w:t>
      </w:r>
      <w:r>
        <w:rPr>
          <w:rFonts w:eastAsia="Times New Roman"/>
          <w:color w:val="000000"/>
          <w:sz w:val="20"/>
          <w:szCs w:val="20"/>
        </w:rPr>
        <w:t>ions. However, if the U.S. decides to impose additional tariffs on apparel or other of our goods imported from China, there can be no assurance that we will be able to offset all related increased costs, which could be material to our business operations a</w:t>
      </w:r>
      <w:r>
        <w:rPr>
          <w:rFonts w:eastAsia="Times New Roman"/>
          <w:color w:val="000000"/>
          <w:sz w:val="20"/>
          <w:szCs w:val="20"/>
        </w:rPr>
        <w:t>s approximately 19% of our products are sourced from China. We cannot predict if, and to what extent, there will be changes to international trade agreements or the resulting impact any such changes would have on our business operations, which could be mat</w:t>
      </w:r>
      <w:r>
        <w:rPr>
          <w:rFonts w:eastAsia="Times New Roman"/>
          <w:color w:val="000000"/>
          <w:sz w:val="20"/>
          <w:szCs w:val="20"/>
        </w:rPr>
        <w:t xml:space="preserve">erial. For a discussion of risks associated with the importation of products, see </w:t>
      </w:r>
      <w:r>
        <w:rPr>
          <w:rFonts w:eastAsia="Times New Roman"/>
          <w:i/>
          <w:iCs/>
          <w:color w:val="000000"/>
          <w:sz w:val="20"/>
          <w:szCs w:val="20"/>
        </w:rPr>
        <w:t xml:space="preserve">"Risks Related to our Business and Operations </w:t>
      </w:r>
      <w:r>
        <w:rPr>
          <w:rFonts w:eastAsia="Times New Roman"/>
          <w:color w:val="000000"/>
          <w:sz w:val="20"/>
          <w:szCs w:val="20"/>
        </w:rPr>
        <w:t xml:space="preserve">— </w:t>
      </w:r>
      <w:r>
        <w:rPr>
          <w:rFonts w:eastAsia="Times New Roman"/>
          <w:i/>
          <w:iCs/>
          <w:color w:val="000000"/>
          <w:sz w:val="20"/>
          <w:szCs w:val="20"/>
        </w:rPr>
        <w:t xml:space="preserve">Our business is subject to risks associated with importing products and the ability of our manufacturers to produce our goods </w:t>
      </w:r>
      <w:r>
        <w:rPr>
          <w:rFonts w:eastAsia="Times New Roman"/>
          <w:i/>
          <w:iCs/>
          <w:color w:val="000000"/>
          <w:sz w:val="20"/>
          <w:szCs w:val="20"/>
        </w:rPr>
        <w:t>on time and to our specifications."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219681840"/>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219681840"/>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37</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64" style="width:0;height:1.5pt" o:hralign="center" o:hrstd="t" o:hr="t" fillcolor="#a0a0a0" stroked="f"/>
        </w:pict>
      </w:r>
    </w:p>
    <w:p w:rsidR="00000000" w:rsidRDefault="00BB5C2D">
      <w:pPr>
        <w:divId w:val="254829517"/>
        <w:rPr>
          <w:rFonts w:eastAsia="Times New Roman"/>
        </w:rPr>
      </w:pPr>
    </w:p>
    <w:p w:rsidR="00000000" w:rsidRDefault="00BB5C2D">
      <w:pPr>
        <w:ind w:firstLine="540"/>
        <w:jc w:val="both"/>
        <w:divId w:val="1950352538"/>
        <w:rPr>
          <w:rFonts w:eastAsia="Times New Roman"/>
        </w:rPr>
      </w:pPr>
      <w:r>
        <w:rPr>
          <w:rFonts w:eastAsia="Times New Roman"/>
          <w:color w:val="000000"/>
          <w:sz w:val="20"/>
          <w:szCs w:val="20"/>
        </w:rPr>
        <w:t>Our business could also be impacted by changes to the tax laws and regulations in the countries where we operate. For example, the Organisation for Economic Co-operation and Development (the "OECD"), which represents a</w:t>
      </w:r>
      <w:r>
        <w:rPr>
          <w:rFonts w:eastAsia="Times New Roman"/>
          <w:color w:val="000000"/>
          <w:sz w:val="20"/>
          <w:szCs w:val="20"/>
        </w:rPr>
        <w:t xml:space="preserve"> coalition of member countries, has proposed changes to numerous long-standing tax principles through its Base Erosion and Profit Shifting project, which is focused on a number of issues, including the shifting of profits among affiliated entities located </w:t>
      </w:r>
      <w:r>
        <w:rPr>
          <w:rFonts w:eastAsia="Times New Roman"/>
          <w:color w:val="000000"/>
          <w:sz w:val="20"/>
          <w:szCs w:val="20"/>
        </w:rPr>
        <w:t>in different tax jurisdictions. In response, certain member countries have, or are otherwise planning to, implement legislation to align their international tax rules with the OECD's recommendations. Additionally, the Biden Administration has proposed to i</w:t>
      </w:r>
      <w:r>
        <w:rPr>
          <w:rFonts w:eastAsia="Times New Roman"/>
          <w:color w:val="000000"/>
          <w:sz w:val="20"/>
          <w:szCs w:val="20"/>
        </w:rPr>
        <w:t xml:space="preserve">ncrease the U.S. corporate income tax rate from 21% up to as much as 28%, as well as increase U.S. taxation on foreign earnings. Other taxing authorities of certain state, local, and other foreign jurisdictions may also decide to modify existing tax laws. </w:t>
      </w:r>
      <w:r>
        <w:rPr>
          <w:rFonts w:eastAsia="Times New Roman"/>
          <w:color w:val="000000"/>
          <w:sz w:val="20"/>
          <w:szCs w:val="20"/>
        </w:rPr>
        <w:t>We cannot predict which, if any, of these items or others will be enacted into law or the resulting impact any such enactment will have on our business operations, which could be material.</w:t>
      </w:r>
    </w:p>
    <w:p w:rsidR="00000000" w:rsidRDefault="00BB5C2D">
      <w:pPr>
        <w:jc w:val="both"/>
        <w:divId w:val="318458703"/>
        <w:rPr>
          <w:rFonts w:eastAsia="Times New Roman"/>
        </w:rPr>
      </w:pPr>
      <w:r>
        <w:rPr>
          <w:rFonts w:eastAsia="Times New Roman"/>
          <w:b/>
          <w:bCs/>
          <w:color w:val="000000"/>
          <w:sz w:val="20"/>
          <w:szCs w:val="20"/>
        </w:rPr>
        <w:t>Fluctuations in our tax obligations and effective tax rate may resu</w:t>
      </w:r>
      <w:r>
        <w:rPr>
          <w:rFonts w:eastAsia="Times New Roman"/>
          <w:b/>
          <w:bCs/>
          <w:color w:val="000000"/>
          <w:sz w:val="20"/>
          <w:szCs w:val="20"/>
        </w:rPr>
        <w:t>lt in volatility of our operating results.</w:t>
      </w:r>
    </w:p>
    <w:p w:rsidR="00000000" w:rsidRDefault="00BB5C2D">
      <w:pPr>
        <w:ind w:firstLine="720"/>
        <w:jc w:val="both"/>
        <w:divId w:val="679745027"/>
        <w:rPr>
          <w:rFonts w:eastAsia="Times New Roman"/>
        </w:rPr>
      </w:pPr>
      <w:r>
        <w:rPr>
          <w:rFonts w:eastAsia="Times New Roman"/>
          <w:color w:val="000000"/>
          <w:sz w:val="20"/>
          <w:szCs w:val="20"/>
        </w:rPr>
        <w:t>We are subject to income and non-income taxes in many U.S. and certain foreign jurisdictions, with the applicable tax rates varying by jurisdiction. We record tax expense based on our estimates of future payments,</w:t>
      </w:r>
      <w:r>
        <w:rPr>
          <w:rFonts w:eastAsia="Times New Roman"/>
          <w:color w:val="000000"/>
          <w:sz w:val="20"/>
          <w:szCs w:val="20"/>
        </w:rPr>
        <w:t xml:space="preserve"> which include reserves for uncertain tax positions in multiple tax jurisdictions. At any given time, multiple tax years are subject to audit by various taxing authorities. The results of these audits and negotiations with taxing authorities may affect the</w:t>
      </w:r>
      <w:r>
        <w:rPr>
          <w:rFonts w:eastAsia="Times New Roman"/>
          <w:color w:val="000000"/>
          <w:sz w:val="20"/>
          <w:szCs w:val="20"/>
        </w:rPr>
        <w:t xml:space="preserve"> ultimate settlement of these issues. As a result, we expect that throughout the year there could be ongoing variability in our quarterly tax rates as events occur and exposures are evaluated. Our effective tax rate in a given financial statement period ma</w:t>
      </w:r>
      <w:r>
        <w:rPr>
          <w:rFonts w:eastAsia="Times New Roman"/>
          <w:color w:val="000000"/>
          <w:sz w:val="20"/>
          <w:szCs w:val="20"/>
        </w:rPr>
        <w:t xml:space="preserve">y also be materially impacted by changes in the mix and level of earnings by jurisdiction or by changes to existing accounting rules. Additionally, our products are subject to import and excise duties, and/or sales, consumption, value-added taxes ("VAT"), </w:t>
      </w:r>
      <w:r>
        <w:rPr>
          <w:rFonts w:eastAsia="Times New Roman"/>
          <w:color w:val="000000"/>
          <w:sz w:val="20"/>
          <w:szCs w:val="20"/>
        </w:rPr>
        <w:t>and other non-income taxes in certain international jurisdictions. Failure to correctly calculate or submit the appropriate amount of income or non-income taxes could subject us to substantial fines and penalties and adversely affect our business.</w:t>
      </w:r>
    </w:p>
    <w:p w:rsidR="00000000" w:rsidRDefault="00BB5C2D">
      <w:pPr>
        <w:ind w:firstLine="720"/>
        <w:jc w:val="both"/>
        <w:divId w:val="91777715"/>
        <w:rPr>
          <w:rFonts w:eastAsia="Times New Roman"/>
        </w:rPr>
      </w:pPr>
      <w:r>
        <w:rPr>
          <w:rFonts w:eastAsia="Times New Roman"/>
          <w:color w:val="000000"/>
          <w:sz w:val="20"/>
          <w:szCs w:val="20"/>
        </w:rPr>
        <w:t>In addit</w:t>
      </w:r>
      <w:r>
        <w:rPr>
          <w:rFonts w:eastAsia="Times New Roman"/>
          <w:color w:val="000000"/>
          <w:sz w:val="20"/>
          <w:szCs w:val="20"/>
        </w:rPr>
        <w:t>ion, the tax laws and regulations in the countries where we operate may change, or there may be changes in interpretation and enforcement of existing tax laws, which could materially affect our income tax expense in our consolidated financial statements. F</w:t>
      </w:r>
      <w:r>
        <w:rPr>
          <w:rFonts w:eastAsia="Times New Roman"/>
          <w:color w:val="000000"/>
          <w:sz w:val="20"/>
          <w:szCs w:val="20"/>
        </w:rPr>
        <w:t xml:space="preserve">or a discussion of risks related to the potential imposition of additional regulations and laws, see </w:t>
      </w:r>
      <w:r>
        <w:rPr>
          <w:rFonts w:eastAsia="Times New Roman"/>
          <w:i/>
          <w:iCs/>
          <w:color w:val="000000"/>
          <w:sz w:val="20"/>
          <w:szCs w:val="20"/>
        </w:rPr>
        <w:t xml:space="preserve">"Risks Related to Regulatory, Legal, and Tax Matters </w:t>
      </w:r>
      <w:r>
        <w:rPr>
          <w:rFonts w:eastAsia="Times New Roman"/>
          <w:color w:val="000000"/>
          <w:sz w:val="20"/>
          <w:szCs w:val="20"/>
        </w:rPr>
        <w:t xml:space="preserve">— </w:t>
      </w:r>
      <w:r>
        <w:rPr>
          <w:rFonts w:eastAsia="Times New Roman"/>
          <w:i/>
          <w:iCs/>
          <w:color w:val="000000"/>
          <w:sz w:val="20"/>
          <w:szCs w:val="20"/>
        </w:rPr>
        <w:t>Our ability to conduct business globally may be affected by a variety of legal, regulatory, politica</w:t>
      </w:r>
      <w:r>
        <w:rPr>
          <w:rFonts w:eastAsia="Times New Roman"/>
          <w:i/>
          <w:iCs/>
          <w:color w:val="000000"/>
          <w:sz w:val="20"/>
          <w:szCs w:val="20"/>
        </w:rPr>
        <w:t>l, and economic risks."</w:t>
      </w:r>
    </w:p>
    <w:p w:rsidR="00000000" w:rsidRDefault="00BB5C2D">
      <w:pPr>
        <w:jc w:val="both"/>
        <w:divId w:val="1864511170"/>
        <w:rPr>
          <w:rFonts w:eastAsia="Times New Roman"/>
        </w:rPr>
      </w:pPr>
      <w:r>
        <w:rPr>
          <w:rFonts w:eastAsia="Times New Roman"/>
          <w:b/>
          <w:bCs/>
          <w:color w:val="000000"/>
          <w:sz w:val="20"/>
          <w:szCs w:val="20"/>
        </w:rPr>
        <w:t>Our business could suffer if we fail to comply with labor laws or if one of our manufacturers fails to use acceptable labor or environmental practices.</w:t>
      </w:r>
    </w:p>
    <w:p w:rsidR="00000000" w:rsidRDefault="00BB5C2D">
      <w:pPr>
        <w:ind w:firstLine="540"/>
        <w:jc w:val="both"/>
        <w:divId w:val="1501198567"/>
        <w:rPr>
          <w:rFonts w:eastAsia="Times New Roman"/>
        </w:rPr>
      </w:pPr>
      <w:r>
        <w:rPr>
          <w:rFonts w:eastAsia="Times New Roman"/>
          <w:color w:val="000000"/>
          <w:sz w:val="20"/>
          <w:szCs w:val="20"/>
        </w:rPr>
        <w:t xml:space="preserve">We are subject to labor laws governing relationships with employees, including minimum wage requirements, overtime, working conditions, and citizenship requirements. Compliance with these laws may lead to increased costs and operational complexity and may </w:t>
      </w:r>
      <w:r>
        <w:rPr>
          <w:rFonts w:eastAsia="Times New Roman"/>
          <w:color w:val="000000"/>
          <w:sz w:val="20"/>
          <w:szCs w:val="20"/>
        </w:rPr>
        <w:t>increase our exposure to governmental investigations or litigation.</w:t>
      </w:r>
    </w:p>
    <w:p w:rsidR="00000000" w:rsidRDefault="00BB5C2D">
      <w:pPr>
        <w:ind w:firstLine="540"/>
        <w:jc w:val="both"/>
        <w:divId w:val="1805929169"/>
        <w:rPr>
          <w:rFonts w:eastAsia="Times New Roman"/>
        </w:rPr>
      </w:pPr>
      <w:r>
        <w:rPr>
          <w:rFonts w:eastAsia="Times New Roman"/>
          <w:color w:val="000000"/>
          <w:sz w:val="20"/>
          <w:szCs w:val="20"/>
        </w:rPr>
        <w:t>In addition, we require our licensing partners and independent manufacturers to operate in compliance with applicable laws and regulations. While our internal and vendor operating guidelin</w:t>
      </w:r>
      <w:r>
        <w:rPr>
          <w:rFonts w:eastAsia="Times New Roman"/>
          <w:color w:val="000000"/>
          <w:sz w:val="20"/>
          <w:szCs w:val="20"/>
        </w:rPr>
        <w:t>es promote ethical business practices and our employees periodically visit and monitor the operations of our independent manufacturers, we do not control these manufacturers or their labor practices. The violation of any ethical, social, product safety, la</w:t>
      </w:r>
      <w:r>
        <w:rPr>
          <w:rFonts w:eastAsia="Times New Roman"/>
          <w:color w:val="000000"/>
          <w:sz w:val="20"/>
          <w:szCs w:val="20"/>
        </w:rPr>
        <w:t>bor, health, environmental, privacy, or other standards and regulations by an independent manufacturer used by us or one of our licensing partners, could interrupt or otherwise disrupt the shipment of finished products to us or damage our reputation. Any o</w:t>
      </w:r>
      <w:r>
        <w:rPr>
          <w:rFonts w:eastAsia="Times New Roman"/>
          <w:color w:val="000000"/>
          <w:sz w:val="20"/>
          <w:szCs w:val="20"/>
        </w:rPr>
        <w:t>f these events, in turn, could have a material adverse effect on our business.</w:t>
      </w:r>
    </w:p>
    <w:p w:rsidR="00000000" w:rsidRDefault="00BB5C2D">
      <w:pPr>
        <w:jc w:val="both"/>
        <w:divId w:val="1655909854"/>
        <w:rPr>
          <w:rFonts w:eastAsia="Times New Roman"/>
        </w:rPr>
      </w:pPr>
      <w:r>
        <w:rPr>
          <w:rFonts w:eastAsia="Times New Roman"/>
          <w:b/>
          <w:bCs/>
          <w:color w:val="000000"/>
          <w:sz w:val="20"/>
          <w:szCs w:val="20"/>
        </w:rPr>
        <w:t>Certain legal proceedings, regulatory matters, and accounting changes could adversely affect our business.</w:t>
      </w:r>
    </w:p>
    <w:p w:rsidR="00000000" w:rsidRDefault="00BB5C2D">
      <w:pPr>
        <w:ind w:firstLine="540"/>
        <w:jc w:val="both"/>
        <w:divId w:val="1023550604"/>
        <w:rPr>
          <w:rFonts w:eastAsia="Times New Roman"/>
        </w:rPr>
      </w:pPr>
      <w:r>
        <w:rPr>
          <w:rFonts w:eastAsia="Times New Roman"/>
          <w:color w:val="000000"/>
          <w:sz w:val="20"/>
          <w:szCs w:val="20"/>
        </w:rPr>
        <w:t>We are involved in certain legal proceedings and regulatory matters an</w:t>
      </w:r>
      <w:r>
        <w:rPr>
          <w:rFonts w:eastAsia="Times New Roman"/>
          <w:color w:val="000000"/>
          <w:sz w:val="20"/>
          <w:szCs w:val="20"/>
        </w:rPr>
        <w:t>d are subject from time to time to various claims involving alleged breach of contract claims, intellectual property and other related claims, escheatment and unclaimed property, credit card fraud, security breaches in certain of our retail store informati</w:t>
      </w:r>
      <w:r>
        <w:rPr>
          <w:rFonts w:eastAsia="Times New Roman"/>
          <w:color w:val="000000"/>
          <w:sz w:val="20"/>
          <w:szCs w:val="20"/>
        </w:rPr>
        <w:t>on systems, employment issues, consumer matters, and other litigation. Certain of these lawsuits and claims, if decided adversely to us or settled by us, could result in material liability to our Company or have a negative impact on our reputation or relat</w:t>
      </w:r>
      <w:r>
        <w:rPr>
          <w:rFonts w:eastAsia="Times New Roman"/>
          <w:color w:val="000000"/>
          <w:sz w:val="20"/>
          <w:szCs w:val="20"/>
        </w:rPr>
        <w:t xml:space="preserve">ions with our employees, customers, licensing partners, or other third parties. Other potential claimants may also be encouraged to bring suits against us based on a settlement from us or adverse court decision against us for similar claims or allegations </w:t>
      </w:r>
      <w:r>
        <w:rPr>
          <w:rFonts w:eastAsia="Times New Roman"/>
          <w:color w:val="000000"/>
          <w:sz w:val="20"/>
          <w:szCs w:val="20"/>
        </w:rPr>
        <w:t xml:space="preserve">as their own. In addition, regardless of the outcome of any litigation or regulatory proceedings, such proceedings could result in substantial costs and may require our Company to devote substantial time and resources to defend itself. Further, changes in </w:t>
      </w:r>
      <w:r>
        <w:rPr>
          <w:rFonts w:eastAsia="Times New Roman"/>
          <w:color w:val="000000"/>
          <w:sz w:val="20"/>
          <w:szCs w:val="20"/>
        </w:rPr>
        <w:t xml:space="preserve">governmental regulations both in the U.S. and in other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399862596"/>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399862596"/>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38</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65" style="width:0;height:1.5pt" o:hralign="center" o:hrstd="t" o:hr="t" fillcolor="#a0a0a0" stroked="f"/>
        </w:pict>
      </w:r>
    </w:p>
    <w:p w:rsidR="00000000" w:rsidRDefault="00BB5C2D">
      <w:pPr>
        <w:divId w:val="950549513"/>
        <w:rPr>
          <w:rFonts w:eastAsia="Times New Roman"/>
        </w:rPr>
      </w:pPr>
    </w:p>
    <w:p w:rsidR="00000000" w:rsidRDefault="00BB5C2D">
      <w:pPr>
        <w:jc w:val="both"/>
        <w:divId w:val="1553810985"/>
        <w:rPr>
          <w:rFonts w:eastAsia="Times New Roman"/>
        </w:rPr>
      </w:pPr>
      <w:r>
        <w:rPr>
          <w:rFonts w:eastAsia="Times New Roman"/>
          <w:color w:val="000000"/>
          <w:sz w:val="20"/>
          <w:szCs w:val="20"/>
        </w:rPr>
        <w:t xml:space="preserve">countries where we conduct business operations could have an adverse impact on our business. See Item 3 — </w:t>
      </w:r>
      <w:r>
        <w:rPr>
          <w:rFonts w:eastAsia="Times New Roman"/>
          <w:i/>
          <w:iCs/>
          <w:color w:val="000000"/>
          <w:sz w:val="20"/>
          <w:szCs w:val="20"/>
        </w:rPr>
        <w:t>"Legal Proceedings"</w:t>
      </w:r>
      <w:r>
        <w:rPr>
          <w:rFonts w:eastAsia="Times New Roman"/>
          <w:color w:val="000000"/>
          <w:sz w:val="20"/>
          <w:szCs w:val="20"/>
        </w:rPr>
        <w:t xml:space="preserve"> for further discussion of our Company's legal matters.</w:t>
      </w:r>
    </w:p>
    <w:p w:rsidR="00000000" w:rsidRDefault="00BB5C2D">
      <w:pPr>
        <w:ind w:firstLine="540"/>
        <w:jc w:val="both"/>
        <w:divId w:val="1060251967"/>
        <w:rPr>
          <w:rFonts w:eastAsia="Times New Roman"/>
        </w:rPr>
      </w:pPr>
      <w:r>
        <w:rPr>
          <w:rFonts w:eastAsia="Times New Roman"/>
          <w:color w:val="000000"/>
          <w:sz w:val="20"/>
          <w:szCs w:val="20"/>
        </w:rPr>
        <w:t>In addition, we are subject to changes in accounting rules and interpretations issued by the Financial Accounting Standards Board and other regulatory agencies. If and when effective, such changes to accounting standards could have a material impact on our</w:t>
      </w:r>
      <w:r>
        <w:rPr>
          <w:rFonts w:eastAsia="Times New Roman"/>
          <w:color w:val="000000"/>
          <w:sz w:val="20"/>
          <w:szCs w:val="20"/>
        </w:rPr>
        <w:t xml:space="preserve"> consolidated financial statements. See Note 4 to the accompanying consolidated financial statements for a discussion of certain recently issued accounting standards.</w:t>
      </w:r>
    </w:p>
    <w:p w:rsidR="00000000" w:rsidRDefault="00BB5C2D">
      <w:pPr>
        <w:divId w:val="2034071042"/>
        <w:rPr>
          <w:rFonts w:eastAsia="Times New Roman"/>
        </w:rPr>
      </w:pPr>
      <w:r>
        <w:rPr>
          <w:rFonts w:eastAsia="Times New Roman"/>
          <w:b/>
          <w:bCs/>
          <w:color w:val="000000"/>
          <w:sz w:val="20"/>
          <w:szCs w:val="20"/>
          <w:u w:val="single"/>
        </w:rPr>
        <w:t>Risks Related to our Common Stock</w:t>
      </w:r>
    </w:p>
    <w:p w:rsidR="00000000" w:rsidRDefault="00BB5C2D">
      <w:pPr>
        <w:divId w:val="1355689575"/>
        <w:rPr>
          <w:rFonts w:eastAsia="Times New Roman"/>
        </w:rPr>
      </w:pPr>
      <w:r>
        <w:rPr>
          <w:rFonts w:eastAsia="Times New Roman"/>
          <w:b/>
          <w:bCs/>
          <w:color w:val="000000"/>
          <w:sz w:val="20"/>
          <w:szCs w:val="20"/>
        </w:rPr>
        <w:t>The trading prices of our securities periodically may r</w:t>
      </w:r>
      <w:r>
        <w:rPr>
          <w:rFonts w:eastAsia="Times New Roman"/>
          <w:b/>
          <w:bCs/>
          <w:color w:val="000000"/>
          <w:sz w:val="20"/>
          <w:szCs w:val="20"/>
        </w:rPr>
        <w:t>ise or fall based on the accuracy of predictions of our earnings or other financial performance, including our ability to return value to shareholders.</w:t>
      </w:r>
    </w:p>
    <w:p w:rsidR="00000000" w:rsidRDefault="00BB5C2D">
      <w:pPr>
        <w:ind w:firstLine="540"/>
        <w:jc w:val="both"/>
        <w:divId w:val="750539407"/>
        <w:rPr>
          <w:rFonts w:eastAsia="Times New Roman"/>
        </w:rPr>
      </w:pPr>
      <w:r>
        <w:rPr>
          <w:rFonts w:eastAsia="Times New Roman"/>
          <w:color w:val="000000"/>
          <w:sz w:val="20"/>
          <w:szCs w:val="20"/>
        </w:rPr>
        <w:t>Our business planning process is designed to maximize our long-term strength, growth, and profitability,</w:t>
      </w:r>
      <w:r>
        <w:rPr>
          <w:rFonts w:eastAsia="Times New Roman"/>
          <w:color w:val="000000"/>
          <w:sz w:val="20"/>
          <w:szCs w:val="20"/>
        </w:rPr>
        <w:t xml:space="preserve"> and not to achieve an earnings target in any particular fiscal quarter. We believe that this longer-term focus is in the best interests of our Company and our stockholders. However, we also recognize that, from time to time, it may be helpful to provide i</w:t>
      </w:r>
      <w:r>
        <w:rPr>
          <w:rFonts w:eastAsia="Times New Roman"/>
          <w:color w:val="000000"/>
          <w:sz w:val="20"/>
          <w:szCs w:val="20"/>
        </w:rPr>
        <w:t>nvestors with guidance as to our quarterly and annual forecast of net sales and earnings. While we generally expect to provide updates to our guidance when we report our results each fiscal quarter, we do not have any responsibility to update any of our gu</w:t>
      </w:r>
      <w:r>
        <w:rPr>
          <w:rFonts w:eastAsia="Times New Roman"/>
          <w:color w:val="000000"/>
          <w:sz w:val="20"/>
          <w:szCs w:val="20"/>
        </w:rPr>
        <w:t>idance or other forward-looking statements at such times or otherwise. In addition, any longer-term guidance that we provide is based on goals that we believe, at the time guidance is given, are reasonably attainable. However, such long-range targets are m</w:t>
      </w:r>
      <w:r>
        <w:rPr>
          <w:rFonts w:eastAsia="Times New Roman"/>
          <w:color w:val="000000"/>
          <w:sz w:val="20"/>
          <w:szCs w:val="20"/>
        </w:rPr>
        <w:t>ore difficult to predict than our current quarter and full fiscal year expectations. Additionally, external analysts and investors may publish their own independent predictions of our future performance. We do not endorse such predictions or assume any res</w:t>
      </w:r>
      <w:r>
        <w:rPr>
          <w:rFonts w:eastAsia="Times New Roman"/>
          <w:color w:val="000000"/>
          <w:sz w:val="20"/>
          <w:szCs w:val="20"/>
        </w:rPr>
        <w:t>ponsibility to correct such predictions when they differ from our own expectations. If, or when, we announce actual results that differ from those that have been predicted by us, outside analysts, or others, the market price of our securities could be adve</w:t>
      </w:r>
      <w:r>
        <w:rPr>
          <w:rFonts w:eastAsia="Times New Roman"/>
          <w:color w:val="000000"/>
          <w:sz w:val="20"/>
          <w:szCs w:val="20"/>
        </w:rPr>
        <w:t>rsely affected. Investors who rely on these predictions when making investment decisions with respect to our securities do so at their own risk. We take no responsibility for any losses suffered as a result of such changes in the prices of our securities.</w:t>
      </w:r>
    </w:p>
    <w:p w:rsidR="00000000" w:rsidRDefault="00BB5C2D">
      <w:pPr>
        <w:ind w:firstLine="540"/>
        <w:jc w:val="both"/>
        <w:divId w:val="1252084760"/>
        <w:rPr>
          <w:rFonts w:eastAsia="Times New Roman"/>
        </w:rPr>
      </w:pPr>
      <w:r>
        <w:rPr>
          <w:rFonts w:eastAsia="Times New Roman"/>
          <w:color w:val="000000"/>
          <w:sz w:val="20"/>
          <w:szCs w:val="20"/>
        </w:rPr>
        <w:t>The stock market in general has experienced significant price and volume fluctuations that have often been unrelated or disproportionate to the operating performance of listed companies. Accordingly, public perception and other factors outside of our contr</w:t>
      </w:r>
      <w:r>
        <w:rPr>
          <w:rFonts w:eastAsia="Times New Roman"/>
          <w:color w:val="000000"/>
          <w:sz w:val="20"/>
          <w:szCs w:val="20"/>
        </w:rPr>
        <w:t>ol may impact our stock price, regardless of our actual operating performance.</w:t>
      </w:r>
    </w:p>
    <w:p w:rsidR="00000000" w:rsidRDefault="00BB5C2D">
      <w:pPr>
        <w:ind w:firstLine="540"/>
        <w:jc w:val="both"/>
        <w:divId w:val="1467814451"/>
        <w:rPr>
          <w:rFonts w:eastAsia="Times New Roman"/>
        </w:rPr>
      </w:pPr>
      <w:r>
        <w:rPr>
          <w:rFonts w:eastAsia="Times New Roman"/>
          <w:color w:val="000000"/>
          <w:sz w:val="20"/>
          <w:szCs w:val="20"/>
        </w:rPr>
        <w:t>In addition, we have historically returned value to shareholders through our payment of quarterly cash dividends and common stock share repurchases. Investors may have an expect</w:t>
      </w:r>
      <w:r>
        <w:rPr>
          <w:rFonts w:eastAsia="Times New Roman"/>
          <w:color w:val="000000"/>
          <w:sz w:val="20"/>
          <w:szCs w:val="20"/>
        </w:rPr>
        <w:t>ation that we will continue to pay quarterly cash dividends, further increase our cash dividend rate, and/or repurchase shares available under our Class A common stock repurchase program. Our ability to pay quarterly cash dividends and repurchase our Class</w:t>
      </w:r>
      <w:r>
        <w:rPr>
          <w:rFonts w:eastAsia="Times New Roman"/>
          <w:color w:val="000000"/>
          <w:sz w:val="20"/>
          <w:szCs w:val="20"/>
        </w:rPr>
        <w:t xml:space="preserve"> A common stock will depend on our ability to generate sufficient cash flows from operations in the future. This ability may be subject to certain economic, financial, competitive, and other factors that are beyond our control, such as impacts related to t</w:t>
      </w:r>
      <w:r>
        <w:rPr>
          <w:rFonts w:eastAsia="Times New Roman"/>
          <w:color w:val="000000"/>
          <w:sz w:val="20"/>
          <w:szCs w:val="20"/>
        </w:rPr>
        <w:t>he COVID-19 pandemic, which has resulted in us temporarily suspending our quarterly cash dividend and share repurchases, effective beginning in the first quarter of Fiscal 2021. Although we have since resumed activity under both of these programs during Fi</w:t>
      </w:r>
      <w:r>
        <w:rPr>
          <w:rFonts w:eastAsia="Times New Roman"/>
          <w:color w:val="000000"/>
          <w:sz w:val="20"/>
          <w:szCs w:val="20"/>
        </w:rPr>
        <w:t>scal 2022, our Board of Directors may, at its discretion, elect to suspend or otherwise alter these programs at any time. The market price of our securities could be adversely affected if our cash dividend payments and/or Class A common stock share repurch</w:t>
      </w:r>
      <w:r>
        <w:rPr>
          <w:rFonts w:eastAsia="Times New Roman"/>
          <w:color w:val="000000"/>
          <w:sz w:val="20"/>
          <w:szCs w:val="20"/>
        </w:rPr>
        <w:t>ase activity differ from investors' expectations.</w:t>
      </w:r>
    </w:p>
    <w:p w:rsidR="00000000" w:rsidRDefault="00BB5C2D">
      <w:pPr>
        <w:jc w:val="both"/>
        <w:divId w:val="718406298"/>
        <w:rPr>
          <w:rFonts w:eastAsia="Times New Roman"/>
        </w:rPr>
      </w:pPr>
      <w:r>
        <w:rPr>
          <w:rFonts w:eastAsia="Times New Roman"/>
          <w:b/>
          <w:bCs/>
          <w:color w:val="000000"/>
          <w:sz w:val="20"/>
          <w:szCs w:val="20"/>
        </w:rPr>
        <w:t>The voting shares of our Company's stock are concentrated in one majority stockholder.</w:t>
      </w:r>
    </w:p>
    <w:p w:rsidR="00000000" w:rsidRDefault="00BB5C2D">
      <w:pPr>
        <w:ind w:firstLine="540"/>
        <w:jc w:val="both"/>
        <w:divId w:val="1400247880"/>
        <w:rPr>
          <w:rFonts w:eastAsia="Times New Roman"/>
        </w:rPr>
      </w:pPr>
      <w:r>
        <w:rPr>
          <w:rFonts w:eastAsia="Times New Roman"/>
          <w:color w:val="000000"/>
          <w:sz w:val="20"/>
          <w:szCs w:val="20"/>
        </w:rPr>
        <w:t>As of April </w:t>
      </w:r>
      <w:r>
        <w:rPr>
          <w:rFonts w:eastAsia="Times New Roman"/>
          <w:color w:val="000000"/>
          <w:sz w:val="20"/>
          <w:szCs w:val="20"/>
        </w:rPr>
        <w:t>2, 2022, Mr. Ralph Lauren, or entities controlled by the Lauren family, held approximately 85% of the voting power of the outstanding common stock of our Company. In addition, Mr. R. Lauren serves as our Executive Chairman and Chief Creative Officer, Mr. R</w:t>
      </w:r>
      <w:r>
        <w:rPr>
          <w:rFonts w:eastAsia="Times New Roman"/>
          <w:color w:val="000000"/>
          <w:sz w:val="20"/>
          <w:szCs w:val="20"/>
        </w:rPr>
        <w:t>. Lauren's son, Mr. David Lauren, serves as our Chief Innovation Officer, Strategic Advisor to the CEO, and Vice Chairman of the Board of Directors, and we employ other members of the Lauren family. From time to time, we may have other business dealings wi</w:t>
      </w:r>
      <w:r>
        <w:rPr>
          <w:rFonts w:eastAsia="Times New Roman"/>
          <w:color w:val="000000"/>
          <w:sz w:val="20"/>
          <w:szCs w:val="20"/>
        </w:rPr>
        <w:t>th Mr. R. Lauren, members of the Lauren family, or entities affiliated with Mr. R. Lauren or the Lauren family. As a result of his stock ownership and position in our Company, Mr. R. Lauren has the ability to exercise significant control over our business,</w:t>
      </w:r>
      <w:r>
        <w:rPr>
          <w:rFonts w:eastAsia="Times New Roman"/>
          <w:color w:val="000000"/>
          <w:sz w:val="20"/>
          <w:szCs w:val="20"/>
        </w:rPr>
        <w:t xml:space="preserve"> including, without limitation, (i) the election of our Class B common stock directors, voting separately as a class and (ii) any action requiring the approval of our stockholders, including the adoption of amendments to our certificate of incorporation an</w:t>
      </w:r>
      <w:r>
        <w:rPr>
          <w:rFonts w:eastAsia="Times New Roman"/>
          <w:color w:val="000000"/>
          <w:sz w:val="20"/>
          <w:szCs w:val="20"/>
        </w:rPr>
        <w:t>d the approval of mergers or sales of all or substantially all of our assets.</w:t>
      </w:r>
    </w:p>
    <w:p w:rsidR="00000000" w:rsidRDefault="00BB5C2D">
      <w:pPr>
        <w:ind w:hanging="900"/>
        <w:divId w:val="1322730732"/>
        <w:rPr>
          <w:rFonts w:eastAsia="Times New Roman"/>
        </w:rPr>
      </w:pPr>
      <w:r>
        <w:rPr>
          <w:rFonts w:eastAsia="Times New Roman"/>
          <w:b/>
          <w:bCs/>
          <w:color w:val="000000"/>
          <w:sz w:val="20"/>
          <w:szCs w:val="20"/>
        </w:rPr>
        <w:t>Item 1B.    </w:t>
      </w:r>
      <w:r>
        <w:rPr>
          <w:rFonts w:eastAsia="Times New Roman"/>
          <w:b/>
          <w:bCs/>
          <w:i/>
          <w:iCs/>
          <w:color w:val="000000"/>
          <w:sz w:val="20"/>
          <w:szCs w:val="20"/>
        </w:rPr>
        <w:t>Unresolved Staff Comments.</w:t>
      </w:r>
    </w:p>
    <w:p w:rsidR="00000000" w:rsidRDefault="00BB5C2D">
      <w:pPr>
        <w:ind w:firstLine="540"/>
        <w:jc w:val="both"/>
        <w:divId w:val="882135976"/>
        <w:rPr>
          <w:rFonts w:eastAsia="Times New Roman"/>
        </w:rPr>
      </w:pPr>
      <w:r>
        <w:rPr>
          <w:rFonts w:eastAsia="Times New Roman"/>
          <w:color w:val="000000"/>
          <w:sz w:val="20"/>
          <w:szCs w:val="20"/>
        </w:rPr>
        <w:t>None.</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522280741"/>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522280741"/>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39</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66" style="width:0;height:1.5pt" o:hralign="center" o:hrstd="t" o:hr="t" fillcolor="#a0a0a0" stroked="f"/>
        </w:pict>
      </w:r>
    </w:p>
    <w:p w:rsidR="00000000" w:rsidRDefault="00BB5C2D">
      <w:pPr>
        <w:divId w:val="327903674"/>
        <w:rPr>
          <w:rFonts w:eastAsia="Times New Roman"/>
        </w:rPr>
      </w:pPr>
    </w:p>
    <w:p w:rsidR="00000000" w:rsidRDefault="00BB5C2D">
      <w:pPr>
        <w:ind w:hanging="900"/>
        <w:divId w:val="747727434"/>
        <w:rPr>
          <w:rFonts w:eastAsia="Times New Roman"/>
        </w:rPr>
      </w:pPr>
      <w:r>
        <w:rPr>
          <w:rFonts w:eastAsia="Times New Roman"/>
          <w:b/>
          <w:bCs/>
          <w:color w:val="000000"/>
          <w:sz w:val="20"/>
          <w:szCs w:val="20"/>
        </w:rPr>
        <w:t>Item 2.    </w:t>
      </w:r>
      <w:r>
        <w:rPr>
          <w:rFonts w:eastAsia="Times New Roman"/>
          <w:b/>
          <w:bCs/>
          <w:i/>
          <w:iCs/>
          <w:color w:val="000000"/>
          <w:sz w:val="20"/>
          <w:szCs w:val="20"/>
        </w:rPr>
        <w:t>Properties.</w:t>
      </w:r>
    </w:p>
    <w:p w:rsidR="00000000" w:rsidRDefault="00BB5C2D">
      <w:pPr>
        <w:ind w:firstLine="540"/>
        <w:jc w:val="both"/>
        <w:divId w:val="987980067"/>
        <w:rPr>
          <w:rFonts w:eastAsia="Times New Roman"/>
        </w:rPr>
      </w:pPr>
      <w:r>
        <w:rPr>
          <w:rFonts w:eastAsia="Times New Roman"/>
          <w:color w:val="000000"/>
          <w:sz w:val="20"/>
          <w:szCs w:val="20"/>
        </w:rPr>
        <w:t>We lease space for our retail stores, showrooms, warehouses, and offices in various domestic and international locations. We do not own any real property except for our retail digital commerce ca</w:t>
      </w:r>
      <w:r>
        <w:rPr>
          <w:rFonts w:eastAsia="Times New Roman"/>
          <w:color w:val="000000"/>
          <w:sz w:val="20"/>
          <w:szCs w:val="20"/>
        </w:rPr>
        <w:t>ll center and distribution facility in High Point, North Carolina; and our retail stores in Southampton and Easthampton, New York, and Nantucket, Massachusetts.</w:t>
      </w:r>
    </w:p>
    <w:p w:rsidR="00000000" w:rsidRDefault="00BB5C2D">
      <w:pPr>
        <w:ind w:firstLine="540"/>
        <w:jc w:val="both"/>
        <w:divId w:val="268440486"/>
        <w:rPr>
          <w:rFonts w:eastAsia="Times New Roman"/>
        </w:rPr>
      </w:pPr>
      <w:r>
        <w:rPr>
          <w:rFonts w:eastAsia="Times New Roman"/>
          <w:color w:val="000000"/>
          <w:sz w:val="20"/>
          <w:szCs w:val="20"/>
        </w:rPr>
        <w:t>We believe that our existing facilities are well maintained, in good operating condition, and a</w:t>
      </w:r>
      <w:r>
        <w:rPr>
          <w:rFonts w:eastAsia="Times New Roman"/>
          <w:color w:val="000000"/>
          <w:sz w:val="20"/>
          <w:szCs w:val="20"/>
        </w:rPr>
        <w:t>re adequate for our present level of operations.</w:t>
      </w:r>
    </w:p>
    <w:p w:rsidR="00000000" w:rsidRDefault="00BB5C2D">
      <w:pPr>
        <w:ind w:firstLine="540"/>
        <w:jc w:val="both"/>
        <w:divId w:val="1383141356"/>
        <w:rPr>
          <w:rFonts w:eastAsia="Times New Roman"/>
        </w:rPr>
      </w:pPr>
      <w:r>
        <w:rPr>
          <w:rFonts w:eastAsia="Times New Roman"/>
          <w:color w:val="000000"/>
          <w:sz w:val="20"/>
          <w:szCs w:val="20"/>
        </w:rPr>
        <w:t>The following table sets forth information relating to our principal properties as of April 2, 2022:</w:t>
      </w:r>
    </w:p>
    <w:tbl>
      <w:tblPr>
        <w:tblW w:w="4985" w:type="pct"/>
        <w:tblCellMar>
          <w:top w:w="15" w:type="dxa"/>
          <w:left w:w="15" w:type="dxa"/>
          <w:bottom w:w="15" w:type="dxa"/>
          <w:right w:w="15" w:type="dxa"/>
        </w:tblCellMar>
        <w:tblLook w:val="04A0" w:firstRow="1" w:lastRow="0" w:firstColumn="1" w:lastColumn="0" w:noHBand="0" w:noVBand="1"/>
      </w:tblPr>
      <w:tblGrid>
        <w:gridCol w:w="58"/>
        <w:gridCol w:w="2471"/>
        <w:gridCol w:w="38"/>
        <w:gridCol w:w="36"/>
        <w:gridCol w:w="36"/>
        <w:gridCol w:w="36"/>
        <w:gridCol w:w="40"/>
        <w:gridCol w:w="4197"/>
        <w:gridCol w:w="37"/>
        <w:gridCol w:w="36"/>
        <w:gridCol w:w="36"/>
        <w:gridCol w:w="36"/>
        <w:gridCol w:w="70"/>
        <w:gridCol w:w="1118"/>
        <w:gridCol w:w="36"/>
      </w:tblGrid>
      <w:tr w:rsidR="00000000">
        <w:trPr>
          <w:divId w:val="79914012"/>
        </w:trPr>
        <w:tc>
          <w:tcPr>
            <w:tcW w:w="50" w:type="pct"/>
            <w:vAlign w:val="center"/>
            <w:hideMark/>
          </w:tcPr>
          <w:p w:rsidR="00000000" w:rsidRDefault="00BB5C2D">
            <w:pPr>
              <w:ind w:firstLine="540"/>
              <w:jc w:val="both"/>
              <w:rPr>
                <w:rFonts w:eastAsia="Times New Roman"/>
              </w:rPr>
            </w:pPr>
          </w:p>
        </w:tc>
        <w:tc>
          <w:tcPr>
            <w:tcW w:w="150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254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0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79914012"/>
        </w:trPr>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8"/>
                <w:szCs w:val="18"/>
              </w:rPr>
              <w:t>Location</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8"/>
                <w:szCs w:val="18"/>
              </w:rPr>
              <w:t>Use</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8"/>
                <w:szCs w:val="18"/>
              </w:rPr>
              <w:t>Approximate</w:t>
            </w:r>
            <w:r>
              <w:rPr>
                <w:rFonts w:eastAsia="Times New Roman"/>
                <w:b/>
                <w:bCs/>
                <w:color w:val="000000"/>
                <w:sz w:val="18"/>
                <w:szCs w:val="18"/>
              </w:rPr>
              <w:br/>
              <w:t>Square Feet</w:t>
            </w:r>
          </w:p>
        </w:tc>
      </w:tr>
      <w:tr w:rsidR="00000000">
        <w:trPr>
          <w:divId w:val="79914012"/>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79914012"/>
        </w:trPr>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NC Highway 66, High Point, NC</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Wholesale and retail distribution facility</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BB5C2D">
            <w:pPr>
              <w:spacing w:after="100"/>
              <w:jc w:val="right"/>
              <w:rPr>
                <w:rFonts w:eastAsia="Times New Roman"/>
              </w:rPr>
            </w:pPr>
            <w:r>
              <w:rPr>
                <w:rFonts w:eastAsia="Times New Roman"/>
                <w:color w:val="000000"/>
                <w:sz w:val="20"/>
                <w:szCs w:val="20"/>
              </w:rPr>
              <w:t>847,000 </w:t>
            </w:r>
          </w:p>
        </w:tc>
        <w:tc>
          <w:tcPr>
            <w:tcW w:w="0" w:type="auto"/>
            <w:shd w:val="clear" w:color="auto" w:fill="CCEEFF"/>
            <w:tcMar>
              <w:top w:w="30" w:type="dxa"/>
              <w:left w:w="0" w:type="dxa"/>
              <w:bottom w:w="30" w:type="dxa"/>
              <w:right w:w="20" w:type="dxa"/>
            </w:tcMar>
            <w:hideMark/>
          </w:tcPr>
          <w:p w:rsidR="00000000" w:rsidRDefault="00BB5C2D">
            <w:pPr>
              <w:spacing w:after="100"/>
              <w:jc w:val="right"/>
              <w:rPr>
                <w:rFonts w:eastAsia="Times New Roman"/>
              </w:rPr>
            </w:pPr>
          </w:p>
        </w:tc>
      </w:tr>
      <w:tr w:rsidR="00000000">
        <w:trPr>
          <w:divId w:val="79914012"/>
        </w:trPr>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N. Pendleton Street, High Point, NC</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 xml:space="preserve">Retail digital commerce call center and distribution facility </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BB5C2D">
            <w:pPr>
              <w:spacing w:after="100"/>
              <w:jc w:val="right"/>
              <w:rPr>
                <w:rFonts w:eastAsia="Times New Roman"/>
              </w:rPr>
            </w:pPr>
            <w:r>
              <w:rPr>
                <w:rFonts w:eastAsia="Times New Roman"/>
                <w:color w:val="000000"/>
                <w:sz w:val="20"/>
                <w:szCs w:val="20"/>
              </w:rPr>
              <w:t>805,000 </w:t>
            </w:r>
          </w:p>
        </w:tc>
        <w:tc>
          <w:tcPr>
            <w:tcW w:w="0" w:type="auto"/>
            <w:shd w:val="clear" w:color="auto" w:fill="FFFFFF"/>
            <w:tcMar>
              <w:top w:w="30" w:type="dxa"/>
              <w:left w:w="0" w:type="dxa"/>
              <w:bottom w:w="30" w:type="dxa"/>
              <w:right w:w="20" w:type="dxa"/>
            </w:tcMar>
            <w:hideMark/>
          </w:tcPr>
          <w:p w:rsidR="00000000" w:rsidRDefault="00BB5C2D">
            <w:pPr>
              <w:spacing w:after="100"/>
              <w:jc w:val="right"/>
              <w:rPr>
                <w:rFonts w:eastAsia="Times New Roman"/>
              </w:rPr>
            </w:pPr>
          </w:p>
        </w:tc>
      </w:tr>
      <w:tr w:rsidR="00000000">
        <w:trPr>
          <w:divId w:val="79914012"/>
        </w:trPr>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Greensboro, NC</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Wholesale and retail distribution facility</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BB5C2D">
            <w:pPr>
              <w:spacing w:after="100"/>
              <w:jc w:val="right"/>
              <w:rPr>
                <w:rFonts w:eastAsia="Times New Roman"/>
              </w:rPr>
            </w:pPr>
            <w:r>
              <w:rPr>
                <w:rFonts w:eastAsia="Times New Roman"/>
                <w:color w:val="000000"/>
                <w:sz w:val="20"/>
                <w:szCs w:val="20"/>
              </w:rPr>
              <w:t>357,400 </w:t>
            </w:r>
          </w:p>
        </w:tc>
        <w:tc>
          <w:tcPr>
            <w:tcW w:w="0" w:type="auto"/>
            <w:shd w:val="clear" w:color="auto" w:fill="CCEEFF"/>
            <w:tcMar>
              <w:top w:w="30" w:type="dxa"/>
              <w:left w:w="0" w:type="dxa"/>
              <w:bottom w:w="30" w:type="dxa"/>
              <w:right w:w="20" w:type="dxa"/>
            </w:tcMar>
            <w:hideMark/>
          </w:tcPr>
          <w:p w:rsidR="00000000" w:rsidRDefault="00BB5C2D">
            <w:pPr>
              <w:spacing w:after="100"/>
              <w:jc w:val="right"/>
              <w:rPr>
                <w:rFonts w:eastAsia="Times New Roman"/>
              </w:rPr>
            </w:pPr>
          </w:p>
        </w:tc>
      </w:tr>
      <w:tr w:rsidR="00000000">
        <w:trPr>
          <w:divId w:val="79914012"/>
        </w:trPr>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650 Madison Avenue, NYC</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Executive and corporate offices, design studio, and showrooms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BB5C2D">
            <w:pPr>
              <w:spacing w:after="100"/>
              <w:jc w:val="right"/>
              <w:rPr>
                <w:rFonts w:eastAsia="Times New Roman"/>
              </w:rPr>
            </w:pPr>
            <w:r>
              <w:rPr>
                <w:rFonts w:eastAsia="Times New Roman"/>
                <w:color w:val="000000"/>
                <w:sz w:val="20"/>
                <w:szCs w:val="20"/>
              </w:rPr>
              <w:t>240,800 </w:t>
            </w:r>
          </w:p>
        </w:tc>
        <w:tc>
          <w:tcPr>
            <w:tcW w:w="0" w:type="auto"/>
            <w:shd w:val="clear" w:color="auto" w:fill="FFFFFF"/>
            <w:tcMar>
              <w:top w:w="30" w:type="dxa"/>
              <w:left w:w="0" w:type="dxa"/>
              <w:bottom w:w="30" w:type="dxa"/>
              <w:right w:w="20" w:type="dxa"/>
            </w:tcMar>
            <w:hideMark/>
          </w:tcPr>
          <w:p w:rsidR="00000000" w:rsidRDefault="00BB5C2D">
            <w:pPr>
              <w:spacing w:after="100"/>
              <w:jc w:val="right"/>
              <w:rPr>
                <w:rFonts w:eastAsia="Times New Roman"/>
              </w:rPr>
            </w:pPr>
          </w:p>
        </w:tc>
      </w:tr>
      <w:tr w:rsidR="00000000">
        <w:trPr>
          <w:divId w:val="79914012"/>
        </w:trPr>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601 West 26th Street, NYC</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Corporate offices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BB5C2D">
            <w:pPr>
              <w:spacing w:after="100"/>
              <w:jc w:val="right"/>
              <w:rPr>
                <w:rFonts w:eastAsia="Times New Roman"/>
              </w:rPr>
            </w:pPr>
            <w:r>
              <w:rPr>
                <w:rFonts w:eastAsia="Times New Roman"/>
                <w:color w:val="000000"/>
                <w:sz w:val="20"/>
                <w:szCs w:val="20"/>
              </w:rPr>
              <w:t>216,200 </w:t>
            </w:r>
          </w:p>
        </w:tc>
        <w:tc>
          <w:tcPr>
            <w:tcW w:w="0" w:type="auto"/>
            <w:shd w:val="clear" w:color="auto" w:fill="CCEEFF"/>
            <w:tcMar>
              <w:top w:w="30" w:type="dxa"/>
              <w:left w:w="0" w:type="dxa"/>
              <w:bottom w:w="30" w:type="dxa"/>
              <w:right w:w="20" w:type="dxa"/>
            </w:tcMar>
            <w:hideMark/>
          </w:tcPr>
          <w:p w:rsidR="00000000" w:rsidRDefault="00BB5C2D">
            <w:pPr>
              <w:spacing w:after="100"/>
              <w:jc w:val="right"/>
              <w:rPr>
                <w:rFonts w:eastAsia="Times New Roman"/>
              </w:rPr>
            </w:pPr>
          </w:p>
        </w:tc>
      </w:tr>
      <w:tr w:rsidR="00000000">
        <w:trPr>
          <w:divId w:val="79914012"/>
        </w:trPr>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Nutley, NJ</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Corporate and retail administrative offices and showrooms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BB5C2D">
            <w:pPr>
              <w:spacing w:after="100"/>
              <w:jc w:val="right"/>
              <w:rPr>
                <w:rFonts w:eastAsia="Times New Roman"/>
              </w:rPr>
            </w:pPr>
            <w:r>
              <w:rPr>
                <w:rFonts w:eastAsia="Times New Roman"/>
                <w:color w:val="000000"/>
                <w:sz w:val="20"/>
                <w:szCs w:val="20"/>
              </w:rPr>
              <w:t>145,700 </w:t>
            </w:r>
          </w:p>
        </w:tc>
        <w:tc>
          <w:tcPr>
            <w:tcW w:w="0" w:type="auto"/>
            <w:shd w:val="clear" w:color="auto" w:fill="FFFFFF"/>
            <w:tcMar>
              <w:top w:w="30" w:type="dxa"/>
              <w:left w:w="0" w:type="dxa"/>
              <w:bottom w:w="30" w:type="dxa"/>
              <w:right w:w="20" w:type="dxa"/>
            </w:tcMar>
            <w:hideMark/>
          </w:tcPr>
          <w:p w:rsidR="00000000" w:rsidRDefault="00BB5C2D">
            <w:pPr>
              <w:spacing w:after="100"/>
              <w:jc w:val="right"/>
              <w:rPr>
                <w:rFonts w:eastAsia="Times New Roman"/>
              </w:rPr>
            </w:pPr>
          </w:p>
        </w:tc>
      </w:tr>
      <w:tr w:rsidR="00000000">
        <w:trPr>
          <w:divId w:val="79914012"/>
        </w:trPr>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Spinners Building, Hong Kong</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Asia sourcing offices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BB5C2D">
            <w:pPr>
              <w:spacing w:after="100"/>
              <w:jc w:val="right"/>
              <w:rPr>
                <w:rFonts w:eastAsia="Times New Roman"/>
              </w:rPr>
            </w:pPr>
            <w:r>
              <w:rPr>
                <w:rFonts w:eastAsia="Times New Roman"/>
                <w:color w:val="000000"/>
                <w:sz w:val="20"/>
                <w:szCs w:val="20"/>
              </w:rPr>
              <w:t>67,000 </w:t>
            </w:r>
          </w:p>
        </w:tc>
        <w:tc>
          <w:tcPr>
            <w:tcW w:w="0" w:type="auto"/>
            <w:shd w:val="clear" w:color="auto" w:fill="CCEEFF"/>
            <w:tcMar>
              <w:top w:w="30" w:type="dxa"/>
              <w:left w:w="0" w:type="dxa"/>
              <w:bottom w:w="30" w:type="dxa"/>
              <w:right w:w="20" w:type="dxa"/>
            </w:tcMar>
            <w:hideMark/>
          </w:tcPr>
          <w:p w:rsidR="00000000" w:rsidRDefault="00BB5C2D">
            <w:pPr>
              <w:spacing w:after="100"/>
              <w:jc w:val="right"/>
              <w:rPr>
                <w:rFonts w:eastAsia="Times New Roman"/>
              </w:rPr>
            </w:pPr>
          </w:p>
        </w:tc>
      </w:tr>
      <w:tr w:rsidR="00000000">
        <w:trPr>
          <w:divId w:val="79914012"/>
        </w:trPr>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Gateway Office, Hong Kong</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Asia corporate offices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BB5C2D">
            <w:pPr>
              <w:spacing w:after="100"/>
              <w:jc w:val="right"/>
              <w:rPr>
                <w:rFonts w:eastAsia="Times New Roman"/>
              </w:rPr>
            </w:pPr>
            <w:r>
              <w:rPr>
                <w:rFonts w:eastAsia="Times New Roman"/>
                <w:color w:val="000000"/>
                <w:sz w:val="20"/>
                <w:szCs w:val="20"/>
              </w:rPr>
              <w:t>37,500 </w:t>
            </w:r>
          </w:p>
        </w:tc>
        <w:tc>
          <w:tcPr>
            <w:tcW w:w="0" w:type="auto"/>
            <w:shd w:val="clear" w:color="auto" w:fill="FFFFFF"/>
            <w:tcMar>
              <w:top w:w="30" w:type="dxa"/>
              <w:left w:w="0" w:type="dxa"/>
              <w:bottom w:w="30" w:type="dxa"/>
              <w:right w:w="20" w:type="dxa"/>
            </w:tcMar>
            <w:hideMark/>
          </w:tcPr>
          <w:p w:rsidR="00000000" w:rsidRDefault="00BB5C2D">
            <w:pPr>
              <w:spacing w:after="100"/>
              <w:jc w:val="right"/>
              <w:rPr>
                <w:rFonts w:eastAsia="Times New Roman"/>
              </w:rPr>
            </w:pPr>
          </w:p>
        </w:tc>
      </w:tr>
      <w:tr w:rsidR="00000000">
        <w:trPr>
          <w:divId w:val="79914012"/>
        </w:trPr>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Watford, UK</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Europe corporate offices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BB5C2D">
            <w:pPr>
              <w:spacing w:after="100"/>
              <w:jc w:val="right"/>
              <w:rPr>
                <w:rFonts w:eastAsia="Times New Roman"/>
              </w:rPr>
            </w:pPr>
            <w:r>
              <w:rPr>
                <w:rFonts w:eastAsia="Times New Roman"/>
                <w:color w:val="000000"/>
                <w:sz w:val="20"/>
                <w:szCs w:val="20"/>
              </w:rPr>
              <w:t>28,000 </w:t>
            </w:r>
          </w:p>
        </w:tc>
        <w:tc>
          <w:tcPr>
            <w:tcW w:w="0" w:type="auto"/>
            <w:shd w:val="clear" w:color="auto" w:fill="CCEEFF"/>
            <w:tcMar>
              <w:top w:w="30" w:type="dxa"/>
              <w:left w:w="0" w:type="dxa"/>
              <w:bottom w:w="30" w:type="dxa"/>
              <w:right w:w="20" w:type="dxa"/>
            </w:tcMar>
            <w:hideMark/>
          </w:tcPr>
          <w:p w:rsidR="00000000" w:rsidRDefault="00BB5C2D">
            <w:pPr>
              <w:spacing w:after="100"/>
              <w:jc w:val="right"/>
              <w:rPr>
                <w:rFonts w:eastAsia="Times New Roman"/>
              </w:rPr>
            </w:pPr>
          </w:p>
        </w:tc>
      </w:tr>
      <w:tr w:rsidR="00000000">
        <w:trPr>
          <w:divId w:val="79914012"/>
        </w:trPr>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London, UK</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Europe corporate offices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BB5C2D">
            <w:pPr>
              <w:spacing w:after="100"/>
              <w:jc w:val="right"/>
              <w:rPr>
                <w:rFonts w:eastAsia="Times New Roman"/>
              </w:rPr>
            </w:pPr>
            <w:r>
              <w:rPr>
                <w:rFonts w:eastAsia="Times New Roman"/>
                <w:color w:val="000000"/>
                <w:sz w:val="20"/>
                <w:szCs w:val="20"/>
              </w:rPr>
              <w:t>19,650 </w:t>
            </w:r>
          </w:p>
        </w:tc>
        <w:tc>
          <w:tcPr>
            <w:tcW w:w="0" w:type="auto"/>
            <w:shd w:val="clear" w:color="auto" w:fill="FFFFFF"/>
            <w:tcMar>
              <w:top w:w="30" w:type="dxa"/>
              <w:left w:w="0" w:type="dxa"/>
              <w:bottom w:w="30" w:type="dxa"/>
              <w:right w:w="20" w:type="dxa"/>
            </w:tcMar>
            <w:hideMark/>
          </w:tcPr>
          <w:p w:rsidR="00000000" w:rsidRDefault="00BB5C2D">
            <w:pPr>
              <w:spacing w:after="100"/>
              <w:jc w:val="right"/>
              <w:rPr>
                <w:rFonts w:eastAsia="Times New Roman"/>
              </w:rPr>
            </w:pPr>
          </w:p>
        </w:tc>
      </w:tr>
      <w:tr w:rsidR="00000000">
        <w:trPr>
          <w:divId w:val="79914012"/>
        </w:trPr>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888 Madison Avenue, NYC</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Retail flagship store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BB5C2D">
            <w:pPr>
              <w:spacing w:after="100"/>
              <w:jc w:val="right"/>
              <w:rPr>
                <w:rFonts w:eastAsia="Times New Roman"/>
              </w:rPr>
            </w:pPr>
            <w:r>
              <w:rPr>
                <w:rFonts w:eastAsia="Times New Roman"/>
                <w:color w:val="000000"/>
                <w:sz w:val="20"/>
                <w:szCs w:val="20"/>
              </w:rPr>
              <w:t>37,900 </w:t>
            </w:r>
          </w:p>
        </w:tc>
        <w:tc>
          <w:tcPr>
            <w:tcW w:w="0" w:type="auto"/>
            <w:shd w:val="clear" w:color="auto" w:fill="CCEEFF"/>
            <w:tcMar>
              <w:top w:w="30" w:type="dxa"/>
              <w:left w:w="0" w:type="dxa"/>
              <w:bottom w:w="30" w:type="dxa"/>
              <w:right w:w="20" w:type="dxa"/>
            </w:tcMar>
            <w:hideMark/>
          </w:tcPr>
          <w:p w:rsidR="00000000" w:rsidRDefault="00BB5C2D">
            <w:pPr>
              <w:spacing w:after="100"/>
              <w:jc w:val="right"/>
              <w:rPr>
                <w:rFonts w:eastAsia="Times New Roman"/>
              </w:rPr>
            </w:pPr>
          </w:p>
        </w:tc>
      </w:tr>
      <w:tr w:rsidR="00000000">
        <w:trPr>
          <w:divId w:val="79914012"/>
        </w:trPr>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N. Michigan Avenue, Chicago</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Retail flagship store</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BB5C2D">
            <w:pPr>
              <w:spacing w:after="100"/>
              <w:jc w:val="right"/>
              <w:rPr>
                <w:rFonts w:eastAsia="Times New Roman"/>
              </w:rPr>
            </w:pPr>
            <w:r>
              <w:rPr>
                <w:rFonts w:eastAsia="Times New Roman"/>
                <w:color w:val="000000"/>
                <w:sz w:val="20"/>
                <w:szCs w:val="20"/>
              </w:rPr>
              <w:t>37,500 </w:t>
            </w:r>
          </w:p>
        </w:tc>
        <w:tc>
          <w:tcPr>
            <w:tcW w:w="0" w:type="auto"/>
            <w:shd w:val="clear" w:color="auto" w:fill="FFFFFF"/>
            <w:tcMar>
              <w:top w:w="30" w:type="dxa"/>
              <w:left w:w="0" w:type="dxa"/>
              <w:bottom w:w="30" w:type="dxa"/>
              <w:right w:w="20" w:type="dxa"/>
            </w:tcMar>
            <w:hideMark/>
          </w:tcPr>
          <w:p w:rsidR="00000000" w:rsidRDefault="00BB5C2D">
            <w:pPr>
              <w:spacing w:after="100"/>
              <w:jc w:val="right"/>
              <w:rPr>
                <w:rFonts w:eastAsia="Times New Roman"/>
              </w:rPr>
            </w:pPr>
          </w:p>
        </w:tc>
      </w:tr>
      <w:tr w:rsidR="00000000">
        <w:trPr>
          <w:divId w:val="79914012"/>
        </w:trPr>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New Bond Street, London, UK</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Retail flagship store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BB5C2D">
            <w:pPr>
              <w:spacing w:after="100"/>
              <w:jc w:val="right"/>
              <w:rPr>
                <w:rFonts w:eastAsia="Times New Roman"/>
              </w:rPr>
            </w:pPr>
            <w:r>
              <w:rPr>
                <w:rFonts w:eastAsia="Times New Roman"/>
                <w:color w:val="000000"/>
                <w:sz w:val="20"/>
                <w:szCs w:val="20"/>
              </w:rPr>
              <w:t>31,500 </w:t>
            </w:r>
          </w:p>
        </w:tc>
        <w:tc>
          <w:tcPr>
            <w:tcW w:w="0" w:type="auto"/>
            <w:shd w:val="clear" w:color="auto" w:fill="CCEEFF"/>
            <w:tcMar>
              <w:top w:w="30" w:type="dxa"/>
              <w:left w:w="0" w:type="dxa"/>
              <w:bottom w:w="30" w:type="dxa"/>
              <w:right w:w="20" w:type="dxa"/>
            </w:tcMar>
            <w:hideMark/>
          </w:tcPr>
          <w:p w:rsidR="00000000" w:rsidRDefault="00BB5C2D">
            <w:pPr>
              <w:spacing w:after="100"/>
              <w:jc w:val="right"/>
              <w:rPr>
                <w:rFonts w:eastAsia="Times New Roman"/>
              </w:rPr>
            </w:pPr>
          </w:p>
        </w:tc>
      </w:tr>
      <w:tr w:rsidR="00000000">
        <w:trPr>
          <w:divId w:val="79914012"/>
        </w:trPr>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867 Madison Avenue, NYC</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Retail flagship store</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BB5C2D">
            <w:pPr>
              <w:spacing w:after="100"/>
              <w:jc w:val="right"/>
              <w:rPr>
                <w:rFonts w:eastAsia="Times New Roman"/>
              </w:rPr>
            </w:pPr>
            <w:r>
              <w:rPr>
                <w:rFonts w:eastAsia="Times New Roman"/>
                <w:color w:val="000000"/>
                <w:sz w:val="20"/>
                <w:szCs w:val="20"/>
              </w:rPr>
              <w:t>27,700 </w:t>
            </w:r>
          </w:p>
        </w:tc>
        <w:tc>
          <w:tcPr>
            <w:tcW w:w="0" w:type="auto"/>
            <w:shd w:val="clear" w:color="auto" w:fill="FFFFFF"/>
            <w:tcMar>
              <w:top w:w="30" w:type="dxa"/>
              <w:left w:w="0" w:type="dxa"/>
              <w:bottom w:w="30" w:type="dxa"/>
              <w:right w:w="20" w:type="dxa"/>
            </w:tcMar>
            <w:hideMark/>
          </w:tcPr>
          <w:p w:rsidR="00000000" w:rsidRDefault="00BB5C2D">
            <w:pPr>
              <w:spacing w:after="100"/>
              <w:jc w:val="right"/>
              <w:rPr>
                <w:rFonts w:eastAsia="Times New Roman"/>
              </w:rPr>
            </w:pPr>
          </w:p>
        </w:tc>
      </w:tr>
      <w:tr w:rsidR="00000000">
        <w:trPr>
          <w:divId w:val="79914012"/>
        </w:trPr>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Paris, France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Retail flagship store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BB5C2D">
            <w:pPr>
              <w:spacing w:after="100"/>
              <w:jc w:val="right"/>
              <w:rPr>
                <w:rFonts w:eastAsia="Times New Roman"/>
              </w:rPr>
            </w:pPr>
            <w:r>
              <w:rPr>
                <w:rFonts w:eastAsia="Times New Roman"/>
                <w:color w:val="000000"/>
                <w:sz w:val="20"/>
                <w:szCs w:val="20"/>
              </w:rPr>
              <w:t>25,700 </w:t>
            </w:r>
          </w:p>
        </w:tc>
        <w:tc>
          <w:tcPr>
            <w:tcW w:w="0" w:type="auto"/>
            <w:shd w:val="clear" w:color="auto" w:fill="CCEEFF"/>
            <w:tcMar>
              <w:top w:w="30" w:type="dxa"/>
              <w:left w:w="0" w:type="dxa"/>
              <w:bottom w:w="30" w:type="dxa"/>
              <w:right w:w="20" w:type="dxa"/>
            </w:tcMar>
            <w:hideMark/>
          </w:tcPr>
          <w:p w:rsidR="00000000" w:rsidRDefault="00BB5C2D">
            <w:pPr>
              <w:spacing w:after="100"/>
              <w:jc w:val="right"/>
              <w:rPr>
                <w:rFonts w:eastAsia="Times New Roman"/>
              </w:rPr>
            </w:pPr>
          </w:p>
        </w:tc>
      </w:tr>
      <w:tr w:rsidR="00000000">
        <w:trPr>
          <w:divId w:val="79914012"/>
        </w:trPr>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Tokyo, Japan</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Retail flagship store</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BB5C2D">
            <w:pPr>
              <w:spacing w:after="100"/>
              <w:jc w:val="right"/>
              <w:rPr>
                <w:rFonts w:eastAsia="Times New Roman"/>
              </w:rPr>
            </w:pPr>
            <w:r>
              <w:rPr>
                <w:rFonts w:eastAsia="Times New Roman"/>
                <w:color w:val="000000"/>
                <w:sz w:val="20"/>
                <w:szCs w:val="20"/>
              </w:rPr>
              <w:t>25,000 </w:t>
            </w:r>
          </w:p>
        </w:tc>
        <w:tc>
          <w:tcPr>
            <w:tcW w:w="0" w:type="auto"/>
            <w:shd w:val="clear" w:color="auto" w:fill="FFFFFF"/>
            <w:tcMar>
              <w:top w:w="30" w:type="dxa"/>
              <w:left w:w="0" w:type="dxa"/>
              <w:bottom w:w="30" w:type="dxa"/>
              <w:right w:w="20" w:type="dxa"/>
            </w:tcMar>
            <w:hideMark/>
          </w:tcPr>
          <w:p w:rsidR="00000000" w:rsidRDefault="00BB5C2D">
            <w:pPr>
              <w:spacing w:after="100"/>
              <w:jc w:val="right"/>
              <w:rPr>
                <w:rFonts w:eastAsia="Times New Roman"/>
              </w:rPr>
            </w:pPr>
          </w:p>
        </w:tc>
      </w:tr>
      <w:tr w:rsidR="00000000">
        <w:trPr>
          <w:divId w:val="79914012"/>
        </w:trPr>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N. Rodeo Drive, Beverly Hills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Retail flagship store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BB5C2D">
            <w:pPr>
              <w:spacing w:after="100"/>
              <w:jc w:val="right"/>
              <w:rPr>
                <w:rFonts w:eastAsia="Times New Roman"/>
              </w:rPr>
            </w:pPr>
            <w:r>
              <w:rPr>
                <w:rFonts w:eastAsia="Times New Roman"/>
                <w:color w:val="000000"/>
                <w:sz w:val="20"/>
                <w:szCs w:val="20"/>
              </w:rPr>
              <w:t>19,400 </w:t>
            </w:r>
          </w:p>
        </w:tc>
        <w:tc>
          <w:tcPr>
            <w:tcW w:w="0" w:type="auto"/>
            <w:shd w:val="clear" w:color="auto" w:fill="CCEEFF"/>
            <w:tcMar>
              <w:top w:w="30" w:type="dxa"/>
              <w:left w:w="0" w:type="dxa"/>
              <w:bottom w:w="30" w:type="dxa"/>
              <w:right w:w="20" w:type="dxa"/>
            </w:tcMar>
            <w:hideMark/>
          </w:tcPr>
          <w:p w:rsidR="00000000" w:rsidRDefault="00BB5C2D">
            <w:pPr>
              <w:spacing w:after="100"/>
              <w:jc w:val="right"/>
              <w:rPr>
                <w:rFonts w:eastAsia="Times New Roman"/>
              </w:rPr>
            </w:pPr>
          </w:p>
        </w:tc>
      </w:tr>
      <w:tr w:rsidR="00000000">
        <w:trPr>
          <w:divId w:val="79914012"/>
        </w:trPr>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Milan, Italy</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Retail flagship store</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BB5C2D">
            <w:pPr>
              <w:spacing w:after="100"/>
              <w:jc w:val="right"/>
              <w:rPr>
                <w:rFonts w:eastAsia="Times New Roman"/>
              </w:rPr>
            </w:pPr>
            <w:r>
              <w:rPr>
                <w:rFonts w:eastAsia="Times New Roman"/>
                <w:color w:val="000000"/>
                <w:sz w:val="20"/>
                <w:szCs w:val="20"/>
              </w:rPr>
              <w:t>14,900 </w:t>
            </w:r>
          </w:p>
        </w:tc>
        <w:tc>
          <w:tcPr>
            <w:tcW w:w="0" w:type="auto"/>
            <w:shd w:val="clear" w:color="auto" w:fill="FFFFFF"/>
            <w:tcMar>
              <w:top w:w="30" w:type="dxa"/>
              <w:left w:w="0" w:type="dxa"/>
              <w:bottom w:w="30" w:type="dxa"/>
              <w:right w:w="20" w:type="dxa"/>
            </w:tcMar>
            <w:hideMark/>
          </w:tcPr>
          <w:p w:rsidR="00000000" w:rsidRDefault="00BB5C2D">
            <w:pPr>
              <w:spacing w:after="100"/>
              <w:jc w:val="right"/>
              <w:rPr>
                <w:rFonts w:eastAsia="Times New Roman"/>
              </w:rPr>
            </w:pPr>
          </w:p>
        </w:tc>
      </w:tr>
      <w:tr w:rsidR="00000000">
        <w:trPr>
          <w:divId w:val="79914012"/>
        </w:trPr>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Prince's Building, Hong Kong</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Retail flagship store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BB5C2D">
            <w:pPr>
              <w:spacing w:after="100"/>
              <w:jc w:val="right"/>
              <w:rPr>
                <w:rFonts w:eastAsia="Times New Roman"/>
              </w:rPr>
            </w:pPr>
            <w:r>
              <w:rPr>
                <w:rFonts w:eastAsia="Times New Roman"/>
                <w:color w:val="000000"/>
                <w:sz w:val="20"/>
                <w:szCs w:val="20"/>
              </w:rPr>
              <w:t>9,800 </w:t>
            </w:r>
          </w:p>
        </w:tc>
        <w:tc>
          <w:tcPr>
            <w:tcW w:w="0" w:type="auto"/>
            <w:shd w:val="clear" w:color="auto" w:fill="CCEEFF"/>
            <w:tcMar>
              <w:top w:w="30" w:type="dxa"/>
              <w:left w:w="0" w:type="dxa"/>
              <w:bottom w:w="30" w:type="dxa"/>
              <w:right w:w="20" w:type="dxa"/>
            </w:tcMar>
            <w:hideMark/>
          </w:tcPr>
          <w:p w:rsidR="00000000" w:rsidRDefault="00BB5C2D">
            <w:pPr>
              <w:spacing w:after="100"/>
              <w:jc w:val="right"/>
              <w:rPr>
                <w:rFonts w:eastAsia="Times New Roman"/>
              </w:rPr>
            </w:pPr>
          </w:p>
        </w:tc>
      </w:tr>
    </w:tbl>
    <w:p w:rsidR="00000000" w:rsidRDefault="00BB5C2D">
      <w:pPr>
        <w:ind w:firstLine="540"/>
        <w:jc w:val="both"/>
        <w:divId w:val="936327237"/>
        <w:rPr>
          <w:rFonts w:eastAsia="Times New Roman"/>
        </w:rPr>
      </w:pPr>
      <w:r>
        <w:rPr>
          <w:rFonts w:eastAsia="Times New Roman"/>
          <w:color w:val="000000"/>
          <w:sz w:val="20"/>
          <w:szCs w:val="20"/>
        </w:rPr>
        <w:t>As of April </w:t>
      </w:r>
      <w:r>
        <w:rPr>
          <w:rFonts w:eastAsia="Times New Roman"/>
          <w:color w:val="000000"/>
          <w:sz w:val="20"/>
          <w:szCs w:val="20"/>
        </w:rPr>
        <w:t>2, 2022, we directly operated 504 retail stores, totaling approximately 4.0 million square feet. We anticipate that we will be able to extend our retail store leases, as well as those leases for our non-retail facilities, which expire in the near future on</w:t>
      </w:r>
      <w:r>
        <w:rPr>
          <w:rFonts w:eastAsia="Times New Roman"/>
          <w:color w:val="000000"/>
          <w:sz w:val="20"/>
          <w:szCs w:val="20"/>
        </w:rPr>
        <w:t xml:space="preserve"> satisfactory terms or relocate to desirable alternate locations. We generally lease our freestanding retail stores for initial periods ranging from 3 to 15 years, with renewal options. See Item 1A — "</w:t>
      </w:r>
      <w:r>
        <w:rPr>
          <w:rFonts w:eastAsia="Times New Roman"/>
          <w:i/>
          <w:iCs/>
          <w:color w:val="000000"/>
          <w:sz w:val="20"/>
          <w:szCs w:val="20"/>
        </w:rPr>
        <w:t>Risk Factors </w:t>
      </w:r>
      <w:r>
        <w:rPr>
          <w:rFonts w:eastAsia="Times New Roman"/>
          <w:color w:val="000000"/>
          <w:sz w:val="20"/>
          <w:szCs w:val="20"/>
        </w:rPr>
        <w:t xml:space="preserve">— </w:t>
      </w:r>
      <w:r>
        <w:rPr>
          <w:rFonts w:eastAsia="Times New Roman"/>
          <w:i/>
          <w:iCs/>
          <w:color w:val="000000"/>
          <w:sz w:val="20"/>
          <w:szCs w:val="20"/>
        </w:rPr>
        <w:t>Risks Related to our Business and Operat</w:t>
      </w:r>
      <w:r>
        <w:rPr>
          <w:rFonts w:eastAsia="Times New Roman"/>
          <w:i/>
          <w:iCs/>
          <w:color w:val="000000"/>
          <w:sz w:val="20"/>
          <w:szCs w:val="20"/>
        </w:rPr>
        <w:t>ions — Our business is subject to risks associated with leasing real estate and other assets under long-term, non-cancellable leases.</w:t>
      </w:r>
      <w:r>
        <w:rPr>
          <w:rFonts w:eastAsia="Times New Roman"/>
          <w:color w:val="000000"/>
          <w:sz w:val="20"/>
          <w:szCs w:val="20"/>
        </w:rPr>
        <w:t>"</w:t>
      </w:r>
    </w:p>
    <w:p w:rsidR="00000000" w:rsidRDefault="00BB5C2D">
      <w:pPr>
        <w:ind w:hanging="900"/>
        <w:jc w:val="both"/>
        <w:divId w:val="1228877069"/>
        <w:rPr>
          <w:rFonts w:eastAsia="Times New Roman"/>
        </w:rPr>
      </w:pPr>
      <w:r>
        <w:rPr>
          <w:rFonts w:eastAsia="Times New Roman"/>
          <w:b/>
          <w:bCs/>
          <w:color w:val="000000"/>
          <w:sz w:val="20"/>
          <w:szCs w:val="20"/>
        </w:rPr>
        <w:t>Item 3.    </w:t>
      </w:r>
      <w:r>
        <w:rPr>
          <w:rFonts w:eastAsia="Times New Roman"/>
          <w:b/>
          <w:bCs/>
          <w:i/>
          <w:iCs/>
          <w:color w:val="000000"/>
          <w:sz w:val="20"/>
          <w:szCs w:val="20"/>
        </w:rPr>
        <w:t>Legal Proceedings.</w:t>
      </w:r>
    </w:p>
    <w:p w:rsidR="00000000" w:rsidRDefault="00BB5C2D">
      <w:pPr>
        <w:ind w:firstLine="540"/>
        <w:jc w:val="both"/>
        <w:divId w:val="1318801473"/>
        <w:rPr>
          <w:rFonts w:eastAsia="Times New Roman"/>
        </w:rPr>
      </w:pPr>
      <w:r>
        <w:rPr>
          <w:rFonts w:eastAsia="Times New Roman"/>
          <w:color w:val="000000"/>
          <w:sz w:val="20"/>
          <w:szCs w:val="20"/>
        </w:rPr>
        <w:t>We are involved, from time to time, in litigation, other legal claims, and proceedings invo</w:t>
      </w:r>
      <w:r>
        <w:rPr>
          <w:rFonts w:eastAsia="Times New Roman"/>
          <w:color w:val="000000"/>
          <w:sz w:val="20"/>
          <w:szCs w:val="20"/>
        </w:rPr>
        <w:t>lving matters associated with or incidental to our business, including, among other things, matters involving credit card fraud, trademark and other intellectual property, licensing, importation and exportation of products, taxation, unclaimed property, le</w:t>
      </w:r>
      <w:r>
        <w:rPr>
          <w:rFonts w:eastAsia="Times New Roman"/>
          <w:color w:val="000000"/>
          <w:sz w:val="20"/>
          <w:szCs w:val="20"/>
        </w:rPr>
        <w:t>ases, and employee relations. We believe at present that the resolution of currently pending matters will not individually or in the aggregate have a material adverse effect on our consolidated financial statements. However, our assessment of any current l</w:t>
      </w:r>
      <w:r>
        <w:rPr>
          <w:rFonts w:eastAsia="Times New Roman"/>
          <w:color w:val="000000"/>
          <w:sz w:val="20"/>
          <w:szCs w:val="20"/>
        </w:rPr>
        <w:t xml:space="preserve">itigation or other legal claims could potentially change in light of the discovery of facts not presently known or determinations by judges, juries, or other finders of fact which are not in accord with management's evaluation of the possible liability or </w:t>
      </w:r>
      <w:r>
        <w:rPr>
          <w:rFonts w:eastAsia="Times New Roman"/>
          <w:color w:val="000000"/>
          <w:sz w:val="20"/>
          <w:szCs w:val="20"/>
        </w:rPr>
        <w:t>outcome of such litigation or claims.</w:t>
      </w:r>
    </w:p>
    <w:p w:rsidR="00000000" w:rsidRDefault="00BB5C2D">
      <w:pPr>
        <w:ind w:hanging="900"/>
        <w:divId w:val="2116902274"/>
        <w:rPr>
          <w:rFonts w:eastAsia="Times New Roman"/>
        </w:rPr>
      </w:pPr>
      <w:r>
        <w:rPr>
          <w:rFonts w:eastAsia="Times New Roman"/>
          <w:b/>
          <w:bCs/>
          <w:color w:val="000000"/>
          <w:sz w:val="20"/>
          <w:szCs w:val="20"/>
        </w:rPr>
        <w:t>Item 4.    </w:t>
      </w:r>
      <w:r>
        <w:rPr>
          <w:rFonts w:eastAsia="Times New Roman"/>
          <w:b/>
          <w:bCs/>
          <w:i/>
          <w:iCs/>
          <w:color w:val="000000"/>
          <w:sz w:val="20"/>
          <w:szCs w:val="20"/>
        </w:rPr>
        <w:t>Mine Safety Disclosures.</w:t>
      </w:r>
    </w:p>
    <w:p w:rsidR="00000000" w:rsidRDefault="00BB5C2D">
      <w:pPr>
        <w:ind w:firstLine="540"/>
        <w:jc w:val="both"/>
        <w:divId w:val="1847670673"/>
        <w:rPr>
          <w:rFonts w:eastAsia="Times New Roman"/>
        </w:rPr>
      </w:pPr>
      <w:r>
        <w:rPr>
          <w:rFonts w:eastAsia="Times New Roman"/>
          <w:color w:val="000000"/>
          <w:sz w:val="20"/>
          <w:szCs w:val="20"/>
        </w:rPr>
        <w:t>Not applicable.</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98972927"/>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98972927"/>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40</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67" style="width:0;height:1.5pt" o:hralign="center" o:hrstd="t" o:hr="t" fillcolor="#a0a0a0" stroked="f"/>
        </w:pict>
      </w:r>
    </w:p>
    <w:p w:rsidR="00000000" w:rsidRDefault="00BB5C2D">
      <w:pPr>
        <w:divId w:val="2077433939"/>
        <w:rPr>
          <w:rFonts w:eastAsia="Times New Roman"/>
        </w:rPr>
      </w:pPr>
    </w:p>
    <w:p w:rsidR="00000000" w:rsidRDefault="00BB5C2D">
      <w:pPr>
        <w:ind w:firstLine="495"/>
        <w:jc w:val="center"/>
        <w:divId w:val="99229852"/>
        <w:rPr>
          <w:rFonts w:eastAsia="Times New Roman"/>
        </w:rPr>
      </w:pPr>
      <w:r>
        <w:rPr>
          <w:rFonts w:eastAsia="Times New Roman"/>
          <w:b/>
          <w:bCs/>
          <w:color w:val="000000"/>
          <w:sz w:val="20"/>
          <w:szCs w:val="20"/>
        </w:rPr>
        <w:t>PART II</w:t>
      </w:r>
    </w:p>
    <w:p w:rsidR="00000000" w:rsidRDefault="00BB5C2D">
      <w:pPr>
        <w:ind w:hanging="900"/>
        <w:jc w:val="both"/>
        <w:divId w:val="150101001"/>
        <w:rPr>
          <w:rFonts w:eastAsia="Times New Roman"/>
        </w:rPr>
      </w:pPr>
      <w:r>
        <w:rPr>
          <w:rFonts w:eastAsia="Times New Roman"/>
          <w:b/>
          <w:bCs/>
          <w:color w:val="000000"/>
          <w:sz w:val="20"/>
          <w:szCs w:val="20"/>
        </w:rPr>
        <w:t>Item 5.    </w:t>
      </w:r>
      <w:r>
        <w:rPr>
          <w:rFonts w:eastAsia="Times New Roman"/>
          <w:b/>
          <w:bCs/>
          <w:i/>
          <w:iCs/>
          <w:color w:val="000000"/>
          <w:sz w:val="20"/>
          <w:szCs w:val="20"/>
        </w:rPr>
        <w:t>Market for Registrant's Common Equity, Related Stockholder Matters and Issuer Purchases of Equity Securities.</w:t>
      </w:r>
    </w:p>
    <w:p w:rsidR="00000000" w:rsidRDefault="00BB5C2D">
      <w:pPr>
        <w:ind w:firstLine="540"/>
        <w:jc w:val="both"/>
        <w:divId w:val="1631596451"/>
        <w:rPr>
          <w:rFonts w:eastAsia="Times New Roman"/>
        </w:rPr>
      </w:pPr>
      <w:r>
        <w:rPr>
          <w:rFonts w:eastAsia="Times New Roman"/>
          <w:color w:val="000000"/>
          <w:sz w:val="20"/>
          <w:szCs w:val="20"/>
        </w:rPr>
        <w:t>As of May 18, 2022, there were 634 holders of record of our Class A common stock and 7 ho</w:t>
      </w:r>
      <w:r>
        <w:rPr>
          <w:rFonts w:eastAsia="Times New Roman"/>
          <w:color w:val="000000"/>
          <w:sz w:val="20"/>
          <w:szCs w:val="20"/>
        </w:rPr>
        <w:t>lders of record of our Class B common stock. Our Class A common stock is traded on the New York Stock Exchange ("NYSE") under the symbol "RL." All of our outstanding shares of Class B common stock are owned by Mr. Ralph Lauren, Executive Chairman and Chief</w:t>
      </w:r>
      <w:r>
        <w:rPr>
          <w:rFonts w:eastAsia="Times New Roman"/>
          <w:color w:val="000000"/>
          <w:sz w:val="20"/>
          <w:szCs w:val="20"/>
        </w:rPr>
        <w:t xml:space="preserve"> Creative Officer, and entities controlled by the Lauren family. Shares of our Class B common stock may be converted immediately into Class A common stock on a one-for-one basis by the holder. There is no cash or other consideration paid by the holder conv</w:t>
      </w:r>
      <w:r>
        <w:rPr>
          <w:rFonts w:eastAsia="Times New Roman"/>
          <w:color w:val="000000"/>
          <w:sz w:val="20"/>
          <w:szCs w:val="20"/>
        </w:rPr>
        <w:t>erting the shares and, accordingly, there is no cash or other consideration received by the Company. The shares of Class A common stock issued by the Company in such conversions are exempt from registration pursuant to Section 3(a)(9) of the Securities Act</w:t>
      </w:r>
      <w:r>
        <w:rPr>
          <w:rFonts w:eastAsia="Times New Roman"/>
          <w:color w:val="000000"/>
          <w:sz w:val="20"/>
          <w:szCs w:val="20"/>
        </w:rPr>
        <w:t xml:space="preserve"> of 1933, as amended. No shares of our Class B common stock were converted into Class A common stock during the fiscal quarter ended April 2, 2022.</w:t>
      </w:r>
    </w:p>
    <w:p w:rsidR="00000000" w:rsidRDefault="00BB5C2D">
      <w:pPr>
        <w:ind w:firstLine="540"/>
        <w:jc w:val="both"/>
        <w:divId w:val="574170968"/>
        <w:rPr>
          <w:rFonts w:eastAsia="Times New Roman"/>
        </w:rPr>
      </w:pPr>
      <w:r>
        <w:rPr>
          <w:rFonts w:eastAsia="Times New Roman"/>
          <w:color w:val="000000"/>
          <w:sz w:val="20"/>
          <w:szCs w:val="20"/>
        </w:rPr>
        <w:t>The following table sets forth repurchases of shares of our Class A common stock during the fiscal quarter e</w:t>
      </w:r>
      <w:r>
        <w:rPr>
          <w:rFonts w:eastAsia="Times New Roman"/>
          <w:color w:val="000000"/>
          <w:sz w:val="20"/>
          <w:szCs w:val="20"/>
        </w:rPr>
        <w:t>nded April 2, 2022:</w:t>
      </w:r>
    </w:p>
    <w:tbl>
      <w:tblPr>
        <w:tblW w:w="4861" w:type="pct"/>
        <w:tblCellMar>
          <w:top w:w="15" w:type="dxa"/>
          <w:left w:w="15" w:type="dxa"/>
          <w:bottom w:w="15" w:type="dxa"/>
          <w:right w:w="15" w:type="dxa"/>
        </w:tblCellMar>
        <w:tblLook w:val="04A0" w:firstRow="1" w:lastRow="0" w:firstColumn="1" w:lastColumn="0" w:noHBand="0" w:noVBand="1"/>
      </w:tblPr>
      <w:tblGrid>
        <w:gridCol w:w="37"/>
        <w:gridCol w:w="2771"/>
        <w:gridCol w:w="36"/>
        <w:gridCol w:w="36"/>
        <w:gridCol w:w="36"/>
        <w:gridCol w:w="36"/>
        <w:gridCol w:w="85"/>
        <w:gridCol w:w="786"/>
        <w:gridCol w:w="36"/>
        <w:gridCol w:w="64"/>
        <w:gridCol w:w="129"/>
        <w:gridCol w:w="36"/>
        <w:gridCol w:w="120"/>
        <w:gridCol w:w="600"/>
        <w:gridCol w:w="36"/>
        <w:gridCol w:w="36"/>
        <w:gridCol w:w="36"/>
        <w:gridCol w:w="36"/>
        <w:gridCol w:w="89"/>
        <w:gridCol w:w="1348"/>
        <w:gridCol w:w="36"/>
        <w:gridCol w:w="36"/>
        <w:gridCol w:w="36"/>
        <w:gridCol w:w="36"/>
        <w:gridCol w:w="121"/>
        <w:gridCol w:w="1385"/>
        <w:gridCol w:w="36"/>
      </w:tblGrid>
      <w:tr w:rsidR="00000000">
        <w:trPr>
          <w:divId w:val="1659533264"/>
        </w:trPr>
        <w:tc>
          <w:tcPr>
            <w:tcW w:w="50" w:type="pct"/>
            <w:vAlign w:val="center"/>
            <w:hideMark/>
          </w:tcPr>
          <w:p w:rsidR="00000000" w:rsidRDefault="00BB5C2D">
            <w:pPr>
              <w:ind w:firstLine="540"/>
              <w:jc w:val="both"/>
              <w:rPr>
                <w:rFonts w:eastAsia="Times New Roman"/>
              </w:rPr>
            </w:pPr>
          </w:p>
        </w:tc>
        <w:tc>
          <w:tcPr>
            <w:tcW w:w="196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63"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0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3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5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3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659533264"/>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Total Number of Shares Purchased</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Average</w:t>
            </w:r>
            <w:r>
              <w:rPr>
                <w:rFonts w:eastAsia="Times New Roman"/>
                <w:b/>
                <w:bCs/>
                <w:color w:val="000000"/>
                <w:sz w:val="16"/>
                <w:szCs w:val="16"/>
              </w:rPr>
              <w:br/>
              <w:t>Price</w:t>
            </w:r>
            <w:r>
              <w:rPr>
                <w:rFonts w:eastAsia="Times New Roman"/>
                <w:b/>
                <w:bCs/>
                <w:color w:val="000000"/>
                <w:sz w:val="16"/>
                <w:szCs w:val="16"/>
              </w:rPr>
              <w:br/>
              <w:t>Paid per</w:t>
            </w:r>
            <w:r>
              <w:rPr>
                <w:rFonts w:eastAsia="Times New Roman"/>
                <w:b/>
                <w:bCs/>
                <w:color w:val="000000"/>
                <w:sz w:val="16"/>
                <w:szCs w:val="16"/>
              </w:rPr>
              <w:br/>
              <w:t>Share</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Total Number of</w:t>
            </w:r>
            <w:r>
              <w:rPr>
                <w:rFonts w:eastAsia="Times New Roman"/>
                <w:b/>
                <w:bCs/>
                <w:color w:val="000000"/>
                <w:sz w:val="16"/>
                <w:szCs w:val="16"/>
              </w:rPr>
              <w:br/>
              <w:t>Shares Purchased as</w:t>
            </w:r>
            <w:r>
              <w:rPr>
                <w:rFonts w:eastAsia="Times New Roman"/>
                <w:b/>
                <w:bCs/>
                <w:color w:val="000000"/>
                <w:sz w:val="16"/>
                <w:szCs w:val="16"/>
              </w:rPr>
              <w:br/>
              <w:t>Part of Publicly</w:t>
            </w:r>
            <w:r>
              <w:rPr>
                <w:rFonts w:eastAsia="Times New Roman"/>
                <w:b/>
                <w:bCs/>
                <w:color w:val="000000"/>
                <w:sz w:val="16"/>
                <w:szCs w:val="16"/>
              </w:rPr>
              <w:br/>
              <w:t>Announced Plans or</w:t>
            </w:r>
            <w:r>
              <w:rPr>
                <w:rFonts w:eastAsia="Times New Roman"/>
                <w:b/>
                <w:bCs/>
                <w:color w:val="000000"/>
                <w:sz w:val="16"/>
                <w:szCs w:val="16"/>
              </w:rPr>
              <w:br/>
              <w:t>Programs</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Approximate Dollar</w:t>
            </w:r>
          </w:p>
          <w:p w:rsidR="00000000" w:rsidRDefault="00BB5C2D">
            <w:pPr>
              <w:spacing w:after="100"/>
              <w:jc w:val="center"/>
              <w:rPr>
                <w:rFonts w:eastAsia="Times New Roman"/>
              </w:rPr>
            </w:pPr>
            <w:r>
              <w:rPr>
                <w:rFonts w:eastAsia="Times New Roman"/>
                <w:b/>
                <w:bCs/>
                <w:color w:val="000000"/>
                <w:sz w:val="16"/>
                <w:szCs w:val="16"/>
              </w:rPr>
              <w:t>Value of Shares</w:t>
            </w:r>
          </w:p>
          <w:p w:rsidR="00000000" w:rsidRDefault="00BB5C2D">
            <w:pPr>
              <w:spacing w:after="100"/>
              <w:jc w:val="center"/>
              <w:rPr>
                <w:rFonts w:eastAsia="Times New Roman"/>
              </w:rPr>
            </w:pPr>
            <w:r>
              <w:rPr>
                <w:rFonts w:eastAsia="Times New Roman"/>
                <w:b/>
                <w:bCs/>
                <w:color w:val="000000"/>
                <w:sz w:val="16"/>
                <w:szCs w:val="16"/>
              </w:rPr>
              <w:t>That May Yet Be</w:t>
            </w:r>
          </w:p>
          <w:p w:rsidR="00000000" w:rsidRDefault="00BB5C2D">
            <w:pPr>
              <w:spacing w:after="100"/>
              <w:jc w:val="center"/>
              <w:rPr>
                <w:rFonts w:eastAsia="Times New Roman"/>
              </w:rPr>
            </w:pPr>
            <w:r>
              <w:rPr>
                <w:rFonts w:eastAsia="Times New Roman"/>
                <w:b/>
                <w:bCs/>
                <w:color w:val="000000"/>
                <w:sz w:val="16"/>
                <w:szCs w:val="16"/>
              </w:rPr>
              <w:t>Purchased Under the</w:t>
            </w:r>
          </w:p>
          <w:p w:rsidR="00000000" w:rsidRDefault="00BB5C2D">
            <w:pPr>
              <w:spacing w:after="100"/>
              <w:jc w:val="center"/>
              <w:rPr>
                <w:rFonts w:eastAsia="Times New Roman"/>
              </w:rPr>
            </w:pPr>
            <w:r>
              <w:rPr>
                <w:rFonts w:eastAsia="Times New Roman"/>
                <w:b/>
                <w:bCs/>
                <w:color w:val="000000"/>
                <w:sz w:val="16"/>
                <w:szCs w:val="16"/>
              </w:rPr>
              <w:t>Plans or Program</w:t>
            </w:r>
            <w:r>
              <w:rPr>
                <w:rFonts w:eastAsia="Times New Roman"/>
                <w:b/>
                <w:bCs/>
                <w:color w:val="000000"/>
                <w:sz w:val="16"/>
                <w:szCs w:val="16"/>
              </w:rPr>
              <w:t>s</w:t>
            </w:r>
            <w:r>
              <w:rPr>
                <w:rFonts w:eastAsia="Times New Roman"/>
                <w:b/>
                <w:bCs/>
                <w:color w:val="000000"/>
                <w:sz w:val="10"/>
                <w:szCs w:val="10"/>
              </w:rPr>
              <w:t>(a</w:t>
            </w:r>
            <w:r>
              <w:rPr>
                <w:rFonts w:eastAsia="Times New Roman"/>
                <w:b/>
                <w:bCs/>
                <w:color w:val="000000"/>
                <w:sz w:val="10"/>
                <w:szCs w:val="10"/>
              </w:rPr>
              <w:t>)</w:t>
            </w:r>
          </w:p>
        </w:tc>
      </w:tr>
      <w:tr w:rsidR="00000000">
        <w:trPr>
          <w:divId w:val="1659533264"/>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1659533264"/>
        </w:trPr>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December 26, 2021 to January 22, 2022</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6,382 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divId w:val="1873300601"/>
              <w:rPr>
                <w:rFonts w:eastAsia="Times New Roman"/>
              </w:rPr>
            </w:pPr>
            <w:r>
              <w:rPr>
                <w:rFonts w:eastAsia="Times New Roman"/>
                <w:b/>
                <w:bCs/>
                <w:color w:val="000000"/>
                <w:sz w:val="13"/>
                <w:szCs w:val="13"/>
              </w:rPr>
              <w:t>(b</w:t>
            </w:r>
            <w:r>
              <w:rPr>
                <w:rFonts w:eastAsia="Times New Roman"/>
                <w:b/>
                <w:bCs/>
                <w:color w:val="000000"/>
                <w:sz w:val="13"/>
                <w:szCs w:val="13"/>
              </w:rPr>
              <w:t>)</w:t>
            </w: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111.80 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280 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659533264"/>
        </w:trPr>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January 23, 2022 to February 19, 2022</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561,729 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124.37 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561,729 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1,710 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659533264"/>
        </w:trPr>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February 20, 2022 to April 2, 2022</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711,513 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divId w:val="1356268685"/>
              <w:rPr>
                <w:rFonts w:eastAsia="Times New Roman"/>
              </w:rPr>
            </w:pPr>
            <w:r>
              <w:rPr>
                <w:rFonts w:eastAsia="Times New Roman"/>
                <w:b/>
                <w:bCs/>
                <w:color w:val="000000"/>
                <w:sz w:val="13"/>
                <w:szCs w:val="13"/>
              </w:rPr>
              <w:t>(c</w:t>
            </w:r>
            <w:r>
              <w:rPr>
                <w:rFonts w:eastAsia="Times New Roman"/>
                <w:b/>
                <w:bCs/>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114.77 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702,242 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1,629 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659533264"/>
        </w:trPr>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1,279,624 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1,263,971 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BB5C2D">
            <w:pPr>
              <w:rPr>
                <w:rFonts w:eastAsia="Times New Roman"/>
              </w:rPr>
            </w:pPr>
          </w:p>
        </w:tc>
        <w:tc>
          <w:tcPr>
            <w:tcW w:w="494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r>
    </w:tbl>
    <w:p w:rsidR="00000000" w:rsidRDefault="00BB5C2D">
      <w:pPr>
        <w:ind w:hanging="360"/>
        <w:jc w:val="both"/>
        <w:divId w:val="1466510069"/>
        <w:rPr>
          <w:rFonts w:eastAsia="Times New Roman"/>
        </w:rPr>
      </w:pPr>
      <w:r>
        <w:rPr>
          <w:rFonts w:eastAsia="Times New Roman"/>
          <w:b/>
          <w:bCs/>
          <w:color w:val="000000"/>
          <w:sz w:val="13"/>
          <w:szCs w:val="13"/>
        </w:rPr>
        <w:t>(a)   </w:t>
      </w:r>
      <w:r>
        <w:rPr>
          <w:rFonts w:eastAsia="Times New Roman"/>
          <w:b/>
          <w:bCs/>
          <w:color w:val="000000"/>
          <w:sz w:val="13"/>
          <w:szCs w:val="13"/>
        </w:rPr>
        <w:t> </w:t>
      </w:r>
      <w:r>
        <w:rPr>
          <w:rFonts w:eastAsia="Times New Roman"/>
          <w:color w:val="000000"/>
          <w:sz w:val="20"/>
          <w:szCs w:val="20"/>
        </w:rPr>
        <w:t>As of April </w:t>
      </w:r>
      <w:r>
        <w:rPr>
          <w:rFonts w:eastAsia="Times New Roman"/>
          <w:color w:val="000000"/>
          <w:sz w:val="20"/>
          <w:szCs w:val="20"/>
        </w:rPr>
        <w:t xml:space="preserve">2, 2022, the remaining availability under our Class A common stock repurchase program was approximately $1.629 billion, reflecting the February 2, 2022 approval by our Board of Directors to expand the program by up to an additional $1.500 billion of Class </w:t>
      </w:r>
      <w:r>
        <w:rPr>
          <w:rFonts w:eastAsia="Times New Roman"/>
          <w:color w:val="000000"/>
          <w:sz w:val="20"/>
          <w:szCs w:val="20"/>
        </w:rPr>
        <w:t xml:space="preserve">A common stock repurchases. Repurchases of shares of Class A common stock are subject to overall business and market conditions. </w:t>
      </w:r>
    </w:p>
    <w:p w:rsidR="00000000" w:rsidRDefault="00BB5C2D">
      <w:pPr>
        <w:ind w:hanging="360"/>
        <w:jc w:val="both"/>
        <w:divId w:val="204342078"/>
        <w:rPr>
          <w:rFonts w:eastAsia="Times New Roman"/>
        </w:rPr>
      </w:pPr>
      <w:r>
        <w:rPr>
          <w:rFonts w:eastAsia="Times New Roman"/>
          <w:b/>
          <w:bCs/>
          <w:color w:val="000000"/>
          <w:sz w:val="13"/>
          <w:szCs w:val="13"/>
        </w:rPr>
        <w:t>(b)   </w:t>
      </w:r>
      <w:r>
        <w:rPr>
          <w:rFonts w:eastAsia="Times New Roman"/>
          <w:b/>
          <w:bCs/>
          <w:color w:val="000000"/>
          <w:sz w:val="13"/>
          <w:szCs w:val="13"/>
        </w:rPr>
        <w:t> </w:t>
      </w:r>
      <w:r>
        <w:rPr>
          <w:rFonts w:eastAsia="Times New Roman"/>
          <w:color w:val="000000"/>
          <w:sz w:val="20"/>
          <w:szCs w:val="20"/>
        </w:rPr>
        <w:t>Represents shares surrendered to or withheld by the Company in satisfaction of withholding taxes in connection with the</w:t>
      </w:r>
      <w:r>
        <w:rPr>
          <w:rFonts w:eastAsia="Times New Roman"/>
          <w:color w:val="000000"/>
          <w:sz w:val="20"/>
          <w:szCs w:val="20"/>
        </w:rPr>
        <w:t xml:space="preserve"> vesting of awards issued under its long-term stock incentive plans.</w:t>
      </w:r>
    </w:p>
    <w:p w:rsidR="00000000" w:rsidRDefault="00BB5C2D">
      <w:pPr>
        <w:ind w:hanging="360"/>
        <w:jc w:val="both"/>
        <w:divId w:val="1812089119"/>
        <w:rPr>
          <w:rFonts w:eastAsia="Times New Roman"/>
        </w:rPr>
      </w:pPr>
      <w:r>
        <w:rPr>
          <w:rFonts w:eastAsia="Times New Roman"/>
          <w:b/>
          <w:bCs/>
          <w:color w:val="000000"/>
          <w:sz w:val="13"/>
          <w:szCs w:val="13"/>
        </w:rPr>
        <w:t>(c)   </w:t>
      </w:r>
      <w:r>
        <w:rPr>
          <w:rFonts w:eastAsia="Times New Roman"/>
          <w:b/>
          <w:bCs/>
          <w:color w:val="000000"/>
          <w:sz w:val="13"/>
          <w:szCs w:val="13"/>
        </w:rPr>
        <w:t> </w:t>
      </w:r>
      <w:r>
        <w:rPr>
          <w:rFonts w:eastAsia="Times New Roman"/>
          <w:color w:val="000000"/>
          <w:sz w:val="20"/>
          <w:szCs w:val="20"/>
        </w:rPr>
        <w:t>Includes 9,271 shares surrendered to or withheld by the Company in satisfaction of withholding taxes in connection with the vesting of awards issued under its long-term stock incen</w:t>
      </w:r>
      <w:r>
        <w:rPr>
          <w:rFonts w:eastAsia="Times New Roman"/>
          <w:color w:val="000000"/>
          <w:sz w:val="20"/>
          <w:szCs w:val="20"/>
        </w:rPr>
        <w:t>tive plans.</w:t>
      </w:r>
    </w:p>
    <w:p w:rsidR="00000000" w:rsidRDefault="00BB5C2D">
      <w:pPr>
        <w:ind w:hanging="360"/>
        <w:jc w:val="both"/>
        <w:divId w:val="1004473485"/>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60707665"/>
          <w:jc w:val="center"/>
        </w:trPr>
        <w:tc>
          <w:tcPr>
            <w:tcW w:w="50" w:type="pct"/>
            <w:vAlign w:val="center"/>
            <w:hideMark/>
          </w:tcPr>
          <w:p w:rsidR="00000000" w:rsidRDefault="00BB5C2D">
            <w:pPr>
              <w:ind w:hanging="36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60707665"/>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41</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68" style="width:0;height:1.5pt" o:hralign="center" o:hrstd="t" o:hr="t" fillcolor="#a0a0a0" stroked="f"/>
        </w:pict>
      </w:r>
    </w:p>
    <w:p w:rsidR="00000000" w:rsidRDefault="00BB5C2D">
      <w:pPr>
        <w:divId w:val="860703302"/>
        <w:rPr>
          <w:rFonts w:eastAsia="Times New Roman"/>
        </w:rPr>
      </w:pPr>
    </w:p>
    <w:p w:rsidR="00000000" w:rsidRDefault="00BB5C2D">
      <w:pPr>
        <w:ind w:firstLine="540"/>
        <w:jc w:val="both"/>
        <w:divId w:val="470027494"/>
        <w:rPr>
          <w:rFonts w:eastAsia="Times New Roman"/>
        </w:rPr>
      </w:pPr>
      <w:r>
        <w:rPr>
          <w:rFonts w:eastAsia="Times New Roman"/>
          <w:color w:val="000000"/>
          <w:sz w:val="20"/>
          <w:szCs w:val="20"/>
        </w:rPr>
        <w:t>The following graph compares the cumulative total stockholder return (stock price appreciation plus dividends) on our Class A common stock to the cumulative total return of the Standard &amp; Poor's 500 Index and a peer gr</w:t>
      </w:r>
      <w:r>
        <w:rPr>
          <w:rFonts w:eastAsia="Times New Roman"/>
          <w:color w:val="000000"/>
          <w:sz w:val="20"/>
          <w:szCs w:val="20"/>
        </w:rPr>
        <w:t>oup index of companies that we believe are closest to ours (the "Peer Group") for the period from April 1, 2017, the last day of our 2017 fiscal year, through April 2, 2022, the last day of our 2022 fiscal year. Our Peer Group consists of Burberry Group PL</w:t>
      </w:r>
      <w:r>
        <w:rPr>
          <w:rFonts w:eastAsia="Times New Roman"/>
          <w:color w:val="000000"/>
          <w:sz w:val="20"/>
          <w:szCs w:val="20"/>
        </w:rPr>
        <w:t>C, Compagnie Financière Richemont SA, EssilorLuxottica SA, The Estée Lauder Companies Inc., Hermes International, Kering, LVMH, PVH Corp., Tapestry, Inc., Tod's S.p.A., and V.F. Corporation. All calculations for foreign companies in our Peer Group are perf</w:t>
      </w:r>
      <w:r>
        <w:rPr>
          <w:rFonts w:eastAsia="Times New Roman"/>
          <w:color w:val="000000"/>
          <w:sz w:val="20"/>
          <w:szCs w:val="20"/>
        </w:rPr>
        <w:t>ormed using the local foreign issue of such companies. The returns are calculated by assuming a $100 investment made on April 1, 2017 in Class A common stock or March 31, 2017 in an index, with all dividends reinvested.</w:t>
      </w:r>
    </w:p>
    <w:p w:rsidR="00000000" w:rsidRDefault="00BB5C2D">
      <w:pPr>
        <w:jc w:val="center"/>
        <w:divId w:val="1793553220"/>
        <w:rPr>
          <w:rFonts w:eastAsia="Times New Roman"/>
        </w:rPr>
      </w:pPr>
      <w:r>
        <w:rPr>
          <w:rFonts w:eastAsia="Times New Roman"/>
          <w:b/>
          <w:bCs/>
          <w:color w:val="000000"/>
          <w:sz w:val="22"/>
          <w:szCs w:val="22"/>
        </w:rPr>
        <w:t>COMPARISON OF 5 YEAR CUMULATIVE TOTA</w:t>
      </w:r>
      <w:r>
        <w:rPr>
          <w:rFonts w:eastAsia="Times New Roman"/>
          <w:b/>
          <w:bCs/>
          <w:color w:val="000000"/>
          <w:sz w:val="22"/>
          <w:szCs w:val="22"/>
        </w:rPr>
        <w:t>L RETURN</w:t>
      </w:r>
    </w:p>
    <w:p w:rsidR="00000000" w:rsidRDefault="00BB5C2D">
      <w:pPr>
        <w:jc w:val="center"/>
        <w:rPr>
          <w:rFonts w:eastAsia="Times New Roman"/>
        </w:rPr>
      </w:pPr>
      <w:r>
        <w:rPr>
          <w:rFonts w:eastAsia="Times New Roman"/>
          <w:color w:val="000000"/>
          <w:sz w:val="20"/>
          <w:szCs w:val="20"/>
        </w:rPr>
        <w:t>Among Ralph Lauren Corporation, the S&amp;P 500 Index, and a Peer Group</w:t>
      </w:r>
    </w:p>
    <w:p w:rsidR="00000000" w:rsidRDefault="00BB5C2D">
      <w:pPr>
        <w:spacing w:before="100"/>
        <w:ind w:firstLine="225"/>
        <w:jc w:val="center"/>
        <w:divId w:val="361980613"/>
        <w:rPr>
          <w:rFonts w:eastAsia="Times New Roman"/>
        </w:rPr>
      </w:pPr>
      <w:r>
        <w:rPr>
          <w:rFonts w:eastAsia="Times New Roman"/>
          <w:noProof/>
        </w:rPr>
        <w:drawing>
          <wp:inline distT="0" distB="0" distL="0" distR="0">
            <wp:extent cx="304800" cy="3048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BB5C2D">
      <w:pPr>
        <w:ind w:hanging="900"/>
        <w:divId w:val="1328021935"/>
        <w:rPr>
          <w:rFonts w:eastAsia="Times New Roman"/>
        </w:rPr>
      </w:pPr>
      <w:r>
        <w:rPr>
          <w:rFonts w:eastAsia="Times New Roman"/>
          <w:b/>
          <w:bCs/>
          <w:color w:val="000000"/>
          <w:sz w:val="20"/>
          <w:szCs w:val="20"/>
        </w:rPr>
        <w:t>Item 6.    </w:t>
      </w:r>
      <w:r>
        <w:rPr>
          <w:rFonts w:eastAsia="Times New Roman"/>
          <w:b/>
          <w:bCs/>
          <w:i/>
          <w:iCs/>
          <w:color w:val="000000"/>
          <w:sz w:val="20"/>
          <w:szCs w:val="20"/>
        </w:rPr>
        <w:t>Reserved</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2097969925"/>
          <w:jc w:val="center"/>
        </w:trPr>
        <w:tc>
          <w:tcPr>
            <w:tcW w:w="50" w:type="pct"/>
            <w:vAlign w:val="center"/>
            <w:hideMark/>
          </w:tcPr>
          <w:p w:rsidR="00000000" w:rsidRDefault="00BB5C2D">
            <w:pPr>
              <w:ind w:hanging="900"/>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2097969925"/>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42</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70" style="width:0;height:1.5pt" o:hralign="center" o:hrstd="t" o:hr="t" fillcolor="#a0a0a0" stroked="f"/>
        </w:pict>
      </w:r>
    </w:p>
    <w:p w:rsidR="00000000" w:rsidRDefault="00BB5C2D">
      <w:pPr>
        <w:divId w:val="736783200"/>
        <w:rPr>
          <w:rFonts w:eastAsia="Times New Roman"/>
        </w:rPr>
      </w:pPr>
    </w:p>
    <w:p w:rsidR="00000000" w:rsidRDefault="00BB5C2D">
      <w:pPr>
        <w:ind w:hanging="900"/>
        <w:divId w:val="1856262676"/>
        <w:rPr>
          <w:rFonts w:eastAsia="Times New Roman"/>
        </w:rPr>
      </w:pPr>
      <w:r>
        <w:rPr>
          <w:rFonts w:eastAsia="Times New Roman"/>
          <w:b/>
          <w:bCs/>
          <w:color w:val="000000"/>
          <w:sz w:val="20"/>
          <w:szCs w:val="20"/>
        </w:rPr>
        <w:t>Item 7.</w:t>
      </w:r>
      <w:r>
        <w:rPr>
          <w:rFonts w:eastAsia="Times New Roman"/>
          <w:b/>
          <w:bCs/>
          <w:i/>
          <w:iCs/>
          <w:color w:val="000000"/>
          <w:sz w:val="20"/>
          <w:szCs w:val="20"/>
        </w:rPr>
        <w:t>    Management's Discussion and Analysis of Financial Condition and Results of Operations.</w:t>
      </w:r>
    </w:p>
    <w:p w:rsidR="00000000" w:rsidRDefault="00BB5C2D">
      <w:pPr>
        <w:ind w:firstLine="540"/>
        <w:jc w:val="both"/>
        <w:divId w:val="1518108139"/>
        <w:rPr>
          <w:rFonts w:eastAsia="Times New Roman"/>
        </w:rPr>
      </w:pPr>
      <w:r>
        <w:rPr>
          <w:rFonts w:eastAsia="Times New Roman"/>
          <w:color w:val="000000"/>
          <w:sz w:val="20"/>
          <w:szCs w:val="20"/>
        </w:rPr>
        <w:t>The following management's discussion and analysis of financial condition and results of operations ("MD&amp;A") should be r</w:t>
      </w:r>
      <w:r>
        <w:rPr>
          <w:rFonts w:eastAsia="Times New Roman"/>
          <w:color w:val="000000"/>
          <w:sz w:val="20"/>
          <w:szCs w:val="20"/>
        </w:rPr>
        <w:t xml:space="preserve">ead together with our audited consolidated financial statements and notes thereto, which are included in this Annual Report on Form 10-K. We utilize a 52-53 week fiscal year ending on the Saturday immediately before or after March 31. As such, Fiscal 2022 </w:t>
      </w:r>
      <w:r>
        <w:rPr>
          <w:rFonts w:eastAsia="Times New Roman"/>
          <w:color w:val="000000"/>
          <w:sz w:val="20"/>
          <w:szCs w:val="20"/>
        </w:rPr>
        <w:t xml:space="preserve">ended on April 2, 2022 and was a 53-week period; Fiscal 2021 ended on March 27, 2021 and was a 52-week period; Fiscal 2020 ended on March 28, 2020 and was a 52-week period; and Fiscal 2023 will end on April 1, 2023 and will be a 52-week period. </w:t>
      </w:r>
    </w:p>
    <w:p w:rsidR="00000000" w:rsidRDefault="00BB5C2D">
      <w:pPr>
        <w:divId w:val="1120104249"/>
        <w:rPr>
          <w:rFonts w:eastAsia="Times New Roman"/>
        </w:rPr>
      </w:pPr>
      <w:r>
        <w:rPr>
          <w:rFonts w:eastAsia="Times New Roman"/>
          <w:b/>
          <w:bCs/>
          <w:color w:val="000000"/>
          <w:sz w:val="20"/>
          <w:szCs w:val="20"/>
        </w:rPr>
        <w:t>INTRODUCTI</w:t>
      </w:r>
      <w:r>
        <w:rPr>
          <w:rFonts w:eastAsia="Times New Roman"/>
          <w:b/>
          <w:bCs/>
          <w:color w:val="000000"/>
          <w:sz w:val="20"/>
          <w:szCs w:val="20"/>
        </w:rPr>
        <w:t>ON</w:t>
      </w:r>
    </w:p>
    <w:p w:rsidR="00000000" w:rsidRDefault="00BB5C2D">
      <w:pPr>
        <w:ind w:firstLine="495"/>
        <w:jc w:val="both"/>
        <w:divId w:val="19010308"/>
        <w:rPr>
          <w:rFonts w:eastAsia="Times New Roman"/>
        </w:rPr>
      </w:pPr>
      <w:r>
        <w:rPr>
          <w:rFonts w:eastAsia="Times New Roman"/>
          <w:color w:val="000000"/>
          <w:sz w:val="20"/>
          <w:szCs w:val="20"/>
        </w:rPr>
        <w:t>MD&amp;A is provided as a supplement to the accompanying consolidated financial statements and notes thereto to help provide an understanding of our results of operations, financial condition, and liquidity. MD&amp;A is organized as follows:</w:t>
      </w:r>
    </w:p>
    <w:p w:rsidR="00000000" w:rsidRDefault="00BB5C2D">
      <w:pPr>
        <w:ind w:hanging="360"/>
        <w:jc w:val="both"/>
        <w:divId w:val="34354988"/>
        <w:rPr>
          <w:rFonts w:eastAsia="Times New Roman"/>
        </w:rPr>
      </w:pPr>
      <w:r>
        <w:rPr>
          <w:rFonts w:eastAsia="Times New Roman"/>
          <w:i/>
          <w:iCs/>
          <w:color w:val="000000"/>
          <w:sz w:val="20"/>
          <w:szCs w:val="20"/>
        </w:rPr>
        <w:t>•Overview.</w:t>
      </w:r>
      <w:r>
        <w:rPr>
          <w:rFonts w:eastAsia="Times New Roman"/>
          <w:color w:val="000000"/>
          <w:sz w:val="20"/>
          <w:szCs w:val="20"/>
        </w:rPr>
        <w:t xml:space="preserve">    This </w:t>
      </w:r>
      <w:r>
        <w:rPr>
          <w:rFonts w:eastAsia="Times New Roman"/>
          <w:color w:val="000000"/>
          <w:sz w:val="20"/>
          <w:szCs w:val="20"/>
        </w:rPr>
        <w:t>section provides a general description of our business, global economic conditions and industry trends, and a summary of our financial performance for Fiscal 2022. In addition, this section includes a discussion of recent developments and transactions affe</w:t>
      </w:r>
      <w:r>
        <w:rPr>
          <w:rFonts w:eastAsia="Times New Roman"/>
          <w:color w:val="000000"/>
          <w:sz w:val="20"/>
          <w:szCs w:val="20"/>
        </w:rPr>
        <w:t>cting comparability that we believe are important in understanding our results of operations and financial condition, and in anticipating future trends.</w:t>
      </w:r>
    </w:p>
    <w:p w:rsidR="00000000" w:rsidRDefault="00BB5C2D">
      <w:pPr>
        <w:ind w:hanging="360"/>
        <w:jc w:val="both"/>
        <w:divId w:val="846477494"/>
        <w:rPr>
          <w:rFonts w:eastAsia="Times New Roman"/>
        </w:rPr>
      </w:pPr>
      <w:r>
        <w:rPr>
          <w:rFonts w:eastAsia="Times New Roman"/>
          <w:color w:val="000000"/>
          <w:sz w:val="20"/>
          <w:szCs w:val="20"/>
        </w:rPr>
        <w:t>•</w:t>
      </w:r>
      <w:r>
        <w:rPr>
          <w:rFonts w:eastAsia="Times New Roman"/>
          <w:i/>
          <w:iCs/>
          <w:color w:val="000000"/>
          <w:sz w:val="20"/>
          <w:szCs w:val="20"/>
        </w:rPr>
        <w:t>Results of operations.</w:t>
      </w:r>
      <w:r>
        <w:rPr>
          <w:rFonts w:eastAsia="Times New Roman"/>
          <w:color w:val="000000"/>
          <w:sz w:val="20"/>
          <w:szCs w:val="20"/>
        </w:rPr>
        <w:t>    This section provides an analysis of our results of operations for Fiscal 20</w:t>
      </w:r>
      <w:r>
        <w:rPr>
          <w:rFonts w:eastAsia="Times New Roman"/>
          <w:color w:val="000000"/>
          <w:sz w:val="20"/>
          <w:szCs w:val="20"/>
        </w:rPr>
        <w:t>22 and Fiscal 2021 as compared to the respective prior fiscal year.</w:t>
      </w:r>
    </w:p>
    <w:p w:rsidR="00000000" w:rsidRDefault="00BB5C2D">
      <w:pPr>
        <w:ind w:hanging="360"/>
        <w:jc w:val="both"/>
        <w:divId w:val="798959202"/>
        <w:rPr>
          <w:rFonts w:eastAsia="Times New Roman"/>
        </w:rPr>
      </w:pPr>
      <w:r>
        <w:rPr>
          <w:rFonts w:eastAsia="Times New Roman"/>
          <w:b/>
          <w:bCs/>
          <w:i/>
          <w:iCs/>
          <w:color w:val="000000"/>
          <w:sz w:val="20"/>
          <w:szCs w:val="20"/>
        </w:rPr>
        <w:t>•</w:t>
      </w:r>
      <w:r>
        <w:rPr>
          <w:rFonts w:eastAsia="Times New Roman"/>
          <w:i/>
          <w:iCs/>
          <w:color w:val="000000"/>
          <w:sz w:val="20"/>
          <w:szCs w:val="20"/>
        </w:rPr>
        <w:t>Financial condition and liquidity.</w:t>
      </w:r>
      <w:r>
        <w:rPr>
          <w:rFonts w:eastAsia="Times New Roman"/>
          <w:color w:val="000000"/>
          <w:sz w:val="20"/>
          <w:szCs w:val="20"/>
        </w:rPr>
        <w:t>    This section provides a discussion of our financial condition and liquidity as of April 2, 2022, which includes (i) an analysis of our financial cond</w:t>
      </w:r>
      <w:r>
        <w:rPr>
          <w:rFonts w:eastAsia="Times New Roman"/>
          <w:color w:val="000000"/>
          <w:sz w:val="20"/>
          <w:szCs w:val="20"/>
        </w:rPr>
        <w:t>ition as compared to the prior fiscal year-end; (ii) an analysis of changes in our cash flows for Fiscal 2022 and Fiscal 2021 as compared to the respective prior fiscal year; (iii) an analysis of our liquidity, including the availability under our commerci</w:t>
      </w:r>
      <w:r>
        <w:rPr>
          <w:rFonts w:eastAsia="Times New Roman"/>
          <w:color w:val="000000"/>
          <w:sz w:val="20"/>
          <w:szCs w:val="20"/>
        </w:rPr>
        <w:t>al paper borrowing program and credit facilities, our outstanding debt and covenant compliance, common stock repurchases, and payments of dividends; and (iv) a summary of our material cash requirements as of April 2, 2022.</w:t>
      </w:r>
    </w:p>
    <w:p w:rsidR="00000000" w:rsidRDefault="00BB5C2D">
      <w:pPr>
        <w:ind w:hanging="360"/>
        <w:jc w:val="both"/>
        <w:divId w:val="365373982"/>
        <w:rPr>
          <w:rFonts w:eastAsia="Times New Roman"/>
        </w:rPr>
      </w:pPr>
      <w:r>
        <w:rPr>
          <w:rFonts w:eastAsia="Times New Roman"/>
          <w:color w:val="000000"/>
          <w:sz w:val="20"/>
          <w:szCs w:val="20"/>
        </w:rPr>
        <w:t>•</w:t>
      </w:r>
      <w:r>
        <w:rPr>
          <w:rFonts w:eastAsia="Times New Roman"/>
          <w:i/>
          <w:iCs/>
          <w:color w:val="000000"/>
          <w:sz w:val="20"/>
          <w:szCs w:val="20"/>
        </w:rPr>
        <w:t>Market risk management.</w:t>
      </w:r>
      <w:r>
        <w:rPr>
          <w:rFonts w:eastAsia="Times New Roman"/>
          <w:color w:val="000000"/>
          <w:sz w:val="20"/>
          <w:szCs w:val="20"/>
        </w:rPr>
        <w:t xml:space="preserve">    This </w:t>
      </w:r>
      <w:r>
        <w:rPr>
          <w:rFonts w:eastAsia="Times New Roman"/>
          <w:color w:val="000000"/>
          <w:sz w:val="20"/>
          <w:szCs w:val="20"/>
        </w:rPr>
        <w:t>section discusses how we manage our risk exposures related to foreign currency exchange rates, interest rates, and our investments as of April 2, 2022.</w:t>
      </w:r>
    </w:p>
    <w:p w:rsidR="00000000" w:rsidRDefault="00BB5C2D">
      <w:pPr>
        <w:ind w:hanging="360"/>
        <w:jc w:val="both"/>
        <w:divId w:val="1588225909"/>
        <w:rPr>
          <w:rFonts w:eastAsia="Times New Roman"/>
        </w:rPr>
      </w:pPr>
      <w:r>
        <w:rPr>
          <w:rFonts w:eastAsia="Times New Roman"/>
          <w:color w:val="000000"/>
          <w:sz w:val="20"/>
          <w:szCs w:val="20"/>
        </w:rPr>
        <w:t>•</w:t>
      </w:r>
      <w:r>
        <w:rPr>
          <w:rFonts w:eastAsia="Times New Roman"/>
          <w:i/>
          <w:iCs/>
          <w:color w:val="000000"/>
          <w:sz w:val="20"/>
          <w:szCs w:val="20"/>
        </w:rPr>
        <w:t>Critical accounting policies.</w:t>
      </w:r>
      <w:r>
        <w:rPr>
          <w:rFonts w:eastAsia="Times New Roman"/>
          <w:color w:val="000000"/>
          <w:sz w:val="20"/>
          <w:szCs w:val="20"/>
        </w:rPr>
        <w:t xml:space="preserve">    This section discusses our critical accounting policies considered to </w:t>
      </w:r>
      <w:r>
        <w:rPr>
          <w:rFonts w:eastAsia="Times New Roman"/>
          <w:color w:val="000000"/>
          <w:sz w:val="20"/>
          <w:szCs w:val="20"/>
        </w:rPr>
        <w:t>be important to our results of operations and financial condition, which typically require significant judgment and estimation on the part of management in their application. In addition, all of our significant accounting policies, including our critical a</w:t>
      </w:r>
      <w:r>
        <w:rPr>
          <w:rFonts w:eastAsia="Times New Roman"/>
          <w:color w:val="000000"/>
          <w:sz w:val="20"/>
          <w:szCs w:val="20"/>
        </w:rPr>
        <w:t>ccounting policies, are summarized in Note 3 to the accompanying consolidated financial statements.</w:t>
      </w:r>
    </w:p>
    <w:p w:rsidR="00000000" w:rsidRDefault="00BB5C2D">
      <w:pPr>
        <w:ind w:hanging="360"/>
        <w:jc w:val="both"/>
        <w:divId w:val="348678453"/>
        <w:rPr>
          <w:rFonts w:eastAsia="Times New Roman"/>
        </w:rPr>
      </w:pPr>
      <w:r>
        <w:rPr>
          <w:rFonts w:eastAsia="Times New Roman"/>
          <w:color w:val="000000"/>
          <w:sz w:val="20"/>
          <w:szCs w:val="20"/>
        </w:rPr>
        <w:t>•</w:t>
      </w:r>
      <w:r>
        <w:rPr>
          <w:rFonts w:eastAsia="Times New Roman"/>
          <w:i/>
          <w:iCs/>
          <w:color w:val="000000"/>
          <w:sz w:val="20"/>
          <w:szCs w:val="20"/>
        </w:rPr>
        <w:t>Recently issued accounting standards.</w:t>
      </w:r>
      <w:r>
        <w:rPr>
          <w:rFonts w:eastAsia="Times New Roman"/>
          <w:color w:val="000000"/>
          <w:sz w:val="20"/>
          <w:szCs w:val="20"/>
        </w:rPr>
        <w:t>    </w:t>
      </w:r>
      <w:r>
        <w:rPr>
          <w:rFonts w:eastAsia="Times New Roman"/>
          <w:color w:val="000000"/>
          <w:sz w:val="20"/>
          <w:szCs w:val="20"/>
        </w:rPr>
        <w:t>This section discusses the potential impact on our reported results of operations and financial condition of certain accounting standards that have been recently issued.</w:t>
      </w:r>
    </w:p>
    <w:p w:rsidR="00000000" w:rsidRDefault="00BB5C2D">
      <w:pPr>
        <w:divId w:val="1125737739"/>
        <w:rPr>
          <w:rFonts w:eastAsia="Times New Roman"/>
        </w:rPr>
      </w:pPr>
      <w:r>
        <w:rPr>
          <w:rFonts w:eastAsia="Times New Roman"/>
          <w:b/>
          <w:bCs/>
          <w:color w:val="000000"/>
          <w:sz w:val="20"/>
          <w:szCs w:val="20"/>
        </w:rPr>
        <w:t>OVERVIEW</w:t>
      </w:r>
    </w:p>
    <w:p w:rsidR="00000000" w:rsidRDefault="00BB5C2D">
      <w:pPr>
        <w:ind w:firstLine="360"/>
        <w:jc w:val="both"/>
        <w:divId w:val="1909268159"/>
        <w:rPr>
          <w:rFonts w:eastAsia="Times New Roman"/>
        </w:rPr>
      </w:pPr>
      <w:r>
        <w:rPr>
          <w:rFonts w:eastAsia="Times New Roman"/>
          <w:b/>
          <w:bCs/>
          <w:i/>
          <w:iCs/>
          <w:color w:val="000000"/>
          <w:sz w:val="20"/>
          <w:szCs w:val="20"/>
        </w:rPr>
        <w:t>Our Business</w:t>
      </w:r>
    </w:p>
    <w:p w:rsidR="00000000" w:rsidRDefault="00BB5C2D">
      <w:pPr>
        <w:ind w:firstLine="540"/>
        <w:jc w:val="both"/>
        <w:divId w:val="496654601"/>
        <w:rPr>
          <w:rFonts w:eastAsia="Times New Roman"/>
        </w:rPr>
      </w:pPr>
      <w:r>
        <w:rPr>
          <w:rFonts w:eastAsia="Times New Roman"/>
          <w:color w:val="000000"/>
          <w:sz w:val="20"/>
          <w:szCs w:val="20"/>
        </w:rPr>
        <w:t>Our Company is a global leader in the design, marketing, and distribution of premium lifestyle products, including apparel, footwear, accessories, home furnishings, fragrances, and hospitality. Our long-standing reputation and distinctive image have been d</w:t>
      </w:r>
      <w:r>
        <w:rPr>
          <w:rFonts w:eastAsia="Times New Roman"/>
          <w:color w:val="000000"/>
          <w:sz w:val="20"/>
          <w:szCs w:val="20"/>
        </w:rPr>
        <w:t>eveloped across a wide range of products, brands, distribution channels, and international markets. Our brand names include Ralph Lauren, Ralph Lauren Collection, Ralph Lauren Purple Label, Polo Ralph Lauren, Double RL, Lauren Ralph Lauren, Polo Ralph Laur</w:t>
      </w:r>
      <w:r>
        <w:rPr>
          <w:rFonts w:eastAsia="Times New Roman"/>
          <w:color w:val="000000"/>
          <w:sz w:val="20"/>
          <w:szCs w:val="20"/>
        </w:rPr>
        <w:t>en Children, and Chaps, among others.</w:t>
      </w:r>
    </w:p>
    <w:p w:rsidR="00000000" w:rsidRDefault="00BB5C2D">
      <w:pPr>
        <w:ind w:firstLine="540"/>
        <w:jc w:val="both"/>
        <w:divId w:val="1358121993"/>
        <w:rPr>
          <w:rFonts w:eastAsia="Times New Roman"/>
        </w:rPr>
      </w:pPr>
      <w:r>
        <w:rPr>
          <w:rFonts w:eastAsia="Times New Roman"/>
          <w:color w:val="000000"/>
          <w:sz w:val="20"/>
          <w:szCs w:val="20"/>
        </w:rPr>
        <w:t>We diversify our business by geography (North America, Europe, and Asia, among other regions) and channel of distribution (retail, wholesale, and licensing). This allows us to maintain a dynamic balance as our operatin</w:t>
      </w:r>
      <w:r>
        <w:rPr>
          <w:rFonts w:eastAsia="Times New Roman"/>
          <w:color w:val="000000"/>
          <w:sz w:val="20"/>
          <w:szCs w:val="20"/>
        </w:rPr>
        <w:t>g results do not depend solely on the performance of any single geographic area or channel of distribution. We sell directly to consumers through our integrated retail channel, which includes our retail stores, concession-based shop-within-shops, and digit</w:t>
      </w:r>
      <w:r>
        <w:rPr>
          <w:rFonts w:eastAsia="Times New Roman"/>
          <w:color w:val="000000"/>
          <w:sz w:val="20"/>
          <w:szCs w:val="20"/>
        </w:rPr>
        <w:t xml:space="preserve">al commerce operations around the world. Our wholesale sales are made principally to major department stores, specialty stores, and third-party digital partners around the world, as well as to certain third-party-owned stores to which we have licensed the </w:t>
      </w:r>
      <w:r>
        <w:rPr>
          <w:rFonts w:eastAsia="Times New Roman"/>
          <w:color w:val="000000"/>
          <w:sz w:val="20"/>
          <w:szCs w:val="20"/>
        </w:rPr>
        <w:t>right to operate in defined geographic territories using our trademarks. In addition, we license to third parties for specified periods the right to access our various trademarks in connection with the licensees' manufacture and sale of designated products</w:t>
      </w:r>
      <w:r>
        <w:rPr>
          <w:rFonts w:eastAsia="Times New Roman"/>
          <w:color w:val="000000"/>
          <w:sz w:val="20"/>
          <w:szCs w:val="20"/>
        </w:rPr>
        <w:t>, such as certain apparel, eyewear, fragrances, and home furnishings.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364135838"/>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364135838"/>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43</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71" style="width:0;height:1.5pt" o:hralign="center" o:hrstd="t" o:hr="t" fillcolor="#a0a0a0" stroked="f"/>
        </w:pict>
      </w:r>
    </w:p>
    <w:p w:rsidR="00000000" w:rsidRDefault="00BB5C2D">
      <w:pPr>
        <w:divId w:val="14112956"/>
        <w:rPr>
          <w:rFonts w:eastAsia="Times New Roman"/>
        </w:rPr>
      </w:pPr>
    </w:p>
    <w:p w:rsidR="00000000" w:rsidRDefault="00BB5C2D">
      <w:pPr>
        <w:ind w:firstLine="540"/>
        <w:jc w:val="both"/>
        <w:divId w:val="1648393342"/>
        <w:rPr>
          <w:rFonts w:eastAsia="Times New Roman"/>
        </w:rPr>
      </w:pPr>
      <w:r>
        <w:rPr>
          <w:rFonts w:eastAsia="Times New Roman"/>
          <w:color w:val="000000"/>
          <w:sz w:val="20"/>
          <w:szCs w:val="20"/>
        </w:rPr>
        <w:t xml:space="preserve">We organize our business into the following three reportable segments: </w:t>
      </w:r>
    </w:p>
    <w:p w:rsidR="00000000" w:rsidRDefault="00BB5C2D">
      <w:pPr>
        <w:ind w:hanging="360"/>
        <w:jc w:val="both"/>
        <w:divId w:val="407044458"/>
        <w:rPr>
          <w:rFonts w:eastAsia="Times New Roman"/>
        </w:rPr>
      </w:pPr>
      <w:r>
        <w:rPr>
          <w:rFonts w:eastAsia="Times New Roman"/>
          <w:color w:val="000000"/>
          <w:sz w:val="20"/>
          <w:szCs w:val="20"/>
        </w:rPr>
        <w:t>•</w:t>
      </w:r>
      <w:r>
        <w:rPr>
          <w:rFonts w:eastAsia="Times New Roman"/>
          <w:i/>
          <w:iCs/>
          <w:color w:val="000000"/>
          <w:sz w:val="20"/>
          <w:szCs w:val="20"/>
        </w:rPr>
        <w:t xml:space="preserve">North America </w:t>
      </w:r>
      <w:r>
        <w:rPr>
          <w:rFonts w:eastAsia="Times New Roman"/>
          <w:color w:val="000000"/>
          <w:sz w:val="20"/>
          <w:szCs w:val="20"/>
        </w:rPr>
        <w:t>— Our North America segment, representing approximately 48% of our Fiscal 2022 net revenues, primarily consists of sales of our Ral</w:t>
      </w:r>
      <w:r>
        <w:rPr>
          <w:rFonts w:eastAsia="Times New Roman"/>
          <w:color w:val="000000"/>
          <w:sz w:val="20"/>
          <w:szCs w:val="20"/>
        </w:rPr>
        <w:t>ph Lauren branded products made through our retail and wholesale businesses in the U.S. and Canada. In North America, our retail business is primarily comprised of our Ralph Lauren stores, our factory stores, and our digital commerce site, www.RalphLauren.</w:t>
      </w:r>
      <w:r>
        <w:rPr>
          <w:rFonts w:eastAsia="Times New Roman"/>
          <w:color w:val="000000"/>
          <w:sz w:val="20"/>
          <w:szCs w:val="20"/>
        </w:rPr>
        <w:t>com. Our wholesale business in North America is comprised primarily of sales to department stores and, to a lesser extent, specialty stores.</w:t>
      </w:r>
    </w:p>
    <w:p w:rsidR="00000000" w:rsidRDefault="00BB5C2D">
      <w:pPr>
        <w:ind w:hanging="360"/>
        <w:jc w:val="both"/>
        <w:divId w:val="1267619759"/>
        <w:rPr>
          <w:rFonts w:eastAsia="Times New Roman"/>
        </w:rPr>
      </w:pPr>
      <w:r>
        <w:rPr>
          <w:rFonts w:eastAsia="Times New Roman"/>
          <w:i/>
          <w:iCs/>
          <w:color w:val="000000"/>
          <w:sz w:val="20"/>
          <w:szCs w:val="20"/>
        </w:rPr>
        <w:t xml:space="preserve">•Europe </w:t>
      </w:r>
      <w:r>
        <w:rPr>
          <w:rFonts w:eastAsia="Times New Roman"/>
          <w:color w:val="000000"/>
          <w:sz w:val="20"/>
          <w:szCs w:val="20"/>
        </w:rPr>
        <w:t>— Our Europe segment, representing approximately 28% of our Fiscal 2022 net revenues, primarily consists of</w:t>
      </w:r>
      <w:r>
        <w:rPr>
          <w:rFonts w:eastAsia="Times New Roman"/>
          <w:color w:val="000000"/>
          <w:sz w:val="20"/>
          <w:szCs w:val="20"/>
        </w:rPr>
        <w:t xml:space="preserve"> sales of our Ralph Lauren branded products made through our retail and wholesale businesses in Europe and emerging markets. In Europe, our retail business is primarily comprised of our Ralph Lauren stores, our factory stores, our concession-based shop-wit</w:t>
      </w:r>
      <w:r>
        <w:rPr>
          <w:rFonts w:eastAsia="Times New Roman"/>
          <w:color w:val="000000"/>
          <w:sz w:val="20"/>
          <w:szCs w:val="20"/>
        </w:rPr>
        <w:t>hin-shops, and our various digital commerce sites. Our wholesale business in Europe is comprised primarily of a varying mix of sales to both department stores and specialty stores, depending on the country, as well as to various third-party digital partner</w:t>
      </w:r>
      <w:r>
        <w:rPr>
          <w:rFonts w:eastAsia="Times New Roman"/>
          <w:color w:val="000000"/>
          <w:sz w:val="20"/>
          <w:szCs w:val="20"/>
        </w:rPr>
        <w:t>s.</w:t>
      </w:r>
    </w:p>
    <w:p w:rsidR="00000000" w:rsidRDefault="00BB5C2D">
      <w:pPr>
        <w:ind w:hanging="360"/>
        <w:jc w:val="both"/>
        <w:divId w:val="114105870"/>
        <w:rPr>
          <w:rFonts w:eastAsia="Times New Roman"/>
        </w:rPr>
      </w:pPr>
      <w:r>
        <w:rPr>
          <w:rFonts w:eastAsia="Times New Roman"/>
          <w:color w:val="000000"/>
          <w:sz w:val="20"/>
          <w:szCs w:val="20"/>
        </w:rPr>
        <w:t>•</w:t>
      </w:r>
      <w:r>
        <w:rPr>
          <w:rFonts w:eastAsia="Times New Roman"/>
          <w:i/>
          <w:iCs/>
          <w:color w:val="000000"/>
          <w:sz w:val="20"/>
          <w:szCs w:val="20"/>
        </w:rPr>
        <w:t xml:space="preserve">Asia </w:t>
      </w:r>
      <w:r>
        <w:rPr>
          <w:rFonts w:eastAsia="Times New Roman"/>
          <w:color w:val="000000"/>
          <w:sz w:val="20"/>
          <w:szCs w:val="20"/>
        </w:rPr>
        <w:t>— Our Asia segment, representing approximately 21% of our Fiscal 2022 net revenues, primarily consists of sales of our Ralph Lauren branded products made through our retail and wholesale businesses in Asia, Australia, and New Zealand. Our retail b</w:t>
      </w:r>
      <w:r>
        <w:rPr>
          <w:rFonts w:eastAsia="Times New Roman"/>
          <w:color w:val="000000"/>
          <w:sz w:val="20"/>
          <w:szCs w:val="20"/>
        </w:rPr>
        <w:t>usiness in Asia is primarily comprised of our Ralph Lauren stores, our factory stores, our concession-based shop-within-shops, and our various digital commerce sites. In addition, we sell our products online through various third-party digital partner comm</w:t>
      </w:r>
      <w:r>
        <w:rPr>
          <w:rFonts w:eastAsia="Times New Roman"/>
          <w:color w:val="000000"/>
          <w:sz w:val="20"/>
          <w:szCs w:val="20"/>
        </w:rPr>
        <w:t>erce sites. Our wholesale business in Asia is comprised primarily of sales to department stores, with related products distributed through shop-within-shops.</w:t>
      </w:r>
    </w:p>
    <w:p w:rsidR="00000000" w:rsidRDefault="00BB5C2D">
      <w:pPr>
        <w:ind w:firstLine="540"/>
        <w:jc w:val="both"/>
        <w:divId w:val="116073523"/>
        <w:rPr>
          <w:rFonts w:eastAsia="Times New Roman"/>
        </w:rPr>
      </w:pPr>
      <w:r>
        <w:rPr>
          <w:rFonts w:eastAsia="Times New Roman"/>
          <w:color w:val="000000"/>
          <w:sz w:val="20"/>
          <w:szCs w:val="20"/>
        </w:rPr>
        <w:t>No operating segments were aggregated to form our reportable segments. In addition to these report</w:t>
      </w:r>
      <w:r>
        <w:rPr>
          <w:rFonts w:eastAsia="Times New Roman"/>
          <w:color w:val="000000"/>
          <w:sz w:val="20"/>
          <w:szCs w:val="20"/>
        </w:rPr>
        <w:t>able segments, we also have other non-reportable segments, representing approximately 3% of our Fiscal 2022 net revenues, which primarily consist of Ralph Lauren and Chaps branded royalty revenues earned through our global licensing alliances. In addition,</w:t>
      </w:r>
      <w:r>
        <w:rPr>
          <w:rFonts w:eastAsia="Times New Roman"/>
          <w:color w:val="000000"/>
          <w:sz w:val="20"/>
          <w:szCs w:val="20"/>
        </w:rPr>
        <w:t xml:space="preserve"> prior to its disposition at the end of our first quarter of Fiscal 2022, our other non-reportable segments also included sales of Club Monaco branded products made through our retail and wholesale businesses in the U.S., Canada, and Europe, and our licens</w:t>
      </w:r>
      <w:r>
        <w:rPr>
          <w:rFonts w:eastAsia="Times New Roman"/>
          <w:color w:val="000000"/>
          <w:sz w:val="20"/>
          <w:szCs w:val="20"/>
        </w:rPr>
        <w:t xml:space="preserve">ing alliances in Asia. Refer to </w:t>
      </w:r>
      <w:r>
        <w:rPr>
          <w:rFonts w:eastAsia="Times New Roman"/>
          <w:i/>
          <w:iCs/>
          <w:color w:val="000000"/>
          <w:sz w:val="20"/>
          <w:szCs w:val="20"/>
        </w:rPr>
        <w:t>"Recent Developments"</w:t>
      </w:r>
      <w:r>
        <w:rPr>
          <w:rFonts w:eastAsia="Times New Roman"/>
          <w:color w:val="000000"/>
          <w:sz w:val="20"/>
          <w:szCs w:val="20"/>
        </w:rPr>
        <w:t xml:space="preserve"> for additional discussion regarding the disposition of our former Club Monaco business, as well as the recent transition of our Chaps business to a fully licensed business model.</w:t>
      </w:r>
    </w:p>
    <w:p w:rsidR="00000000" w:rsidRDefault="00BB5C2D">
      <w:pPr>
        <w:ind w:firstLine="540"/>
        <w:jc w:val="both"/>
        <w:divId w:val="1498837869"/>
        <w:rPr>
          <w:rFonts w:eastAsia="Times New Roman"/>
        </w:rPr>
      </w:pPr>
      <w:r>
        <w:rPr>
          <w:rFonts w:eastAsia="Times New Roman"/>
          <w:color w:val="000000"/>
          <w:sz w:val="20"/>
          <w:szCs w:val="20"/>
        </w:rPr>
        <w:t>Approximately 51% of ou</w:t>
      </w:r>
      <w:r>
        <w:rPr>
          <w:rFonts w:eastAsia="Times New Roman"/>
          <w:color w:val="000000"/>
          <w:sz w:val="20"/>
          <w:szCs w:val="20"/>
        </w:rPr>
        <w:t>r Fiscal 2022 net revenues were earned outside of the U.S. See Note 20 to the accompanying consolidated financial statements for further discussion of our segment reporting structure.</w:t>
      </w:r>
    </w:p>
    <w:p w:rsidR="00000000" w:rsidRDefault="00BB5C2D">
      <w:pPr>
        <w:ind w:firstLine="540"/>
        <w:jc w:val="both"/>
        <w:divId w:val="965817718"/>
        <w:rPr>
          <w:rFonts w:eastAsia="Times New Roman"/>
        </w:rPr>
      </w:pPr>
      <w:r>
        <w:rPr>
          <w:rFonts w:eastAsia="Times New Roman"/>
          <w:color w:val="000000"/>
          <w:sz w:val="20"/>
          <w:szCs w:val="20"/>
        </w:rPr>
        <w:t>Our business is typically affected by seasonal trends, with higher level</w:t>
      </w:r>
      <w:r>
        <w:rPr>
          <w:rFonts w:eastAsia="Times New Roman"/>
          <w:color w:val="000000"/>
          <w:sz w:val="20"/>
          <w:szCs w:val="20"/>
        </w:rPr>
        <w:t xml:space="preserve">s of retail sales in our second and third fiscal quarters and higher wholesale sales in our second and fourth fiscal quarters. These trends result primarily from the timing of key vacation travel, back-to-school, and holiday shopping periods impacting our </w:t>
      </w:r>
      <w:r>
        <w:rPr>
          <w:rFonts w:eastAsia="Times New Roman"/>
          <w:color w:val="000000"/>
          <w:sz w:val="20"/>
          <w:szCs w:val="20"/>
        </w:rPr>
        <w:t>retail business and timing of seasonal wholesale shipments. As a result of changes in our business, consumer spending patterns, and the macroeconomic environment, including those resulting from pandemic diseases and other catastrophic events, historical qu</w:t>
      </w:r>
      <w:r>
        <w:rPr>
          <w:rFonts w:eastAsia="Times New Roman"/>
          <w:color w:val="000000"/>
          <w:sz w:val="20"/>
          <w:szCs w:val="20"/>
        </w:rPr>
        <w:t>arterly operating trends and working capital requirements may not be indicative of our future performance. In addition, fluctuations in sales, operating income (loss), and cash flows in any fiscal quarter may be affected by other events affecting retail sa</w:t>
      </w:r>
      <w:r>
        <w:rPr>
          <w:rFonts w:eastAsia="Times New Roman"/>
          <w:color w:val="000000"/>
          <w:sz w:val="20"/>
          <w:szCs w:val="20"/>
        </w:rPr>
        <w:t>les, such as changes in weather patterns.</w:t>
      </w:r>
    </w:p>
    <w:p w:rsidR="00000000" w:rsidRDefault="00BB5C2D">
      <w:pPr>
        <w:ind w:firstLine="360"/>
        <w:jc w:val="both"/>
        <w:divId w:val="168254801"/>
        <w:rPr>
          <w:rFonts w:eastAsia="Times New Roman"/>
        </w:rPr>
      </w:pPr>
      <w:r>
        <w:rPr>
          <w:rFonts w:eastAsia="Times New Roman"/>
          <w:b/>
          <w:bCs/>
          <w:i/>
          <w:iCs/>
          <w:color w:val="000000"/>
          <w:sz w:val="20"/>
          <w:szCs w:val="20"/>
        </w:rPr>
        <w:t>Recent Developments</w:t>
      </w:r>
    </w:p>
    <w:p w:rsidR="00000000" w:rsidRDefault="00BB5C2D">
      <w:pPr>
        <w:ind w:firstLine="360"/>
        <w:jc w:val="both"/>
        <w:divId w:val="207423273"/>
        <w:rPr>
          <w:rFonts w:eastAsia="Times New Roman"/>
        </w:rPr>
      </w:pPr>
      <w:r>
        <w:rPr>
          <w:rFonts w:eastAsia="Times New Roman"/>
          <w:i/>
          <w:iCs/>
          <w:color w:val="000000"/>
          <w:sz w:val="20"/>
          <w:szCs w:val="20"/>
        </w:rPr>
        <w:t>COVID-19 Pandemic</w:t>
      </w:r>
    </w:p>
    <w:p w:rsidR="00000000" w:rsidRDefault="00BB5C2D">
      <w:pPr>
        <w:ind w:firstLine="540"/>
        <w:jc w:val="both"/>
        <w:divId w:val="976446707"/>
        <w:rPr>
          <w:rFonts w:eastAsia="Times New Roman"/>
        </w:rPr>
      </w:pPr>
      <w:r>
        <w:rPr>
          <w:rFonts w:eastAsia="Times New Roman"/>
          <w:color w:val="000000"/>
          <w:sz w:val="20"/>
          <w:szCs w:val="20"/>
        </w:rPr>
        <w:t>Beginning in the fourth quarter of our Fiscal 2020, a novel strain of coronavirus commonly referred to as COVID-19 emerged and spread rapidly across the globe, including throughout all major geographies in which we operate, resulting in adverse economic co</w:t>
      </w:r>
      <w:r>
        <w:rPr>
          <w:rFonts w:eastAsia="Times New Roman"/>
          <w:color w:val="000000"/>
          <w:sz w:val="20"/>
          <w:szCs w:val="20"/>
        </w:rPr>
        <w:t>nditions and business disruptions, as well as significant volatility in global financial markets. Since then, governments worldwide have periodically imposed varying degrees of preventative and protective actions, such as temporary travel bans, forced busi</w:t>
      </w:r>
      <w:r>
        <w:rPr>
          <w:rFonts w:eastAsia="Times New Roman"/>
          <w:color w:val="000000"/>
          <w:sz w:val="20"/>
          <w:szCs w:val="20"/>
        </w:rPr>
        <w:t>ness closures, and stay-at-home orders, all in an effort to reduce the spread of the virus. Such factors, among others, have resulted in a significant decline in retail traffic, tourism, and consumer spending on discretionary items. Additionally, companies</w:t>
      </w:r>
      <w:r>
        <w:rPr>
          <w:rFonts w:eastAsia="Times New Roman"/>
          <w:color w:val="000000"/>
          <w:sz w:val="20"/>
          <w:szCs w:val="20"/>
        </w:rPr>
        <w:t xml:space="preserve"> across a wide array of industries have implemented various initiatives to reduce operating expenses and preserve cash balances during the pandemic, including work furloughs, reduced pay, and severance actions, which could lower consumers' disposable incom</w:t>
      </w:r>
      <w:r>
        <w:rPr>
          <w:rFonts w:eastAsia="Times New Roman"/>
          <w:color w:val="000000"/>
          <w:sz w:val="20"/>
          <w:szCs w:val="20"/>
        </w:rPr>
        <w:t>e levels or willingness to purchase discretionary items. Such government restrictions, company initiatives, and other macroeconomic impacts resulting from the pandemic could continue to adversely affect consumer behavior, spending levels, and/or shopping p</w:t>
      </w:r>
      <w:r>
        <w:rPr>
          <w:rFonts w:eastAsia="Times New Roman"/>
          <w:color w:val="000000"/>
          <w:sz w:val="20"/>
          <w:szCs w:val="20"/>
        </w:rPr>
        <w:t>references, such as willingness to congregate in indoor shopping centers or other populated locations.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23486925"/>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23486925"/>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44</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72" style="width:0;height:1.5pt" o:hralign="center" o:hrstd="t" o:hr="t" fillcolor="#a0a0a0" stroked="f"/>
        </w:pict>
      </w:r>
    </w:p>
    <w:p w:rsidR="00000000" w:rsidRDefault="00BB5C2D">
      <w:pPr>
        <w:divId w:val="683553783"/>
        <w:rPr>
          <w:rFonts w:eastAsia="Times New Roman"/>
        </w:rPr>
      </w:pPr>
    </w:p>
    <w:p w:rsidR="00000000" w:rsidRDefault="00BB5C2D">
      <w:pPr>
        <w:ind w:firstLine="540"/>
        <w:jc w:val="both"/>
        <w:divId w:val="120658574"/>
        <w:rPr>
          <w:rFonts w:eastAsia="Times New Roman"/>
        </w:rPr>
      </w:pPr>
      <w:r>
        <w:rPr>
          <w:rFonts w:eastAsia="Times New Roman"/>
          <w:color w:val="000000"/>
          <w:sz w:val="20"/>
          <w:szCs w:val="20"/>
        </w:rPr>
        <w:t>As a result of the COVID-19 pandemic, we have experienced varying degrees of business disruptions and periods of closure of our stores, distribution centers, and corporate facilities, as have our wholesale customers, l</w:t>
      </w:r>
      <w:r>
        <w:rPr>
          <w:rFonts w:eastAsia="Times New Roman"/>
          <w:color w:val="000000"/>
          <w:sz w:val="20"/>
          <w:szCs w:val="20"/>
        </w:rPr>
        <w:t>icensing partners, suppliers, and vendors. During the first quarter of Fiscal 2021 at the peak of the pandemic, the majority of our stores in key markets were closed for an average of 8 to 10 weeks due to government-mandated lockdowns and other restriction</w:t>
      </w:r>
      <w:r>
        <w:rPr>
          <w:rFonts w:eastAsia="Times New Roman"/>
          <w:color w:val="000000"/>
          <w:sz w:val="20"/>
          <w:szCs w:val="20"/>
        </w:rPr>
        <w:t>s, resulting in significant adverse impacts to our operating results. Resurgences and outbreaks in certain parts of the world resulted in further business disruptions periodically throughout Fiscal 2021, most notably in Europe where a significant number of</w:t>
      </w:r>
      <w:r>
        <w:rPr>
          <w:rFonts w:eastAsia="Times New Roman"/>
          <w:color w:val="000000"/>
          <w:sz w:val="20"/>
          <w:szCs w:val="20"/>
        </w:rPr>
        <w:t xml:space="preserve"> our stores were closed for approximately two to three months during the second half of Fiscal 2021, including during the holiday period, due to government-mandated lockdowns and other restrictions. Such disruptions continued throughout Fiscal 2022 in cert</w:t>
      </w:r>
      <w:r>
        <w:rPr>
          <w:rFonts w:eastAsia="Times New Roman"/>
          <w:color w:val="000000"/>
          <w:sz w:val="20"/>
          <w:szCs w:val="20"/>
        </w:rPr>
        <w:t>ain regions, although to a lesser extent than the comparable prior year fiscal period. Further, throughout the course of the pandemic, the majority of our stores that were able to remain open have periodically been subject to limited operating hours and/or</w:t>
      </w:r>
      <w:r>
        <w:rPr>
          <w:rFonts w:eastAsia="Times New Roman"/>
          <w:color w:val="000000"/>
          <w:sz w:val="20"/>
          <w:szCs w:val="20"/>
        </w:rPr>
        <w:t xml:space="preserve"> customer capacity levels in accordance with local health guidelines, with traffic remaining challenged. However, our digital commerce operations have grown significantly from pre-pandemic levels, due in part to our investments and enhanced capabilities, a</w:t>
      </w:r>
      <w:r>
        <w:rPr>
          <w:rFonts w:eastAsia="Times New Roman"/>
          <w:color w:val="000000"/>
          <w:sz w:val="20"/>
          <w:szCs w:val="20"/>
        </w:rPr>
        <w:t>s well as changes in consumer shopping preferences. Our wholesale and licensing businesses have experienced similar impacts, particularly in North America and Europe.</w:t>
      </w:r>
    </w:p>
    <w:p w:rsidR="00000000" w:rsidRDefault="00BB5C2D">
      <w:pPr>
        <w:ind w:firstLine="540"/>
        <w:jc w:val="both"/>
        <w:divId w:val="1535650479"/>
        <w:rPr>
          <w:rFonts w:eastAsia="Times New Roman"/>
        </w:rPr>
      </w:pPr>
      <w:r>
        <w:rPr>
          <w:rFonts w:eastAsia="Times New Roman"/>
          <w:color w:val="000000"/>
          <w:sz w:val="20"/>
          <w:szCs w:val="20"/>
        </w:rPr>
        <w:t xml:space="preserve">The COVID-19 pandemic also continues to adversely impact our distribution, logistic, and </w:t>
      </w:r>
      <w:r>
        <w:rPr>
          <w:rFonts w:eastAsia="Times New Roman"/>
          <w:color w:val="000000"/>
          <w:sz w:val="20"/>
          <w:szCs w:val="20"/>
        </w:rPr>
        <w:t>sourcing partners, including temporary factory closures, labor shortages, vessel, container and other transportation shortages, and port congestion. Such disruptions have reduced the availability of inventory, delayed timing of inventory receipts, and resu</w:t>
      </w:r>
      <w:r>
        <w:rPr>
          <w:rFonts w:eastAsia="Times New Roman"/>
          <w:color w:val="000000"/>
          <w:sz w:val="20"/>
          <w:szCs w:val="20"/>
        </w:rPr>
        <w:t>lted in increased costs for the both the purchase and transportation of such inventory.</w:t>
      </w:r>
    </w:p>
    <w:p w:rsidR="00000000" w:rsidRDefault="00BB5C2D">
      <w:pPr>
        <w:ind w:firstLine="540"/>
        <w:jc w:val="both"/>
        <w:divId w:val="428623788"/>
        <w:rPr>
          <w:rFonts w:eastAsia="Times New Roman"/>
        </w:rPr>
      </w:pPr>
      <w:r>
        <w:rPr>
          <w:rFonts w:eastAsia="Times New Roman"/>
          <w:color w:val="000000"/>
          <w:sz w:val="20"/>
          <w:szCs w:val="20"/>
        </w:rPr>
        <w:t>Throughout the course of the pandemic, our priority has been to ensure the safety and well-being of our employees, customers, and the communities in which we operate ar</w:t>
      </w:r>
      <w:r>
        <w:rPr>
          <w:rFonts w:eastAsia="Times New Roman"/>
          <w:color w:val="000000"/>
          <w:sz w:val="20"/>
          <w:szCs w:val="20"/>
        </w:rPr>
        <w:t>ound the world. We continue to consider the guidance of local governments and global health organizations and have implemented new health and safety protocols in our stores, distribution centers, and corporate facilities. We also took various preemptive ac</w:t>
      </w:r>
      <w:r>
        <w:rPr>
          <w:rFonts w:eastAsia="Times New Roman"/>
          <w:color w:val="000000"/>
          <w:sz w:val="20"/>
          <w:szCs w:val="20"/>
        </w:rPr>
        <w:t>tions in the prior fiscal year to preserve cash and strengthen our liquidity position, as described in the Fiscal 2021 10-K. Such actions included, but were not limited to, issuing $1.250 billion of unsecured senior notes, temporarily suspending our quarte</w:t>
      </w:r>
      <w:r>
        <w:rPr>
          <w:rFonts w:eastAsia="Times New Roman"/>
          <w:color w:val="000000"/>
          <w:sz w:val="20"/>
          <w:szCs w:val="20"/>
        </w:rPr>
        <w:t>rly cash dividend and common stock repurchase programs, temporarily reducing the base compensation of our executives and senior management team, and temporarily furloughing or reducing work hours for a significant portion of our employees.</w:t>
      </w:r>
    </w:p>
    <w:p w:rsidR="00000000" w:rsidRDefault="00BB5C2D">
      <w:pPr>
        <w:ind w:firstLine="540"/>
        <w:jc w:val="both"/>
        <w:divId w:val="923688834"/>
        <w:rPr>
          <w:rFonts w:eastAsia="Times New Roman"/>
        </w:rPr>
      </w:pPr>
      <w:r>
        <w:rPr>
          <w:rFonts w:eastAsia="Times New Roman"/>
          <w:color w:val="000000"/>
          <w:sz w:val="20"/>
          <w:szCs w:val="20"/>
        </w:rPr>
        <w:t>Despite the intr</w:t>
      </w:r>
      <w:r>
        <w:rPr>
          <w:rFonts w:eastAsia="Times New Roman"/>
          <w:color w:val="000000"/>
          <w:sz w:val="20"/>
          <w:szCs w:val="20"/>
        </w:rPr>
        <w:t>oduction of COVID-19 vaccines and improvements in the global economy as a whole during Fiscal 2022, the pandemic remains volatile and continues to evolve, including the emergence of variants of the virus, such as the Delta and Omicron variants, which has a</w:t>
      </w:r>
      <w:r>
        <w:rPr>
          <w:rFonts w:eastAsia="Times New Roman"/>
          <w:color w:val="000000"/>
          <w:sz w:val="20"/>
          <w:szCs w:val="20"/>
        </w:rPr>
        <w:t>nd could continue to adversely affect consumer sentiment and confidence. Accordingly, we cannot predict for how long and to what extent the pandemic will continue to impact our business operations or the overall global economy. We will continue to assess o</w:t>
      </w:r>
      <w:r>
        <w:rPr>
          <w:rFonts w:eastAsia="Times New Roman"/>
          <w:color w:val="000000"/>
          <w:sz w:val="20"/>
          <w:szCs w:val="20"/>
        </w:rPr>
        <w:t>ur operations location-by-location, considering the guidance of local governments and global health organizations. See Item 1A — "</w:t>
      </w:r>
      <w:r>
        <w:rPr>
          <w:rFonts w:eastAsia="Times New Roman"/>
          <w:i/>
          <w:iCs/>
          <w:color w:val="000000"/>
          <w:sz w:val="20"/>
          <w:szCs w:val="20"/>
        </w:rPr>
        <w:t>Risk Factors </w:t>
      </w:r>
      <w:r>
        <w:rPr>
          <w:rFonts w:eastAsia="Times New Roman"/>
          <w:color w:val="000000"/>
          <w:sz w:val="20"/>
          <w:szCs w:val="20"/>
        </w:rPr>
        <w:t xml:space="preserve">— </w:t>
      </w:r>
      <w:r>
        <w:rPr>
          <w:rFonts w:eastAsia="Times New Roman"/>
          <w:i/>
          <w:iCs/>
          <w:color w:val="000000"/>
          <w:sz w:val="20"/>
          <w:szCs w:val="20"/>
        </w:rPr>
        <w:t xml:space="preserve">Risks Related to Macroeconomic Conditions </w:t>
      </w:r>
      <w:r>
        <w:rPr>
          <w:rFonts w:eastAsia="Times New Roman"/>
          <w:color w:val="000000"/>
          <w:sz w:val="20"/>
          <w:szCs w:val="20"/>
        </w:rPr>
        <w:t>—</w:t>
      </w:r>
      <w:r>
        <w:rPr>
          <w:rFonts w:eastAsia="Times New Roman"/>
          <w:i/>
          <w:iCs/>
          <w:color w:val="000000"/>
          <w:sz w:val="20"/>
          <w:szCs w:val="20"/>
        </w:rPr>
        <w:t xml:space="preserve"> Infectious disease outbreaks, such as the COVID-19 pandemic, could </w:t>
      </w:r>
      <w:r>
        <w:rPr>
          <w:rFonts w:eastAsia="Times New Roman"/>
          <w:i/>
          <w:iCs/>
          <w:color w:val="000000"/>
          <w:sz w:val="20"/>
          <w:szCs w:val="20"/>
        </w:rPr>
        <w:t>have a material adverse effect on our business</w:t>
      </w:r>
      <w:r>
        <w:rPr>
          <w:rFonts w:eastAsia="Times New Roman"/>
          <w:color w:val="000000"/>
          <w:sz w:val="20"/>
          <w:szCs w:val="20"/>
        </w:rPr>
        <w:t>"</w:t>
      </w:r>
      <w:r>
        <w:rPr>
          <w:rFonts w:eastAsia="Times New Roman"/>
          <w:i/>
          <w:iCs/>
          <w:color w:val="000000"/>
          <w:sz w:val="20"/>
          <w:szCs w:val="20"/>
        </w:rPr>
        <w:t xml:space="preserve"> </w:t>
      </w:r>
      <w:r>
        <w:rPr>
          <w:rFonts w:eastAsia="Times New Roman"/>
          <w:color w:val="000000"/>
          <w:sz w:val="20"/>
          <w:szCs w:val="20"/>
        </w:rPr>
        <w:t>for additional discussion regarding risks to our business associated with the COVID-19 pandemic.</w:t>
      </w:r>
    </w:p>
    <w:p w:rsidR="00000000" w:rsidRDefault="00BB5C2D">
      <w:pPr>
        <w:ind w:firstLine="360"/>
        <w:jc w:val="both"/>
        <w:divId w:val="476341222"/>
        <w:rPr>
          <w:rFonts w:eastAsia="Times New Roman"/>
        </w:rPr>
      </w:pPr>
      <w:r>
        <w:rPr>
          <w:rFonts w:eastAsia="Times New Roman"/>
          <w:i/>
          <w:iCs/>
          <w:color w:val="000000"/>
          <w:sz w:val="20"/>
          <w:szCs w:val="20"/>
        </w:rPr>
        <w:t>Fiscal 2021 Strategic Realignment Plan</w:t>
      </w:r>
    </w:p>
    <w:p w:rsidR="00000000" w:rsidRDefault="00BB5C2D">
      <w:pPr>
        <w:ind w:firstLine="540"/>
        <w:jc w:val="both"/>
        <w:divId w:val="181405248"/>
        <w:rPr>
          <w:rFonts w:eastAsia="Times New Roman"/>
        </w:rPr>
      </w:pPr>
      <w:r>
        <w:rPr>
          <w:rFonts w:eastAsia="Times New Roman"/>
          <w:color w:val="000000"/>
          <w:sz w:val="20"/>
          <w:szCs w:val="20"/>
        </w:rPr>
        <w:t>We have undertaken efforts to realign our resources to support future gr</w:t>
      </w:r>
      <w:r>
        <w:rPr>
          <w:rFonts w:eastAsia="Times New Roman"/>
          <w:color w:val="000000"/>
          <w:sz w:val="20"/>
          <w:szCs w:val="20"/>
        </w:rPr>
        <w:t>owth and profitability, and to create a sustainable, enhanced cost structure. The key initiatives underlying these efforts involve evaluation of our: (i) team organizational structures and ways of working; (ii) real estate footprint and related costs acros</w:t>
      </w:r>
      <w:r>
        <w:rPr>
          <w:rFonts w:eastAsia="Times New Roman"/>
          <w:color w:val="000000"/>
          <w:sz w:val="20"/>
          <w:szCs w:val="20"/>
        </w:rPr>
        <w:t xml:space="preserve">s our corporate offices, distribution centers, and direct-to-consumer retail and wholesale doors; and (iii) brand portfolio. </w:t>
      </w:r>
    </w:p>
    <w:p w:rsidR="00000000" w:rsidRDefault="00BB5C2D">
      <w:pPr>
        <w:ind w:firstLine="540"/>
        <w:jc w:val="both"/>
        <w:divId w:val="1098865882"/>
        <w:rPr>
          <w:rFonts w:eastAsia="Times New Roman"/>
        </w:rPr>
      </w:pPr>
      <w:r>
        <w:rPr>
          <w:rFonts w:eastAsia="Times New Roman"/>
          <w:color w:val="000000"/>
          <w:sz w:val="20"/>
          <w:szCs w:val="20"/>
        </w:rPr>
        <w:t>In connection with the first initiative, on September 17, 2020, our Board of Directors approved a restructuring plan (the "Fiscal 2021 Strategic Realignment Plan") to reduce our global workforce. Additionally, during a preliminary review of our store portf</w:t>
      </w:r>
      <w:r>
        <w:rPr>
          <w:rFonts w:eastAsia="Times New Roman"/>
          <w:color w:val="000000"/>
          <w:sz w:val="20"/>
          <w:szCs w:val="20"/>
        </w:rPr>
        <w:t xml:space="preserve">olio during the second quarter of Fiscal 2021, we made the decision to close our Polo store on Regent Street in London. </w:t>
      </w:r>
    </w:p>
    <w:p w:rsidR="00000000" w:rsidRDefault="00BB5C2D">
      <w:pPr>
        <w:ind w:firstLine="540"/>
        <w:jc w:val="both"/>
        <w:divId w:val="1179079309"/>
        <w:rPr>
          <w:rFonts w:eastAsia="Times New Roman"/>
        </w:rPr>
      </w:pPr>
      <w:r>
        <w:rPr>
          <w:rFonts w:eastAsia="Times New Roman"/>
          <w:color w:val="000000"/>
          <w:sz w:val="20"/>
          <w:szCs w:val="20"/>
        </w:rPr>
        <w:t>Shortly thereafter, on October 29, 2020, we announced the planned transition of our Chaps brand to a fully licensed business model, con</w:t>
      </w:r>
      <w:r>
        <w:rPr>
          <w:rFonts w:eastAsia="Times New Roman"/>
          <w:color w:val="000000"/>
          <w:sz w:val="20"/>
          <w:szCs w:val="20"/>
        </w:rPr>
        <w:t xml:space="preserve">sistent with our long-term brand elevation strategy and in connection with our third initiative. Specifically, we have entered into a multi-year licensing partnership, which took effect on August 1, 2021 following a transition period, with an affiliate of </w:t>
      </w:r>
      <w:r>
        <w:rPr>
          <w:rFonts w:eastAsia="Times New Roman"/>
          <w:color w:val="000000"/>
          <w:sz w:val="20"/>
          <w:szCs w:val="20"/>
        </w:rPr>
        <w:t>5 Star Apparel LLC, a division of the OVED Group, to manufacture, market, and distribute Chaps menswear and womenswear. The products are being sold at existing channels of distribution with opportunities for expansion into additional channels and markets g</w:t>
      </w:r>
      <w:r>
        <w:rPr>
          <w:rFonts w:eastAsia="Times New Roman"/>
          <w:color w:val="000000"/>
          <w:sz w:val="20"/>
          <w:szCs w:val="20"/>
        </w:rPr>
        <w:t>lobally. This agreement created incremental value for the Company by enabling an even greater focus on elevating our core brands in the marketplace, reducing our direct exposure to the North America department store channel, and setting up Chaps to deliver</w:t>
      </w:r>
      <w:r>
        <w:rPr>
          <w:rFonts w:eastAsia="Times New Roman"/>
          <w:color w:val="000000"/>
          <w:sz w:val="20"/>
          <w:szCs w:val="20"/>
        </w:rPr>
        <w:t xml:space="preserve"> on its potential with an experienced partner that is focused on nurturing the brand.</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996033427"/>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996033427"/>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45</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73" style="width:0;height:1.5pt" o:hralign="center" o:hrstd="t" o:hr="t" fillcolor="#a0a0a0" stroked="f"/>
        </w:pict>
      </w:r>
    </w:p>
    <w:p w:rsidR="00000000" w:rsidRDefault="00BB5C2D">
      <w:pPr>
        <w:divId w:val="744491731"/>
        <w:rPr>
          <w:rFonts w:eastAsia="Times New Roman"/>
        </w:rPr>
      </w:pPr>
    </w:p>
    <w:p w:rsidR="00000000" w:rsidRDefault="00BB5C2D">
      <w:pPr>
        <w:ind w:firstLine="540"/>
        <w:jc w:val="both"/>
        <w:divId w:val="2030639818"/>
        <w:rPr>
          <w:rFonts w:eastAsia="Times New Roman"/>
        </w:rPr>
      </w:pPr>
      <w:r>
        <w:rPr>
          <w:rFonts w:eastAsia="Times New Roman"/>
          <w:color w:val="000000"/>
          <w:sz w:val="20"/>
          <w:szCs w:val="20"/>
        </w:rPr>
        <w:t>Later, on February 3, 2021, our Board of Directors approved additional actions related to our real estate initiative. Specifically, we are in the process of further rightsizing and consolidating our global corporate of</w:t>
      </w:r>
      <w:r>
        <w:rPr>
          <w:rFonts w:eastAsia="Times New Roman"/>
          <w:color w:val="000000"/>
          <w:sz w:val="20"/>
          <w:szCs w:val="20"/>
        </w:rPr>
        <w:t>fices to better align with our organizational profile and new ways of working. We also have closed, and may continue to close, certain of our stores to improve overall profitability. Additionally, we further consolidated our North America distribution cent</w:t>
      </w:r>
      <w:r>
        <w:rPr>
          <w:rFonts w:eastAsia="Times New Roman"/>
          <w:color w:val="000000"/>
          <w:sz w:val="20"/>
          <w:szCs w:val="20"/>
        </w:rPr>
        <w:t>ers in order to drive greater efficiencies, improve sustainability, and deliver a better consumer experience.</w:t>
      </w:r>
    </w:p>
    <w:p w:rsidR="00000000" w:rsidRDefault="00BB5C2D">
      <w:pPr>
        <w:ind w:firstLine="540"/>
        <w:jc w:val="both"/>
        <w:divId w:val="1232934251"/>
        <w:rPr>
          <w:rFonts w:eastAsia="Times New Roman"/>
        </w:rPr>
      </w:pPr>
      <w:r>
        <w:rPr>
          <w:rFonts w:eastAsia="Times New Roman"/>
          <w:color w:val="000000"/>
          <w:sz w:val="20"/>
          <w:szCs w:val="20"/>
        </w:rPr>
        <w:t xml:space="preserve">Finally, on June 26, 2021, in connection with our brand portfolio initiative, we sold our former Club Monaco business to Regent, L.P. ("Regent"), </w:t>
      </w:r>
      <w:r>
        <w:rPr>
          <w:rFonts w:eastAsia="Times New Roman"/>
          <w:color w:val="000000"/>
          <w:sz w:val="20"/>
          <w:szCs w:val="20"/>
        </w:rPr>
        <w:t>a global private equity firm, with no resulting gain or loss on sale realized during the first quarter of Fiscal 2022. Regent acquired Club Monaco's assets and liabilities in exchange for potential future cash consideration payable to us, including earn-ou</w:t>
      </w:r>
      <w:r>
        <w:rPr>
          <w:rFonts w:eastAsia="Times New Roman"/>
          <w:color w:val="000000"/>
          <w:sz w:val="20"/>
          <w:szCs w:val="20"/>
        </w:rPr>
        <w:t>t payments based on Club Monaco meeting certain defined revenue thresholds over a five-year period. Accordingly, we may realize amounts in the future related to the receipt of such contingent consideration. Additionally, in connection with this divestiture</w:t>
      </w:r>
      <w:r>
        <w:rPr>
          <w:rFonts w:eastAsia="Times New Roman"/>
          <w:color w:val="000000"/>
          <w:sz w:val="20"/>
          <w:szCs w:val="20"/>
        </w:rPr>
        <w:t xml:space="preserve">, we are providing Regent with certain operational support for a transitional period of approximately 1 year, varying by functional area. </w:t>
      </w:r>
    </w:p>
    <w:p w:rsidR="00000000" w:rsidRDefault="00BB5C2D">
      <w:pPr>
        <w:ind w:firstLine="540"/>
        <w:jc w:val="both"/>
        <w:divId w:val="856843723"/>
        <w:rPr>
          <w:rFonts w:eastAsia="Times New Roman"/>
        </w:rPr>
      </w:pPr>
      <w:r>
        <w:rPr>
          <w:rFonts w:eastAsia="Times New Roman"/>
          <w:color w:val="000000"/>
          <w:sz w:val="20"/>
          <w:szCs w:val="20"/>
        </w:rPr>
        <w:t xml:space="preserve">In connection with the Fiscal 2021 Strategic Realignment Plan, we have recorded cumulative pre-tax charges of $262.1 </w:t>
      </w:r>
      <w:r>
        <w:rPr>
          <w:rFonts w:eastAsia="Times New Roman"/>
          <w:color w:val="000000"/>
          <w:sz w:val="20"/>
          <w:szCs w:val="20"/>
        </w:rPr>
        <w:t>million, of which $25.3 million and $236.8 million were recorded during Fiscal 2022 and Fiscal 2021, respectively. Actions associated with the Fiscal 2021 Strategic Realignment Plan were substantially completed by the end of Fiscal 2022, with certain remai</w:t>
      </w:r>
      <w:r>
        <w:rPr>
          <w:rFonts w:eastAsia="Times New Roman"/>
          <w:color w:val="000000"/>
          <w:sz w:val="20"/>
          <w:szCs w:val="20"/>
        </w:rPr>
        <w:t xml:space="preserve">ning actions expected to be completed during Fiscal 2023. We now expect total charges of up to $300 million to be incurred in connection with this plan, consisting of cash-related charges of approximately $180 million and non-cash charges of approximately </w:t>
      </w:r>
      <w:r>
        <w:rPr>
          <w:rFonts w:eastAsia="Times New Roman"/>
          <w:color w:val="000000"/>
          <w:sz w:val="20"/>
          <w:szCs w:val="20"/>
        </w:rPr>
        <w:t>$120 million. Actions associated with this plan are expected to result in gross annualized pre-tax expense savings of approximately $200 million, a portion of which is being reinvested back into the business.</w:t>
      </w:r>
    </w:p>
    <w:p w:rsidR="00000000" w:rsidRDefault="00BB5C2D">
      <w:pPr>
        <w:ind w:firstLine="540"/>
        <w:jc w:val="both"/>
        <w:divId w:val="1185439185"/>
        <w:rPr>
          <w:rFonts w:eastAsia="Times New Roman"/>
        </w:rPr>
      </w:pPr>
      <w:r>
        <w:rPr>
          <w:rFonts w:eastAsia="Times New Roman"/>
          <w:color w:val="000000"/>
          <w:sz w:val="20"/>
          <w:szCs w:val="20"/>
        </w:rPr>
        <w:t>See Note 9 to our accompanying consolidated fin</w:t>
      </w:r>
      <w:r>
        <w:rPr>
          <w:rFonts w:eastAsia="Times New Roman"/>
          <w:color w:val="000000"/>
          <w:sz w:val="20"/>
          <w:szCs w:val="20"/>
        </w:rPr>
        <w:t xml:space="preserve">ancial statements for additional discussion regarding charges recorded in connection with the Fiscal 2021 Strategic Restructuring Plan. </w:t>
      </w:r>
    </w:p>
    <w:p w:rsidR="00000000" w:rsidRDefault="00BB5C2D">
      <w:pPr>
        <w:ind w:firstLine="360"/>
        <w:jc w:val="both"/>
        <w:divId w:val="1316758836"/>
        <w:rPr>
          <w:rFonts w:eastAsia="Times New Roman"/>
        </w:rPr>
      </w:pPr>
      <w:r>
        <w:rPr>
          <w:rFonts w:eastAsia="Times New Roman"/>
          <w:i/>
          <w:iCs/>
          <w:color w:val="000000"/>
          <w:sz w:val="20"/>
          <w:szCs w:val="20"/>
        </w:rPr>
        <w:t>Swiss Tax Reform</w:t>
      </w:r>
    </w:p>
    <w:p w:rsidR="00000000" w:rsidRDefault="00BB5C2D">
      <w:pPr>
        <w:ind w:firstLine="540"/>
        <w:jc w:val="both"/>
        <w:divId w:val="1181121921"/>
        <w:rPr>
          <w:rFonts w:eastAsia="Times New Roman"/>
        </w:rPr>
      </w:pPr>
      <w:r>
        <w:rPr>
          <w:rFonts w:eastAsia="Times New Roman"/>
          <w:color w:val="000000"/>
          <w:sz w:val="20"/>
          <w:szCs w:val="20"/>
        </w:rPr>
        <w:t>In May 2019, a public referendum was held in Switzerland that approved the Federal Act on Tax Reform a</w:t>
      </w:r>
      <w:r>
        <w:rPr>
          <w:rFonts w:eastAsia="Times New Roman"/>
          <w:color w:val="000000"/>
          <w:sz w:val="20"/>
          <w:szCs w:val="20"/>
        </w:rPr>
        <w:t>nd AHV Financing (the "Swiss Tax Act"), which became effective January 1, 2020. The Swiss Tax Act eliminates certain preferential tax items at both the federal and cantonal levels for multinational companies and provides the cantons with parameters for est</w:t>
      </w:r>
      <w:r>
        <w:rPr>
          <w:rFonts w:eastAsia="Times New Roman"/>
          <w:color w:val="000000"/>
          <w:sz w:val="20"/>
          <w:szCs w:val="20"/>
        </w:rPr>
        <w:t xml:space="preserve">ablishing local tax rates and regulations. The Swiss Tax Act also provides transitional provisions, one of which allows eligible companies to increase the tax basis of certain assets based on the value generated by their business in previous years, and to </w:t>
      </w:r>
      <w:r>
        <w:rPr>
          <w:rFonts w:eastAsia="Times New Roman"/>
          <w:color w:val="000000"/>
          <w:sz w:val="20"/>
          <w:szCs w:val="20"/>
        </w:rPr>
        <w:t xml:space="preserve">amortize such adjustment as a tax deduction over a transitional period. </w:t>
      </w:r>
    </w:p>
    <w:p w:rsidR="00000000" w:rsidRDefault="00BB5C2D">
      <w:pPr>
        <w:ind w:firstLine="540"/>
        <w:jc w:val="both"/>
        <w:divId w:val="1652902307"/>
        <w:rPr>
          <w:rFonts w:eastAsia="Times New Roman"/>
        </w:rPr>
      </w:pPr>
      <w:r>
        <w:rPr>
          <w:rFonts w:eastAsia="Times New Roman"/>
          <w:color w:val="000000"/>
          <w:sz w:val="20"/>
          <w:szCs w:val="20"/>
        </w:rPr>
        <w:t xml:space="preserve">In connection with this transitional provision, we recorded a one-time income tax benefit and corresponding deferred tax asset of $122.9 million during Fiscal 2020, which reduced our </w:t>
      </w:r>
      <w:r>
        <w:rPr>
          <w:rFonts w:eastAsia="Times New Roman"/>
          <w:color w:val="000000"/>
          <w:sz w:val="20"/>
          <w:szCs w:val="20"/>
        </w:rPr>
        <w:t>effective tax rate by 3,760 basis points. Subsequently, during Fiscal 2021, we reduced this one-time tax benefit by $13.8 million due to new legislation enacted in connection with the European Union's anti-tax avoidance directive, which increased our effec</w:t>
      </w:r>
      <w:r>
        <w:rPr>
          <w:rFonts w:eastAsia="Times New Roman"/>
          <w:color w:val="000000"/>
          <w:sz w:val="20"/>
          <w:szCs w:val="20"/>
        </w:rPr>
        <w:t>tive rate by 1,840 basis points.</w:t>
      </w:r>
    </w:p>
    <w:p w:rsidR="00000000" w:rsidRDefault="00BB5C2D">
      <w:pPr>
        <w:ind w:firstLine="540"/>
        <w:jc w:val="both"/>
        <w:divId w:val="492140175"/>
        <w:rPr>
          <w:rFonts w:eastAsia="Times New Roman"/>
        </w:rPr>
      </w:pPr>
      <w:r>
        <w:rPr>
          <w:rFonts w:eastAsia="Times New Roman"/>
          <w:color w:val="000000"/>
          <w:sz w:val="20"/>
          <w:szCs w:val="20"/>
        </w:rPr>
        <w:t>Additionally, during Fiscal 2022, we recorded a charge of $6.4 million within restructuring and other charges, net in the consolidated statements of operations in connection with non-income-related capital taxes resulting f</w:t>
      </w:r>
      <w:r>
        <w:rPr>
          <w:rFonts w:eastAsia="Times New Roman"/>
          <w:color w:val="000000"/>
          <w:sz w:val="20"/>
          <w:szCs w:val="20"/>
        </w:rPr>
        <w:t xml:space="preserve">rom Swiss tax reform. </w:t>
      </w:r>
    </w:p>
    <w:p w:rsidR="00000000" w:rsidRDefault="00BB5C2D">
      <w:pPr>
        <w:ind w:firstLine="540"/>
        <w:jc w:val="both"/>
        <w:divId w:val="2047178382"/>
        <w:rPr>
          <w:rFonts w:eastAsia="Times New Roman"/>
        </w:rPr>
      </w:pPr>
      <w:r>
        <w:rPr>
          <w:rFonts w:eastAsia="Times New Roman"/>
          <w:color w:val="000000"/>
          <w:sz w:val="20"/>
          <w:szCs w:val="20"/>
        </w:rPr>
        <w:t>See Note 10 to the accompanying consolidated financial statements for additional discussion regarding the Swiss Tax Act.</w:t>
      </w:r>
    </w:p>
    <w:p w:rsidR="00000000" w:rsidRDefault="00BB5C2D">
      <w:pPr>
        <w:ind w:firstLine="360"/>
        <w:jc w:val="both"/>
        <w:divId w:val="1117869584"/>
        <w:rPr>
          <w:rFonts w:eastAsia="Times New Roman"/>
        </w:rPr>
      </w:pPr>
      <w:r>
        <w:rPr>
          <w:rFonts w:eastAsia="Times New Roman"/>
          <w:i/>
          <w:iCs/>
          <w:color w:val="000000"/>
          <w:sz w:val="20"/>
          <w:szCs w:val="20"/>
        </w:rPr>
        <w:t>Fiscal 2019 Restructuring Plan</w:t>
      </w:r>
    </w:p>
    <w:p w:rsidR="00000000" w:rsidRDefault="00BB5C2D">
      <w:pPr>
        <w:ind w:firstLine="540"/>
        <w:jc w:val="both"/>
        <w:divId w:val="985353311"/>
        <w:rPr>
          <w:rFonts w:eastAsia="Times New Roman"/>
        </w:rPr>
      </w:pPr>
      <w:r>
        <w:rPr>
          <w:rFonts w:eastAsia="Times New Roman"/>
          <w:color w:val="000000"/>
          <w:sz w:val="20"/>
          <w:szCs w:val="20"/>
        </w:rPr>
        <w:t xml:space="preserve">On June 4, 2018, our Board of Directors approved a restructuring plan associated </w:t>
      </w:r>
      <w:r>
        <w:rPr>
          <w:rFonts w:eastAsia="Times New Roman"/>
          <w:color w:val="000000"/>
          <w:sz w:val="20"/>
          <w:szCs w:val="20"/>
        </w:rPr>
        <w:t>with our strategic objective of operating with discipline to drive sustainable growth (the "Fiscal 2019 Restructuring Plan"). The Fiscal 2019 Restructuring Plan included the following activities: (i) rightsizing and consolidation of our global distribution</w:t>
      </w:r>
      <w:r>
        <w:rPr>
          <w:rFonts w:eastAsia="Times New Roman"/>
          <w:color w:val="000000"/>
          <w:sz w:val="20"/>
          <w:szCs w:val="20"/>
        </w:rPr>
        <w:t xml:space="preserve"> network and corporate offices; (ii) targeted severance-related actions; and (iii) closure of certain of our stores and shop-within-shops. Actions associated with the Fiscal 2019 Restructuring Plan resulted in gross annualized expense savings of approximat</w:t>
      </w:r>
      <w:r>
        <w:rPr>
          <w:rFonts w:eastAsia="Times New Roman"/>
          <w:color w:val="000000"/>
          <w:sz w:val="20"/>
          <w:szCs w:val="20"/>
        </w:rPr>
        <w:t xml:space="preserve">ely $80 million. </w:t>
      </w:r>
    </w:p>
    <w:p w:rsidR="00000000" w:rsidRDefault="00BB5C2D">
      <w:pPr>
        <w:ind w:firstLine="540"/>
        <w:jc w:val="both"/>
        <w:divId w:val="1744909598"/>
        <w:rPr>
          <w:rFonts w:eastAsia="Times New Roman"/>
        </w:rPr>
      </w:pPr>
      <w:r>
        <w:rPr>
          <w:rFonts w:eastAsia="Times New Roman"/>
          <w:color w:val="000000"/>
          <w:sz w:val="20"/>
          <w:szCs w:val="20"/>
        </w:rPr>
        <w:t>In connection with the Fiscal 2019 Restructuring Plan, we have recorded cumulative charges of $145.8 million since its inception, of which $48.5 million was recorded during Fiscal 2020. Actions associated with the Fiscal 2019 Restructurin</w:t>
      </w:r>
      <w:r>
        <w:rPr>
          <w:rFonts w:eastAsia="Times New Roman"/>
          <w:color w:val="000000"/>
          <w:sz w:val="20"/>
          <w:szCs w:val="20"/>
        </w:rPr>
        <w:t>g Plan are complete and no additional charges are expected to be incurred in connection with this plan.</w:t>
      </w:r>
    </w:p>
    <w:p w:rsidR="00000000" w:rsidRDefault="00BB5C2D">
      <w:pPr>
        <w:ind w:firstLine="540"/>
        <w:jc w:val="both"/>
        <w:divId w:val="1359627761"/>
        <w:rPr>
          <w:rFonts w:eastAsia="Times New Roman"/>
        </w:rPr>
      </w:pPr>
      <w:r>
        <w:rPr>
          <w:rFonts w:eastAsia="Times New Roman"/>
          <w:color w:val="000000"/>
          <w:sz w:val="20"/>
          <w:szCs w:val="20"/>
        </w:rPr>
        <w:t>See Note 9 to our accompanying consolidated financial statements for additional discussion regarding charges recorded in connection with the Fiscal 2019</w:t>
      </w:r>
      <w:r>
        <w:rPr>
          <w:rFonts w:eastAsia="Times New Roman"/>
          <w:color w:val="000000"/>
          <w:sz w:val="20"/>
          <w:szCs w:val="20"/>
        </w:rPr>
        <w:t xml:space="preserve"> Restructuring Plan.</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376730984"/>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376730984"/>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46</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74" style="width:0;height:1.5pt" o:hralign="center" o:hrstd="t" o:hr="t" fillcolor="#a0a0a0" stroked="f"/>
        </w:pict>
      </w:r>
    </w:p>
    <w:p w:rsidR="00000000" w:rsidRDefault="00BB5C2D">
      <w:pPr>
        <w:divId w:val="1276405062"/>
        <w:rPr>
          <w:rFonts w:eastAsia="Times New Roman"/>
        </w:rPr>
      </w:pPr>
    </w:p>
    <w:p w:rsidR="00000000" w:rsidRDefault="00BB5C2D">
      <w:pPr>
        <w:ind w:firstLine="360"/>
        <w:jc w:val="both"/>
        <w:divId w:val="824276145"/>
        <w:rPr>
          <w:rFonts w:eastAsia="Times New Roman"/>
        </w:rPr>
      </w:pPr>
      <w:r>
        <w:rPr>
          <w:rFonts w:eastAsia="Times New Roman"/>
          <w:b/>
          <w:bCs/>
          <w:i/>
          <w:iCs/>
          <w:color w:val="000000"/>
          <w:sz w:val="20"/>
          <w:szCs w:val="20"/>
        </w:rPr>
        <w:t>Global Economic Conditions and Industry Trends</w:t>
      </w:r>
    </w:p>
    <w:p w:rsidR="00000000" w:rsidRDefault="00BB5C2D">
      <w:pPr>
        <w:ind w:firstLine="540"/>
        <w:jc w:val="both"/>
        <w:divId w:val="1388332151"/>
        <w:rPr>
          <w:rFonts w:eastAsia="Times New Roman"/>
        </w:rPr>
      </w:pPr>
      <w:r>
        <w:rPr>
          <w:rFonts w:eastAsia="Times New Roman"/>
          <w:color w:val="000000"/>
          <w:sz w:val="20"/>
          <w:szCs w:val="20"/>
        </w:rPr>
        <w:t>The global economy and retail industry are impacted by many different factors. The COVID-19 pandemic has resulted in heightened uncertainty surrounding the future state of</w:t>
      </w:r>
      <w:r>
        <w:rPr>
          <w:rFonts w:eastAsia="Times New Roman"/>
          <w:color w:val="000000"/>
          <w:sz w:val="20"/>
          <w:szCs w:val="20"/>
        </w:rPr>
        <w:t xml:space="preserve"> the global economy, as well as significant volatility in global financial markets. As discussed in "</w:t>
      </w:r>
      <w:r>
        <w:rPr>
          <w:rFonts w:eastAsia="Times New Roman"/>
          <w:i/>
          <w:iCs/>
          <w:color w:val="000000"/>
          <w:sz w:val="20"/>
          <w:szCs w:val="20"/>
        </w:rPr>
        <w:t>Recent Developments,"</w:t>
      </w:r>
      <w:r>
        <w:rPr>
          <w:rFonts w:eastAsia="Times New Roman"/>
          <w:color w:val="000000"/>
          <w:sz w:val="20"/>
          <w:szCs w:val="20"/>
        </w:rPr>
        <w:t xml:space="preserve"> governments worldwide have periodically imposed varying degrees of preventative and protective actions throughout the course of the p</w:t>
      </w:r>
      <w:r>
        <w:rPr>
          <w:rFonts w:eastAsia="Times New Roman"/>
          <w:color w:val="000000"/>
          <w:sz w:val="20"/>
          <w:szCs w:val="20"/>
        </w:rPr>
        <w:t>andemic, such as temporary travel bans, forced business closures, and stay-at-home orders, all in an effort to reduce the spread of the virus. Such actions, together with changes in consumers' willingness to congregate in populated areas and lower levels o</w:t>
      </w:r>
      <w:r>
        <w:rPr>
          <w:rFonts w:eastAsia="Times New Roman"/>
          <w:color w:val="000000"/>
          <w:sz w:val="20"/>
          <w:szCs w:val="20"/>
        </w:rPr>
        <w:t>f disposal income due to higher unemployment rates, have resulted in significant business disruptions across a wide array of industries and an overall decline of the global economy since the outbreak of the pandemic. The COVID-19 pandemic has also signific</w:t>
      </w:r>
      <w:r>
        <w:rPr>
          <w:rFonts w:eastAsia="Times New Roman"/>
          <w:color w:val="000000"/>
          <w:sz w:val="20"/>
          <w:szCs w:val="20"/>
        </w:rPr>
        <w:t>antly disrupted distribution, logistic, and supply chain operations globally, including temporary factory closures, labor shortages, vessel, container and other transportation shortages, and port congestion. Such disruptions have reduced the availability o</w:t>
      </w:r>
      <w:r>
        <w:rPr>
          <w:rFonts w:eastAsia="Times New Roman"/>
          <w:color w:val="000000"/>
          <w:sz w:val="20"/>
          <w:szCs w:val="20"/>
        </w:rPr>
        <w:t>f inventory, delayed timing of inventory receipts, and resulted in increased costs for the both the purchase and transportation of such inventory. Despite the introduction of COVID-19 vaccines and improvements in the global economy as a whole during Fiscal</w:t>
      </w:r>
      <w:r>
        <w:rPr>
          <w:rFonts w:eastAsia="Times New Roman"/>
          <w:color w:val="000000"/>
          <w:sz w:val="20"/>
          <w:szCs w:val="20"/>
        </w:rPr>
        <w:t xml:space="preserve"> 2022, resurgences and outbreaks continue to occur in certain geographic locations, including those resulting from variants of the virus, such as the Delta and Omicron variants. Accordingly, it is not clear at this time how much longer and to what extent t</w:t>
      </w:r>
      <w:r>
        <w:rPr>
          <w:rFonts w:eastAsia="Times New Roman"/>
          <w:color w:val="000000"/>
          <w:sz w:val="20"/>
          <w:szCs w:val="20"/>
        </w:rPr>
        <w:t>he pandemic will last.</w:t>
      </w:r>
    </w:p>
    <w:p w:rsidR="00000000" w:rsidRDefault="00BB5C2D">
      <w:pPr>
        <w:ind w:firstLine="540"/>
        <w:jc w:val="both"/>
        <w:divId w:val="315645544"/>
        <w:rPr>
          <w:rFonts w:eastAsia="Times New Roman"/>
        </w:rPr>
      </w:pPr>
      <w:r>
        <w:rPr>
          <w:rFonts w:eastAsia="Times New Roman"/>
          <w:color w:val="000000"/>
          <w:sz w:val="20"/>
          <w:szCs w:val="20"/>
        </w:rPr>
        <w:t xml:space="preserve">The global economy has also been negatively impacted by the war between Russia and Ukraine. Several countries, including the U.S., have imposed significant economic sanctions against Russia, including export controls and other trade </w:t>
      </w:r>
      <w:r>
        <w:rPr>
          <w:rFonts w:eastAsia="Times New Roman"/>
          <w:color w:val="000000"/>
          <w:sz w:val="20"/>
          <w:szCs w:val="20"/>
        </w:rPr>
        <w:t>restrictions with Russian entities. Various companies have also voluntarily elected to suspend operations in Russia in protest of the conflict. The Russia-Ukraine war has adversely impacted consumer sentiment and confidence, particularly in Eastern Europe.</w:t>
      </w:r>
      <w:r>
        <w:rPr>
          <w:rFonts w:eastAsia="Times New Roman"/>
          <w:color w:val="000000"/>
          <w:sz w:val="20"/>
          <w:szCs w:val="20"/>
        </w:rPr>
        <w:t xml:space="preserve"> It is not clear at this time how long the conflict will endure, or if it will escalate further with additional countries declaring war against each other, which could further compound the adverse impact to the global economy. Certain other worldwide event</w:t>
      </w:r>
      <w:r>
        <w:rPr>
          <w:rFonts w:eastAsia="Times New Roman"/>
          <w:color w:val="000000"/>
          <w:sz w:val="20"/>
          <w:szCs w:val="20"/>
        </w:rPr>
        <w:t>s and factors, such as international trade relations, new legislation and regulations, taxation or monetary policy changes, political and civil unrest, and inflationary pressures, including increases in the cost of raw materials, transportation, wages, hea</w:t>
      </w:r>
      <w:r>
        <w:rPr>
          <w:rFonts w:eastAsia="Times New Roman"/>
          <w:color w:val="000000"/>
          <w:sz w:val="20"/>
          <w:szCs w:val="20"/>
        </w:rPr>
        <w:t xml:space="preserve">lthcare and other benefit-related costs, among other factors, also increase volatility in the global economy. </w:t>
      </w:r>
    </w:p>
    <w:p w:rsidR="00000000" w:rsidRDefault="00BB5C2D">
      <w:pPr>
        <w:ind w:firstLine="540"/>
        <w:jc w:val="both"/>
        <w:divId w:val="1468552325"/>
        <w:rPr>
          <w:rFonts w:eastAsia="Times New Roman"/>
        </w:rPr>
      </w:pPr>
      <w:r>
        <w:rPr>
          <w:rFonts w:eastAsia="Times New Roman"/>
          <w:color w:val="000000"/>
          <w:sz w:val="20"/>
          <w:szCs w:val="20"/>
        </w:rPr>
        <w:t>The retail landscape in which we operate has been significantly disrupted by the COVID-19 pandemic, including periods of temporary closures of st</w:t>
      </w:r>
      <w:r>
        <w:rPr>
          <w:rFonts w:eastAsia="Times New Roman"/>
          <w:color w:val="000000"/>
          <w:sz w:val="20"/>
          <w:szCs w:val="20"/>
        </w:rPr>
        <w:t xml:space="preserve">ores and distribution centers and declines in retail traffic, tourism, and consumer spending on discretionary items. The retail industry, particularly in the U.S., has also experienced numerous bankruptcies, restructurings, and ownership changes in recent </w:t>
      </w:r>
      <w:r>
        <w:rPr>
          <w:rFonts w:eastAsia="Times New Roman"/>
          <w:color w:val="000000"/>
          <w:sz w:val="20"/>
          <w:szCs w:val="20"/>
        </w:rPr>
        <w:t>years. Despite improvements in the global economy during Fiscal 2022, supply chain-related risks continue to exist as manufacturers and transportation providers alike are finding it difficult to meet increased consumer demand. The continuation of these ind</w:t>
      </w:r>
      <w:r>
        <w:rPr>
          <w:rFonts w:eastAsia="Times New Roman"/>
          <w:color w:val="000000"/>
          <w:sz w:val="20"/>
          <w:szCs w:val="20"/>
        </w:rPr>
        <w:t>ustry trends could have a material adverse effect on our business or operating results.</w:t>
      </w:r>
    </w:p>
    <w:p w:rsidR="00000000" w:rsidRDefault="00BB5C2D">
      <w:pPr>
        <w:ind w:firstLine="540"/>
        <w:jc w:val="both"/>
        <w:divId w:val="248320359"/>
        <w:rPr>
          <w:rFonts w:eastAsia="Times New Roman"/>
        </w:rPr>
      </w:pPr>
      <w:r>
        <w:rPr>
          <w:rFonts w:eastAsia="Times New Roman"/>
          <w:color w:val="000000"/>
          <w:sz w:val="20"/>
          <w:szCs w:val="20"/>
        </w:rPr>
        <w:t>We have implemented various strategies globally to help address many of these current challenges and continue to build a foundation for long-term profitable growth cent</w:t>
      </w:r>
      <w:r>
        <w:rPr>
          <w:rFonts w:eastAsia="Times New Roman"/>
          <w:color w:val="000000"/>
          <w:sz w:val="20"/>
          <w:szCs w:val="20"/>
        </w:rPr>
        <w:t>ered around strengthening our consumer-facing areas of product, stores, and marketing across channels and driving a more efficient operating model. In response to the COVID-19 pandemic, during the prior fiscal year we took preemptive actions to preserve ca</w:t>
      </w:r>
      <w:r>
        <w:rPr>
          <w:rFonts w:eastAsia="Times New Roman"/>
          <w:color w:val="000000"/>
          <w:sz w:val="20"/>
          <w:szCs w:val="20"/>
        </w:rPr>
        <w:t>sh and strengthen our liquidity position, which better enabled us to continue to execute upon our long-term growth strategy despite unfavorable economic conditions. Investing in our digital ecosystem remains a primary focus and is a key component of our in</w:t>
      </w:r>
      <w:r>
        <w:rPr>
          <w:rFonts w:eastAsia="Times New Roman"/>
          <w:color w:val="000000"/>
          <w:sz w:val="20"/>
          <w:szCs w:val="20"/>
        </w:rPr>
        <w:t>tegrated global omni-channel strategy and driving consumer engagement, particularly in light of the current COVID-19 pandemic, which has and could continue to reshape consumer shopping preferences. We continue to scale and expand our Connected Retail capab</w:t>
      </w:r>
      <w:r>
        <w:rPr>
          <w:rFonts w:eastAsia="Times New Roman"/>
          <w:color w:val="000000"/>
          <w:sz w:val="20"/>
          <w:szCs w:val="20"/>
        </w:rPr>
        <w:t xml:space="preserve">ilities to enhance the consumer experience, which now include virtual selling appointments, Buy Online-Pick Up in Store, and mobile checkout and contactless payments, among other capabilities. In addition, we recently launched our first-ever, full-catalog </w:t>
      </w:r>
      <w:r>
        <w:rPr>
          <w:rFonts w:eastAsia="Times New Roman"/>
          <w:color w:val="000000"/>
          <w:sz w:val="20"/>
          <w:szCs w:val="20"/>
        </w:rPr>
        <w:t>Ralph Lauren mobile shopping app. We also continue to drive consumer engagement and global brand awareness through our sports sponsorships, which include the Wimbledon, U.S. Open, and Australian Open tennis tournaments, Team U.S.A in the Olympic and Paraly</w:t>
      </w:r>
      <w:r>
        <w:rPr>
          <w:rFonts w:eastAsia="Times New Roman"/>
          <w:color w:val="000000"/>
          <w:sz w:val="20"/>
          <w:szCs w:val="20"/>
        </w:rPr>
        <w:t>mpic Games, and various golf organizations and tournament events, including the Professional Golfers' Association ("PGA") of America, the PGA Championship, the U.S. Golf Association, and the U.S. Ryder Cup Team, as well as through our special product relea</w:t>
      </w:r>
      <w:r>
        <w:rPr>
          <w:rFonts w:eastAsia="Times New Roman"/>
          <w:color w:val="000000"/>
          <w:sz w:val="20"/>
          <w:szCs w:val="20"/>
        </w:rPr>
        <w:t>ses and limited collections. Additionally, we have accelerated our marketing investments, with a focus on supporting new customer acquisition, digitally-amplified brand campaigns, and resumption of in-store programs as markets continue to reopen worldwide.</w:t>
      </w:r>
      <w:r>
        <w:rPr>
          <w:rFonts w:eastAsia="Times New Roman"/>
          <w:color w:val="000000"/>
          <w:sz w:val="20"/>
          <w:szCs w:val="20"/>
        </w:rPr>
        <w:t xml:space="preserve"> We also continue to take deliberate actions to ensure promotional consistency across channels and to enhance the overall brand and shopping experience, including better aligning shipments and inventory levels with underlying demand. We also remain committ</w:t>
      </w:r>
      <w:r>
        <w:rPr>
          <w:rFonts w:eastAsia="Times New Roman"/>
          <w:color w:val="000000"/>
          <w:sz w:val="20"/>
          <w:szCs w:val="20"/>
        </w:rPr>
        <w:t xml:space="preserve">ed to optimizing our wholesale distribution channel and enhancing our department store consumer experience. In connection with our long-term brand elevation strategy, we completed the sale of our former Club Monaco business at the end of the first quarter </w:t>
      </w:r>
      <w:r>
        <w:rPr>
          <w:rFonts w:eastAsia="Times New Roman"/>
          <w:color w:val="000000"/>
          <w:sz w:val="20"/>
          <w:szCs w:val="20"/>
        </w:rPr>
        <w:t xml:space="preserve">of Fiscal 2022 and successfully transitioned our Chaps business to a fully licensed business model during the second quarter of Fiscal 2022 as planned, thereby enabling our teams to focus our resources on our core brands.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2084644003"/>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2084644003"/>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47</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75" style="width:0;height:1.5pt" o:hralign="center" o:hrstd="t" o:hr="t" fillcolor="#a0a0a0" stroked="f"/>
        </w:pict>
      </w:r>
    </w:p>
    <w:p w:rsidR="00000000" w:rsidRDefault="00BB5C2D">
      <w:pPr>
        <w:divId w:val="1716268140"/>
        <w:rPr>
          <w:rFonts w:eastAsia="Times New Roman"/>
        </w:rPr>
      </w:pPr>
    </w:p>
    <w:p w:rsidR="00000000" w:rsidRDefault="00BB5C2D">
      <w:pPr>
        <w:ind w:firstLine="540"/>
        <w:jc w:val="both"/>
        <w:divId w:val="1954941654"/>
        <w:rPr>
          <w:rFonts w:eastAsia="Times New Roman"/>
        </w:rPr>
      </w:pPr>
      <w:r>
        <w:rPr>
          <w:rFonts w:eastAsia="Times New Roman"/>
          <w:color w:val="000000"/>
          <w:sz w:val="20"/>
          <w:szCs w:val="20"/>
        </w:rPr>
        <w:t>We will continue to monitor these conditions and trends and will evaluate and adjust our operating strategies and foreign currency and cost management opportunities to help mitigate the related impacts on our results o</w:t>
      </w:r>
      <w:r>
        <w:rPr>
          <w:rFonts w:eastAsia="Times New Roman"/>
          <w:color w:val="000000"/>
          <w:sz w:val="20"/>
          <w:szCs w:val="20"/>
        </w:rPr>
        <w:t>f operations, while remaining focused on the long-term growth of our business and protecting and elevating the value of our brand.</w:t>
      </w:r>
    </w:p>
    <w:p w:rsidR="00000000" w:rsidRDefault="00BB5C2D">
      <w:pPr>
        <w:ind w:firstLine="540"/>
        <w:jc w:val="both"/>
        <w:divId w:val="745152578"/>
        <w:rPr>
          <w:rFonts w:eastAsia="Times New Roman"/>
        </w:rPr>
      </w:pPr>
      <w:r>
        <w:rPr>
          <w:rFonts w:eastAsia="Times New Roman"/>
          <w:color w:val="000000"/>
          <w:sz w:val="20"/>
          <w:szCs w:val="20"/>
        </w:rPr>
        <w:t>For a detailed discussion of significant risk factors that have the potential to cause our actual results to differ materiall</w:t>
      </w:r>
      <w:r>
        <w:rPr>
          <w:rFonts w:eastAsia="Times New Roman"/>
          <w:color w:val="000000"/>
          <w:sz w:val="20"/>
          <w:szCs w:val="20"/>
        </w:rPr>
        <w:t>y from our expectations, see Part I, Item 1A — "</w:t>
      </w:r>
      <w:r>
        <w:rPr>
          <w:rFonts w:eastAsia="Times New Roman"/>
          <w:i/>
          <w:iCs/>
          <w:color w:val="000000"/>
          <w:sz w:val="20"/>
          <w:szCs w:val="20"/>
        </w:rPr>
        <w:t>Risk Factors</w:t>
      </w:r>
      <w:r>
        <w:rPr>
          <w:rFonts w:eastAsia="Times New Roman"/>
          <w:color w:val="000000"/>
          <w:sz w:val="20"/>
          <w:szCs w:val="20"/>
        </w:rPr>
        <w:t>" included in this Annual Report on Form 10-K.</w:t>
      </w:r>
    </w:p>
    <w:p w:rsidR="00000000" w:rsidRDefault="00BB5C2D">
      <w:pPr>
        <w:ind w:firstLine="360"/>
        <w:jc w:val="both"/>
        <w:divId w:val="106437641"/>
        <w:rPr>
          <w:rFonts w:eastAsia="Times New Roman"/>
        </w:rPr>
      </w:pPr>
      <w:r>
        <w:rPr>
          <w:rFonts w:eastAsia="Times New Roman"/>
          <w:b/>
          <w:bCs/>
          <w:i/>
          <w:iCs/>
          <w:color w:val="000000"/>
          <w:sz w:val="20"/>
          <w:szCs w:val="20"/>
        </w:rPr>
        <w:t>Summary of Financial Performance</w:t>
      </w:r>
    </w:p>
    <w:p w:rsidR="00000000" w:rsidRDefault="00BB5C2D">
      <w:pPr>
        <w:ind w:firstLine="360"/>
        <w:jc w:val="both"/>
        <w:divId w:val="125198291"/>
        <w:rPr>
          <w:rFonts w:eastAsia="Times New Roman"/>
        </w:rPr>
      </w:pPr>
      <w:r>
        <w:rPr>
          <w:rFonts w:eastAsia="Times New Roman"/>
          <w:i/>
          <w:iCs/>
          <w:color w:val="000000"/>
          <w:sz w:val="20"/>
          <w:szCs w:val="20"/>
        </w:rPr>
        <w:t>Operating Results</w:t>
      </w:r>
    </w:p>
    <w:p w:rsidR="00000000" w:rsidRDefault="00BB5C2D">
      <w:pPr>
        <w:ind w:firstLine="540"/>
        <w:jc w:val="both"/>
        <w:divId w:val="925963386"/>
        <w:rPr>
          <w:rFonts w:eastAsia="Times New Roman"/>
        </w:rPr>
      </w:pPr>
      <w:r>
        <w:rPr>
          <w:rFonts w:eastAsia="Times New Roman"/>
          <w:color w:val="000000"/>
          <w:sz w:val="20"/>
          <w:szCs w:val="20"/>
        </w:rPr>
        <w:t xml:space="preserve">In Fiscal 2022, we reported net revenues of $6.219 billion, net income of $600.1 million, and net </w:t>
      </w:r>
      <w:r>
        <w:rPr>
          <w:rFonts w:eastAsia="Times New Roman"/>
          <w:color w:val="000000"/>
          <w:sz w:val="20"/>
          <w:szCs w:val="20"/>
        </w:rPr>
        <w:t xml:space="preserve">income per diluted share of $8.07, as compared to net revenues of $4.401 billion, a net loss of $121.1 million, and net loss per diluted share of $1.65 in Fiscal 2021. The comparability of our operating results has been affected by adverse impacts related </w:t>
      </w:r>
      <w:r>
        <w:rPr>
          <w:rFonts w:eastAsia="Times New Roman"/>
          <w:color w:val="000000"/>
          <w:sz w:val="20"/>
          <w:szCs w:val="20"/>
        </w:rPr>
        <w:t>to COVID-19 business disruptions and net restructuring-related charges, impairment of assets, and certain other benefits (charges), including one-time tax events, as well as the impacts of the disposition of our former Club Monaco business at the end of th</w:t>
      </w:r>
      <w:r>
        <w:rPr>
          <w:rFonts w:eastAsia="Times New Roman"/>
          <w:color w:val="000000"/>
          <w:sz w:val="20"/>
          <w:szCs w:val="20"/>
        </w:rPr>
        <w:t xml:space="preserve">e first quarter of Fiscal 2022, the transition of our Chaps business to a fully licensed business model during the second quarter of Fiscal 2022, and the 53rd week in Fiscal 2022, as discussed further below. </w:t>
      </w:r>
    </w:p>
    <w:p w:rsidR="00000000" w:rsidRDefault="00BB5C2D">
      <w:pPr>
        <w:ind w:firstLine="540"/>
        <w:jc w:val="both"/>
        <w:divId w:val="341666237"/>
        <w:rPr>
          <w:rFonts w:eastAsia="Times New Roman"/>
        </w:rPr>
      </w:pPr>
      <w:r>
        <w:rPr>
          <w:rFonts w:eastAsia="Times New Roman"/>
          <w:color w:val="000000"/>
          <w:sz w:val="20"/>
          <w:szCs w:val="20"/>
        </w:rPr>
        <w:t>Our operating performance for Fiscal 2022 reflected revenue increases of 41.3% on a reported basis and 41.9% on a constant currency basis, as defined within "</w:t>
      </w:r>
      <w:r>
        <w:rPr>
          <w:rFonts w:eastAsia="Times New Roman"/>
          <w:i/>
          <w:iCs/>
          <w:color w:val="000000"/>
          <w:sz w:val="20"/>
          <w:szCs w:val="20"/>
        </w:rPr>
        <w:t>Transactions and Trends Affecting Comparability of Results of Operations and Financial Condition</w:t>
      </w:r>
      <w:r>
        <w:rPr>
          <w:rFonts w:eastAsia="Times New Roman"/>
          <w:color w:val="000000"/>
          <w:sz w:val="20"/>
          <w:szCs w:val="20"/>
        </w:rPr>
        <w:t>"</w:t>
      </w:r>
      <w:r>
        <w:rPr>
          <w:rFonts w:eastAsia="Times New Roman"/>
          <w:i/>
          <w:iCs/>
          <w:color w:val="000000"/>
          <w:sz w:val="20"/>
          <w:szCs w:val="20"/>
        </w:rPr>
        <w:t xml:space="preserve"> </w:t>
      </w:r>
      <w:r>
        <w:rPr>
          <w:rFonts w:eastAsia="Times New Roman"/>
          <w:color w:val="000000"/>
          <w:sz w:val="20"/>
          <w:szCs w:val="20"/>
        </w:rPr>
        <w:t>below. The increase in net revenues reflected growth across all regions largely driven by a reduction in store closures and other COVID-19-related disruptions experienced during the current fiscal year as compared to the prior fiscal year, coupled with con</w:t>
      </w:r>
      <w:r>
        <w:rPr>
          <w:rFonts w:eastAsia="Times New Roman"/>
          <w:color w:val="000000"/>
          <w:sz w:val="20"/>
          <w:szCs w:val="20"/>
        </w:rPr>
        <w:t>tinued growth in our digital commerce operations and overall stronger consumer demand, as well as the benefit of the incremental 53rd week. This growth was partially offset by the disposition of our former Club Monaco business at the end of the first quart</w:t>
      </w:r>
      <w:r>
        <w:rPr>
          <w:rFonts w:eastAsia="Times New Roman"/>
          <w:color w:val="000000"/>
          <w:sz w:val="20"/>
          <w:szCs w:val="20"/>
        </w:rPr>
        <w:t xml:space="preserve">er of Fiscal 2022 and the transition of our Chaps business to a fully licensed business model during the second quarter of Fiscal 2022. </w:t>
      </w:r>
    </w:p>
    <w:p w:rsidR="00000000" w:rsidRDefault="00BB5C2D">
      <w:pPr>
        <w:ind w:firstLine="540"/>
        <w:jc w:val="both"/>
        <w:divId w:val="375475747"/>
        <w:rPr>
          <w:rFonts w:eastAsia="Times New Roman"/>
        </w:rPr>
      </w:pPr>
      <w:r>
        <w:rPr>
          <w:rFonts w:eastAsia="Times New Roman"/>
          <w:color w:val="000000"/>
          <w:sz w:val="20"/>
          <w:szCs w:val="20"/>
        </w:rPr>
        <w:t>Our gross profit as a percentage of net revenues increased by 170 basis points to 66.7% during Fiscal 2022, primarily d</w:t>
      </w:r>
      <w:r>
        <w:rPr>
          <w:rFonts w:eastAsia="Times New Roman"/>
          <w:color w:val="000000"/>
          <w:sz w:val="20"/>
          <w:szCs w:val="20"/>
        </w:rPr>
        <w:t xml:space="preserve">riven by lower non-routine inventory charges recorded during Fiscal 2022 as compared to the prior fiscal year, as well as improved pricing, lower levels of promotional activity, and product mix, partially offset by higher product and freight costs and the </w:t>
      </w:r>
      <w:r>
        <w:rPr>
          <w:rFonts w:eastAsia="Times New Roman"/>
          <w:color w:val="000000"/>
          <w:sz w:val="20"/>
          <w:szCs w:val="20"/>
        </w:rPr>
        <w:t>absence of unusual geographic and channel mix benefits experienced during the prior fiscal year in connection with COVID-19-related business disruptions in North America and Europe.</w:t>
      </w:r>
    </w:p>
    <w:p w:rsidR="00000000" w:rsidRDefault="00BB5C2D">
      <w:pPr>
        <w:ind w:firstLine="540"/>
        <w:jc w:val="both"/>
        <w:divId w:val="595754218"/>
        <w:rPr>
          <w:rFonts w:eastAsia="Times New Roman"/>
        </w:rPr>
      </w:pPr>
      <w:r>
        <w:rPr>
          <w:rFonts w:eastAsia="Times New Roman"/>
          <w:color w:val="000000"/>
          <w:sz w:val="20"/>
          <w:szCs w:val="20"/>
        </w:rPr>
        <w:t xml:space="preserve">Selling, general, and administrative ("SG&amp;A") expenses as a percentage of </w:t>
      </w:r>
      <w:r>
        <w:rPr>
          <w:rFonts w:eastAsia="Times New Roman"/>
          <w:color w:val="000000"/>
          <w:sz w:val="20"/>
          <w:szCs w:val="20"/>
        </w:rPr>
        <w:t xml:space="preserve">net revenues during Fiscal 2022 decreased by 680 basis points to 53.2%, primarily driven by operating leverage on higher net revenues, partially offset by higher expenses across various categories to drive strategic growth, coupled with the return to more </w:t>
      </w:r>
      <w:r>
        <w:rPr>
          <w:rFonts w:eastAsia="Times New Roman"/>
          <w:color w:val="000000"/>
          <w:sz w:val="20"/>
          <w:szCs w:val="20"/>
        </w:rPr>
        <w:t>normalized operations in comparison to the prior fiscal year.</w:t>
      </w:r>
    </w:p>
    <w:p w:rsidR="00000000" w:rsidRDefault="00BB5C2D">
      <w:pPr>
        <w:ind w:firstLine="540"/>
        <w:jc w:val="both"/>
        <w:divId w:val="1032460215"/>
        <w:rPr>
          <w:rFonts w:eastAsia="Times New Roman"/>
        </w:rPr>
      </w:pPr>
      <w:r>
        <w:rPr>
          <w:rFonts w:eastAsia="Times New Roman"/>
          <w:color w:val="000000"/>
          <w:sz w:val="20"/>
          <w:szCs w:val="20"/>
        </w:rPr>
        <w:t>Net income increased by $721.2 million to $600.1 million in Fiscal 2022 as compared to Fiscal 2021, primarily due to an $842.0 million increase in our operating income, partially offset by a $10</w:t>
      </w:r>
      <w:r>
        <w:rPr>
          <w:rFonts w:eastAsia="Times New Roman"/>
          <w:color w:val="000000"/>
          <w:sz w:val="20"/>
          <w:szCs w:val="20"/>
        </w:rPr>
        <w:t xml:space="preserve">8.2 million increase in our income tax provision. Net income per diluted share increased by $9.72 to $8.07 per share during Fiscal 2022 driven by the higher level of net income. </w:t>
      </w:r>
    </w:p>
    <w:p w:rsidR="00000000" w:rsidRDefault="00BB5C2D">
      <w:pPr>
        <w:ind w:firstLine="540"/>
        <w:jc w:val="both"/>
        <w:divId w:val="1397699332"/>
        <w:rPr>
          <w:rFonts w:eastAsia="Times New Roman"/>
        </w:rPr>
      </w:pPr>
      <w:r>
        <w:rPr>
          <w:rFonts w:eastAsia="Times New Roman"/>
          <w:color w:val="000000"/>
          <w:sz w:val="20"/>
          <w:szCs w:val="20"/>
        </w:rPr>
        <w:t>During Fiscal 2022 and Fiscal 2021, our operating results were negatively imp</w:t>
      </w:r>
      <w:r>
        <w:rPr>
          <w:rFonts w:eastAsia="Times New Roman"/>
          <w:color w:val="000000"/>
          <w:sz w:val="20"/>
          <w:szCs w:val="20"/>
        </w:rPr>
        <w:t>acted by net restructuring-related charges, impairment of assets, and certain other charges (benefits) totaling $32.6 million and $254.4 million, respectively, which had an after-tax effect of reducing net income by $23.2 million, or $0.31 per diluted shar</w:t>
      </w:r>
      <w:r>
        <w:rPr>
          <w:rFonts w:eastAsia="Times New Roman"/>
          <w:color w:val="000000"/>
          <w:sz w:val="20"/>
          <w:szCs w:val="20"/>
        </w:rPr>
        <w:t>e, and $201.5 million, or $2.71 per diluted share, respectively. Partially offsetting these charges was the favorable impact of the 53rd week in Fiscal 2022, which increased net income by $16.5 million, or approximately $0.22 per diluted share. Our net los</w:t>
      </w:r>
      <w:r>
        <w:rPr>
          <w:rFonts w:eastAsia="Times New Roman"/>
          <w:color w:val="000000"/>
          <w:sz w:val="20"/>
          <w:szCs w:val="20"/>
        </w:rPr>
        <w:t xml:space="preserve">s during Fiscal 2021 also reflected $46.6 million of incremental net tax expense recorded in connection with one-time income tax events. </w:t>
      </w:r>
    </w:p>
    <w:p w:rsidR="00000000" w:rsidRDefault="00BB5C2D">
      <w:pPr>
        <w:ind w:firstLine="360"/>
        <w:jc w:val="both"/>
        <w:divId w:val="1004698485"/>
        <w:rPr>
          <w:rFonts w:eastAsia="Times New Roman"/>
        </w:rPr>
      </w:pPr>
      <w:r>
        <w:rPr>
          <w:rFonts w:eastAsia="Times New Roman"/>
          <w:i/>
          <w:iCs/>
          <w:color w:val="000000"/>
          <w:sz w:val="20"/>
          <w:szCs w:val="20"/>
        </w:rPr>
        <w:t>Financial Condition and Liquidity</w:t>
      </w:r>
    </w:p>
    <w:p w:rsidR="00000000" w:rsidRDefault="00BB5C2D">
      <w:pPr>
        <w:ind w:firstLine="540"/>
        <w:jc w:val="both"/>
        <w:divId w:val="1673142393"/>
        <w:rPr>
          <w:rFonts w:eastAsia="Times New Roman"/>
        </w:rPr>
      </w:pPr>
      <w:r>
        <w:rPr>
          <w:rFonts w:eastAsia="Times New Roman"/>
          <w:color w:val="000000"/>
          <w:sz w:val="20"/>
          <w:szCs w:val="20"/>
        </w:rPr>
        <w:t>We ended Fiscal 2022 in a net cash and short-term investments position (cash and cas</w:t>
      </w:r>
      <w:r>
        <w:rPr>
          <w:rFonts w:eastAsia="Times New Roman"/>
          <w:color w:val="000000"/>
          <w:sz w:val="20"/>
          <w:szCs w:val="20"/>
        </w:rPr>
        <w:t>h equivalents plus short-term investments, less total debt) of $962.1 million, as compared to $1.144 billion as of the end of Fiscal 2021. The decrease in our net cash and short-term investments position during Fiscal 2022 as compared to Fiscal 2021 was pr</w:t>
      </w:r>
      <w:r>
        <w:rPr>
          <w:rFonts w:eastAsia="Times New Roman"/>
          <w:color w:val="000000"/>
          <w:sz w:val="20"/>
          <w:szCs w:val="20"/>
        </w:rPr>
        <w:t>imarily due to our use of cash to support Class A common stock repurchases of $492.6 million, including withholdings in satisfaction of tax obligations for stock-based compensation awards, to invest in our business through $166.9 million in capital expendi</w:t>
      </w:r>
      <w:r>
        <w:rPr>
          <w:rFonts w:eastAsia="Times New Roman"/>
          <w:color w:val="000000"/>
          <w:sz w:val="20"/>
          <w:szCs w:val="20"/>
        </w:rPr>
        <w:t>tures, and to make dividend payments of $150.0 million, partially offset by operating cash flows of $715.9 million.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941597702"/>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941597702"/>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48</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76" style="width:0;height:1.5pt" o:hralign="center" o:hrstd="t" o:hr="t" fillcolor="#a0a0a0" stroked="f"/>
        </w:pict>
      </w:r>
    </w:p>
    <w:p w:rsidR="00000000" w:rsidRDefault="00BB5C2D">
      <w:pPr>
        <w:divId w:val="736245356"/>
        <w:rPr>
          <w:rFonts w:eastAsia="Times New Roman"/>
        </w:rPr>
      </w:pPr>
    </w:p>
    <w:p w:rsidR="00000000" w:rsidRDefault="00BB5C2D">
      <w:pPr>
        <w:ind w:firstLine="540"/>
        <w:jc w:val="both"/>
        <w:divId w:val="1327634825"/>
        <w:rPr>
          <w:rFonts w:eastAsia="Times New Roman"/>
        </w:rPr>
      </w:pPr>
      <w:r>
        <w:rPr>
          <w:rFonts w:eastAsia="Times New Roman"/>
          <w:color w:val="000000"/>
          <w:sz w:val="20"/>
          <w:szCs w:val="20"/>
        </w:rPr>
        <w:t>Net cash provided by operating activities was $715.9 million during Fiscal 2022, as compared to $380.9 million during Fiscal 2021. The net increase in cash provided by operating activities was due to an increase in net</w:t>
      </w:r>
      <w:r>
        <w:rPr>
          <w:rFonts w:eastAsia="Times New Roman"/>
          <w:color w:val="000000"/>
          <w:sz w:val="20"/>
          <w:szCs w:val="20"/>
        </w:rPr>
        <w:t xml:space="preserve"> income before non-cash charges, partially offset by a net unfavorable change related to our operating assets and liabilities, including our working capital, as compared to the prior fiscal year period.</w:t>
      </w:r>
    </w:p>
    <w:p w:rsidR="00000000" w:rsidRDefault="00BB5C2D">
      <w:pPr>
        <w:ind w:firstLine="540"/>
        <w:jc w:val="both"/>
        <w:divId w:val="938947772"/>
        <w:rPr>
          <w:rFonts w:eastAsia="Times New Roman"/>
        </w:rPr>
      </w:pPr>
      <w:r>
        <w:rPr>
          <w:rFonts w:eastAsia="Times New Roman"/>
          <w:color w:val="000000"/>
          <w:sz w:val="20"/>
          <w:szCs w:val="20"/>
        </w:rPr>
        <w:t>Our equity decreased to $2.536 billion as of April 2,</w:t>
      </w:r>
      <w:r>
        <w:rPr>
          <w:rFonts w:eastAsia="Times New Roman"/>
          <w:color w:val="000000"/>
          <w:sz w:val="20"/>
          <w:szCs w:val="20"/>
        </w:rPr>
        <w:t xml:space="preserve"> 2022, compared to $2.604 billion as of March 27, 2021, due to our share repurchase activity and dividends declared during Fiscal 2022, partially offset by our comprehensive income and the net impact of stock-based compensation arrangements.</w:t>
      </w:r>
    </w:p>
    <w:p w:rsidR="00000000" w:rsidRDefault="00BB5C2D">
      <w:pPr>
        <w:ind w:firstLine="360"/>
        <w:jc w:val="both"/>
        <w:divId w:val="751901440"/>
        <w:rPr>
          <w:rFonts w:eastAsia="Times New Roman"/>
        </w:rPr>
      </w:pPr>
      <w:r>
        <w:rPr>
          <w:rFonts w:eastAsia="Times New Roman"/>
          <w:b/>
          <w:bCs/>
          <w:i/>
          <w:iCs/>
          <w:color w:val="000000"/>
          <w:sz w:val="20"/>
          <w:szCs w:val="20"/>
        </w:rPr>
        <w:t>Transactions a</w:t>
      </w:r>
      <w:r>
        <w:rPr>
          <w:rFonts w:eastAsia="Times New Roman"/>
          <w:b/>
          <w:bCs/>
          <w:i/>
          <w:iCs/>
          <w:color w:val="000000"/>
          <w:sz w:val="20"/>
          <w:szCs w:val="20"/>
        </w:rPr>
        <w:t>nd Trends Affecting Comparability of Results of Operations and Financial Condition</w:t>
      </w:r>
    </w:p>
    <w:p w:rsidR="00000000" w:rsidRDefault="00BB5C2D">
      <w:pPr>
        <w:ind w:firstLine="540"/>
        <w:jc w:val="both"/>
        <w:divId w:val="1546287437"/>
        <w:rPr>
          <w:rFonts w:eastAsia="Times New Roman"/>
        </w:rPr>
      </w:pPr>
      <w:r>
        <w:rPr>
          <w:rFonts w:eastAsia="Times New Roman"/>
          <w:color w:val="000000"/>
          <w:sz w:val="20"/>
          <w:szCs w:val="20"/>
        </w:rPr>
        <w:t>The comparability of our operating results for the three fiscal years presented herein has been affected by certain events, including:</w:t>
      </w:r>
    </w:p>
    <w:p w:rsidR="00000000" w:rsidRDefault="00BB5C2D">
      <w:pPr>
        <w:ind w:hanging="360"/>
        <w:jc w:val="both"/>
        <w:divId w:val="933322160"/>
        <w:rPr>
          <w:rFonts w:eastAsia="Times New Roman"/>
        </w:rPr>
      </w:pPr>
      <w:r>
        <w:rPr>
          <w:rFonts w:eastAsia="Times New Roman"/>
          <w:color w:val="000000"/>
          <w:sz w:val="20"/>
          <w:szCs w:val="20"/>
        </w:rPr>
        <w:t>•pretax charges incurred in connection</w:t>
      </w:r>
      <w:r>
        <w:rPr>
          <w:rFonts w:eastAsia="Times New Roman"/>
          <w:color w:val="000000"/>
          <w:sz w:val="20"/>
          <w:szCs w:val="20"/>
        </w:rPr>
        <w:t xml:space="preserve"> with our restructuring activities, as well as certain other asset impairments and other benefits (charges), including those related to COVID-19 business disruptions, as summarized below (references to "Notes" are to the notes to the accompanying consolida</w:t>
      </w:r>
      <w:r>
        <w:rPr>
          <w:rFonts w:eastAsia="Times New Roman"/>
          <w:color w:val="000000"/>
          <w:sz w:val="20"/>
          <w:szCs w:val="20"/>
        </w:rPr>
        <w:t>ted financial statements):</w:t>
      </w:r>
    </w:p>
    <w:tbl>
      <w:tblPr>
        <w:tblW w:w="4466" w:type="pct"/>
        <w:tblCellMar>
          <w:top w:w="15" w:type="dxa"/>
          <w:left w:w="15" w:type="dxa"/>
          <w:bottom w:w="15" w:type="dxa"/>
          <w:right w:w="15" w:type="dxa"/>
        </w:tblCellMar>
        <w:tblLook w:val="04A0" w:firstRow="1" w:lastRow="0" w:firstColumn="1" w:lastColumn="0" w:noHBand="0" w:noVBand="1"/>
      </w:tblPr>
      <w:tblGrid>
        <w:gridCol w:w="37"/>
        <w:gridCol w:w="3919"/>
        <w:gridCol w:w="36"/>
        <w:gridCol w:w="36"/>
        <w:gridCol w:w="36"/>
        <w:gridCol w:w="36"/>
        <w:gridCol w:w="120"/>
        <w:gridCol w:w="878"/>
        <w:gridCol w:w="36"/>
        <w:gridCol w:w="36"/>
        <w:gridCol w:w="36"/>
        <w:gridCol w:w="36"/>
        <w:gridCol w:w="120"/>
        <w:gridCol w:w="878"/>
        <w:gridCol w:w="36"/>
        <w:gridCol w:w="36"/>
        <w:gridCol w:w="36"/>
        <w:gridCol w:w="36"/>
        <w:gridCol w:w="120"/>
        <w:gridCol w:w="879"/>
        <w:gridCol w:w="36"/>
      </w:tblGrid>
      <w:tr w:rsidR="00000000">
        <w:trPr>
          <w:divId w:val="2060396874"/>
        </w:trPr>
        <w:tc>
          <w:tcPr>
            <w:tcW w:w="50" w:type="pct"/>
            <w:vAlign w:val="center"/>
            <w:hideMark/>
          </w:tcPr>
          <w:p w:rsidR="00000000" w:rsidRDefault="00BB5C2D">
            <w:pPr>
              <w:ind w:hanging="360"/>
              <w:jc w:val="both"/>
              <w:rPr>
                <w:rFonts w:eastAsia="Times New Roman"/>
              </w:rPr>
            </w:pPr>
          </w:p>
        </w:tc>
        <w:tc>
          <w:tcPr>
            <w:tcW w:w="268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3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65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3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65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3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65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2060396874"/>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Years Ended</w:t>
            </w:r>
          </w:p>
        </w:tc>
      </w:tr>
      <w:tr w:rsidR="00000000">
        <w:trPr>
          <w:divId w:val="2060396874"/>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r>
      <w:tr w:rsidR="00000000">
        <w:trPr>
          <w:divId w:val="2060396874"/>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Borders>
              <w:top w:val="single" w:sz="8" w:space="0" w:color="000000"/>
            </w:tcBorders>
            <w:shd w:val="clear" w:color="auto" w:fill="FFFFFF"/>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2060396874"/>
        </w:trPr>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Restructuring and other charges, net (see Note 9)</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(22.2)</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(170.5)</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(67.2)</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060396874"/>
        </w:trPr>
        <w:tc>
          <w:tcPr>
            <w:tcW w:w="0" w:type="auto"/>
            <w:gridSpan w:val="3"/>
            <w:shd w:val="clear" w:color="auto" w:fill="FFFFFF"/>
            <w:tcMar>
              <w:top w:w="30" w:type="dxa"/>
              <w:left w:w="20" w:type="dxa"/>
              <w:bottom w:w="30" w:type="dxa"/>
              <w:right w:w="20" w:type="dxa"/>
            </w:tcMar>
            <w:hideMark/>
          </w:tcPr>
          <w:p w:rsidR="00000000" w:rsidRDefault="00BB5C2D">
            <w:pPr>
              <w:spacing w:after="100"/>
              <w:divId w:val="1322931156"/>
              <w:rPr>
                <w:rFonts w:eastAsia="Times New Roman"/>
              </w:rPr>
            </w:pPr>
            <w:r>
              <w:rPr>
                <w:rFonts w:eastAsia="Times New Roman"/>
                <w:color w:val="000000"/>
                <w:sz w:val="20"/>
                <w:szCs w:val="20"/>
              </w:rPr>
              <w:t>Impairment of assets (see Note 8</w:t>
            </w:r>
            <w:r>
              <w:rPr>
                <w:rFonts w:eastAsia="Times New Roman"/>
                <w:color w:val="000000"/>
                <w:sz w:val="20"/>
                <w:szCs w:val="20"/>
              </w:rPr>
              <w:t>)</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(21.3)</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(96.0)</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(38.7)</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060396874"/>
        </w:trPr>
        <w:tc>
          <w:tcPr>
            <w:tcW w:w="0" w:type="auto"/>
            <w:gridSpan w:val="3"/>
            <w:shd w:val="clear" w:color="auto" w:fill="CCEEFF"/>
            <w:tcMar>
              <w:top w:w="30" w:type="dxa"/>
              <w:left w:w="20" w:type="dxa"/>
              <w:bottom w:w="30" w:type="dxa"/>
              <w:right w:w="20" w:type="dxa"/>
            </w:tcMar>
            <w:hideMark/>
          </w:tcPr>
          <w:p w:rsidR="00000000" w:rsidRDefault="00BB5C2D">
            <w:pPr>
              <w:spacing w:after="100"/>
              <w:divId w:val="114833466"/>
              <w:rPr>
                <w:rFonts w:eastAsia="Times New Roman"/>
              </w:rPr>
            </w:pPr>
            <w:r>
              <w:rPr>
                <w:rFonts w:eastAsia="Times New Roman"/>
                <w:color w:val="000000"/>
                <w:sz w:val="20"/>
                <w:szCs w:val="20"/>
              </w:rPr>
              <w:t>Non-routine bad debt reversals (expense), ne</w:t>
            </w:r>
            <w:r>
              <w:rPr>
                <w:rFonts w:eastAsia="Times New Roman"/>
                <w:color w:val="000000"/>
                <w:sz w:val="20"/>
                <w:szCs w:val="20"/>
              </w:rPr>
              <w:t>t</w:t>
            </w:r>
            <w:r>
              <w:rPr>
                <w:rFonts w:eastAsia="Times New Roman"/>
                <w:b/>
                <w:bCs/>
                <w:color w:val="000000"/>
                <w:sz w:val="13"/>
                <w:szCs w:val="13"/>
              </w:rPr>
              <w:t>(b</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(2.4)</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41.4 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(56.4)</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060396874"/>
        </w:trPr>
        <w:tc>
          <w:tcPr>
            <w:tcW w:w="0" w:type="auto"/>
            <w:gridSpan w:val="3"/>
            <w:shd w:val="clear" w:color="auto" w:fill="FFFFFF"/>
            <w:tcMar>
              <w:top w:w="30" w:type="dxa"/>
              <w:left w:w="20" w:type="dxa"/>
              <w:bottom w:w="30" w:type="dxa"/>
              <w:right w:w="20" w:type="dxa"/>
            </w:tcMar>
            <w:hideMark/>
          </w:tcPr>
          <w:p w:rsidR="00000000" w:rsidRDefault="00BB5C2D">
            <w:pPr>
              <w:spacing w:after="100"/>
              <w:divId w:val="521013928"/>
              <w:rPr>
                <w:rFonts w:eastAsia="Times New Roman"/>
              </w:rPr>
            </w:pPr>
            <w:r>
              <w:rPr>
                <w:rFonts w:eastAsia="Times New Roman"/>
                <w:color w:val="000000"/>
                <w:sz w:val="20"/>
                <w:szCs w:val="20"/>
              </w:rPr>
              <w:t>Non-routine inventory benefits (charges</w:t>
            </w:r>
            <w:r>
              <w:rPr>
                <w:rFonts w:eastAsia="Times New Roman"/>
                <w:color w:val="000000"/>
                <w:sz w:val="20"/>
                <w:szCs w:val="20"/>
              </w:rPr>
              <w:t>)</w:t>
            </w:r>
            <w:r>
              <w:rPr>
                <w:rFonts w:eastAsia="Times New Roman"/>
                <w:b/>
                <w:bCs/>
                <w:color w:val="000000"/>
                <w:sz w:val="13"/>
                <w:szCs w:val="13"/>
              </w:rPr>
              <w:t>(c</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13.3 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(29.3)</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(159.5)</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060396874"/>
        </w:trPr>
        <w:tc>
          <w:tcPr>
            <w:tcW w:w="0" w:type="auto"/>
            <w:gridSpan w:val="3"/>
            <w:shd w:val="clear" w:color="auto" w:fill="CCEEFF"/>
            <w:tcMar>
              <w:top w:w="30" w:type="dxa"/>
              <w:left w:w="155" w:type="dxa"/>
              <w:bottom w:w="30" w:type="dxa"/>
              <w:right w:w="20" w:type="dxa"/>
            </w:tcMar>
            <w:hideMark/>
          </w:tcPr>
          <w:p w:rsidR="00000000" w:rsidRDefault="00BB5C2D">
            <w:pPr>
              <w:spacing w:after="100"/>
              <w:rPr>
                <w:rFonts w:eastAsia="Times New Roman"/>
              </w:rPr>
            </w:pPr>
            <w:r>
              <w:rPr>
                <w:rFonts w:eastAsia="Times New Roman"/>
                <w:color w:val="000000"/>
                <w:sz w:val="20"/>
                <w:szCs w:val="20"/>
              </w:rPr>
              <w:t>Total charges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(32.6)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(254.4)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(321.8)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bl>
    <w:p w:rsidR="00000000" w:rsidRDefault="00BB5C2D">
      <w:pPr>
        <w:divId w:val="2060396874"/>
        <w:rPr>
          <w:rFonts w:eastAsia="Times New Roman"/>
          <w:vanish/>
        </w:rPr>
      </w:pPr>
    </w:p>
    <w:tbl>
      <w:tblPr>
        <w:tblW w:w="972" w:type="pct"/>
        <w:tblCellMar>
          <w:top w:w="15" w:type="dxa"/>
          <w:left w:w="15" w:type="dxa"/>
          <w:bottom w:w="15" w:type="dxa"/>
          <w:right w:w="15" w:type="dxa"/>
        </w:tblCellMar>
        <w:tblLook w:val="04A0" w:firstRow="1" w:lastRow="0" w:firstColumn="1" w:lastColumn="0" w:noHBand="0" w:noVBand="1"/>
      </w:tblPr>
      <w:tblGrid>
        <w:gridCol w:w="36"/>
        <w:gridCol w:w="1543"/>
        <w:gridCol w:w="36"/>
      </w:tblGrid>
      <w:tr w:rsidR="00000000">
        <w:trPr>
          <w:divId w:val="2060396874"/>
        </w:trPr>
        <w:tc>
          <w:tcPr>
            <w:tcW w:w="50" w:type="pct"/>
            <w:vAlign w:val="center"/>
            <w:hideMark/>
          </w:tcPr>
          <w:p w:rsidR="00000000" w:rsidRDefault="00BB5C2D">
            <w:pPr>
              <w:rPr>
                <w:rFonts w:eastAsia="Times New Roman"/>
              </w:rPr>
            </w:pPr>
          </w:p>
        </w:tc>
        <w:tc>
          <w:tcPr>
            <w:tcW w:w="494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2060396874"/>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r>
    </w:tbl>
    <w:p w:rsidR="00000000" w:rsidRDefault="00BB5C2D">
      <w:pPr>
        <w:divId w:val="2060396874"/>
        <w:rPr>
          <w:rFonts w:eastAsia="Times New Roman"/>
        </w:rPr>
      </w:pPr>
      <w:r>
        <w:rPr>
          <w:rFonts w:eastAsia="Times New Roman"/>
          <w:color w:val="000000"/>
          <w:sz w:val="20"/>
          <w:szCs w:val="20"/>
        </w:rPr>
        <w:t> </w:t>
      </w:r>
    </w:p>
    <w:p w:rsidR="00000000" w:rsidRDefault="00BB5C2D">
      <w:pPr>
        <w:ind w:hanging="360"/>
        <w:jc w:val="both"/>
        <w:divId w:val="395594875"/>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Fiscal 2020 includes a $7.1 million impairment of an equity method investment recorded within other income (expense), net in the consolidated statements of operations. All other impairment charges were recorded within impairment of assets in the consolidat</w:t>
      </w:r>
      <w:r>
        <w:rPr>
          <w:rFonts w:eastAsia="Times New Roman"/>
          <w:color w:val="000000"/>
          <w:sz w:val="20"/>
          <w:szCs w:val="20"/>
        </w:rPr>
        <w:t>ed statements of operations.</w:t>
      </w:r>
    </w:p>
    <w:p w:rsidR="00000000" w:rsidRDefault="00BB5C2D">
      <w:pPr>
        <w:ind w:hanging="360"/>
        <w:jc w:val="both"/>
        <w:divId w:val="790199961"/>
        <w:rPr>
          <w:rFonts w:eastAsia="Times New Roman"/>
        </w:rPr>
      </w:pPr>
      <w:r>
        <w:rPr>
          <w:rFonts w:eastAsia="Times New Roman"/>
          <w:b/>
          <w:bCs/>
          <w:color w:val="000000"/>
          <w:sz w:val="13"/>
          <w:szCs w:val="13"/>
        </w:rPr>
        <w:t>(b</w:t>
      </w:r>
      <w:r>
        <w:rPr>
          <w:rFonts w:eastAsia="Times New Roman"/>
          <w:b/>
          <w:bCs/>
          <w:color w:val="000000"/>
          <w:sz w:val="13"/>
          <w:szCs w:val="13"/>
        </w:rPr>
        <w:t>)</w:t>
      </w:r>
      <w:r>
        <w:rPr>
          <w:rFonts w:eastAsia="Times New Roman"/>
          <w:color w:val="000000"/>
          <w:sz w:val="20"/>
          <w:szCs w:val="20"/>
        </w:rPr>
        <w:t>Non-routine bad debt reversals (expense), net are recorded within SG&amp;A expenses in the consolidated statements of operations. Fiscal 2022 includes non-routine bad debt expense of $3.6 million recorded in connection with Russ</w:t>
      </w:r>
      <w:r>
        <w:rPr>
          <w:rFonts w:eastAsia="Times New Roman"/>
          <w:color w:val="000000"/>
          <w:sz w:val="20"/>
          <w:szCs w:val="20"/>
        </w:rPr>
        <w:t>ia-related accounts receivables, partially offset by COVID-19-related bad debt expense reversals of $1.2 million. Non-routine bad debt reversals (expense) recorded during Fiscal 2021 and Fiscal 2020 related to COVID-19 business disruptions.</w:t>
      </w:r>
    </w:p>
    <w:p w:rsidR="00000000" w:rsidRDefault="00BB5C2D">
      <w:pPr>
        <w:ind w:hanging="360"/>
        <w:jc w:val="both"/>
        <w:divId w:val="1715810314"/>
        <w:rPr>
          <w:rFonts w:eastAsia="Times New Roman"/>
        </w:rPr>
      </w:pPr>
      <w:r>
        <w:rPr>
          <w:rFonts w:eastAsia="Times New Roman"/>
          <w:b/>
          <w:bCs/>
          <w:color w:val="000000"/>
          <w:sz w:val="13"/>
          <w:szCs w:val="13"/>
        </w:rPr>
        <w:t>(c</w:t>
      </w:r>
      <w:r>
        <w:rPr>
          <w:rFonts w:eastAsia="Times New Roman"/>
          <w:b/>
          <w:bCs/>
          <w:color w:val="000000"/>
          <w:sz w:val="13"/>
          <w:szCs w:val="13"/>
        </w:rPr>
        <w:t>)</w:t>
      </w:r>
      <w:r>
        <w:rPr>
          <w:rFonts w:eastAsia="Times New Roman"/>
          <w:color w:val="000000"/>
          <w:sz w:val="20"/>
          <w:szCs w:val="20"/>
        </w:rPr>
        <w:t xml:space="preserve">Non-routine </w:t>
      </w:r>
      <w:r>
        <w:rPr>
          <w:rFonts w:eastAsia="Times New Roman"/>
          <w:color w:val="000000"/>
          <w:sz w:val="20"/>
          <w:szCs w:val="20"/>
        </w:rPr>
        <w:t>inventory benefits (charges) are recorded within cost of goods sold in the consolidated statements of operations. Fiscal 2021 and Fiscal 2020 includes non-routine inventory charges of $8.3 million and $2.2 million, respectively, related to our restructurin</w:t>
      </w:r>
      <w:r>
        <w:rPr>
          <w:rFonts w:eastAsia="Times New Roman"/>
          <w:color w:val="000000"/>
          <w:sz w:val="20"/>
          <w:szCs w:val="20"/>
        </w:rPr>
        <w:t>g plans (see Note 9). All other non-routine inventory benefits (charges) related to COVID-19 business disruptions.</w:t>
      </w:r>
    </w:p>
    <w:p w:rsidR="00000000" w:rsidRDefault="00BB5C2D">
      <w:pPr>
        <w:ind w:hanging="360"/>
        <w:jc w:val="both"/>
        <w:divId w:val="313997195"/>
        <w:rPr>
          <w:rFonts w:eastAsia="Times New Roman"/>
        </w:rPr>
      </w:pPr>
      <w:r>
        <w:rPr>
          <w:rFonts w:eastAsia="Times New Roman"/>
          <w:color w:val="000000"/>
          <w:sz w:val="20"/>
          <w:szCs w:val="20"/>
        </w:rPr>
        <w:t xml:space="preserve">•the inclusion of the 53rd week in Fiscal 2022, which resulted in incremental net revenues of $62.7 million and net income of $16.5 million, </w:t>
      </w:r>
      <w:r>
        <w:rPr>
          <w:rFonts w:eastAsia="Times New Roman"/>
          <w:color w:val="000000"/>
          <w:sz w:val="20"/>
          <w:szCs w:val="20"/>
        </w:rPr>
        <w:t>or approximately $0.22 per diluted share;</w:t>
      </w:r>
    </w:p>
    <w:p w:rsidR="00000000" w:rsidRDefault="00BB5C2D">
      <w:pPr>
        <w:ind w:hanging="360"/>
        <w:jc w:val="both"/>
        <w:divId w:val="1871994374"/>
        <w:rPr>
          <w:rFonts w:eastAsia="Times New Roman"/>
        </w:rPr>
      </w:pPr>
      <w:r>
        <w:rPr>
          <w:rFonts w:eastAsia="Times New Roman"/>
          <w:color w:val="000000"/>
          <w:sz w:val="20"/>
          <w:szCs w:val="20"/>
        </w:rPr>
        <w:t>•the disposition of our former Club Monaco business at the end of the first quarter of Fiscal 2022, which resulted in a decline in net revenues of approximately $66 million during Fiscal 2022 as compared to the pri</w:t>
      </w:r>
      <w:r>
        <w:rPr>
          <w:rFonts w:eastAsia="Times New Roman"/>
          <w:color w:val="000000"/>
          <w:sz w:val="20"/>
          <w:szCs w:val="20"/>
        </w:rPr>
        <w:t>or fiscal year;</w:t>
      </w:r>
    </w:p>
    <w:p w:rsidR="00000000" w:rsidRDefault="00BB5C2D">
      <w:pPr>
        <w:ind w:hanging="360"/>
        <w:jc w:val="both"/>
        <w:divId w:val="772170710"/>
        <w:rPr>
          <w:rFonts w:eastAsia="Times New Roman"/>
        </w:rPr>
      </w:pPr>
      <w:r>
        <w:rPr>
          <w:rFonts w:eastAsia="Times New Roman"/>
          <w:color w:val="000000"/>
          <w:sz w:val="20"/>
          <w:szCs w:val="20"/>
        </w:rPr>
        <w:t>•the transition of our Chaps business to a fully licensed business model during the second quarter of Fiscal 2022, which resulted in a decline in net revenues of approximately $69 million during Fiscal 2022 as compared to the prior fiscal y</w:t>
      </w:r>
      <w:r>
        <w:rPr>
          <w:rFonts w:eastAsia="Times New Roman"/>
          <w:color w:val="000000"/>
          <w:sz w:val="20"/>
          <w:szCs w:val="20"/>
        </w:rPr>
        <w:t>ear;</w:t>
      </w:r>
    </w:p>
    <w:p w:rsidR="00000000" w:rsidRDefault="00BB5C2D">
      <w:pPr>
        <w:ind w:hanging="360"/>
        <w:jc w:val="both"/>
        <w:divId w:val="825823044"/>
        <w:rPr>
          <w:rFonts w:eastAsia="Times New Roman"/>
        </w:rPr>
      </w:pPr>
      <w:r>
        <w:rPr>
          <w:rFonts w:eastAsia="Times New Roman"/>
          <w:color w:val="000000"/>
          <w:sz w:val="20"/>
          <w:szCs w:val="20"/>
        </w:rPr>
        <w:t>•other adverse impacts related to COVID-19 business disruptions during Fiscal 2022, Fiscal 2021, and Fiscal 2020;</w:t>
      </w:r>
    </w:p>
    <w:p w:rsidR="00000000" w:rsidRDefault="00BB5C2D">
      <w:pPr>
        <w:ind w:hanging="360"/>
        <w:jc w:val="both"/>
        <w:divId w:val="639923633"/>
        <w:rPr>
          <w:rFonts w:eastAsia="Times New Roman"/>
        </w:rPr>
      </w:pPr>
      <w:r>
        <w:rPr>
          <w:rFonts w:eastAsia="Times New Roman"/>
          <w:color w:val="000000"/>
          <w:sz w:val="20"/>
          <w:szCs w:val="20"/>
        </w:rPr>
        <w:t>•</w:t>
      </w:r>
      <w:r>
        <w:rPr>
          <w:rFonts w:eastAsia="Times New Roman"/>
          <w:color w:val="000000"/>
          <w:sz w:val="20"/>
          <w:szCs w:val="20"/>
        </w:rPr>
        <w:t>adverse impacts related to Hong Kong protest business disruptions during Fiscal 2020;</w:t>
      </w:r>
    </w:p>
    <w:p w:rsidR="00000000" w:rsidRDefault="00BB5C2D">
      <w:pPr>
        <w:ind w:hanging="360"/>
        <w:jc w:val="both"/>
        <w:divId w:val="627397623"/>
        <w:rPr>
          <w:rFonts w:eastAsia="Times New Roman"/>
        </w:rPr>
      </w:pPr>
      <w:r>
        <w:rPr>
          <w:rFonts w:eastAsia="Times New Roman"/>
          <w:color w:val="000000"/>
          <w:sz w:val="20"/>
          <w:szCs w:val="20"/>
        </w:rPr>
        <w:t>•incremental net tax expense of $46.6 million recorded within our income tax provision during Fiscal 2021 related to a valuation allowance provided against domestic losse</w:t>
      </w:r>
      <w:r>
        <w:rPr>
          <w:rFonts w:eastAsia="Times New Roman"/>
          <w:color w:val="000000"/>
          <w:sz w:val="20"/>
          <w:szCs w:val="20"/>
        </w:rPr>
        <w:t xml:space="preserve">s attributable to COVID-19 business disruptions, international tax legislation enacted in connection with the European Union's anti-tax avoidance directive, and a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791020179"/>
          <w:jc w:val="center"/>
        </w:trPr>
        <w:tc>
          <w:tcPr>
            <w:tcW w:w="50" w:type="pct"/>
            <w:vAlign w:val="center"/>
            <w:hideMark/>
          </w:tcPr>
          <w:p w:rsidR="00000000" w:rsidRDefault="00BB5C2D">
            <w:pPr>
              <w:ind w:hanging="36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791020179"/>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49</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77" style="width:0;height:1.5pt" o:hralign="center" o:hrstd="t" o:hr="t" fillcolor="#a0a0a0" stroked="f"/>
        </w:pict>
      </w:r>
    </w:p>
    <w:p w:rsidR="00000000" w:rsidRDefault="00BB5C2D">
      <w:pPr>
        <w:divId w:val="152337086"/>
        <w:rPr>
          <w:rFonts w:eastAsia="Times New Roman"/>
        </w:rPr>
      </w:pPr>
    </w:p>
    <w:p w:rsidR="00000000" w:rsidRDefault="00BB5C2D">
      <w:pPr>
        <w:jc w:val="both"/>
        <w:divId w:val="130755618"/>
        <w:rPr>
          <w:rFonts w:eastAsia="Times New Roman"/>
        </w:rPr>
      </w:pPr>
      <w:r>
        <w:rPr>
          <w:rFonts w:eastAsia="Times New Roman"/>
          <w:color w:val="000000"/>
          <w:sz w:val="20"/>
          <w:szCs w:val="20"/>
        </w:rPr>
        <w:t>net operating loss carryback under the CARES Act, which collectively negatively impacted our effective tax rate by 6,230 basis points; and</w:t>
      </w:r>
    </w:p>
    <w:p w:rsidR="00000000" w:rsidRDefault="00BB5C2D">
      <w:pPr>
        <w:ind w:hanging="360"/>
        <w:jc w:val="both"/>
        <w:divId w:val="895313429"/>
        <w:rPr>
          <w:rFonts w:eastAsia="Times New Roman"/>
        </w:rPr>
      </w:pPr>
      <w:r>
        <w:rPr>
          <w:rFonts w:eastAsia="Times New Roman"/>
          <w:color w:val="000000"/>
          <w:sz w:val="20"/>
          <w:szCs w:val="20"/>
        </w:rPr>
        <w:t xml:space="preserve">•a one-time benefit of $122.9 million recorded within our income tax provision </w:t>
      </w:r>
      <w:r>
        <w:rPr>
          <w:rFonts w:eastAsia="Times New Roman"/>
          <w:color w:val="000000"/>
          <w:sz w:val="20"/>
          <w:szCs w:val="20"/>
        </w:rPr>
        <w:t>during Fiscal 2020 in connection with the Swiss Tax Act, which reduced our effective tax rate by 3,760 basis points. During Fiscal 2021, we reduced this one-time tax benefit by $13.8 million due to new legislation enacted, which increased our effective tax</w:t>
      </w:r>
      <w:r>
        <w:rPr>
          <w:rFonts w:eastAsia="Times New Roman"/>
          <w:color w:val="000000"/>
          <w:sz w:val="20"/>
          <w:szCs w:val="20"/>
        </w:rPr>
        <w:t xml:space="preserve"> rate by 1,840 basis points. See Note 10 to the accompanying consolidated financial statements for further discussion.</w:t>
      </w:r>
    </w:p>
    <w:p w:rsidR="00000000" w:rsidRDefault="00BB5C2D">
      <w:pPr>
        <w:ind w:firstLine="540"/>
        <w:jc w:val="both"/>
        <w:divId w:val="1441101441"/>
        <w:rPr>
          <w:rFonts w:eastAsia="Times New Roman"/>
        </w:rPr>
      </w:pPr>
      <w:r>
        <w:rPr>
          <w:rFonts w:eastAsia="Times New Roman"/>
          <w:color w:val="000000"/>
          <w:sz w:val="20"/>
          <w:szCs w:val="20"/>
        </w:rPr>
        <w:t>Because we are a global company, the comparability of our operating results reported in U.S. Dollars is also affected by foreign currency</w:t>
      </w:r>
      <w:r>
        <w:rPr>
          <w:rFonts w:eastAsia="Times New Roman"/>
          <w:color w:val="000000"/>
          <w:sz w:val="20"/>
          <w:szCs w:val="20"/>
        </w:rPr>
        <w:t xml:space="preserve"> exchange rate fluctuations because the underlying currencies in which we transact change in value over time compared to the U.S. Dollar. Such fluctuations can have a significant effect on our reported results. As such, in addition to financial measures pr</w:t>
      </w:r>
      <w:r>
        <w:rPr>
          <w:rFonts w:eastAsia="Times New Roman"/>
          <w:color w:val="000000"/>
          <w:sz w:val="20"/>
          <w:szCs w:val="20"/>
        </w:rPr>
        <w:t>epared in accordance with accounting principles generally accepted in the U.S. ("U.S. GAAP"), our discussions often contain references to constant currency measures, which are calculated by translating current-year and prior-year reported amounts into comp</w:t>
      </w:r>
      <w:r>
        <w:rPr>
          <w:rFonts w:eastAsia="Times New Roman"/>
          <w:color w:val="000000"/>
          <w:sz w:val="20"/>
          <w:szCs w:val="20"/>
        </w:rPr>
        <w:t>arable amounts using a single foreign exchange rate for each currency. We present constant currency financial information, which is a non-U.S. GAAP financial measure, as a supplement to our reported operating results. We use constant currency information t</w:t>
      </w:r>
      <w:r>
        <w:rPr>
          <w:rFonts w:eastAsia="Times New Roman"/>
          <w:color w:val="000000"/>
          <w:sz w:val="20"/>
          <w:szCs w:val="20"/>
        </w:rPr>
        <w:t>o provide a framework for assessing how our businesses performed excluding the effects of foreign currency exchange rate fluctuations. We believe this information is useful to investors for facilitating comparisons of operating results and better identifyi</w:t>
      </w:r>
      <w:r>
        <w:rPr>
          <w:rFonts w:eastAsia="Times New Roman"/>
          <w:color w:val="000000"/>
          <w:sz w:val="20"/>
          <w:szCs w:val="20"/>
        </w:rPr>
        <w:t>ng trends in our businesses. The constant currency performance measures should be viewed in addition to, and not in lieu of or superior to, our operating performance measures calculated in accordance with U.S. GAAP. Reconciliations between this non-U.S. GA</w:t>
      </w:r>
      <w:r>
        <w:rPr>
          <w:rFonts w:eastAsia="Times New Roman"/>
          <w:color w:val="000000"/>
          <w:sz w:val="20"/>
          <w:szCs w:val="20"/>
        </w:rPr>
        <w:t>AP financial measure and the most directly comparable U.S. GAAP measure are included in the "Results of Operations" section where applicable.</w:t>
      </w:r>
    </w:p>
    <w:p w:rsidR="00000000" w:rsidRDefault="00BB5C2D">
      <w:pPr>
        <w:ind w:firstLine="540"/>
        <w:jc w:val="both"/>
        <w:divId w:val="1447503116"/>
        <w:rPr>
          <w:rFonts w:eastAsia="Times New Roman"/>
        </w:rPr>
      </w:pPr>
      <w:r>
        <w:rPr>
          <w:rFonts w:eastAsia="Times New Roman"/>
          <w:color w:val="000000"/>
          <w:sz w:val="20"/>
          <w:szCs w:val="20"/>
        </w:rPr>
        <w:t>Our discussion also includes reference to comparable store sales. Comparable store sales refer to the change in sa</w:t>
      </w:r>
      <w:r>
        <w:rPr>
          <w:rFonts w:eastAsia="Times New Roman"/>
          <w:color w:val="000000"/>
          <w:sz w:val="20"/>
          <w:szCs w:val="20"/>
        </w:rPr>
        <w:t xml:space="preserve">les of our stores that have been open for at least 13 full fiscal months. Sales from our digital commerce sites are also included within comparable sales for those geographies that have been serviced by the related site for at least 13 full fiscal months. </w:t>
      </w:r>
      <w:r>
        <w:rPr>
          <w:rFonts w:eastAsia="Times New Roman"/>
          <w:color w:val="000000"/>
          <w:sz w:val="20"/>
          <w:szCs w:val="20"/>
        </w:rPr>
        <w:t>Sales for stores or digital commerce sites that are closed or shut down during the year are excluded from the calculation of comparable store sales. Sales for stores that are either relocated, enlarged (as defined by gross square footage expansion of 25% o</w:t>
      </w:r>
      <w:r>
        <w:rPr>
          <w:rFonts w:eastAsia="Times New Roman"/>
          <w:color w:val="000000"/>
          <w:sz w:val="20"/>
          <w:szCs w:val="20"/>
        </w:rPr>
        <w:t>r greater), or generally closed for 30 or more consecutive days for renovation are also excluded from the calculation of comparable store sales until such stores have been operating in their new location or in their newly renovated state for at least 13 fu</w:t>
      </w:r>
      <w:r>
        <w:rPr>
          <w:rFonts w:eastAsia="Times New Roman"/>
          <w:color w:val="000000"/>
          <w:sz w:val="20"/>
          <w:szCs w:val="20"/>
        </w:rPr>
        <w:t>ll fiscal months. All comparable store sales metrics are calculated on a 52-week and constant currency basis.</w:t>
      </w:r>
    </w:p>
    <w:p w:rsidR="00000000" w:rsidRDefault="00BB5C2D">
      <w:pPr>
        <w:ind w:firstLine="540"/>
        <w:jc w:val="both"/>
        <w:divId w:val="1208881671"/>
        <w:rPr>
          <w:rFonts w:eastAsia="Times New Roman"/>
        </w:rPr>
      </w:pPr>
      <w:r>
        <w:rPr>
          <w:rFonts w:eastAsia="Times New Roman"/>
          <w:color w:val="000000"/>
          <w:sz w:val="20"/>
          <w:szCs w:val="20"/>
        </w:rPr>
        <w:t>Our "Results of Operations" discussion that follows includes the significant changes in operating results arising from these items affecting compa</w:t>
      </w:r>
      <w:r>
        <w:rPr>
          <w:rFonts w:eastAsia="Times New Roman"/>
          <w:color w:val="000000"/>
          <w:sz w:val="20"/>
          <w:szCs w:val="20"/>
        </w:rPr>
        <w:t>rability. However, unusual items or transactions may occur in any period. Accordingly, investors and other financial statement users should consider the types of events and transactions that have affected operating trends.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930284869"/>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930284869"/>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50</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78" style="width:0;height:1.5pt" o:hralign="center" o:hrstd="t" o:hr="t" fillcolor="#a0a0a0" stroked="f"/>
        </w:pict>
      </w:r>
    </w:p>
    <w:p w:rsidR="00000000" w:rsidRDefault="00BB5C2D">
      <w:pPr>
        <w:divId w:val="1266187326"/>
        <w:rPr>
          <w:rFonts w:eastAsia="Times New Roman"/>
        </w:rPr>
      </w:pPr>
    </w:p>
    <w:p w:rsidR="00000000" w:rsidRDefault="00BB5C2D">
      <w:pPr>
        <w:jc w:val="both"/>
        <w:rPr>
          <w:rFonts w:eastAsia="Times New Roman"/>
        </w:rPr>
      </w:pPr>
      <w:r>
        <w:rPr>
          <w:rFonts w:eastAsia="Times New Roman"/>
          <w:b/>
          <w:bCs/>
          <w:color w:val="000000"/>
          <w:sz w:val="20"/>
          <w:szCs w:val="20"/>
        </w:rPr>
        <w:t>RESULTS OF OPERATIONS</w:t>
      </w:r>
    </w:p>
    <w:p w:rsidR="00000000" w:rsidRDefault="00BB5C2D">
      <w:pPr>
        <w:ind w:firstLine="360"/>
        <w:jc w:val="both"/>
        <w:divId w:val="696466042"/>
        <w:rPr>
          <w:rFonts w:eastAsia="Times New Roman"/>
        </w:rPr>
      </w:pPr>
      <w:r>
        <w:rPr>
          <w:rFonts w:eastAsia="Times New Roman"/>
          <w:b/>
          <w:bCs/>
          <w:i/>
          <w:iCs/>
          <w:color w:val="000000"/>
          <w:sz w:val="20"/>
          <w:szCs w:val="20"/>
        </w:rPr>
        <w:t>Fiscal 2022 Compared to Fiscal 2021</w:t>
      </w:r>
    </w:p>
    <w:p w:rsidR="00000000" w:rsidRDefault="00BB5C2D">
      <w:pPr>
        <w:ind w:firstLine="540"/>
        <w:jc w:val="both"/>
        <w:divId w:val="1671562576"/>
        <w:rPr>
          <w:rFonts w:eastAsia="Times New Roman"/>
        </w:rPr>
      </w:pPr>
      <w:r>
        <w:rPr>
          <w:rFonts w:eastAsia="Times New Roman"/>
          <w:color w:val="000000"/>
          <w:sz w:val="20"/>
          <w:szCs w:val="20"/>
        </w:rPr>
        <w:t xml:space="preserve">The following table summarizes our results of operations and expresses the percentage relationship to net revenues of certain financial statement captions. All </w:t>
      </w:r>
      <w:r>
        <w:rPr>
          <w:rFonts w:eastAsia="Times New Roman"/>
          <w:color w:val="000000"/>
          <w:sz w:val="20"/>
          <w:szCs w:val="20"/>
        </w:rPr>
        <w:t>percentages shown in the below table and the discussion that follows have been calculated using unrounded numbers.</w:t>
      </w:r>
    </w:p>
    <w:tbl>
      <w:tblPr>
        <w:tblW w:w="4714" w:type="pct"/>
        <w:tblCellMar>
          <w:top w:w="15" w:type="dxa"/>
          <w:left w:w="15" w:type="dxa"/>
          <w:bottom w:w="15" w:type="dxa"/>
          <w:right w:w="15" w:type="dxa"/>
        </w:tblCellMar>
        <w:tblLook w:val="04A0" w:firstRow="1" w:lastRow="0" w:firstColumn="1" w:lastColumn="0" w:noHBand="0" w:noVBand="1"/>
      </w:tblPr>
      <w:tblGrid>
        <w:gridCol w:w="39"/>
        <w:gridCol w:w="3432"/>
        <w:gridCol w:w="38"/>
        <w:gridCol w:w="36"/>
        <w:gridCol w:w="36"/>
        <w:gridCol w:w="36"/>
        <w:gridCol w:w="120"/>
        <w:gridCol w:w="667"/>
        <w:gridCol w:w="187"/>
        <w:gridCol w:w="36"/>
        <w:gridCol w:w="36"/>
        <w:gridCol w:w="36"/>
        <w:gridCol w:w="120"/>
        <w:gridCol w:w="667"/>
        <w:gridCol w:w="254"/>
        <w:gridCol w:w="36"/>
        <w:gridCol w:w="36"/>
        <w:gridCol w:w="36"/>
        <w:gridCol w:w="120"/>
        <w:gridCol w:w="669"/>
        <w:gridCol w:w="36"/>
        <w:gridCol w:w="36"/>
        <w:gridCol w:w="36"/>
        <w:gridCol w:w="36"/>
        <w:gridCol w:w="46"/>
        <w:gridCol w:w="589"/>
        <w:gridCol w:w="415"/>
      </w:tblGrid>
      <w:tr w:rsidR="00000000">
        <w:trPr>
          <w:divId w:val="998769759"/>
        </w:trPr>
        <w:tc>
          <w:tcPr>
            <w:tcW w:w="50" w:type="pct"/>
            <w:vAlign w:val="center"/>
            <w:hideMark/>
          </w:tcPr>
          <w:p w:rsidR="00000000" w:rsidRDefault="00BB5C2D">
            <w:pPr>
              <w:ind w:firstLine="540"/>
              <w:jc w:val="both"/>
              <w:rPr>
                <w:rFonts w:eastAsia="Times New Roman"/>
              </w:rPr>
            </w:pPr>
          </w:p>
        </w:tc>
        <w:tc>
          <w:tcPr>
            <w:tcW w:w="230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6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6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6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6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998769759"/>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16"/>
                <w:szCs w:val="16"/>
              </w:rPr>
              <w:t> </w:t>
            </w:r>
          </w:p>
        </w:tc>
      </w:tr>
      <w:tr w:rsidR="00000000">
        <w:trPr>
          <w:divId w:val="998769759"/>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w:t>
            </w:r>
            <w:r>
              <w:rPr>
                <w:rFonts w:eastAsia="Times New Roman"/>
                <w:b/>
                <w:bCs/>
                <w:color w:val="000000"/>
                <w:sz w:val="16"/>
                <w:szCs w:val="16"/>
              </w:rPr>
              <w:br/>
              <w:t>Change</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 / bps</w:t>
            </w:r>
            <w:r>
              <w:rPr>
                <w:rFonts w:eastAsia="Times New Roman"/>
                <w:b/>
                <w:bCs/>
                <w:color w:val="000000"/>
                <w:sz w:val="16"/>
                <w:szCs w:val="16"/>
              </w:rPr>
              <w:br/>
              <w:t>Change</w:t>
            </w:r>
          </w:p>
        </w:tc>
      </w:tr>
      <w:tr w:rsidR="00000000">
        <w:trPr>
          <w:divId w:val="998769759"/>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 except per share data)</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16"/>
                <w:szCs w:val="16"/>
              </w:rPr>
              <w:t> </w:t>
            </w:r>
          </w:p>
        </w:tc>
      </w:tr>
      <w:tr w:rsidR="00000000">
        <w:trPr>
          <w:divId w:val="998769759"/>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divId w:val="1190484553"/>
              <w:rPr>
                <w:rFonts w:eastAsia="Times New Roman"/>
              </w:rPr>
            </w:pPr>
            <w:r>
              <w:rPr>
                <w:rFonts w:eastAsia="Times New Roman"/>
                <w:b/>
                <w:bCs/>
                <w:color w:val="000000"/>
                <w:sz w:val="20"/>
                <w:szCs w:val="20"/>
              </w:rPr>
              <w:t>Net revenues</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6,218.5 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4,400.8 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1,817.7 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41.3 </w:t>
            </w:r>
          </w:p>
        </w:tc>
        <w:tc>
          <w:tcPr>
            <w:tcW w:w="0" w:type="auto"/>
            <w:shd w:val="clear" w:color="auto" w:fill="CCEE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r>
      <w:tr w:rsidR="00000000">
        <w:trPr>
          <w:divId w:val="998769759"/>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Cost of goods sold</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(2,071.0)</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(1,539.4)</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(531.6)</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34.5 </w:t>
            </w:r>
          </w:p>
        </w:tc>
        <w:tc>
          <w:tcPr>
            <w:tcW w:w="0" w:type="auto"/>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r>
      <w:tr w:rsidR="00000000">
        <w:trPr>
          <w:divId w:val="998769759"/>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divId w:val="1056003659"/>
              <w:rPr>
                <w:rFonts w:eastAsia="Times New Roman"/>
              </w:rPr>
            </w:pPr>
            <w:r>
              <w:rPr>
                <w:rFonts w:eastAsia="Times New Roman"/>
                <w:b/>
                <w:bCs/>
                <w:color w:val="000000"/>
                <w:sz w:val="20"/>
                <w:szCs w:val="20"/>
              </w:rPr>
              <w:t>Gross profit</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4,147.5 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2,861.4 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1,286.1 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44.9 </w:t>
            </w:r>
          </w:p>
        </w:tc>
        <w:tc>
          <w:tcPr>
            <w:tcW w:w="0" w:type="auto"/>
            <w:shd w:val="clear" w:color="auto" w:fill="CCEE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r>
      <w:tr w:rsidR="00000000">
        <w:trPr>
          <w:divId w:val="998769759"/>
        </w:trPr>
        <w:tc>
          <w:tcPr>
            <w:tcW w:w="0" w:type="auto"/>
            <w:gridSpan w:val="3"/>
            <w:shd w:val="clear" w:color="auto" w:fill="FFFFFF"/>
            <w:tcMar>
              <w:top w:w="30" w:type="dxa"/>
              <w:left w:w="245" w:type="dxa"/>
              <w:bottom w:w="30" w:type="dxa"/>
              <w:right w:w="20" w:type="dxa"/>
            </w:tcMar>
            <w:vAlign w:val="bottom"/>
            <w:hideMark/>
          </w:tcPr>
          <w:p w:rsidR="00000000" w:rsidRDefault="00BB5C2D">
            <w:pPr>
              <w:spacing w:after="100"/>
              <w:rPr>
                <w:rFonts w:eastAsia="Times New Roman"/>
              </w:rPr>
            </w:pPr>
            <w:r>
              <w:rPr>
                <w:rFonts w:eastAsia="Times New Roman"/>
                <w:i/>
                <w:iCs/>
                <w:color w:val="000000"/>
                <w:sz w:val="20"/>
                <w:szCs w:val="20"/>
              </w:rPr>
              <w:t>Gross profit as % of net revenues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i/>
                <w:iCs/>
                <w:color w:val="000000"/>
                <w:sz w:val="20"/>
                <w:szCs w:val="20"/>
              </w:rPr>
              <w:t>66.7 </w:t>
            </w:r>
          </w:p>
        </w:tc>
        <w:tc>
          <w:tcPr>
            <w:tcW w:w="0" w:type="auto"/>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i/>
                <w:iCs/>
                <w:color w:val="000000"/>
                <w:sz w:val="20"/>
                <w:szCs w:val="20"/>
              </w:rPr>
              <w:t>65.0 </w:t>
            </w:r>
          </w:p>
        </w:tc>
        <w:tc>
          <w:tcPr>
            <w:tcW w:w="0" w:type="auto"/>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i/>
                <w:iCs/>
                <w:color w:val="000000"/>
                <w:sz w:val="20"/>
                <w:szCs w:val="20"/>
              </w:rPr>
              <w:t>170 bps</w:t>
            </w:r>
          </w:p>
        </w:tc>
      </w:tr>
      <w:tr w:rsidR="00000000">
        <w:trPr>
          <w:divId w:val="998769759"/>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(3,305.6)</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(2,638.5)</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(667.1)</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25.3 </w:t>
            </w:r>
          </w:p>
        </w:tc>
        <w:tc>
          <w:tcPr>
            <w:tcW w:w="0" w:type="auto"/>
            <w:shd w:val="clear" w:color="auto" w:fill="CCEE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r>
      <w:tr w:rsidR="00000000">
        <w:trPr>
          <w:divId w:val="998769759"/>
        </w:trPr>
        <w:tc>
          <w:tcPr>
            <w:tcW w:w="0" w:type="auto"/>
            <w:gridSpan w:val="3"/>
            <w:shd w:val="clear" w:color="auto" w:fill="FFFFFF"/>
            <w:tcMar>
              <w:top w:w="30" w:type="dxa"/>
              <w:left w:w="245" w:type="dxa"/>
              <w:bottom w:w="30" w:type="dxa"/>
              <w:right w:w="20" w:type="dxa"/>
            </w:tcMar>
            <w:vAlign w:val="bottom"/>
            <w:hideMark/>
          </w:tcPr>
          <w:p w:rsidR="00000000" w:rsidRDefault="00BB5C2D">
            <w:pPr>
              <w:spacing w:after="100"/>
              <w:rPr>
                <w:rFonts w:eastAsia="Times New Roman"/>
              </w:rPr>
            </w:pPr>
            <w:r>
              <w:rPr>
                <w:rFonts w:eastAsia="Times New Roman"/>
                <w:i/>
                <w:iCs/>
                <w:color w:val="000000"/>
                <w:sz w:val="20"/>
                <w:szCs w:val="20"/>
              </w:rPr>
              <w:t>SG&amp;</w:t>
            </w:r>
            <w:r>
              <w:rPr>
                <w:rFonts w:eastAsia="Times New Roman"/>
                <w:i/>
                <w:iCs/>
                <w:color w:val="000000"/>
                <w:sz w:val="20"/>
                <w:szCs w:val="20"/>
              </w:rPr>
              <w:t>A expenses as % of net revenues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i/>
                <w:iCs/>
                <w:color w:val="000000"/>
                <w:sz w:val="20"/>
                <w:szCs w:val="20"/>
              </w:rPr>
              <w:t>53.2 </w:t>
            </w:r>
          </w:p>
        </w:tc>
        <w:tc>
          <w:tcPr>
            <w:tcW w:w="0" w:type="auto"/>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i/>
                <w:iCs/>
                <w:color w:val="000000"/>
                <w:sz w:val="20"/>
                <w:szCs w:val="20"/>
              </w:rPr>
              <w:t>60.0 </w:t>
            </w:r>
          </w:p>
        </w:tc>
        <w:tc>
          <w:tcPr>
            <w:tcW w:w="0" w:type="auto"/>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i/>
                <w:iCs/>
                <w:color w:val="000000"/>
                <w:sz w:val="20"/>
                <w:szCs w:val="20"/>
              </w:rPr>
              <w:t>(680 </w:t>
            </w:r>
          </w:p>
        </w:tc>
        <w:tc>
          <w:tcPr>
            <w:tcW w:w="0" w:type="auto"/>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i/>
                <w:iCs/>
                <w:color w:val="000000"/>
                <w:sz w:val="20"/>
                <w:szCs w:val="20"/>
              </w:rPr>
              <w:t> bps)</w:t>
            </w:r>
          </w:p>
        </w:tc>
      </w:tr>
      <w:tr w:rsidR="00000000">
        <w:trPr>
          <w:divId w:val="998769759"/>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Impairment of assets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(21.3)</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(96.0)</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74.7 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(77.9 </w:t>
            </w:r>
          </w:p>
        </w:tc>
        <w:tc>
          <w:tcPr>
            <w:tcW w:w="0" w:type="auto"/>
            <w:shd w:val="clear" w:color="auto" w:fill="CCEE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r>
      <w:tr w:rsidR="00000000">
        <w:trPr>
          <w:divId w:val="998769759"/>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Restructuring and other charges, net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(22.2)</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(170.5)</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148.3 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(86.9 </w:t>
            </w:r>
          </w:p>
        </w:tc>
        <w:tc>
          <w:tcPr>
            <w:tcW w:w="0" w:type="auto"/>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r>
      <w:tr w:rsidR="00000000">
        <w:trPr>
          <w:divId w:val="998769759"/>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divId w:val="356465476"/>
              <w:rPr>
                <w:rFonts w:eastAsia="Times New Roman"/>
              </w:rPr>
            </w:pPr>
            <w:r>
              <w:rPr>
                <w:rFonts w:eastAsia="Times New Roman"/>
                <w:b/>
                <w:bCs/>
                <w:color w:val="000000"/>
                <w:sz w:val="20"/>
                <w:szCs w:val="20"/>
              </w:rPr>
              <w:t>Operating income (loss)</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798.4 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(43.6)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842.0 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20"/>
                <w:szCs w:val="20"/>
              </w:rPr>
              <w:t>NM</w:t>
            </w:r>
          </w:p>
        </w:tc>
      </w:tr>
      <w:tr w:rsidR="00000000">
        <w:trPr>
          <w:divId w:val="998769759"/>
        </w:trPr>
        <w:tc>
          <w:tcPr>
            <w:tcW w:w="0" w:type="auto"/>
            <w:gridSpan w:val="3"/>
            <w:shd w:val="clear" w:color="auto" w:fill="FFFFFF"/>
            <w:tcMar>
              <w:top w:w="30" w:type="dxa"/>
              <w:left w:w="245" w:type="dxa"/>
              <w:bottom w:w="30" w:type="dxa"/>
              <w:right w:w="20" w:type="dxa"/>
            </w:tcMar>
            <w:vAlign w:val="bottom"/>
            <w:hideMark/>
          </w:tcPr>
          <w:p w:rsidR="00000000" w:rsidRDefault="00BB5C2D">
            <w:pPr>
              <w:spacing w:after="100"/>
              <w:rPr>
                <w:rFonts w:eastAsia="Times New Roman"/>
              </w:rPr>
            </w:pPr>
            <w:r>
              <w:rPr>
                <w:rFonts w:eastAsia="Times New Roman"/>
                <w:i/>
                <w:iCs/>
                <w:color w:val="000000"/>
                <w:sz w:val="20"/>
                <w:szCs w:val="20"/>
              </w:rPr>
              <w:t>Operating income (loss) as % of net revenues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i/>
                <w:iCs/>
                <w:color w:val="000000"/>
                <w:sz w:val="20"/>
                <w:szCs w:val="20"/>
              </w:rPr>
              <w:t>12.8 </w:t>
            </w:r>
          </w:p>
        </w:tc>
        <w:tc>
          <w:tcPr>
            <w:tcW w:w="0" w:type="auto"/>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i/>
                <w:iCs/>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i/>
                <w:iCs/>
                <w:color w:val="000000"/>
                <w:sz w:val="20"/>
                <w:szCs w:val="20"/>
              </w:rPr>
              <w:t>1,380 </w:t>
            </w:r>
          </w:p>
        </w:tc>
        <w:tc>
          <w:tcPr>
            <w:tcW w:w="0" w:type="auto"/>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i/>
                <w:iCs/>
                <w:color w:val="000000"/>
                <w:sz w:val="20"/>
                <w:szCs w:val="20"/>
              </w:rPr>
              <w:t> bps</w:t>
            </w:r>
          </w:p>
        </w:tc>
      </w:tr>
      <w:tr w:rsidR="00000000">
        <w:trPr>
          <w:divId w:val="998769759"/>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Interest expense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(54.0)</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(48.5)</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(5.5)</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11.4 </w:t>
            </w:r>
          </w:p>
        </w:tc>
        <w:tc>
          <w:tcPr>
            <w:tcW w:w="0" w:type="auto"/>
            <w:shd w:val="clear" w:color="auto" w:fill="CCEE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r>
      <w:tr w:rsidR="00000000">
        <w:trPr>
          <w:divId w:val="998769759"/>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Interest income</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9.7 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(4.2)</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(42.9 </w:t>
            </w:r>
          </w:p>
        </w:tc>
        <w:tc>
          <w:tcPr>
            <w:tcW w:w="0" w:type="auto"/>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r>
      <w:tr w:rsidR="00000000">
        <w:trPr>
          <w:divId w:val="998769759"/>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Other income, net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(2.9)</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(37.9 </w:t>
            </w:r>
          </w:p>
        </w:tc>
        <w:tc>
          <w:tcPr>
            <w:tcW w:w="0" w:type="auto"/>
            <w:shd w:val="clear" w:color="auto" w:fill="CCEE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r>
      <w:tr w:rsidR="00000000">
        <w:trPr>
          <w:divId w:val="998769759"/>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divId w:val="1153640445"/>
              <w:rPr>
                <w:rFonts w:eastAsia="Times New Roman"/>
              </w:rPr>
            </w:pPr>
            <w:r>
              <w:rPr>
                <w:rFonts w:eastAsia="Times New Roman"/>
                <w:b/>
                <w:bCs/>
                <w:color w:val="000000"/>
                <w:sz w:val="20"/>
                <w:szCs w:val="20"/>
              </w:rPr>
              <w:t>Income (loss) before income taxes</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754.6 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(74.8)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829.4 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20"/>
                <w:szCs w:val="20"/>
              </w:rPr>
              <w:t>NM</w:t>
            </w:r>
          </w:p>
        </w:tc>
      </w:tr>
      <w:tr w:rsidR="00000000">
        <w:trPr>
          <w:divId w:val="998769759"/>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Income tax provision</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(154.5)</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(46.3)</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(108.2)</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233.6 </w:t>
            </w:r>
          </w:p>
        </w:tc>
        <w:tc>
          <w:tcPr>
            <w:tcW w:w="0" w:type="auto"/>
            <w:shd w:val="clear" w:color="auto" w:fill="CCEE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r>
      <w:tr w:rsidR="00000000">
        <w:trPr>
          <w:divId w:val="998769759"/>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divId w:val="752356731"/>
              <w:rPr>
                <w:rFonts w:eastAsia="Times New Roman"/>
              </w:rPr>
            </w:pPr>
            <w:r>
              <w:rPr>
                <w:rFonts w:eastAsia="Times New Roman"/>
                <w:i/>
                <w:iCs/>
                <w:color w:val="000000"/>
                <w:sz w:val="20"/>
                <w:szCs w:val="20"/>
              </w:rPr>
              <w:t>Effective tax rat</w:t>
            </w:r>
            <w:r>
              <w:rPr>
                <w:rFonts w:eastAsia="Times New Roman"/>
                <w:i/>
                <w:iCs/>
                <w:color w:val="000000"/>
                <w:sz w:val="20"/>
                <w:szCs w:val="20"/>
              </w:rPr>
              <w:t>e</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i/>
                <w:iCs/>
                <w:color w:val="000000"/>
                <w:sz w:val="20"/>
                <w:szCs w:val="20"/>
              </w:rPr>
              <w:t>20.5 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i/>
                <w:iCs/>
                <w:color w:val="000000"/>
                <w:sz w:val="20"/>
                <w:szCs w:val="20"/>
              </w:rPr>
              <w:t>(61.9 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i/>
                <w:iCs/>
                <w:color w:val="000000"/>
                <w:sz w:val="20"/>
                <w:szCs w:val="20"/>
              </w:rPr>
              <w:t>8,240 </w:t>
            </w:r>
          </w:p>
        </w:tc>
        <w:tc>
          <w:tcPr>
            <w:tcW w:w="0" w:type="auto"/>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i/>
                <w:iCs/>
                <w:color w:val="000000"/>
                <w:sz w:val="20"/>
                <w:szCs w:val="20"/>
              </w:rPr>
              <w:t> bps</w:t>
            </w:r>
          </w:p>
        </w:tc>
      </w:tr>
      <w:tr w:rsidR="00000000">
        <w:trPr>
          <w:divId w:val="998769759"/>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divId w:val="720054701"/>
              <w:rPr>
                <w:rFonts w:eastAsia="Times New Roman"/>
              </w:rPr>
            </w:pPr>
            <w:r>
              <w:rPr>
                <w:rFonts w:eastAsia="Times New Roman"/>
                <w:b/>
                <w:bCs/>
                <w:color w:val="000000"/>
                <w:sz w:val="20"/>
                <w:szCs w:val="20"/>
              </w:rPr>
              <w:t>Net income (loss)</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600.1 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(121.1)</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721.2 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20"/>
                <w:szCs w:val="20"/>
              </w:rPr>
              <w:t>NM</w:t>
            </w:r>
          </w:p>
        </w:tc>
      </w:tr>
      <w:tr w:rsidR="00000000">
        <w:trPr>
          <w:divId w:val="998769759"/>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b/>
                <w:bCs/>
                <w:color w:val="000000"/>
                <w:sz w:val="20"/>
                <w:szCs w:val="20"/>
              </w:rPr>
              <w:t>Net income (loss) per common share:</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998769759"/>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divId w:val="2020042919"/>
              <w:rPr>
                <w:rFonts w:eastAsia="Times New Roman"/>
              </w:rPr>
            </w:pPr>
            <w:r>
              <w:rPr>
                <w:rFonts w:eastAsia="Times New Roman"/>
                <w:b/>
                <w:bCs/>
                <w:color w:val="000000"/>
                <w:sz w:val="20"/>
                <w:szCs w:val="20"/>
              </w:rPr>
              <w:t>Basic</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8.22 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(1.65)</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9.87 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20"/>
                <w:szCs w:val="20"/>
              </w:rPr>
              <w:t>NM</w:t>
            </w:r>
          </w:p>
        </w:tc>
      </w:tr>
      <w:tr w:rsidR="00000000">
        <w:trPr>
          <w:divId w:val="998769759"/>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divId w:val="2030374129"/>
              <w:rPr>
                <w:rFonts w:eastAsia="Times New Roman"/>
              </w:rPr>
            </w:pPr>
            <w:r>
              <w:rPr>
                <w:rFonts w:eastAsia="Times New Roman"/>
                <w:color w:val="000000"/>
                <w:sz w:val="20"/>
                <w:szCs w:val="20"/>
              </w:rPr>
              <w:t>  </w:t>
            </w:r>
            <w:r>
              <w:rPr>
                <w:rFonts w:eastAsia="Times New Roman"/>
                <w:b/>
                <w:bCs/>
                <w:color w:val="000000"/>
                <w:sz w:val="20"/>
                <w:szCs w:val="20"/>
              </w:rPr>
              <w:t>Diluted</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8.07 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(1.65)</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9.72 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20"/>
                <w:szCs w:val="20"/>
              </w:rPr>
              <w:t>NM</w:t>
            </w: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BB5C2D">
            <w:pPr>
              <w:rPr>
                <w:rFonts w:eastAsia="Times New Roman"/>
              </w:rPr>
            </w:pPr>
          </w:p>
        </w:tc>
        <w:tc>
          <w:tcPr>
            <w:tcW w:w="494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r>
    </w:tbl>
    <w:p w:rsidR="00000000" w:rsidRDefault="00BB5C2D">
      <w:pPr>
        <w:ind w:hanging="540"/>
        <w:jc w:val="both"/>
        <w:divId w:val="1423258604"/>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Effective tax rate is calculated by dividing the income tax provision by income (loss) before income taxes.</w:t>
      </w:r>
    </w:p>
    <w:p w:rsidR="00000000" w:rsidRDefault="00BB5C2D">
      <w:pPr>
        <w:ind w:hanging="540"/>
        <w:jc w:val="both"/>
        <w:divId w:val="1844271730"/>
        <w:rPr>
          <w:rFonts w:eastAsia="Times New Roman"/>
        </w:rPr>
      </w:pPr>
      <w:r>
        <w:rPr>
          <w:rFonts w:eastAsia="Times New Roman"/>
          <w:color w:val="000000"/>
          <w:sz w:val="20"/>
          <w:szCs w:val="20"/>
        </w:rPr>
        <w:t>NM Not meaningful.</w:t>
      </w:r>
    </w:p>
    <w:p w:rsidR="00000000" w:rsidRDefault="00BB5C2D">
      <w:pPr>
        <w:ind w:firstLine="540"/>
        <w:jc w:val="both"/>
        <w:divId w:val="1616789490"/>
        <w:rPr>
          <w:rFonts w:eastAsia="Times New Roman"/>
        </w:rPr>
      </w:pPr>
      <w:r>
        <w:rPr>
          <w:rFonts w:eastAsia="Times New Roman"/>
          <w:i/>
          <w:iCs/>
          <w:color w:val="000000"/>
          <w:sz w:val="20"/>
          <w:szCs w:val="20"/>
        </w:rPr>
        <w:t>Net Revenues.</w:t>
      </w:r>
      <w:r>
        <w:rPr>
          <w:rFonts w:eastAsia="Times New Roman"/>
          <w:color w:val="000000"/>
          <w:sz w:val="20"/>
          <w:szCs w:val="20"/>
        </w:rPr>
        <w:t>    Net revenues increased by $1.818 billion, or 41.3%, to $6.219 billion in Fiscal 2022 as compared to Fiscal 2021,</w:t>
      </w:r>
      <w:r>
        <w:rPr>
          <w:rFonts w:eastAsia="Times New Roman"/>
          <w:color w:val="000000"/>
          <w:sz w:val="20"/>
          <w:szCs w:val="20"/>
        </w:rPr>
        <w:t xml:space="preserve"> including net unfavorable foreign currency effects of $24.5 million. This increase also reflected the favorable impact of the 53rd week in Fiscal 2022, which resulted in incremental net revenues of $62.7 million. On a constant currency basis, net revenues</w:t>
      </w:r>
      <w:r>
        <w:rPr>
          <w:rFonts w:eastAsia="Times New Roman"/>
          <w:color w:val="000000"/>
          <w:sz w:val="20"/>
          <w:szCs w:val="20"/>
        </w:rPr>
        <w:t xml:space="preserve"> increased by $1.842 billion, or 41.9%.</w:t>
      </w:r>
      <w:r>
        <w:rPr>
          <w:rFonts w:eastAsia="Times New Roman"/>
          <w:color w:val="000000"/>
          <w:sz w:val="20"/>
          <w:szCs w:val="20"/>
          <w:shd w:val="clear" w:color="auto" w:fill="FFFFFF"/>
        </w:rPr>
        <w:t xml:space="preserve"> The increase in net revenues reflected growth across all regions largely driven by a reduction in store closures and other COVID-19-related disruptions experienced during the current fiscal year as compared to the pr</w:t>
      </w:r>
      <w:r>
        <w:rPr>
          <w:rFonts w:eastAsia="Times New Roman"/>
          <w:color w:val="000000"/>
          <w:sz w:val="20"/>
          <w:szCs w:val="20"/>
          <w:shd w:val="clear" w:color="auto" w:fill="FFFFFF"/>
        </w:rPr>
        <w:t xml:space="preserve">ior fiscal year, coupled with continued growth in our digital commerce operations and overall stronger consumer demand, as well as the benefit of the incremental 53rd week as previously discussed. This growth was partially offset by the disposition of our </w:t>
      </w:r>
      <w:r>
        <w:rPr>
          <w:rFonts w:eastAsia="Times New Roman"/>
          <w:color w:val="000000"/>
          <w:sz w:val="20"/>
          <w:szCs w:val="20"/>
          <w:shd w:val="clear" w:color="auto" w:fill="FFFFFF"/>
        </w:rPr>
        <w:t>former Club Monaco business at the end of the first quarter of Fiscal 2022 and the transition of our Chaps business to a fully licensed business model during the second quarter of Fiscal 2022.</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315845463"/>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315845463"/>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51</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79" style="width:0;height:1.5pt" o:hralign="center" o:hrstd="t" o:hr="t" fillcolor="#a0a0a0" stroked="f"/>
        </w:pict>
      </w:r>
    </w:p>
    <w:p w:rsidR="00000000" w:rsidRDefault="00BB5C2D">
      <w:pPr>
        <w:divId w:val="1279482372"/>
        <w:rPr>
          <w:rFonts w:eastAsia="Times New Roman"/>
        </w:rPr>
      </w:pPr>
    </w:p>
    <w:p w:rsidR="00000000" w:rsidRDefault="00BB5C2D">
      <w:pPr>
        <w:ind w:firstLine="540"/>
        <w:jc w:val="both"/>
        <w:divId w:val="1002705825"/>
        <w:rPr>
          <w:rFonts w:eastAsia="Times New Roman"/>
        </w:rPr>
      </w:pPr>
      <w:r>
        <w:rPr>
          <w:rFonts w:eastAsia="Times New Roman"/>
          <w:color w:val="000000"/>
          <w:sz w:val="20"/>
          <w:szCs w:val="20"/>
          <w:shd w:val="clear" w:color="auto" w:fill="FFFFFF"/>
        </w:rPr>
        <w:t>The following table summarizes the</w:t>
      </w:r>
      <w:r>
        <w:rPr>
          <w:rFonts w:eastAsia="Times New Roman"/>
          <w:color w:val="000000"/>
          <w:sz w:val="20"/>
          <w:szCs w:val="20"/>
        </w:rPr>
        <w:t xml:space="preserve"> percentage change in our Fiscal 2022 consolidated comparable store sales as compared to the prior fiscal year:</w:t>
      </w:r>
    </w:p>
    <w:tbl>
      <w:tblPr>
        <w:tblW w:w="4722" w:type="pct"/>
        <w:tblCellMar>
          <w:top w:w="15" w:type="dxa"/>
          <w:left w:w="15" w:type="dxa"/>
          <w:bottom w:w="15" w:type="dxa"/>
          <w:right w:w="15" w:type="dxa"/>
        </w:tblCellMar>
        <w:tblLook w:val="04A0" w:firstRow="1" w:lastRow="0" w:firstColumn="1" w:lastColumn="0" w:noHBand="0" w:noVBand="1"/>
      </w:tblPr>
      <w:tblGrid>
        <w:gridCol w:w="38"/>
        <w:gridCol w:w="6418"/>
        <w:gridCol w:w="37"/>
        <w:gridCol w:w="36"/>
        <w:gridCol w:w="36"/>
        <w:gridCol w:w="36"/>
        <w:gridCol w:w="37"/>
        <w:gridCol w:w="1019"/>
        <w:gridCol w:w="187"/>
      </w:tblGrid>
      <w:tr w:rsidR="00000000">
        <w:trPr>
          <w:divId w:val="348218395"/>
        </w:trPr>
        <w:tc>
          <w:tcPr>
            <w:tcW w:w="50" w:type="pct"/>
            <w:vAlign w:val="center"/>
            <w:hideMark/>
          </w:tcPr>
          <w:p w:rsidR="00000000" w:rsidRDefault="00BB5C2D">
            <w:pPr>
              <w:ind w:firstLine="540"/>
              <w:jc w:val="both"/>
              <w:rPr>
                <w:rFonts w:eastAsia="Times New Roman"/>
              </w:rPr>
            </w:pPr>
          </w:p>
        </w:tc>
        <w:tc>
          <w:tcPr>
            <w:tcW w:w="413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348218395"/>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 Change</w:t>
            </w:r>
          </w:p>
        </w:tc>
      </w:tr>
      <w:tr w:rsidR="00000000">
        <w:trPr>
          <w:divId w:val="348218395"/>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Digital commerce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r>
      <w:tr w:rsidR="00000000">
        <w:trPr>
          <w:divId w:val="348218395"/>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Brick and mortar</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43 </w:t>
            </w:r>
          </w:p>
        </w:tc>
        <w:tc>
          <w:tcPr>
            <w:tcW w:w="0" w:type="auto"/>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r>
      <w:tr w:rsidR="00000000">
        <w:trPr>
          <w:divId w:val="348218395"/>
        </w:trPr>
        <w:tc>
          <w:tcPr>
            <w:tcW w:w="0" w:type="auto"/>
            <w:gridSpan w:val="3"/>
            <w:shd w:val="clear" w:color="auto" w:fill="CCEEFF"/>
            <w:tcMar>
              <w:top w:w="30" w:type="dxa"/>
              <w:left w:w="26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comparable store sales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r>
    </w:tbl>
    <w:p w:rsidR="00000000" w:rsidRDefault="00BB5C2D">
      <w:pPr>
        <w:ind w:firstLine="540"/>
        <w:jc w:val="both"/>
        <w:divId w:val="367994463"/>
        <w:rPr>
          <w:rFonts w:eastAsia="Times New Roman"/>
        </w:rPr>
      </w:pPr>
      <w:r>
        <w:rPr>
          <w:rFonts w:eastAsia="Times New Roman"/>
          <w:color w:val="000000"/>
          <w:sz w:val="20"/>
          <w:szCs w:val="20"/>
        </w:rPr>
        <w:t>Our global average store count decreased by 25 stores and concession shops during Fiscal 2022 compared with the prior fiscal year, largely driven by the sale of our former Club Monaco business on June 26, 2021, partially offset by new openings primarily in</w:t>
      </w:r>
      <w:r>
        <w:rPr>
          <w:rFonts w:eastAsia="Times New Roman"/>
          <w:color w:val="000000"/>
          <w:sz w:val="20"/>
          <w:szCs w:val="20"/>
        </w:rPr>
        <w:t xml:space="preserve"> Asia. The following table details our retail store presence by segment as of the periods presented:</w:t>
      </w:r>
    </w:p>
    <w:tbl>
      <w:tblPr>
        <w:tblW w:w="4729" w:type="pct"/>
        <w:tblCellMar>
          <w:top w:w="15" w:type="dxa"/>
          <w:left w:w="15" w:type="dxa"/>
          <w:bottom w:w="15" w:type="dxa"/>
          <w:right w:w="15" w:type="dxa"/>
        </w:tblCellMar>
        <w:tblLook w:val="04A0" w:firstRow="1" w:lastRow="0" w:firstColumn="1" w:lastColumn="0" w:noHBand="0" w:noVBand="1"/>
      </w:tblPr>
      <w:tblGrid>
        <w:gridCol w:w="54"/>
        <w:gridCol w:w="5173"/>
        <w:gridCol w:w="37"/>
        <w:gridCol w:w="36"/>
        <w:gridCol w:w="36"/>
        <w:gridCol w:w="36"/>
        <w:gridCol w:w="38"/>
        <w:gridCol w:w="1090"/>
        <w:gridCol w:w="36"/>
        <w:gridCol w:w="36"/>
        <w:gridCol w:w="55"/>
        <w:gridCol w:w="36"/>
        <w:gridCol w:w="54"/>
        <w:gridCol w:w="1103"/>
        <w:gridCol w:w="36"/>
      </w:tblGrid>
      <w:tr w:rsidR="00000000">
        <w:trPr>
          <w:divId w:val="1738823114"/>
        </w:trPr>
        <w:tc>
          <w:tcPr>
            <w:tcW w:w="50" w:type="pct"/>
            <w:vAlign w:val="center"/>
            <w:hideMark/>
          </w:tcPr>
          <w:p w:rsidR="00000000" w:rsidRDefault="00BB5C2D">
            <w:pPr>
              <w:ind w:firstLine="540"/>
              <w:jc w:val="both"/>
              <w:rPr>
                <w:rFonts w:eastAsia="Times New Roman"/>
              </w:rPr>
            </w:pPr>
          </w:p>
        </w:tc>
        <w:tc>
          <w:tcPr>
            <w:tcW w:w="330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1"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738823114"/>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r>
      <w:tr w:rsidR="00000000">
        <w:trPr>
          <w:divId w:val="1738823114"/>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b/>
                <w:bCs/>
                <w:color w:val="000000"/>
                <w:sz w:val="20"/>
                <w:szCs w:val="20"/>
              </w:rPr>
              <w:t>Freestanding Stores: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738823114"/>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North America</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239 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233 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738823114"/>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Europe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95 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92 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738823114"/>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Asia</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170 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151 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738823114"/>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Other non-reportable segments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738823114"/>
        </w:trPr>
        <w:tc>
          <w:tcPr>
            <w:tcW w:w="0" w:type="auto"/>
            <w:gridSpan w:val="3"/>
            <w:shd w:val="clear" w:color="auto" w:fill="FFFFFF"/>
            <w:tcMar>
              <w:top w:w="30" w:type="dxa"/>
              <w:left w:w="24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freestanding stores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738823114"/>
          <w:trHeight w:val="180"/>
        </w:trPr>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738823114"/>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b/>
                <w:bCs/>
                <w:color w:val="000000"/>
                <w:sz w:val="20"/>
                <w:szCs w:val="20"/>
              </w:rPr>
              <w:t>Concession Shops: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738823114"/>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North America</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738823114"/>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Europe</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738823114"/>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Asia</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654 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616 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738823114"/>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Other non-reportable segments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738823114"/>
        </w:trPr>
        <w:tc>
          <w:tcPr>
            <w:tcW w:w="0" w:type="auto"/>
            <w:gridSpan w:val="3"/>
            <w:shd w:val="clear" w:color="auto" w:fill="CCEEFF"/>
            <w:tcMar>
              <w:top w:w="30" w:type="dxa"/>
              <w:left w:w="24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concession shops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738823114"/>
        </w:trPr>
        <w:tc>
          <w:tcPr>
            <w:tcW w:w="0" w:type="auto"/>
            <w:gridSpan w:val="3"/>
            <w:shd w:val="clear" w:color="auto" w:fill="FFFFFF"/>
            <w:tcMar>
              <w:top w:w="30" w:type="dxa"/>
              <w:left w:w="38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stores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1,188 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1,198 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bl>
    <w:p w:rsidR="00000000" w:rsidRDefault="00BB5C2D">
      <w:pPr>
        <w:ind w:firstLine="540"/>
        <w:jc w:val="both"/>
        <w:divId w:val="1202980565"/>
        <w:rPr>
          <w:rFonts w:eastAsia="Times New Roman"/>
        </w:rPr>
      </w:pPr>
      <w:r>
        <w:rPr>
          <w:rFonts w:eastAsia="Times New Roman"/>
          <w:color w:val="000000"/>
          <w:sz w:val="20"/>
          <w:szCs w:val="20"/>
        </w:rPr>
        <w:t>In addition to our stores, we sell products online in North America, Europe, and Asia through our various digital commerce sites, as well as through our mobile apps in North America and the United Kingdom. We also sell products online through various third</w:t>
      </w:r>
      <w:r>
        <w:rPr>
          <w:rFonts w:eastAsia="Times New Roman"/>
          <w:color w:val="000000"/>
          <w:sz w:val="20"/>
          <w:szCs w:val="20"/>
        </w:rPr>
        <w:t>-party digital partner commerce sites, primarily in Asia.</w:t>
      </w:r>
    </w:p>
    <w:p w:rsidR="00000000" w:rsidRDefault="00BB5C2D">
      <w:pPr>
        <w:ind w:firstLine="540"/>
        <w:jc w:val="both"/>
        <w:divId w:val="875198433"/>
        <w:rPr>
          <w:rFonts w:eastAsia="Times New Roman"/>
        </w:rPr>
      </w:pPr>
      <w:r>
        <w:rPr>
          <w:rFonts w:eastAsia="Times New Roman"/>
          <w:color w:val="000000"/>
          <w:sz w:val="20"/>
          <w:szCs w:val="20"/>
        </w:rPr>
        <w:t>Net revenues for our segments, as well as a discussion of the changes in each reportable segment's net revenues from the prior fiscal year, are provided below:</w:t>
      </w:r>
    </w:p>
    <w:tbl>
      <w:tblPr>
        <w:tblW w:w="4700" w:type="pct"/>
        <w:tblCellMar>
          <w:top w:w="15" w:type="dxa"/>
          <w:left w:w="15" w:type="dxa"/>
          <w:bottom w:w="15" w:type="dxa"/>
          <w:right w:w="15" w:type="dxa"/>
        </w:tblCellMar>
        <w:tblLook w:val="04A0" w:firstRow="1" w:lastRow="0" w:firstColumn="1" w:lastColumn="0" w:noHBand="0" w:noVBand="1"/>
      </w:tblPr>
      <w:tblGrid>
        <w:gridCol w:w="39"/>
        <w:gridCol w:w="1575"/>
        <w:gridCol w:w="38"/>
        <w:gridCol w:w="36"/>
        <w:gridCol w:w="36"/>
        <w:gridCol w:w="36"/>
        <w:gridCol w:w="110"/>
        <w:gridCol w:w="585"/>
        <w:gridCol w:w="36"/>
        <w:gridCol w:w="36"/>
        <w:gridCol w:w="36"/>
        <w:gridCol w:w="36"/>
        <w:gridCol w:w="110"/>
        <w:gridCol w:w="585"/>
        <w:gridCol w:w="36"/>
        <w:gridCol w:w="36"/>
        <w:gridCol w:w="36"/>
        <w:gridCol w:w="36"/>
        <w:gridCol w:w="110"/>
        <w:gridCol w:w="585"/>
        <w:gridCol w:w="36"/>
        <w:gridCol w:w="36"/>
        <w:gridCol w:w="36"/>
        <w:gridCol w:w="36"/>
        <w:gridCol w:w="111"/>
        <w:gridCol w:w="586"/>
        <w:gridCol w:w="36"/>
        <w:gridCol w:w="36"/>
        <w:gridCol w:w="36"/>
        <w:gridCol w:w="36"/>
        <w:gridCol w:w="110"/>
        <w:gridCol w:w="585"/>
        <w:gridCol w:w="36"/>
        <w:gridCol w:w="36"/>
        <w:gridCol w:w="36"/>
        <w:gridCol w:w="36"/>
        <w:gridCol w:w="78"/>
        <w:gridCol w:w="555"/>
        <w:gridCol w:w="230"/>
        <w:gridCol w:w="36"/>
        <w:gridCol w:w="36"/>
        <w:gridCol w:w="36"/>
        <w:gridCol w:w="80"/>
        <w:gridCol w:w="570"/>
        <w:gridCol w:w="230"/>
      </w:tblGrid>
      <w:tr w:rsidR="00000000">
        <w:trPr>
          <w:divId w:val="234171331"/>
        </w:trPr>
        <w:tc>
          <w:tcPr>
            <w:tcW w:w="50" w:type="pct"/>
            <w:vAlign w:val="center"/>
            <w:hideMark/>
          </w:tcPr>
          <w:p w:rsidR="00000000" w:rsidRDefault="00BB5C2D">
            <w:pPr>
              <w:ind w:firstLine="540"/>
              <w:jc w:val="both"/>
              <w:rPr>
                <w:rFonts w:eastAsia="Times New Roman"/>
              </w:rPr>
            </w:pPr>
          </w:p>
        </w:tc>
        <w:tc>
          <w:tcPr>
            <w:tcW w:w="155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03"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03"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03"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03"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03"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35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35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234171331"/>
          <w:trHeight w:val="240"/>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5"/>
                <w:szCs w:val="15"/>
              </w:rPr>
              <w:t>Fiscal Years Ended</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5"/>
                <w:szCs w:val="15"/>
              </w:rPr>
              <w:t>$ Change</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5"/>
                <w:szCs w:val="15"/>
              </w:rPr>
              <w:t>Foreign Exchange Impact</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5"/>
                <w:szCs w:val="15"/>
              </w:rPr>
              <w:t>$ Change</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5"/>
                <w:szCs w:val="15"/>
              </w:rPr>
              <w:t>% Change</w:t>
            </w:r>
          </w:p>
        </w:tc>
      </w:tr>
      <w:tr w:rsidR="00000000">
        <w:trPr>
          <w:divId w:val="234171331"/>
          <w:trHeight w:val="420"/>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5"/>
                <w:szCs w:val="15"/>
              </w:rPr>
              <w:t>April 2,</w:t>
            </w:r>
            <w:r>
              <w:rPr>
                <w:rFonts w:eastAsia="Times New Roman"/>
                <w:b/>
                <w:bCs/>
                <w:color w:val="000000"/>
                <w:sz w:val="15"/>
                <w:szCs w:val="15"/>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5"/>
                <w:szCs w:val="15"/>
              </w:rPr>
              <w:t>March 27,</w:t>
            </w:r>
            <w:r>
              <w:rPr>
                <w:rFonts w:eastAsia="Times New Roman"/>
                <w:b/>
                <w:bCs/>
                <w:color w:val="000000"/>
                <w:sz w:val="15"/>
                <w:szCs w:val="15"/>
              </w:rPr>
              <w:br/>
              <w:t>2021</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5"/>
                <w:szCs w:val="15"/>
              </w:rPr>
              <w:t>As</w:t>
            </w:r>
            <w:r>
              <w:rPr>
                <w:rFonts w:eastAsia="Times New Roman"/>
                <w:b/>
                <w:bCs/>
                <w:color w:val="000000"/>
                <w:sz w:val="15"/>
                <w:szCs w:val="15"/>
              </w:rPr>
              <w:br/>
              <w:t>Reported</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vMerge/>
            <w:tcBorders>
              <w:bottom w:val="single" w:sz="8" w:space="0" w:color="000000"/>
            </w:tcBorders>
            <w:vAlign w:val="center"/>
            <w:hideMark/>
          </w:tcPr>
          <w:p w:rsidR="00000000" w:rsidRDefault="00BB5C2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5"/>
                <w:szCs w:val="15"/>
              </w:rPr>
              <w:t>Constant Currency</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5"/>
                <w:szCs w:val="15"/>
              </w:rPr>
              <w:t>As</w:t>
            </w:r>
            <w:r>
              <w:rPr>
                <w:rFonts w:eastAsia="Times New Roman"/>
                <w:b/>
                <w:bCs/>
                <w:color w:val="000000"/>
                <w:sz w:val="15"/>
                <w:szCs w:val="15"/>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5"/>
                <w:szCs w:val="15"/>
              </w:rPr>
              <w:t>Constant</w:t>
            </w:r>
            <w:r>
              <w:rPr>
                <w:rFonts w:eastAsia="Times New Roman"/>
                <w:b/>
                <w:bCs/>
                <w:color w:val="000000"/>
                <w:sz w:val="15"/>
                <w:szCs w:val="15"/>
              </w:rPr>
              <w:br/>
              <w:t>Currency</w:t>
            </w:r>
          </w:p>
        </w:tc>
      </w:tr>
      <w:tr w:rsidR="00000000">
        <w:trPr>
          <w:divId w:val="234171331"/>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234171331"/>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b/>
                <w:bCs/>
                <w:color w:val="000000"/>
                <w:sz w:val="18"/>
                <w:szCs w:val="18"/>
              </w:rPr>
              <w:t>Net Revenues: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BB5C2D">
        <w:trPr>
          <w:divId w:val="234171331"/>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North America</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2,968.2 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1,992.4 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975.8 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4.4 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971.4 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49.0 </w:t>
            </w:r>
          </w:p>
        </w:tc>
        <w:tc>
          <w:tcPr>
            <w:tcW w:w="0" w:type="auto"/>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48.8 </w:t>
            </w:r>
          </w:p>
        </w:tc>
        <w:tc>
          <w:tcPr>
            <w:tcW w:w="0" w:type="auto"/>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w:t>
            </w:r>
          </w:p>
        </w:tc>
      </w:tr>
      <w:tr w:rsidR="00000000">
        <w:trPr>
          <w:divId w:val="234171331"/>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Europe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1,780.7 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1,165.9 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614.8 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(12.9)</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627.7 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52.7 </w:t>
            </w:r>
          </w:p>
        </w:tc>
        <w:tc>
          <w:tcPr>
            <w:tcW w:w="0" w:type="auto"/>
            <w:shd w:val="clear" w:color="auto" w:fill="CCEE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53.8 </w:t>
            </w:r>
          </w:p>
        </w:tc>
        <w:tc>
          <w:tcPr>
            <w:tcW w:w="0" w:type="auto"/>
            <w:shd w:val="clear" w:color="auto" w:fill="CCEE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w:t>
            </w:r>
          </w:p>
        </w:tc>
      </w:tr>
      <w:tr w:rsidR="00000000">
        <w:trPr>
          <w:divId w:val="234171331"/>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Asia</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1,286.8 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1,027.5 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259.3 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(16.0)</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275.3 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25.2 </w:t>
            </w:r>
          </w:p>
        </w:tc>
        <w:tc>
          <w:tcPr>
            <w:tcW w:w="0" w:type="auto"/>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26.8 </w:t>
            </w:r>
          </w:p>
        </w:tc>
        <w:tc>
          <w:tcPr>
            <w:tcW w:w="0" w:type="auto"/>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w:t>
            </w:r>
          </w:p>
        </w:tc>
      </w:tr>
      <w:tr w:rsidR="00000000">
        <w:trPr>
          <w:divId w:val="234171331"/>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divId w:val="266929264"/>
              <w:rPr>
                <w:rFonts w:eastAsia="Times New Roman"/>
              </w:rPr>
            </w:pPr>
            <w:r>
              <w:rPr>
                <w:rFonts w:eastAsia="Times New Roman"/>
                <w:color w:val="000000"/>
                <w:sz w:val="20"/>
                <w:szCs w:val="20"/>
              </w:rPr>
              <w:t>Other non-reportable segment</w:t>
            </w:r>
            <w:r>
              <w:rPr>
                <w:rFonts w:eastAsia="Times New Roman"/>
                <w:color w:val="000000"/>
                <w:sz w:val="20"/>
                <w:szCs w:val="20"/>
              </w:rPr>
              <w:t>s</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182.8 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215.0 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(32.2)</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(32.2)</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(15.0 </w:t>
            </w:r>
          </w:p>
        </w:tc>
        <w:tc>
          <w:tcPr>
            <w:tcW w:w="0" w:type="auto"/>
            <w:shd w:val="clear" w:color="auto" w:fill="CCEE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(15.0 </w:t>
            </w:r>
          </w:p>
        </w:tc>
        <w:tc>
          <w:tcPr>
            <w:tcW w:w="0" w:type="auto"/>
            <w:shd w:val="clear" w:color="auto" w:fill="CCEE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w:t>
            </w:r>
          </w:p>
        </w:tc>
      </w:tr>
      <w:tr w:rsidR="00BB5C2D">
        <w:trPr>
          <w:divId w:val="234171331"/>
        </w:trPr>
        <w:tc>
          <w:tcPr>
            <w:tcW w:w="0" w:type="auto"/>
            <w:gridSpan w:val="3"/>
            <w:shd w:val="clear" w:color="auto" w:fill="FFFFFF"/>
            <w:tcMar>
              <w:top w:w="30" w:type="dxa"/>
              <w:left w:w="380"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Total net revenues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6,218.5 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4,400.8 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1,817.7 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(24.5)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1,842.2 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41.3 </w:t>
            </w:r>
          </w:p>
        </w:tc>
        <w:tc>
          <w:tcPr>
            <w:tcW w:w="0" w:type="auto"/>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41.9 </w:t>
            </w:r>
          </w:p>
        </w:tc>
        <w:tc>
          <w:tcPr>
            <w:tcW w:w="0" w:type="auto"/>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w:t>
            </w:r>
          </w:p>
        </w:tc>
      </w:tr>
    </w:tbl>
    <w:p w:rsidR="00000000" w:rsidRDefault="00BB5C2D">
      <w:pPr>
        <w:divId w:val="234171331"/>
        <w:rPr>
          <w:rFonts w:eastAsia="Times New Roman"/>
          <w:vanish/>
        </w:rPr>
      </w:pPr>
    </w:p>
    <w:tbl>
      <w:tblPr>
        <w:tblW w:w="972" w:type="pct"/>
        <w:tblCellMar>
          <w:top w:w="15" w:type="dxa"/>
          <w:left w:w="15" w:type="dxa"/>
          <w:bottom w:w="15" w:type="dxa"/>
          <w:right w:w="15" w:type="dxa"/>
        </w:tblCellMar>
        <w:tblLook w:val="04A0" w:firstRow="1" w:lastRow="0" w:firstColumn="1" w:lastColumn="0" w:noHBand="0" w:noVBand="1"/>
      </w:tblPr>
      <w:tblGrid>
        <w:gridCol w:w="36"/>
        <w:gridCol w:w="1543"/>
        <w:gridCol w:w="36"/>
      </w:tblGrid>
      <w:tr w:rsidR="00000000">
        <w:trPr>
          <w:divId w:val="234171331"/>
        </w:trPr>
        <w:tc>
          <w:tcPr>
            <w:tcW w:w="50" w:type="pct"/>
            <w:vAlign w:val="center"/>
            <w:hideMark/>
          </w:tcPr>
          <w:p w:rsidR="00000000" w:rsidRDefault="00BB5C2D">
            <w:pPr>
              <w:rPr>
                <w:rFonts w:eastAsia="Times New Roman"/>
              </w:rPr>
            </w:pPr>
          </w:p>
        </w:tc>
        <w:tc>
          <w:tcPr>
            <w:tcW w:w="494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234171331"/>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r>
    </w:tbl>
    <w:p w:rsidR="00000000" w:rsidRDefault="00BB5C2D">
      <w:pPr>
        <w:ind w:hanging="540"/>
        <w:jc w:val="both"/>
        <w:divId w:val="1615164990"/>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Reflects the disposition of our former Club Monaco business at the end of the first quarter of Fiscal 2022.</w:t>
      </w:r>
    </w:p>
    <w:p w:rsidR="00000000" w:rsidRDefault="00BB5C2D">
      <w:pPr>
        <w:ind w:firstLine="540"/>
        <w:jc w:val="both"/>
        <w:divId w:val="1572695450"/>
        <w:rPr>
          <w:rFonts w:eastAsia="Times New Roman"/>
        </w:rPr>
      </w:pPr>
      <w:r>
        <w:rPr>
          <w:rFonts w:eastAsia="Times New Roman"/>
          <w:i/>
          <w:iCs/>
          <w:color w:val="000000"/>
          <w:sz w:val="20"/>
          <w:szCs w:val="20"/>
        </w:rPr>
        <w:t>North America net revenues</w:t>
      </w:r>
      <w:r>
        <w:rPr>
          <w:rFonts w:eastAsia="Times New Roman"/>
          <w:color w:val="000000"/>
          <w:sz w:val="20"/>
          <w:szCs w:val="20"/>
        </w:rPr>
        <w:t xml:space="preserve"> — </w:t>
      </w:r>
      <w:r>
        <w:rPr>
          <w:rFonts w:eastAsia="Times New Roman"/>
          <w:color w:val="000000"/>
          <w:sz w:val="20"/>
          <w:szCs w:val="20"/>
        </w:rPr>
        <w:t>Net revenues increased by $975.8 million, or 49.0%, during Fiscal 2022 as compared to Fiscal 2021, inclusive of the favorable impact of the 53rd week in Fiscal 2022, which resulted in incremental net revenues of approximately $30 million, primarily related</w:t>
      </w:r>
      <w:r>
        <w:rPr>
          <w:rFonts w:eastAsia="Times New Roman"/>
          <w:color w:val="000000"/>
          <w:sz w:val="20"/>
          <w:szCs w:val="20"/>
        </w:rPr>
        <w:t xml:space="preserve"> to our retail business. On a constant currency basis, net revenues increased by $971.4 million, or 48.8%.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261181372"/>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261181372"/>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52</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80" style="width:0;height:1.5pt" o:hralign="center" o:hrstd="t" o:hr="t" fillcolor="#a0a0a0" stroked="f"/>
        </w:pict>
      </w:r>
    </w:p>
    <w:p w:rsidR="00000000" w:rsidRDefault="00BB5C2D">
      <w:pPr>
        <w:divId w:val="1473592672"/>
        <w:rPr>
          <w:rFonts w:eastAsia="Times New Roman"/>
        </w:rPr>
      </w:pPr>
    </w:p>
    <w:p w:rsidR="00000000" w:rsidRDefault="00BB5C2D">
      <w:pPr>
        <w:ind w:firstLine="540"/>
        <w:jc w:val="both"/>
        <w:divId w:val="1445886722"/>
        <w:rPr>
          <w:rFonts w:eastAsia="Times New Roman"/>
        </w:rPr>
      </w:pPr>
      <w:r>
        <w:rPr>
          <w:rFonts w:eastAsia="Times New Roman"/>
          <w:color w:val="000000"/>
          <w:sz w:val="20"/>
          <w:szCs w:val="20"/>
        </w:rPr>
        <w:t>The $975.8 million net increase in North America net revenues was driven by:</w:t>
      </w:r>
    </w:p>
    <w:p w:rsidR="00000000" w:rsidRDefault="00BB5C2D">
      <w:pPr>
        <w:ind w:hanging="360"/>
        <w:jc w:val="both"/>
        <w:divId w:val="702485709"/>
        <w:rPr>
          <w:rFonts w:eastAsia="Times New Roman"/>
        </w:rPr>
      </w:pPr>
      <w:r>
        <w:rPr>
          <w:rFonts w:eastAsia="Times New Roman"/>
          <w:i/>
          <w:iCs/>
          <w:color w:val="000000"/>
          <w:sz w:val="20"/>
          <w:szCs w:val="20"/>
          <w:shd w:val="clear" w:color="auto" w:fill="FFFFFF"/>
        </w:rPr>
        <w:t>•</w:t>
      </w:r>
      <w:r>
        <w:rPr>
          <w:rFonts w:eastAsia="Times New Roman"/>
          <w:color w:val="000000"/>
          <w:sz w:val="20"/>
          <w:szCs w:val="20"/>
        </w:rPr>
        <w:t>a $664.5 million net increase related to our North America retail business, reflecting a reduction in store closures and other COVID-19-rela</w:t>
      </w:r>
      <w:r>
        <w:rPr>
          <w:rFonts w:eastAsia="Times New Roman"/>
          <w:color w:val="000000"/>
          <w:sz w:val="20"/>
          <w:szCs w:val="20"/>
        </w:rPr>
        <w:t xml:space="preserve">ted disruptions and the continued growth in our digital commerce operations, as well as the favorable impact of the 53rd week in Fiscal 2022. On a constant currency basis, net revenues increased by $661.4 million, reflecting increases of $576.8 million in </w:t>
      </w:r>
      <w:r>
        <w:rPr>
          <w:rFonts w:eastAsia="Times New Roman"/>
          <w:color w:val="000000"/>
          <w:sz w:val="20"/>
          <w:szCs w:val="20"/>
        </w:rPr>
        <w:t>comparable store sales and $84.6 million in non-comparable store sales. The following table summarizes the percentage change in comparable store sales related to our North America retail business:</w:t>
      </w:r>
    </w:p>
    <w:tbl>
      <w:tblPr>
        <w:tblW w:w="4459" w:type="pct"/>
        <w:tblCellMar>
          <w:top w:w="15" w:type="dxa"/>
          <w:left w:w="15" w:type="dxa"/>
          <w:bottom w:w="15" w:type="dxa"/>
          <w:right w:w="15" w:type="dxa"/>
        </w:tblCellMar>
        <w:tblLook w:val="04A0" w:firstRow="1" w:lastRow="0" w:firstColumn="1" w:lastColumn="0" w:noHBand="0" w:noVBand="1"/>
      </w:tblPr>
      <w:tblGrid>
        <w:gridCol w:w="38"/>
        <w:gridCol w:w="5982"/>
        <w:gridCol w:w="37"/>
        <w:gridCol w:w="36"/>
        <w:gridCol w:w="36"/>
        <w:gridCol w:w="36"/>
        <w:gridCol w:w="37"/>
        <w:gridCol w:w="1018"/>
        <w:gridCol w:w="187"/>
      </w:tblGrid>
      <w:tr w:rsidR="00000000">
        <w:trPr>
          <w:divId w:val="1496872669"/>
        </w:trPr>
        <w:tc>
          <w:tcPr>
            <w:tcW w:w="50" w:type="pct"/>
            <w:vAlign w:val="center"/>
            <w:hideMark/>
          </w:tcPr>
          <w:p w:rsidR="00000000" w:rsidRDefault="00BB5C2D">
            <w:pPr>
              <w:ind w:hanging="360"/>
              <w:jc w:val="both"/>
              <w:rPr>
                <w:rFonts w:eastAsia="Times New Roman"/>
              </w:rPr>
            </w:pPr>
          </w:p>
        </w:tc>
        <w:tc>
          <w:tcPr>
            <w:tcW w:w="408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3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6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496872669"/>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 Change</w:t>
            </w:r>
          </w:p>
        </w:tc>
      </w:tr>
      <w:tr w:rsidR="00000000">
        <w:trPr>
          <w:divId w:val="1496872669"/>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Digital commerce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r>
      <w:tr w:rsidR="00000000">
        <w:trPr>
          <w:divId w:val="1496872669"/>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Brick and mortar</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r>
      <w:tr w:rsidR="00000000">
        <w:trPr>
          <w:divId w:val="1496872669"/>
        </w:trPr>
        <w:tc>
          <w:tcPr>
            <w:tcW w:w="0" w:type="auto"/>
            <w:gridSpan w:val="3"/>
            <w:shd w:val="clear" w:color="auto" w:fill="CCEEFF"/>
            <w:tcMar>
              <w:top w:w="30" w:type="dxa"/>
              <w:left w:w="26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comparable store sales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49 </w:t>
            </w:r>
          </w:p>
        </w:tc>
        <w:tc>
          <w:tcPr>
            <w:tcW w:w="0" w:type="auto"/>
            <w:shd w:val="clear" w:color="auto" w:fill="CCEE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r>
    </w:tbl>
    <w:p w:rsidR="00000000" w:rsidRDefault="00BB5C2D">
      <w:pPr>
        <w:ind w:hanging="360"/>
        <w:jc w:val="both"/>
        <w:divId w:val="438574939"/>
        <w:rPr>
          <w:rFonts w:eastAsia="Times New Roman"/>
        </w:rPr>
      </w:pPr>
      <w:r>
        <w:rPr>
          <w:rFonts w:eastAsia="Times New Roman"/>
          <w:color w:val="000000"/>
          <w:sz w:val="20"/>
          <w:szCs w:val="20"/>
        </w:rPr>
        <w:t>•</w:t>
      </w:r>
      <w:r>
        <w:rPr>
          <w:rFonts w:eastAsia="Times New Roman"/>
          <w:color w:val="000000"/>
          <w:sz w:val="20"/>
          <w:szCs w:val="20"/>
        </w:rPr>
        <w:t>a $311.3 million net increase related to our North America wholesale business largely driven by reduced shipments during the comparable prior fiscal year period due to significant COVID-19-related business disruptions, coupled with overall stronger consume</w:t>
      </w:r>
      <w:r>
        <w:rPr>
          <w:rFonts w:eastAsia="Times New Roman"/>
          <w:color w:val="000000"/>
          <w:sz w:val="20"/>
          <w:szCs w:val="20"/>
        </w:rPr>
        <w:t>r demand. This growth was partially offset by the transition of our Chaps business to a fully licensed business model during the second quarter of Fiscal 2022, as well as other strategic resets within our wholesale distribution channel.</w:t>
      </w:r>
    </w:p>
    <w:p w:rsidR="00000000" w:rsidRDefault="00BB5C2D">
      <w:pPr>
        <w:ind w:firstLine="540"/>
        <w:jc w:val="both"/>
        <w:divId w:val="1724408786"/>
        <w:rPr>
          <w:rFonts w:eastAsia="Times New Roman"/>
        </w:rPr>
      </w:pPr>
      <w:r>
        <w:rPr>
          <w:rFonts w:eastAsia="Times New Roman"/>
          <w:i/>
          <w:iCs/>
          <w:color w:val="000000"/>
          <w:sz w:val="20"/>
          <w:szCs w:val="20"/>
        </w:rPr>
        <w:t>Europe net revenues</w:t>
      </w:r>
      <w:r>
        <w:rPr>
          <w:rFonts w:eastAsia="Times New Roman"/>
          <w:color w:val="000000"/>
          <w:sz w:val="20"/>
          <w:szCs w:val="20"/>
        </w:rPr>
        <w:t xml:space="preserve"> — Net revenues increased by $614.8 million, or 52.7%, during Fiscal 2022 as compared to Fiscal 2021, inclusive of the favorable impact of the 53rd week in Fiscal 2022, which resulted in incremental net revenues of approximately $12 million related to our </w:t>
      </w:r>
      <w:r>
        <w:rPr>
          <w:rFonts w:eastAsia="Times New Roman"/>
          <w:color w:val="000000"/>
          <w:sz w:val="20"/>
          <w:szCs w:val="20"/>
        </w:rPr>
        <w:t xml:space="preserve">retail business. On a constant currency basis, net revenues increased by $627.7 million, or 53.8%. </w:t>
      </w:r>
    </w:p>
    <w:p w:rsidR="00000000" w:rsidRDefault="00BB5C2D">
      <w:pPr>
        <w:ind w:firstLine="540"/>
        <w:jc w:val="both"/>
        <w:divId w:val="155342064"/>
        <w:rPr>
          <w:rFonts w:eastAsia="Times New Roman"/>
        </w:rPr>
      </w:pPr>
      <w:r>
        <w:rPr>
          <w:rFonts w:eastAsia="Times New Roman"/>
          <w:color w:val="000000"/>
          <w:sz w:val="20"/>
          <w:szCs w:val="20"/>
        </w:rPr>
        <w:t>The $614.8 million net increase in Europe net revenues was driven by:</w:t>
      </w:r>
    </w:p>
    <w:p w:rsidR="00000000" w:rsidRDefault="00BB5C2D">
      <w:pPr>
        <w:ind w:hanging="360"/>
        <w:jc w:val="both"/>
        <w:divId w:val="262232021"/>
        <w:rPr>
          <w:rFonts w:eastAsia="Times New Roman"/>
        </w:rPr>
      </w:pPr>
      <w:r>
        <w:rPr>
          <w:rFonts w:eastAsia="Times New Roman"/>
          <w:i/>
          <w:iCs/>
          <w:color w:val="000000"/>
          <w:sz w:val="20"/>
          <w:szCs w:val="20"/>
          <w:shd w:val="clear" w:color="auto" w:fill="FFFFFF"/>
        </w:rPr>
        <w:t>•</w:t>
      </w:r>
      <w:r>
        <w:rPr>
          <w:rFonts w:eastAsia="Times New Roman"/>
          <w:color w:val="000000"/>
          <w:sz w:val="20"/>
          <w:szCs w:val="20"/>
        </w:rPr>
        <w:t>a $311.2 million net increase related to our Europe retail business, reflecting a red</w:t>
      </w:r>
      <w:r>
        <w:rPr>
          <w:rFonts w:eastAsia="Times New Roman"/>
          <w:color w:val="000000"/>
          <w:sz w:val="20"/>
          <w:szCs w:val="20"/>
        </w:rPr>
        <w:t>uction in store closures and other COVID-19-related disruptions and the continued growth in our digital commerce operations, as well as the favorable impact of the 53rd week in Fiscal 2022. On a constant currency basis, net revenues increased by $311.8 mil</w:t>
      </w:r>
      <w:r>
        <w:rPr>
          <w:rFonts w:eastAsia="Times New Roman"/>
          <w:color w:val="000000"/>
          <w:sz w:val="20"/>
          <w:szCs w:val="20"/>
        </w:rPr>
        <w:t>lion, reflecting increases of $269.8 million in comparable store sales and $42.0 million in non-comparable store sales. The following table summarizes the percentage change in comparable store sales related to our Europe retail business:</w:t>
      </w:r>
    </w:p>
    <w:tbl>
      <w:tblPr>
        <w:tblW w:w="4459" w:type="pct"/>
        <w:tblCellMar>
          <w:top w:w="15" w:type="dxa"/>
          <w:left w:w="15" w:type="dxa"/>
          <w:bottom w:w="15" w:type="dxa"/>
          <w:right w:w="15" w:type="dxa"/>
        </w:tblCellMar>
        <w:tblLook w:val="04A0" w:firstRow="1" w:lastRow="0" w:firstColumn="1" w:lastColumn="0" w:noHBand="0" w:noVBand="1"/>
      </w:tblPr>
      <w:tblGrid>
        <w:gridCol w:w="38"/>
        <w:gridCol w:w="5982"/>
        <w:gridCol w:w="37"/>
        <w:gridCol w:w="36"/>
        <w:gridCol w:w="36"/>
        <w:gridCol w:w="36"/>
        <w:gridCol w:w="37"/>
        <w:gridCol w:w="1018"/>
        <w:gridCol w:w="187"/>
      </w:tblGrid>
      <w:tr w:rsidR="00000000">
        <w:trPr>
          <w:divId w:val="1939437473"/>
        </w:trPr>
        <w:tc>
          <w:tcPr>
            <w:tcW w:w="50" w:type="pct"/>
            <w:vAlign w:val="center"/>
            <w:hideMark/>
          </w:tcPr>
          <w:p w:rsidR="00000000" w:rsidRDefault="00BB5C2D">
            <w:pPr>
              <w:ind w:hanging="360"/>
              <w:jc w:val="both"/>
              <w:rPr>
                <w:rFonts w:eastAsia="Times New Roman"/>
              </w:rPr>
            </w:pPr>
          </w:p>
        </w:tc>
        <w:tc>
          <w:tcPr>
            <w:tcW w:w="408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3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6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939437473"/>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 Change</w:t>
            </w:r>
          </w:p>
        </w:tc>
      </w:tr>
      <w:tr w:rsidR="00000000">
        <w:trPr>
          <w:divId w:val="1939437473"/>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Digital commerce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r>
      <w:tr w:rsidR="00000000">
        <w:trPr>
          <w:divId w:val="1939437473"/>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Brick and mortar</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75 </w:t>
            </w:r>
          </w:p>
        </w:tc>
        <w:tc>
          <w:tcPr>
            <w:tcW w:w="0" w:type="auto"/>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r>
      <w:tr w:rsidR="00000000">
        <w:trPr>
          <w:divId w:val="1939437473"/>
        </w:trPr>
        <w:tc>
          <w:tcPr>
            <w:tcW w:w="0" w:type="auto"/>
            <w:gridSpan w:val="3"/>
            <w:shd w:val="clear" w:color="auto" w:fill="CCEEFF"/>
            <w:tcMar>
              <w:top w:w="30" w:type="dxa"/>
              <w:left w:w="26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comparable store sales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57 </w:t>
            </w:r>
          </w:p>
        </w:tc>
        <w:tc>
          <w:tcPr>
            <w:tcW w:w="0" w:type="auto"/>
            <w:shd w:val="clear" w:color="auto" w:fill="CCEE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r>
    </w:tbl>
    <w:p w:rsidR="00000000" w:rsidRDefault="00BB5C2D">
      <w:pPr>
        <w:ind w:hanging="360"/>
        <w:jc w:val="both"/>
        <w:divId w:val="2131781507"/>
        <w:rPr>
          <w:rFonts w:eastAsia="Times New Roman"/>
        </w:rPr>
      </w:pPr>
      <w:r>
        <w:rPr>
          <w:rFonts w:eastAsia="Times New Roman"/>
          <w:color w:val="000000"/>
          <w:sz w:val="20"/>
          <w:szCs w:val="20"/>
        </w:rPr>
        <w:t>•</w:t>
      </w:r>
      <w:r>
        <w:rPr>
          <w:rFonts w:eastAsia="Times New Roman"/>
          <w:color w:val="000000"/>
          <w:sz w:val="20"/>
          <w:szCs w:val="20"/>
        </w:rPr>
        <w:t>a $303.6 million net increase related to our Europe wholesale business largely driven by reduced shipments during the comparable prior fiscal year period due to significant COVID-19-related business disruptions and overall stronger consumer demand, partial</w:t>
      </w:r>
      <w:r>
        <w:rPr>
          <w:rFonts w:eastAsia="Times New Roman"/>
          <w:color w:val="000000"/>
          <w:sz w:val="20"/>
          <w:szCs w:val="20"/>
        </w:rPr>
        <w:t>ly offset by net unfavorable foreign currency effects of $12.3 million.</w:t>
      </w:r>
    </w:p>
    <w:p w:rsidR="00000000" w:rsidRDefault="00BB5C2D">
      <w:pPr>
        <w:ind w:firstLine="540"/>
        <w:jc w:val="both"/>
        <w:divId w:val="631446635"/>
        <w:rPr>
          <w:rFonts w:eastAsia="Times New Roman"/>
        </w:rPr>
      </w:pPr>
      <w:r>
        <w:rPr>
          <w:rFonts w:eastAsia="Times New Roman"/>
          <w:i/>
          <w:iCs/>
          <w:color w:val="000000"/>
          <w:sz w:val="20"/>
          <w:szCs w:val="20"/>
        </w:rPr>
        <w:t>Asia net revenues</w:t>
      </w:r>
      <w:r>
        <w:rPr>
          <w:rFonts w:eastAsia="Times New Roman"/>
          <w:color w:val="000000"/>
          <w:sz w:val="20"/>
          <w:szCs w:val="20"/>
        </w:rPr>
        <w:t> — Net revenues increased by $259.3 million, or 25.2%, during Fiscal 2022 as compared to Fiscal 2021, inclusive of the favorable impact of the 53rd week in Fiscal 2022</w:t>
      </w:r>
      <w:r>
        <w:rPr>
          <w:rFonts w:eastAsia="Times New Roman"/>
          <w:color w:val="000000"/>
          <w:sz w:val="20"/>
          <w:szCs w:val="20"/>
        </w:rPr>
        <w:t xml:space="preserve">, which resulted in incremental net revenues of approximately $21 million related to our retail business. On a constant currency basis, net revenues increased by $275.3 million, or 26.8%. </w:t>
      </w:r>
    </w:p>
    <w:p w:rsidR="00000000" w:rsidRDefault="00BB5C2D">
      <w:pPr>
        <w:ind w:firstLine="540"/>
        <w:jc w:val="both"/>
        <w:divId w:val="1319505234"/>
        <w:rPr>
          <w:rFonts w:eastAsia="Times New Roman"/>
        </w:rPr>
      </w:pPr>
      <w:r>
        <w:rPr>
          <w:rFonts w:eastAsia="Times New Roman"/>
          <w:color w:val="000000"/>
          <w:sz w:val="20"/>
          <w:szCs w:val="20"/>
        </w:rPr>
        <w:t>The $259.3 million net increase in Asia net revenues was driven by:</w:t>
      </w:r>
      <w:r>
        <w:rPr>
          <w:rFonts w:eastAsia="Times New Roman"/>
          <w:color w:val="000000"/>
          <w:sz w:val="20"/>
          <w:szCs w:val="20"/>
        </w:rPr>
        <w:t xml:space="preserve"> </w:t>
      </w:r>
    </w:p>
    <w:p w:rsidR="00000000" w:rsidRDefault="00BB5C2D">
      <w:pPr>
        <w:ind w:hanging="360"/>
        <w:jc w:val="both"/>
        <w:divId w:val="397291530"/>
        <w:rPr>
          <w:rFonts w:eastAsia="Times New Roman"/>
        </w:rPr>
      </w:pPr>
      <w:r>
        <w:rPr>
          <w:rFonts w:eastAsia="Times New Roman"/>
          <w:i/>
          <w:iCs/>
          <w:color w:val="000000"/>
          <w:sz w:val="20"/>
          <w:szCs w:val="20"/>
        </w:rPr>
        <w:t>•</w:t>
      </w:r>
      <w:r>
        <w:rPr>
          <w:rFonts w:eastAsia="Times New Roman"/>
          <w:color w:val="000000"/>
          <w:sz w:val="20"/>
          <w:szCs w:val="20"/>
        </w:rPr>
        <w:t>a $239.0 million net increase related to our Asia retail business, reflecting a reduction in store closures and other COVID-19-related disruptions and the continued growth in our digital commerce operations, as well as the favorable impact of the 53rd w</w:t>
      </w:r>
      <w:r>
        <w:rPr>
          <w:rFonts w:eastAsia="Times New Roman"/>
          <w:color w:val="000000"/>
          <w:sz w:val="20"/>
          <w:szCs w:val="20"/>
        </w:rPr>
        <w:t>eek in Fiscal 2022, partially offset by net unfavorable foreign currency effects of $14.7 million. On a constant currency basis, net revenues increased by $253.7 million, reflecting increases of $145.2 million in comparable store sales and $108.5 million i</w:t>
      </w:r>
      <w:r>
        <w:rPr>
          <w:rFonts w:eastAsia="Times New Roman"/>
          <w:color w:val="000000"/>
          <w:sz w:val="20"/>
          <w:szCs w:val="20"/>
        </w:rPr>
        <w:t xml:space="preserve">n non-comparable store sales. The following table summarizes the percentage change in comparable store sales related to our Asia retail business: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239710924"/>
          <w:jc w:val="center"/>
        </w:trPr>
        <w:tc>
          <w:tcPr>
            <w:tcW w:w="50" w:type="pct"/>
            <w:vAlign w:val="center"/>
            <w:hideMark/>
          </w:tcPr>
          <w:p w:rsidR="00000000" w:rsidRDefault="00BB5C2D">
            <w:pPr>
              <w:ind w:hanging="36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239710924"/>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53</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81" style="width:0;height:1.5pt" o:hralign="center" o:hrstd="t" o:hr="t" fillcolor="#a0a0a0" stroked="f"/>
        </w:pict>
      </w:r>
    </w:p>
    <w:p w:rsidR="00000000" w:rsidRDefault="00BB5C2D">
      <w:pPr>
        <w:divId w:val="2047364725"/>
        <w:rPr>
          <w:rFonts w:eastAsia="Times New Roman"/>
        </w:rPr>
      </w:pPr>
    </w:p>
    <w:tbl>
      <w:tblPr>
        <w:tblW w:w="4459" w:type="pct"/>
        <w:tblCellMar>
          <w:top w:w="15" w:type="dxa"/>
          <w:left w:w="15" w:type="dxa"/>
          <w:bottom w:w="15" w:type="dxa"/>
          <w:right w:w="15" w:type="dxa"/>
        </w:tblCellMar>
        <w:tblLook w:val="04A0" w:firstRow="1" w:lastRow="0" w:firstColumn="1" w:lastColumn="0" w:noHBand="0" w:noVBand="1"/>
      </w:tblPr>
      <w:tblGrid>
        <w:gridCol w:w="38"/>
        <w:gridCol w:w="5982"/>
        <w:gridCol w:w="37"/>
        <w:gridCol w:w="36"/>
        <w:gridCol w:w="36"/>
        <w:gridCol w:w="36"/>
        <w:gridCol w:w="37"/>
        <w:gridCol w:w="1018"/>
        <w:gridCol w:w="187"/>
      </w:tblGrid>
      <w:tr w:rsidR="00000000">
        <w:trPr>
          <w:divId w:val="1853184261"/>
        </w:trPr>
        <w:tc>
          <w:tcPr>
            <w:tcW w:w="50" w:type="pct"/>
            <w:vAlign w:val="center"/>
            <w:hideMark/>
          </w:tcPr>
          <w:p w:rsidR="00000000" w:rsidRDefault="00BB5C2D">
            <w:pPr>
              <w:rPr>
                <w:rFonts w:eastAsia="Times New Roman"/>
              </w:rPr>
            </w:pPr>
          </w:p>
        </w:tc>
        <w:tc>
          <w:tcPr>
            <w:tcW w:w="408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3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6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853184261"/>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 Change</w:t>
            </w:r>
          </w:p>
        </w:tc>
      </w:tr>
      <w:tr w:rsidR="00000000">
        <w:trPr>
          <w:divId w:val="1853184261"/>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Digital commerce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20"/>
                <w:szCs w:val="20"/>
              </w:rPr>
              <w:t>%</w:t>
            </w:r>
          </w:p>
        </w:tc>
      </w:tr>
      <w:tr w:rsidR="00000000">
        <w:trPr>
          <w:divId w:val="1853184261"/>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Brick and mortar</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20"/>
                <w:szCs w:val="20"/>
              </w:rPr>
              <w:t>%</w:t>
            </w:r>
          </w:p>
        </w:tc>
      </w:tr>
      <w:tr w:rsidR="00000000">
        <w:trPr>
          <w:divId w:val="1853184261"/>
        </w:trPr>
        <w:tc>
          <w:tcPr>
            <w:tcW w:w="0" w:type="auto"/>
            <w:gridSpan w:val="3"/>
            <w:shd w:val="clear" w:color="auto" w:fill="CCEEFF"/>
            <w:tcMar>
              <w:top w:w="30" w:type="dxa"/>
              <w:left w:w="26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comparable store sales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20"/>
                <w:szCs w:val="20"/>
              </w:rPr>
              <w:t>%</w:t>
            </w:r>
          </w:p>
        </w:tc>
      </w:tr>
    </w:tbl>
    <w:p w:rsidR="00000000" w:rsidRDefault="00BB5C2D">
      <w:pPr>
        <w:ind w:hanging="360"/>
        <w:jc w:val="both"/>
        <w:divId w:val="659431840"/>
        <w:rPr>
          <w:rFonts w:eastAsia="Times New Roman"/>
        </w:rPr>
      </w:pPr>
      <w:r>
        <w:rPr>
          <w:rFonts w:eastAsia="Times New Roman"/>
          <w:i/>
          <w:iCs/>
          <w:color w:val="000000"/>
          <w:sz w:val="20"/>
          <w:szCs w:val="20"/>
        </w:rPr>
        <w:t>•</w:t>
      </w:r>
      <w:r>
        <w:rPr>
          <w:rFonts w:eastAsia="Times New Roman"/>
          <w:color w:val="000000"/>
          <w:sz w:val="20"/>
          <w:szCs w:val="20"/>
        </w:rPr>
        <w:t>a $20.3 million net increase related to our Asia wholesale business, reflecting increases most notably in Australia, South Korea, Southeast Asia, and Japan.</w:t>
      </w:r>
    </w:p>
    <w:p w:rsidR="00000000" w:rsidRDefault="00BB5C2D">
      <w:pPr>
        <w:ind w:firstLine="540"/>
        <w:jc w:val="both"/>
        <w:divId w:val="14889390"/>
        <w:rPr>
          <w:rFonts w:eastAsia="Times New Roman"/>
        </w:rPr>
      </w:pPr>
      <w:r>
        <w:rPr>
          <w:rFonts w:eastAsia="Times New Roman"/>
          <w:i/>
          <w:iCs/>
          <w:color w:val="000000"/>
          <w:sz w:val="20"/>
          <w:szCs w:val="20"/>
        </w:rPr>
        <w:t>Gross Profit.    </w:t>
      </w:r>
      <w:r>
        <w:rPr>
          <w:rFonts w:eastAsia="Times New Roman"/>
          <w:color w:val="000000"/>
          <w:sz w:val="20"/>
          <w:szCs w:val="20"/>
        </w:rPr>
        <w:t>Gross profit increased by $1.286 billion, or 44.9%, to $4.148 billion in Fiscal 20</w:t>
      </w:r>
      <w:r>
        <w:rPr>
          <w:rFonts w:eastAsia="Times New Roman"/>
          <w:color w:val="000000"/>
          <w:sz w:val="20"/>
          <w:szCs w:val="20"/>
        </w:rPr>
        <w:t>22, including net unfavorable foreign currency effects of $18.9 million. Gross profit during Fiscal 2022 reflects non-routine inventory benefits of $13.3 million related to reversals of amounts previously recorded in connection with COVID-19 business disru</w:t>
      </w:r>
      <w:r>
        <w:rPr>
          <w:rFonts w:eastAsia="Times New Roman"/>
          <w:color w:val="000000"/>
          <w:sz w:val="20"/>
          <w:szCs w:val="20"/>
        </w:rPr>
        <w:t>ptions. In comparison, gross profit during Fiscal 2021 reflects non-routine inventory charges of $21.0 million related to COVID-19 business disruptions and $8.3 million recorded in connection with our restructuring plans. Gross profit as a percentage of ne</w:t>
      </w:r>
      <w:r>
        <w:rPr>
          <w:rFonts w:eastAsia="Times New Roman"/>
          <w:color w:val="000000"/>
          <w:sz w:val="20"/>
          <w:szCs w:val="20"/>
        </w:rPr>
        <w:t>t revenues increased to 66.7% in Fiscal 2022 from 65.0% in Fiscal 2021. The 170 basis point improvement was primarily driven by lower non-routine inventory charges recorded during Fiscal 2022 as compared to the prior fiscal year, as well as improved pricin</w:t>
      </w:r>
      <w:r>
        <w:rPr>
          <w:rFonts w:eastAsia="Times New Roman"/>
          <w:color w:val="000000"/>
          <w:sz w:val="20"/>
          <w:szCs w:val="20"/>
        </w:rPr>
        <w:t>g, lower levels of promotional activity, and product mix, partially offset by higher product and freight costs and the absence of unusual geographic and channel mix benefits experienced during the prior fiscal year in connection with COVID-19-related busin</w:t>
      </w:r>
      <w:r>
        <w:rPr>
          <w:rFonts w:eastAsia="Times New Roman"/>
          <w:color w:val="000000"/>
          <w:sz w:val="20"/>
          <w:szCs w:val="20"/>
        </w:rPr>
        <w:t xml:space="preserve">ess disruptions in North America and Europe. </w:t>
      </w:r>
    </w:p>
    <w:p w:rsidR="00000000" w:rsidRDefault="00BB5C2D">
      <w:pPr>
        <w:ind w:firstLine="540"/>
        <w:jc w:val="both"/>
        <w:divId w:val="114174810"/>
        <w:rPr>
          <w:rFonts w:eastAsia="Times New Roman"/>
        </w:rPr>
      </w:pPr>
      <w:r>
        <w:rPr>
          <w:rFonts w:eastAsia="Times New Roman"/>
          <w:color w:val="000000"/>
          <w:sz w:val="20"/>
          <w:szCs w:val="20"/>
        </w:rPr>
        <w:t>Gross profit as a percentage of net revenues is dependent upon a variety of factors, including changes in the relative sales mix among distribution channels, changes in the mix of products sold, pricing, the ti</w:t>
      </w:r>
      <w:r>
        <w:rPr>
          <w:rFonts w:eastAsia="Times New Roman"/>
          <w:color w:val="000000"/>
          <w:sz w:val="20"/>
          <w:szCs w:val="20"/>
        </w:rPr>
        <w:t>ming and level of promotional activities, foreign currency exchange rates, and fluctuations in material costs. These factors, among others, may cause gross profit as a percentage of net revenues to fluctuate from year to year.</w:t>
      </w:r>
    </w:p>
    <w:p w:rsidR="00000000" w:rsidRDefault="00BB5C2D">
      <w:pPr>
        <w:ind w:firstLine="540"/>
        <w:jc w:val="both"/>
        <w:divId w:val="1037973887"/>
        <w:rPr>
          <w:rFonts w:eastAsia="Times New Roman"/>
        </w:rPr>
      </w:pPr>
      <w:r>
        <w:rPr>
          <w:rFonts w:eastAsia="Times New Roman"/>
          <w:i/>
          <w:iCs/>
          <w:color w:val="000000"/>
          <w:sz w:val="20"/>
          <w:szCs w:val="20"/>
        </w:rPr>
        <w:t>Selling, General, and Adminis</w:t>
      </w:r>
      <w:r>
        <w:rPr>
          <w:rFonts w:eastAsia="Times New Roman"/>
          <w:i/>
          <w:iCs/>
          <w:color w:val="000000"/>
          <w:sz w:val="20"/>
          <w:szCs w:val="20"/>
        </w:rPr>
        <w:t>trative Expenses.</w:t>
      </w:r>
      <w:r>
        <w:rPr>
          <w:rFonts w:eastAsia="Times New Roman"/>
          <w:color w:val="000000"/>
          <w:sz w:val="20"/>
          <w:szCs w:val="20"/>
        </w:rPr>
        <w:t>    SG&amp;A expenses include costs relating to compensation and benefits, advertising and marketing, rent and occupancy, distribution, information technology, legal, depreciation and amortization, bad debt, and other selling and administrativ</w:t>
      </w:r>
      <w:r>
        <w:rPr>
          <w:rFonts w:eastAsia="Times New Roman"/>
          <w:color w:val="000000"/>
          <w:sz w:val="20"/>
          <w:szCs w:val="20"/>
        </w:rPr>
        <w:t>e costs. SG&amp;A expenses increased by $667.1 million, or 25.3%, to $3.306 billion in Fiscal 2022, including net favorable foreign currency effects of $5.7 million. The increase in SG&amp;A expenses reflects a reduction in the magnitude of COVID-19 business disru</w:t>
      </w:r>
      <w:r>
        <w:rPr>
          <w:rFonts w:eastAsia="Times New Roman"/>
          <w:color w:val="000000"/>
          <w:sz w:val="20"/>
          <w:szCs w:val="20"/>
        </w:rPr>
        <w:t>ptions and our related mitigating actions, which during the prior fiscal year included (i) lower compensation-related expenses driven by employee furloughs and terminations, reduced pay for our executives, senior management team, and Board of Directors, an</w:t>
      </w:r>
      <w:r>
        <w:rPr>
          <w:rFonts w:eastAsia="Times New Roman"/>
          <w:color w:val="000000"/>
          <w:sz w:val="20"/>
          <w:szCs w:val="20"/>
        </w:rPr>
        <w:t>d COVID-19-related government subsidies, and (ii) lower rent and occupancy costs largely driven by reduced percentage-of-sales-based rent due to widespread store closures and a reduction in traffic, as well as rent abatements negotiated with certain of our</w:t>
      </w:r>
      <w:r>
        <w:rPr>
          <w:rFonts w:eastAsia="Times New Roman"/>
          <w:color w:val="000000"/>
          <w:sz w:val="20"/>
          <w:szCs w:val="20"/>
        </w:rPr>
        <w:t xml:space="preserve"> landlords. The increase in SG&amp;A expenses also reflects our investments to drive strategic growth, including our marketing and advertising initiatives, and higher non-routine bad debt expense recorded during Fiscal 2022 as compared to the prior fiscal year</w:t>
      </w:r>
      <w:r>
        <w:rPr>
          <w:rFonts w:eastAsia="Times New Roman"/>
          <w:color w:val="000000"/>
          <w:sz w:val="20"/>
          <w:szCs w:val="20"/>
        </w:rPr>
        <w:t>, partially offset by expense savings associated with the disposition of our former Club Monaco business at the end of the first quarter of Fiscal 2022. SG&amp;A expenses as a percentage of net revenues decreased to 53.2% in Fiscal 2022 from 60.0% in Fiscal 20</w:t>
      </w:r>
      <w:r>
        <w:rPr>
          <w:rFonts w:eastAsia="Times New Roman"/>
          <w:color w:val="000000"/>
          <w:sz w:val="20"/>
          <w:szCs w:val="20"/>
        </w:rPr>
        <w:t xml:space="preserve">21. The 680 basis point decline was primarily driven by operating leverage on higher net revenues, partially offset by higher expenses across various categories to drive strategic growth, coupled with the return to more normalized operations in comparison </w:t>
      </w:r>
      <w:r>
        <w:rPr>
          <w:rFonts w:eastAsia="Times New Roman"/>
          <w:color w:val="000000"/>
          <w:sz w:val="20"/>
          <w:szCs w:val="20"/>
        </w:rPr>
        <w:t>to the prior fiscal year.</w:t>
      </w:r>
    </w:p>
    <w:p w:rsidR="00000000" w:rsidRDefault="00BB5C2D">
      <w:pPr>
        <w:ind w:firstLine="540"/>
        <w:jc w:val="both"/>
        <w:divId w:val="1312518973"/>
        <w:rPr>
          <w:rFonts w:eastAsia="Times New Roman"/>
        </w:rPr>
      </w:pPr>
      <w:r>
        <w:rPr>
          <w:rFonts w:eastAsia="Times New Roman"/>
          <w:color w:val="000000"/>
          <w:sz w:val="20"/>
          <w:szCs w:val="20"/>
        </w:rPr>
        <w:t>The $667.1 million increase in SG&amp;A expenses was driven by:</w:t>
      </w:r>
    </w:p>
    <w:tbl>
      <w:tblPr>
        <w:tblW w:w="4722" w:type="pct"/>
        <w:tblCellMar>
          <w:top w:w="15" w:type="dxa"/>
          <w:left w:w="15" w:type="dxa"/>
          <w:bottom w:w="15" w:type="dxa"/>
          <w:right w:w="15" w:type="dxa"/>
        </w:tblCellMar>
        <w:tblLook w:val="04A0" w:firstRow="1" w:lastRow="0" w:firstColumn="1" w:lastColumn="0" w:noHBand="0" w:noVBand="1"/>
      </w:tblPr>
      <w:tblGrid>
        <w:gridCol w:w="39"/>
        <w:gridCol w:w="6142"/>
        <w:gridCol w:w="37"/>
        <w:gridCol w:w="36"/>
        <w:gridCol w:w="36"/>
        <w:gridCol w:w="36"/>
        <w:gridCol w:w="121"/>
        <w:gridCol w:w="1361"/>
        <w:gridCol w:w="36"/>
      </w:tblGrid>
      <w:tr w:rsidR="00000000">
        <w:trPr>
          <w:divId w:val="1191069433"/>
        </w:trPr>
        <w:tc>
          <w:tcPr>
            <w:tcW w:w="50" w:type="pct"/>
            <w:vAlign w:val="center"/>
            <w:hideMark/>
          </w:tcPr>
          <w:p w:rsidR="00000000" w:rsidRDefault="00BB5C2D">
            <w:pPr>
              <w:ind w:firstLine="540"/>
              <w:jc w:val="both"/>
              <w:rPr>
                <w:rFonts w:eastAsia="Times New Roman"/>
              </w:rPr>
            </w:pPr>
          </w:p>
        </w:tc>
        <w:tc>
          <w:tcPr>
            <w:tcW w:w="393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91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191069433"/>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2022</w:t>
            </w:r>
            <w:r>
              <w:rPr>
                <w:rFonts w:eastAsia="Times New Roman"/>
                <w:b/>
                <w:bCs/>
                <w:color w:val="000000"/>
                <w:sz w:val="16"/>
                <w:szCs w:val="16"/>
              </w:rPr>
              <w:br/>
              <w:t xml:space="preserve">Compared to </w:t>
            </w:r>
            <w:r>
              <w:rPr>
                <w:rFonts w:eastAsia="Times New Roman"/>
                <w:b/>
                <w:bCs/>
                <w:color w:val="000000"/>
                <w:sz w:val="16"/>
                <w:szCs w:val="16"/>
              </w:rPr>
              <w:br/>
              <w:t>Fiscal 2021</w:t>
            </w:r>
          </w:p>
        </w:tc>
      </w:tr>
      <w:tr w:rsidR="00000000">
        <w:trPr>
          <w:divId w:val="1191069433"/>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1191069433"/>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b/>
                <w:bCs/>
                <w:color w:val="000000"/>
                <w:sz w:val="20"/>
                <w:szCs w:val="20"/>
              </w:rPr>
              <w:t>SG&amp;A expense category:</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191069433"/>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Compensation-related expenses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227.2 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191069433"/>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Marketing and advertising expenses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191.3 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191069433"/>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Selling-related expenses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69.4 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191069433"/>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Rent and occupancy costs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64.4 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191069433"/>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Shipping and handling costs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31.7 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191069433"/>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Staff-related expenses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26.6 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191069433"/>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Bad debt expense</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25.4 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191069433"/>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Other</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31.1 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191069433"/>
        </w:trPr>
        <w:tc>
          <w:tcPr>
            <w:tcW w:w="0" w:type="auto"/>
            <w:gridSpan w:val="3"/>
            <w:shd w:val="clear" w:color="auto" w:fill="FFFFFF"/>
            <w:tcMar>
              <w:top w:w="30" w:type="dxa"/>
              <w:left w:w="38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increase in SG&amp;A expenses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667.1 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trPr>
          <w:jc w:val="center"/>
        </w:trPr>
        <w:tc>
          <w:tcPr>
            <w:tcW w:w="50" w:type="pct"/>
            <w:vAlign w:val="center"/>
            <w:hideMark/>
          </w:tcPr>
          <w:p w:rsidR="00000000" w:rsidRDefault="00BB5C2D">
            <w:pPr>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54</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82" style="width:0;height:1.5pt" o:hralign="center" o:hrstd="t" o:hr="t" fillcolor="#a0a0a0" stroked="f"/>
        </w:pict>
      </w:r>
    </w:p>
    <w:p w:rsidR="00000000" w:rsidRDefault="00BB5C2D">
      <w:pPr>
        <w:divId w:val="553009130"/>
        <w:rPr>
          <w:rFonts w:eastAsia="Times New Roman"/>
        </w:rPr>
      </w:pPr>
    </w:p>
    <w:p w:rsidR="00000000" w:rsidRDefault="00BB5C2D">
      <w:pPr>
        <w:ind w:firstLine="540"/>
        <w:jc w:val="both"/>
        <w:divId w:val="1405302839"/>
        <w:rPr>
          <w:rFonts w:eastAsia="Times New Roman"/>
        </w:rPr>
      </w:pPr>
      <w:r>
        <w:rPr>
          <w:rFonts w:eastAsia="Times New Roman"/>
          <w:i/>
          <w:iCs/>
          <w:color w:val="000000"/>
          <w:sz w:val="20"/>
          <w:szCs w:val="20"/>
        </w:rPr>
        <w:t>Impairment of Assets.</w:t>
      </w:r>
      <w:r>
        <w:rPr>
          <w:rFonts w:eastAsia="Times New Roman"/>
          <w:color w:val="000000"/>
          <w:sz w:val="20"/>
          <w:szCs w:val="20"/>
        </w:rPr>
        <w:t>   During Fiscal 2022 and Fiscal 2021, we recorded non-cash impairment charges of $21.3 million and $96.0 million, respectively, to write-down certain long-lived assets. See Note 8 to the accompany</w:t>
      </w:r>
      <w:r>
        <w:rPr>
          <w:rFonts w:eastAsia="Times New Roman"/>
          <w:color w:val="000000"/>
          <w:sz w:val="20"/>
          <w:szCs w:val="20"/>
        </w:rPr>
        <w:t>ing consolidated financial statements.</w:t>
      </w:r>
    </w:p>
    <w:p w:rsidR="00000000" w:rsidRDefault="00BB5C2D">
      <w:pPr>
        <w:ind w:firstLine="540"/>
        <w:jc w:val="both"/>
        <w:divId w:val="621888360"/>
        <w:rPr>
          <w:rFonts w:eastAsia="Times New Roman"/>
        </w:rPr>
      </w:pPr>
      <w:r>
        <w:rPr>
          <w:rFonts w:eastAsia="Times New Roman"/>
          <w:i/>
          <w:iCs/>
          <w:color w:val="000000"/>
          <w:sz w:val="20"/>
          <w:szCs w:val="20"/>
        </w:rPr>
        <w:t>Restructuring and Other Charges, Net.</w:t>
      </w:r>
      <w:r>
        <w:rPr>
          <w:rFonts w:eastAsia="Times New Roman"/>
          <w:color w:val="000000"/>
          <w:sz w:val="20"/>
          <w:szCs w:val="20"/>
        </w:rPr>
        <w:t xml:space="preserve">   During Fiscal 2022 and Fiscal 2021, we recorded restructuring charges of $4.0 million and $159.1 million, respectively, primarily consisting of severance and benefits costs and </w:t>
      </w:r>
      <w:r>
        <w:rPr>
          <w:rFonts w:eastAsia="Times New Roman"/>
          <w:color w:val="000000"/>
          <w:sz w:val="20"/>
          <w:szCs w:val="20"/>
        </w:rPr>
        <w:t>other cash charges, as well as other charges of $11.8 million and $11.4 million, respectively, primarily related to rent and occupancy costs associated with certain previously exited real estate locations for which the related lease agreements have not yet</w:t>
      </w:r>
      <w:r>
        <w:rPr>
          <w:rFonts w:eastAsia="Times New Roman"/>
          <w:color w:val="000000"/>
          <w:sz w:val="20"/>
          <w:szCs w:val="20"/>
        </w:rPr>
        <w:t xml:space="preserve"> expired. Additionally, during Fiscal 2022, we recognized $4.0 million of income primarily related to a certain revenue share clause in our agreement with Regent that entitled us to receive a portion of the sales generated by the Club Monaco business durin</w:t>
      </w:r>
      <w:r>
        <w:rPr>
          <w:rFonts w:eastAsia="Times New Roman"/>
          <w:color w:val="000000"/>
          <w:sz w:val="20"/>
          <w:szCs w:val="20"/>
        </w:rPr>
        <w:t>g a four-month business transition period. We donated this income to the Ralph Lauren Corporate Foundation, a non-profit, charitable foundation, which resulted in a related offsetting $4.0 million donation expense recorded within restructuring and other ch</w:t>
      </w:r>
      <w:r>
        <w:rPr>
          <w:rFonts w:eastAsia="Times New Roman"/>
          <w:color w:val="000000"/>
          <w:sz w:val="20"/>
          <w:szCs w:val="20"/>
        </w:rPr>
        <w:t xml:space="preserve">arges, net in the consolidated statements of operations during Fiscal 2022. We also recorded a charge of $6.4 million during Fiscal 2022 </w:t>
      </w:r>
      <w:r>
        <w:rPr>
          <w:rFonts w:eastAsia="Times New Roman"/>
          <w:color w:val="000000"/>
          <w:sz w:val="20"/>
          <w:szCs w:val="20"/>
          <w:shd w:val="clear" w:color="auto" w:fill="FFFFFF"/>
        </w:rPr>
        <w:t xml:space="preserve">in connection with non-income-related capital taxes resulting from Swiss tax reform. </w:t>
      </w:r>
      <w:r>
        <w:rPr>
          <w:rFonts w:eastAsia="Times New Roman"/>
          <w:color w:val="000000"/>
          <w:sz w:val="20"/>
          <w:szCs w:val="20"/>
        </w:rPr>
        <w:t>See Note 9 to the accompanying con</w:t>
      </w:r>
      <w:r>
        <w:rPr>
          <w:rFonts w:eastAsia="Times New Roman"/>
          <w:color w:val="000000"/>
          <w:sz w:val="20"/>
          <w:szCs w:val="20"/>
        </w:rPr>
        <w:t>solidated financial statements.</w:t>
      </w:r>
    </w:p>
    <w:p w:rsidR="00000000" w:rsidRDefault="00BB5C2D">
      <w:pPr>
        <w:ind w:firstLine="540"/>
        <w:jc w:val="both"/>
        <w:divId w:val="63070725"/>
        <w:rPr>
          <w:rFonts w:eastAsia="Times New Roman"/>
        </w:rPr>
      </w:pPr>
      <w:r>
        <w:rPr>
          <w:rFonts w:eastAsia="Times New Roman"/>
          <w:i/>
          <w:iCs/>
          <w:color w:val="000000"/>
          <w:sz w:val="20"/>
          <w:szCs w:val="20"/>
        </w:rPr>
        <w:t>Operating Income (Loss).</w:t>
      </w:r>
      <w:r>
        <w:rPr>
          <w:rFonts w:eastAsia="Times New Roman"/>
          <w:color w:val="000000"/>
          <w:sz w:val="20"/>
          <w:szCs w:val="20"/>
        </w:rPr>
        <w:t>    During Fiscal 2022, we reported operating income of $798.4 million, as compared to an operating loss of $43.6 million during Fiscal 2021. The $842.0 million increase in operating income reflects t</w:t>
      </w:r>
      <w:r>
        <w:rPr>
          <w:rFonts w:eastAsia="Times New Roman"/>
          <w:color w:val="000000"/>
          <w:sz w:val="20"/>
          <w:szCs w:val="20"/>
        </w:rPr>
        <w:t>he return to more normalized operations in comparison to the prior fiscal year period, as previously discussed, as well as net unfavorable foreign currency effects of $13.2 million. Our operating results during Fiscal 2022 and Fiscal 2021 were negatively i</w:t>
      </w:r>
      <w:r>
        <w:rPr>
          <w:rFonts w:eastAsia="Times New Roman"/>
          <w:color w:val="000000"/>
          <w:sz w:val="20"/>
          <w:szCs w:val="20"/>
        </w:rPr>
        <w:t xml:space="preserve">mpacted by net restructuring-related charges, impairment of assets, and certain other charges (benefits) totaling $32.6 million and $254.4 million, respectively. Operating income as a percentage of net revenues was 12.8% in Fiscal 2022, reflecting a 1,380 </w:t>
      </w:r>
      <w:r>
        <w:rPr>
          <w:rFonts w:eastAsia="Times New Roman"/>
          <w:color w:val="000000"/>
          <w:sz w:val="20"/>
          <w:szCs w:val="20"/>
        </w:rPr>
        <w:t>basis point improvement from Fiscal 2021. The improvement in operating income as a percentage of net revenues was primarily driven by lower net restructuring-related charges, impairment of assets, and certain other charges (benefits) recorded during Fiscal</w:t>
      </w:r>
      <w:r>
        <w:rPr>
          <w:rFonts w:eastAsia="Times New Roman"/>
          <w:color w:val="000000"/>
          <w:sz w:val="20"/>
          <w:szCs w:val="20"/>
        </w:rPr>
        <w:t xml:space="preserve"> 2022 as compared to the prior fiscal year, the decrease in SG&amp;A expenses as a percentage of net revenues, and the increase in our gross margin, all as previously discussed.</w:t>
      </w:r>
    </w:p>
    <w:p w:rsidR="00000000" w:rsidRDefault="00BB5C2D">
      <w:pPr>
        <w:ind w:firstLine="540"/>
        <w:jc w:val="both"/>
        <w:divId w:val="295262548"/>
        <w:rPr>
          <w:rFonts w:eastAsia="Times New Roman"/>
        </w:rPr>
      </w:pPr>
      <w:r>
        <w:rPr>
          <w:rFonts w:eastAsia="Times New Roman"/>
          <w:color w:val="000000"/>
          <w:sz w:val="20"/>
          <w:szCs w:val="20"/>
        </w:rPr>
        <w:t>Operating income (loss) and margin for our segments, as well as a discussion of th</w:t>
      </w:r>
      <w:r>
        <w:rPr>
          <w:rFonts w:eastAsia="Times New Roman"/>
          <w:color w:val="000000"/>
          <w:sz w:val="20"/>
          <w:szCs w:val="20"/>
        </w:rPr>
        <w:t>e changes in each reportable segment's operating margin from the prior fiscal year, are provided below:</w:t>
      </w:r>
    </w:p>
    <w:tbl>
      <w:tblPr>
        <w:tblW w:w="4744" w:type="pct"/>
        <w:tblCellMar>
          <w:top w:w="15" w:type="dxa"/>
          <w:left w:w="15" w:type="dxa"/>
          <w:bottom w:w="15" w:type="dxa"/>
          <w:right w:w="15" w:type="dxa"/>
        </w:tblCellMar>
        <w:tblLook w:val="04A0" w:firstRow="1" w:lastRow="0" w:firstColumn="1" w:lastColumn="0" w:noHBand="0" w:noVBand="1"/>
      </w:tblPr>
      <w:tblGrid>
        <w:gridCol w:w="40"/>
        <w:gridCol w:w="2657"/>
        <w:gridCol w:w="39"/>
        <w:gridCol w:w="36"/>
        <w:gridCol w:w="36"/>
        <w:gridCol w:w="36"/>
        <w:gridCol w:w="121"/>
        <w:gridCol w:w="647"/>
        <w:gridCol w:w="36"/>
        <w:gridCol w:w="36"/>
        <w:gridCol w:w="36"/>
        <w:gridCol w:w="36"/>
        <w:gridCol w:w="88"/>
        <w:gridCol w:w="647"/>
        <w:gridCol w:w="36"/>
        <w:gridCol w:w="36"/>
        <w:gridCol w:w="36"/>
        <w:gridCol w:w="36"/>
        <w:gridCol w:w="121"/>
        <w:gridCol w:w="646"/>
        <w:gridCol w:w="37"/>
        <w:gridCol w:w="36"/>
        <w:gridCol w:w="36"/>
        <w:gridCol w:w="36"/>
        <w:gridCol w:w="88"/>
        <w:gridCol w:w="647"/>
        <w:gridCol w:w="36"/>
        <w:gridCol w:w="36"/>
        <w:gridCol w:w="36"/>
        <w:gridCol w:w="36"/>
        <w:gridCol w:w="121"/>
        <w:gridCol w:w="594"/>
        <w:gridCol w:w="36"/>
        <w:gridCol w:w="36"/>
        <w:gridCol w:w="36"/>
        <w:gridCol w:w="36"/>
        <w:gridCol w:w="54"/>
        <w:gridCol w:w="506"/>
        <w:gridCol w:w="36"/>
      </w:tblGrid>
      <w:tr w:rsidR="00000000">
        <w:trPr>
          <w:divId w:val="715666809"/>
        </w:trPr>
        <w:tc>
          <w:tcPr>
            <w:tcW w:w="50" w:type="pct"/>
            <w:vAlign w:val="center"/>
            <w:hideMark/>
          </w:tcPr>
          <w:p w:rsidR="00000000" w:rsidRDefault="00BB5C2D">
            <w:pPr>
              <w:ind w:firstLine="540"/>
              <w:jc w:val="both"/>
              <w:rPr>
                <w:rFonts w:eastAsia="Times New Roman"/>
              </w:rPr>
            </w:pPr>
          </w:p>
        </w:tc>
        <w:tc>
          <w:tcPr>
            <w:tcW w:w="209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36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36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36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36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34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6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715666809"/>
          <w:trHeight w:val="240"/>
        </w:trPr>
        <w:tc>
          <w:tcPr>
            <w:tcW w:w="0" w:type="auto"/>
            <w:gridSpan w:val="3"/>
            <w:vMerge w:val="restart"/>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16"/>
                <w:szCs w:val="16"/>
              </w:rPr>
              <w:t> </w:t>
            </w:r>
          </w:p>
        </w:tc>
      </w:tr>
      <w:tr w:rsidR="00000000">
        <w:trPr>
          <w:divId w:val="715666809"/>
          <w:trHeight w:val="240"/>
        </w:trPr>
        <w:tc>
          <w:tcPr>
            <w:tcW w:w="0" w:type="auto"/>
            <w:gridSpan w:val="3"/>
            <w:vMerge/>
            <w:vAlign w:val="center"/>
            <w:hideMark/>
          </w:tcPr>
          <w:p w:rsidR="00000000" w:rsidRDefault="00BB5C2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 2021</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16"/>
                <w:szCs w:val="16"/>
              </w:rPr>
              <w:t> </w:t>
            </w:r>
          </w:p>
        </w:tc>
      </w:tr>
      <w:tr w:rsidR="00000000">
        <w:trPr>
          <w:divId w:val="715666809"/>
          <w:trHeight w:val="540"/>
        </w:trPr>
        <w:tc>
          <w:tcPr>
            <w:tcW w:w="0" w:type="auto"/>
            <w:gridSpan w:val="3"/>
            <w:vMerge/>
            <w:vAlign w:val="center"/>
            <w:hideMark/>
          </w:tcPr>
          <w:p w:rsidR="00000000" w:rsidRDefault="00BB5C2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Operating</w:t>
            </w:r>
            <w:r>
              <w:rPr>
                <w:rFonts w:eastAsia="Times New Roman"/>
                <w:b/>
                <w:bCs/>
                <w:color w:val="000000"/>
                <w:sz w:val="16"/>
                <w:szCs w:val="16"/>
              </w:rPr>
              <w:br/>
              <w:t>Income</w:t>
            </w:r>
            <w:r>
              <w:rPr>
                <w:rFonts w:eastAsia="Times New Roman"/>
                <w:b/>
                <w:bCs/>
                <w:color w:val="000000"/>
                <w:sz w:val="16"/>
                <w:szCs w:val="16"/>
              </w:rPr>
              <w:br/>
              <w:t>(Loss)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Operating</w:t>
            </w:r>
            <w:r>
              <w:rPr>
                <w:rFonts w:eastAsia="Times New Roman"/>
                <w:b/>
                <w:bCs/>
                <w:color w:val="000000"/>
                <w:sz w:val="16"/>
                <w:szCs w:val="16"/>
              </w:rPr>
              <w:br/>
              <w:t>Margin</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Operating</w:t>
            </w:r>
            <w:r>
              <w:rPr>
                <w:rFonts w:eastAsia="Times New Roman"/>
                <w:b/>
                <w:bCs/>
                <w:color w:val="000000"/>
                <w:sz w:val="16"/>
                <w:szCs w:val="16"/>
              </w:rPr>
              <w:br/>
              <w:t>Income</w:t>
            </w:r>
            <w:r>
              <w:rPr>
                <w:rFonts w:eastAsia="Times New Roman"/>
                <w:b/>
                <w:bCs/>
                <w:color w:val="000000"/>
                <w:sz w:val="16"/>
                <w:szCs w:val="16"/>
              </w:rPr>
              <w:br/>
              <w:t>(Loss)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Operating</w:t>
            </w:r>
            <w:r>
              <w:rPr>
                <w:rFonts w:eastAsia="Times New Roman"/>
                <w:b/>
                <w:bCs/>
                <w:color w:val="000000"/>
                <w:sz w:val="16"/>
                <w:szCs w:val="16"/>
              </w:rPr>
              <w:br/>
              <w:t>Margin</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w:t>
            </w:r>
            <w:r>
              <w:rPr>
                <w:rFonts w:eastAsia="Times New Roman"/>
                <w:b/>
                <w:bCs/>
                <w:color w:val="000000"/>
                <w:sz w:val="16"/>
                <w:szCs w:val="16"/>
              </w:rPr>
              <w:br/>
              <w:t>Change</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Margin</w:t>
            </w:r>
            <w:r>
              <w:rPr>
                <w:rFonts w:eastAsia="Times New Roman"/>
                <w:b/>
                <w:bCs/>
                <w:color w:val="000000"/>
                <w:sz w:val="16"/>
                <w:szCs w:val="16"/>
              </w:rPr>
              <w:br/>
              <w:t>Change</w:t>
            </w:r>
          </w:p>
        </w:tc>
      </w:tr>
      <w:tr w:rsidR="00000000">
        <w:trPr>
          <w:divId w:val="715666809"/>
          <w:trHeight w:val="240"/>
        </w:trPr>
        <w:tc>
          <w:tcPr>
            <w:tcW w:w="0" w:type="auto"/>
            <w:gridSpan w:val="3"/>
            <w:vMerge/>
            <w:vAlign w:val="center"/>
            <w:hideMark/>
          </w:tcPr>
          <w:p w:rsidR="00000000" w:rsidRDefault="00BB5C2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16"/>
                <w:szCs w:val="16"/>
              </w:rPr>
              <w:t> </w:t>
            </w:r>
          </w:p>
        </w:tc>
      </w:tr>
      <w:tr w:rsidR="00000000">
        <w:trPr>
          <w:divId w:val="715666809"/>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b/>
                <w:bCs/>
                <w:color w:val="000000"/>
                <w:sz w:val="20"/>
                <w:szCs w:val="20"/>
              </w:rPr>
              <w:t>Segment: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715666809"/>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North America</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676.7 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22.8%</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334.0 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16.8%</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342.7 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600 bps</w:t>
            </w:r>
          </w:p>
        </w:tc>
      </w:tr>
      <w:tr w:rsidR="00000000">
        <w:trPr>
          <w:divId w:val="715666809"/>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Europe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444.0 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24.9%</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189.3 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16.2%</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254.7 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870 bps</w:t>
            </w:r>
          </w:p>
        </w:tc>
      </w:tr>
      <w:tr w:rsidR="00000000">
        <w:trPr>
          <w:divId w:val="715666809"/>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Asia</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228.8 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17.8%</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148.2 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14.4%</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80.6 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340 bps</w:t>
            </w:r>
          </w:p>
        </w:tc>
      </w:tr>
      <w:tr w:rsidR="00000000">
        <w:trPr>
          <w:divId w:val="715666809"/>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divId w:val="310523285"/>
              <w:rPr>
                <w:rFonts w:eastAsia="Times New Roman"/>
              </w:rPr>
            </w:pPr>
            <w:r>
              <w:rPr>
                <w:rFonts w:eastAsia="Times New Roman"/>
                <w:color w:val="000000"/>
                <w:sz w:val="20"/>
                <w:szCs w:val="20"/>
              </w:rPr>
              <w:t>Other non-reportable segment</w:t>
            </w:r>
            <w:r>
              <w:rPr>
                <w:rFonts w:eastAsia="Times New Roman"/>
                <w:color w:val="000000"/>
                <w:sz w:val="20"/>
                <w:szCs w:val="20"/>
              </w:rPr>
              <w:t>s</w:t>
            </w:r>
            <w:r>
              <w:rPr>
                <w:rFonts w:eastAsia="Times New Roman"/>
                <w:b/>
                <w:bCs/>
                <w:color w:val="000000"/>
                <w:sz w:val="13"/>
                <w:szCs w:val="13"/>
              </w:rPr>
              <w:t>(a</w:t>
            </w:r>
            <w:r>
              <w:rPr>
                <w:rFonts w:eastAsia="Times New Roman"/>
                <w:b/>
                <w:bCs/>
                <w:color w:val="000000"/>
                <w:sz w:val="13"/>
                <w:szCs w:val="13"/>
              </w:rPr>
              <w:t>)</w:t>
            </w:r>
            <w:r>
              <w:rPr>
                <w:rFonts w:eastAsia="Times New Roman"/>
                <w:color w:val="000000"/>
                <w:sz w:val="13"/>
                <w:szCs w:val="13"/>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138.4 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75.7%</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32.4 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15.1%</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106.0 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6,060 bps</w:t>
            </w:r>
          </w:p>
        </w:tc>
      </w:tr>
      <w:tr w:rsidR="00000000">
        <w:trPr>
          <w:divId w:val="715666809"/>
        </w:trPr>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1,487.9 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703.9 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784.0 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715666809"/>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Unallocated corporate expenses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(667.3)</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(577.0)</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(90.3)</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715666809"/>
        </w:trPr>
        <w:tc>
          <w:tcPr>
            <w:tcW w:w="0" w:type="auto"/>
            <w:gridSpan w:val="3"/>
            <w:shd w:val="clear" w:color="auto" w:fill="FFFFFF"/>
            <w:tcMar>
              <w:top w:w="30" w:type="dxa"/>
              <w:left w:w="335" w:type="dxa"/>
              <w:bottom w:w="30" w:type="dxa"/>
              <w:right w:w="20" w:type="dxa"/>
            </w:tcMar>
            <w:vAlign w:val="bottom"/>
            <w:hideMark/>
          </w:tcPr>
          <w:p w:rsidR="00000000" w:rsidRDefault="00BB5C2D">
            <w:pPr>
              <w:spacing w:after="100"/>
              <w:ind w:hanging="180"/>
              <w:rPr>
                <w:rFonts w:eastAsia="Times New Roman"/>
              </w:rPr>
            </w:pPr>
            <w:r>
              <w:rPr>
                <w:rFonts w:eastAsia="Times New Roman"/>
                <w:color w:val="000000"/>
                <w:sz w:val="20"/>
                <w:szCs w:val="20"/>
              </w:rPr>
              <w:t>Unallocated restructuring and other charges, net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(22.2)</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(170.5)</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148.3 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715666809"/>
        </w:trPr>
        <w:tc>
          <w:tcPr>
            <w:tcW w:w="0" w:type="auto"/>
            <w:gridSpan w:val="3"/>
            <w:shd w:val="clear" w:color="auto" w:fill="CCEEFF"/>
            <w:tcMar>
              <w:top w:w="30" w:type="dxa"/>
              <w:left w:w="38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operating income (loss)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798.4 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12.8%</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(43.6)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(1.0%)</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842.0 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1,380 bps</w:t>
            </w:r>
          </w:p>
        </w:tc>
      </w:tr>
    </w:tbl>
    <w:p w:rsidR="00000000" w:rsidRDefault="00BB5C2D">
      <w:pPr>
        <w:divId w:val="715666809"/>
        <w:rPr>
          <w:rFonts w:eastAsia="Times New Roman"/>
          <w:vanish/>
        </w:rPr>
      </w:pPr>
    </w:p>
    <w:tbl>
      <w:tblPr>
        <w:tblW w:w="972" w:type="pct"/>
        <w:tblCellMar>
          <w:top w:w="15" w:type="dxa"/>
          <w:left w:w="15" w:type="dxa"/>
          <w:bottom w:w="15" w:type="dxa"/>
          <w:right w:w="15" w:type="dxa"/>
        </w:tblCellMar>
        <w:tblLook w:val="04A0" w:firstRow="1" w:lastRow="0" w:firstColumn="1" w:lastColumn="0" w:noHBand="0" w:noVBand="1"/>
      </w:tblPr>
      <w:tblGrid>
        <w:gridCol w:w="36"/>
        <w:gridCol w:w="1543"/>
        <w:gridCol w:w="36"/>
      </w:tblGrid>
      <w:tr w:rsidR="00000000">
        <w:trPr>
          <w:divId w:val="715666809"/>
        </w:trPr>
        <w:tc>
          <w:tcPr>
            <w:tcW w:w="50" w:type="pct"/>
            <w:vAlign w:val="center"/>
            <w:hideMark/>
          </w:tcPr>
          <w:p w:rsidR="00000000" w:rsidRDefault="00BB5C2D">
            <w:pPr>
              <w:rPr>
                <w:rFonts w:eastAsia="Times New Roman"/>
              </w:rPr>
            </w:pPr>
          </w:p>
        </w:tc>
        <w:tc>
          <w:tcPr>
            <w:tcW w:w="494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715666809"/>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r>
    </w:tbl>
    <w:p w:rsidR="00000000" w:rsidRDefault="00BB5C2D">
      <w:pPr>
        <w:ind w:hanging="540"/>
        <w:jc w:val="both"/>
        <w:divId w:val="2133012435"/>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Reflects the disposition of our former Club Monaco business at the end of the first quarter of Fiscal 2022.</w:t>
      </w:r>
    </w:p>
    <w:p w:rsidR="00000000" w:rsidRDefault="00BB5C2D">
      <w:pPr>
        <w:ind w:firstLine="540"/>
        <w:jc w:val="both"/>
        <w:divId w:val="1127897587"/>
        <w:rPr>
          <w:rFonts w:eastAsia="Times New Roman"/>
        </w:rPr>
      </w:pPr>
      <w:r>
        <w:rPr>
          <w:rFonts w:eastAsia="Times New Roman"/>
          <w:i/>
          <w:iCs/>
          <w:color w:val="000000"/>
          <w:sz w:val="20"/>
          <w:szCs w:val="20"/>
        </w:rPr>
        <w:t>North America operating margin</w:t>
      </w:r>
      <w:r>
        <w:rPr>
          <w:rFonts w:eastAsia="Times New Roman"/>
          <w:color w:val="000000"/>
          <w:sz w:val="20"/>
          <w:szCs w:val="20"/>
        </w:rPr>
        <w:t xml:space="preserve"> improved by 600 basis points, primarily due to the favorable impacts of approximately 330 basis points and 170 basis </w:t>
      </w:r>
      <w:r>
        <w:rPr>
          <w:rFonts w:eastAsia="Times New Roman"/>
          <w:color w:val="000000"/>
          <w:sz w:val="20"/>
          <w:szCs w:val="20"/>
        </w:rPr>
        <w:t>points related to our retail and wholesale businesses, respectively, both largely driven by a decline in SG&amp;A expenses as a percentage of net revenues resulting from operating leverage on higher net revenues. The basis point improvement of our retail busin</w:t>
      </w:r>
      <w:r>
        <w:rPr>
          <w:rFonts w:eastAsia="Times New Roman"/>
          <w:color w:val="000000"/>
          <w:sz w:val="20"/>
          <w:szCs w:val="20"/>
        </w:rPr>
        <w:t>ess also reflected an increase in our gross margin, while the improvement in our wholesale business reflected a decline in our gross margin. The overall improvement in operating margin also reflected the favorable impact of 100 basis points attributable to</w:t>
      </w:r>
      <w:r>
        <w:rPr>
          <w:rFonts w:eastAsia="Times New Roman"/>
          <w:color w:val="000000"/>
          <w:sz w:val="20"/>
          <w:szCs w:val="20"/>
        </w:rPr>
        <w:t xml:space="preserve"> lower impairment of assets and non-routine inventory charges during Fiscal 2022 as compared to the prior fiscal year, partially offset by the absence of favorable non-routine bad debt expense adjustments recorded during the current fiscal year.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8505955"/>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8505955"/>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55</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83" style="width:0;height:1.5pt" o:hralign="center" o:hrstd="t" o:hr="t" fillcolor="#a0a0a0" stroked="f"/>
        </w:pict>
      </w:r>
    </w:p>
    <w:p w:rsidR="00000000" w:rsidRDefault="00BB5C2D">
      <w:pPr>
        <w:divId w:val="2076199129"/>
        <w:rPr>
          <w:rFonts w:eastAsia="Times New Roman"/>
        </w:rPr>
      </w:pPr>
    </w:p>
    <w:p w:rsidR="00000000" w:rsidRDefault="00BB5C2D">
      <w:pPr>
        <w:ind w:firstLine="540"/>
        <w:jc w:val="both"/>
        <w:divId w:val="394745825"/>
        <w:rPr>
          <w:rFonts w:eastAsia="Times New Roman"/>
        </w:rPr>
      </w:pPr>
      <w:r>
        <w:rPr>
          <w:rFonts w:eastAsia="Times New Roman"/>
          <w:i/>
          <w:iCs/>
          <w:color w:val="000000"/>
          <w:sz w:val="20"/>
          <w:szCs w:val="20"/>
        </w:rPr>
        <w:t>Europe operating margin</w:t>
      </w:r>
      <w:r>
        <w:rPr>
          <w:rFonts w:eastAsia="Times New Roman"/>
          <w:color w:val="000000"/>
          <w:sz w:val="20"/>
          <w:szCs w:val="20"/>
        </w:rPr>
        <w:t xml:space="preserve"> improved by 870 basis points, primarily due to the favorable impacts of approximately 530 basis points and 320 basis points related to our retail and wholesale businesses, respectively, both lar</w:t>
      </w:r>
      <w:r>
        <w:rPr>
          <w:rFonts w:eastAsia="Times New Roman"/>
          <w:color w:val="000000"/>
          <w:sz w:val="20"/>
          <w:szCs w:val="20"/>
        </w:rPr>
        <w:t>gely driven by a decline in SG&amp;A expenses as a percentage of net revenues resulting from operating leverage on higher net revenues. The overall improvement in operating margin also reflected the favorable impact of 90 basis points attributable to lower imp</w:t>
      </w:r>
      <w:r>
        <w:rPr>
          <w:rFonts w:eastAsia="Times New Roman"/>
          <w:color w:val="000000"/>
          <w:sz w:val="20"/>
          <w:szCs w:val="20"/>
        </w:rPr>
        <w:t xml:space="preserve">airment of assets during Fiscal 2022 as compared to the prior fiscal year, partially offset by higher non-routine bad debt expense recorded during the current fiscal year. These improvements in operating margin were partially offset by unfavorable foreign </w:t>
      </w:r>
      <w:r>
        <w:rPr>
          <w:rFonts w:eastAsia="Times New Roman"/>
          <w:color w:val="000000"/>
          <w:sz w:val="20"/>
          <w:szCs w:val="20"/>
        </w:rPr>
        <w:t xml:space="preserve">currency effects and channel mix of approximately 40 basis points and 30 basis points, respectively. </w:t>
      </w:r>
    </w:p>
    <w:p w:rsidR="00000000" w:rsidRDefault="00BB5C2D">
      <w:pPr>
        <w:ind w:firstLine="540"/>
        <w:jc w:val="both"/>
        <w:divId w:val="2076005487"/>
        <w:rPr>
          <w:rFonts w:eastAsia="Times New Roman"/>
        </w:rPr>
      </w:pPr>
      <w:r>
        <w:rPr>
          <w:rFonts w:eastAsia="Times New Roman"/>
          <w:i/>
          <w:iCs/>
          <w:color w:val="000000"/>
          <w:sz w:val="20"/>
          <w:szCs w:val="20"/>
        </w:rPr>
        <w:t>Asia operating margin</w:t>
      </w:r>
      <w:r>
        <w:rPr>
          <w:rFonts w:eastAsia="Times New Roman"/>
          <w:color w:val="000000"/>
          <w:sz w:val="20"/>
          <w:szCs w:val="20"/>
        </w:rPr>
        <w:t xml:space="preserve"> improved by 340 basis points, primarily due to the favorable impact of approximately 260 basis points related to our retail business</w:t>
      </w:r>
      <w:r>
        <w:rPr>
          <w:rFonts w:eastAsia="Times New Roman"/>
          <w:color w:val="000000"/>
          <w:sz w:val="20"/>
          <w:szCs w:val="20"/>
        </w:rPr>
        <w:t>, largely driven by an increase in our gross margin and a decline in SG&amp;A expenses as a percentage of net revenues. The overall improvement in operating margin also reflected 40 basis points related to our wholesale business, largely driven by a decline in</w:t>
      </w:r>
      <w:r>
        <w:rPr>
          <w:rFonts w:eastAsia="Times New Roman"/>
          <w:color w:val="000000"/>
          <w:sz w:val="20"/>
          <w:szCs w:val="20"/>
        </w:rPr>
        <w:t xml:space="preserve"> SG&amp;A expenses as a percentage of net revenues. The remaining 40 basis point improvement was primarily driven by favorable foreign currency effects.</w:t>
      </w:r>
    </w:p>
    <w:p w:rsidR="00000000" w:rsidRDefault="00BB5C2D">
      <w:pPr>
        <w:ind w:firstLine="540"/>
        <w:jc w:val="both"/>
        <w:divId w:val="1467815108"/>
        <w:rPr>
          <w:rFonts w:eastAsia="Times New Roman"/>
        </w:rPr>
      </w:pPr>
      <w:r>
        <w:rPr>
          <w:rFonts w:eastAsia="Times New Roman"/>
          <w:i/>
          <w:iCs/>
          <w:color w:val="000000"/>
          <w:sz w:val="20"/>
          <w:szCs w:val="20"/>
        </w:rPr>
        <w:t>Unallocated corporate expenses</w:t>
      </w:r>
      <w:r>
        <w:rPr>
          <w:rFonts w:eastAsia="Times New Roman"/>
          <w:color w:val="000000"/>
          <w:sz w:val="20"/>
          <w:szCs w:val="20"/>
        </w:rPr>
        <w:t xml:space="preserve"> </w:t>
      </w:r>
      <w:r>
        <w:rPr>
          <w:rFonts w:eastAsia="Times New Roman"/>
          <w:color w:val="000000"/>
          <w:sz w:val="20"/>
          <w:szCs w:val="20"/>
        </w:rPr>
        <w:t>increased by $90.3 million to $667.3 million in Fiscal 2022. The increase in unallocated corporate expenses was due to higher compensation-related expenses of $88.4 million, higher marketing and advertising expenses of $42.1 million, higher consulting fees</w:t>
      </w:r>
      <w:r>
        <w:rPr>
          <w:rFonts w:eastAsia="Times New Roman"/>
          <w:color w:val="000000"/>
          <w:sz w:val="20"/>
          <w:szCs w:val="20"/>
        </w:rPr>
        <w:t xml:space="preserve"> of $13.8 million and higher other expenses of $11.7 million, partially offset by higher intercompany sourcing commission income of $43.3 million (which is offset at the segment level and eliminates in consolidation) and lower impairment charges of $22.4 m</w:t>
      </w:r>
      <w:r>
        <w:rPr>
          <w:rFonts w:eastAsia="Times New Roman"/>
          <w:color w:val="000000"/>
          <w:sz w:val="20"/>
          <w:szCs w:val="20"/>
        </w:rPr>
        <w:t>illion.</w:t>
      </w:r>
    </w:p>
    <w:p w:rsidR="00000000" w:rsidRDefault="00BB5C2D">
      <w:pPr>
        <w:ind w:firstLine="540"/>
        <w:jc w:val="both"/>
        <w:divId w:val="828863749"/>
        <w:rPr>
          <w:rFonts w:eastAsia="Times New Roman"/>
        </w:rPr>
      </w:pPr>
      <w:r>
        <w:rPr>
          <w:rFonts w:eastAsia="Times New Roman"/>
          <w:i/>
          <w:iCs/>
          <w:color w:val="000000"/>
          <w:sz w:val="20"/>
          <w:szCs w:val="20"/>
        </w:rPr>
        <w:t>Unallocated restructuring and other charges, net</w:t>
      </w:r>
      <w:r>
        <w:rPr>
          <w:rFonts w:eastAsia="Times New Roman"/>
          <w:color w:val="000000"/>
          <w:sz w:val="20"/>
          <w:szCs w:val="20"/>
        </w:rPr>
        <w:t xml:space="preserve"> decreased by $148.3 million to $22.2 million in Fiscal 2022, as previously discussed above and in Note 9 to the accompanying consolidated financial statements.</w:t>
      </w:r>
    </w:p>
    <w:p w:rsidR="00000000" w:rsidRDefault="00BB5C2D">
      <w:pPr>
        <w:ind w:firstLine="540"/>
        <w:jc w:val="both"/>
        <w:divId w:val="1578515547"/>
        <w:rPr>
          <w:rFonts w:eastAsia="Times New Roman"/>
        </w:rPr>
      </w:pPr>
      <w:r>
        <w:rPr>
          <w:rFonts w:eastAsia="Times New Roman"/>
          <w:i/>
          <w:iCs/>
          <w:color w:val="000000"/>
          <w:sz w:val="20"/>
          <w:szCs w:val="20"/>
        </w:rPr>
        <w:t>Non-operating Income (Expense), Net.</w:t>
      </w:r>
      <w:r>
        <w:rPr>
          <w:rFonts w:eastAsia="Times New Roman"/>
          <w:color w:val="000000"/>
          <w:sz w:val="20"/>
          <w:szCs w:val="20"/>
        </w:rPr>
        <w:t>   </w:t>
      </w:r>
      <w:r>
        <w:rPr>
          <w:rFonts w:eastAsia="Times New Roman"/>
          <w:color w:val="000000"/>
          <w:sz w:val="20"/>
          <w:szCs w:val="20"/>
        </w:rPr>
        <w:t> Non-operating income (expense), net is comprised of interest expense, interest income, and other income (expense), net, which includes foreign currency gains (losses), equity in income (losses) from our equity-method investees, and other non-operating exp</w:t>
      </w:r>
      <w:r>
        <w:rPr>
          <w:rFonts w:eastAsia="Times New Roman"/>
          <w:color w:val="000000"/>
          <w:sz w:val="20"/>
          <w:szCs w:val="20"/>
        </w:rPr>
        <w:t>enses. During Fiscal 2022, we reported non-operating expense, net, of $43.8 million, as compared to $31.2 million in Fiscal 2021. The $12.6 million increase in non-operating expense, net was driven by:</w:t>
      </w:r>
    </w:p>
    <w:p w:rsidR="00000000" w:rsidRDefault="00BB5C2D">
      <w:pPr>
        <w:ind w:hanging="360"/>
        <w:jc w:val="both"/>
        <w:divId w:val="246308165"/>
        <w:rPr>
          <w:rFonts w:eastAsia="Times New Roman"/>
        </w:rPr>
      </w:pPr>
      <w:r>
        <w:rPr>
          <w:rFonts w:eastAsia="Times New Roman"/>
          <w:i/>
          <w:iCs/>
          <w:color w:val="000000"/>
          <w:sz w:val="20"/>
          <w:szCs w:val="20"/>
        </w:rPr>
        <w:t>•</w:t>
      </w:r>
      <w:r>
        <w:rPr>
          <w:rFonts w:eastAsia="Times New Roman"/>
          <w:color w:val="000000"/>
          <w:sz w:val="20"/>
          <w:szCs w:val="20"/>
        </w:rPr>
        <w:t>a $5.5 million increase in interest expense, primaril</w:t>
      </w:r>
      <w:r>
        <w:rPr>
          <w:rFonts w:eastAsia="Times New Roman"/>
          <w:color w:val="000000"/>
          <w:sz w:val="20"/>
          <w:szCs w:val="20"/>
        </w:rPr>
        <w:t>y driven by our finance leases, as well as the higher average level of outstanding debt during Fiscal 2022 (see "</w:t>
      </w:r>
      <w:r>
        <w:rPr>
          <w:rFonts w:eastAsia="Times New Roman"/>
          <w:i/>
          <w:iCs/>
          <w:color w:val="000000"/>
          <w:sz w:val="20"/>
          <w:szCs w:val="20"/>
        </w:rPr>
        <w:t>Financial Condition and Liquidity — Cash Flows</w:t>
      </w:r>
      <w:r>
        <w:rPr>
          <w:rFonts w:eastAsia="Times New Roman"/>
          <w:color w:val="000000"/>
          <w:sz w:val="20"/>
          <w:szCs w:val="20"/>
        </w:rPr>
        <w:t xml:space="preserve">"); </w:t>
      </w:r>
    </w:p>
    <w:p w:rsidR="00000000" w:rsidRDefault="00BB5C2D">
      <w:pPr>
        <w:ind w:hanging="360"/>
        <w:jc w:val="both"/>
        <w:divId w:val="1119371955"/>
        <w:rPr>
          <w:rFonts w:eastAsia="Times New Roman"/>
        </w:rPr>
      </w:pPr>
      <w:r>
        <w:rPr>
          <w:rFonts w:eastAsia="Times New Roman"/>
          <w:color w:val="000000"/>
          <w:sz w:val="20"/>
          <w:szCs w:val="20"/>
        </w:rPr>
        <w:t>•a $4.2 million decline in interest income, primarily driven by lower interest rates in fina</w:t>
      </w:r>
      <w:r>
        <w:rPr>
          <w:rFonts w:eastAsia="Times New Roman"/>
          <w:color w:val="000000"/>
          <w:sz w:val="20"/>
          <w:szCs w:val="20"/>
        </w:rPr>
        <w:t>ncial markets; and</w:t>
      </w:r>
    </w:p>
    <w:p w:rsidR="00000000" w:rsidRDefault="00BB5C2D">
      <w:pPr>
        <w:ind w:hanging="360"/>
        <w:jc w:val="both"/>
        <w:divId w:val="2064668009"/>
        <w:rPr>
          <w:rFonts w:eastAsia="Times New Roman"/>
        </w:rPr>
      </w:pPr>
      <w:r>
        <w:rPr>
          <w:rFonts w:eastAsia="Times New Roman"/>
          <w:color w:val="000000"/>
          <w:sz w:val="20"/>
          <w:szCs w:val="20"/>
        </w:rPr>
        <w:t>•a $2.9 million</w:t>
      </w:r>
      <w:r>
        <w:rPr>
          <w:rFonts w:eastAsia="Times New Roman"/>
          <w:i/>
          <w:iCs/>
          <w:color w:val="000000"/>
          <w:sz w:val="20"/>
          <w:szCs w:val="20"/>
        </w:rPr>
        <w:t xml:space="preserve"> </w:t>
      </w:r>
      <w:r>
        <w:rPr>
          <w:rFonts w:eastAsia="Times New Roman"/>
          <w:color w:val="000000"/>
          <w:sz w:val="20"/>
          <w:szCs w:val="20"/>
        </w:rPr>
        <w:t>decline in other income (expense), net, primarily driven by lower net foreign currency gains during Fiscal 2022 as compared to the prior fiscal year period.</w:t>
      </w:r>
    </w:p>
    <w:p w:rsidR="00000000" w:rsidRDefault="00BB5C2D">
      <w:pPr>
        <w:ind w:firstLine="540"/>
        <w:jc w:val="both"/>
        <w:divId w:val="1078788374"/>
        <w:rPr>
          <w:rFonts w:eastAsia="Times New Roman"/>
        </w:rPr>
      </w:pPr>
      <w:r>
        <w:rPr>
          <w:rFonts w:eastAsia="Times New Roman"/>
          <w:i/>
          <w:iCs/>
          <w:color w:val="000000"/>
          <w:sz w:val="20"/>
          <w:szCs w:val="20"/>
        </w:rPr>
        <w:t>Income Tax Provision.</w:t>
      </w:r>
      <w:r>
        <w:rPr>
          <w:rFonts w:eastAsia="Times New Roman"/>
          <w:color w:val="000000"/>
          <w:sz w:val="20"/>
          <w:szCs w:val="20"/>
        </w:rPr>
        <w:t>    The income tax provision represents fed</w:t>
      </w:r>
      <w:r>
        <w:rPr>
          <w:rFonts w:eastAsia="Times New Roman"/>
          <w:color w:val="000000"/>
          <w:sz w:val="20"/>
          <w:szCs w:val="20"/>
        </w:rPr>
        <w:t>eral, foreign, state and local income taxes. Our effective tax rate will change from period to period based on various factors including, but not limited to, the geographic mix of earnings, the timing and amount of foreign dividends, enacted tax legislatio</w:t>
      </w:r>
      <w:r>
        <w:rPr>
          <w:rFonts w:eastAsia="Times New Roman"/>
          <w:color w:val="000000"/>
          <w:sz w:val="20"/>
          <w:szCs w:val="20"/>
        </w:rPr>
        <w:t>n, state and local taxes, tax audit findings and settlements, and the interaction of various global tax strategies.</w:t>
      </w:r>
    </w:p>
    <w:p w:rsidR="00000000" w:rsidRDefault="00BB5C2D">
      <w:pPr>
        <w:ind w:firstLine="540"/>
        <w:jc w:val="both"/>
        <w:divId w:val="601063308"/>
        <w:rPr>
          <w:rFonts w:eastAsia="Times New Roman"/>
        </w:rPr>
      </w:pPr>
      <w:r>
        <w:rPr>
          <w:rFonts w:eastAsia="Times New Roman"/>
          <w:color w:val="000000"/>
          <w:sz w:val="20"/>
          <w:szCs w:val="20"/>
        </w:rPr>
        <w:t>The income tax provision and effective tax rate in Fiscal 2022 were $154.5 million and 20.5%, respectively, as compared to $46.3 million and</w:t>
      </w:r>
      <w:r>
        <w:rPr>
          <w:rFonts w:eastAsia="Times New Roman"/>
          <w:color w:val="000000"/>
          <w:sz w:val="20"/>
          <w:szCs w:val="20"/>
        </w:rPr>
        <w:t xml:space="preserve"> (61.9%), respectively, in Fiscal 2021. The $108.2 million increase in our income tax provision was driven by the increase in our pretax income, as well as an increase in our effective tax rate of 8,240 basis points. Our income tax provision in Fiscal 2021</w:t>
      </w:r>
      <w:r>
        <w:rPr>
          <w:rFonts w:eastAsia="Times New Roman"/>
          <w:color w:val="000000"/>
          <w:sz w:val="20"/>
          <w:szCs w:val="20"/>
        </w:rPr>
        <w:t xml:space="preserve"> reflected incremental tax expense of $33.7 million primarily related to a valuation allowance provided against domestic losses attributable to significant COVID-19 business disruptions and $13.8 million related to international tax legislation enacted in </w:t>
      </w:r>
      <w:r>
        <w:rPr>
          <w:rFonts w:eastAsia="Times New Roman"/>
          <w:color w:val="000000"/>
          <w:sz w:val="20"/>
          <w:szCs w:val="20"/>
        </w:rPr>
        <w:t>connection with the European Union's anti-tax avoidance directive, partially offset by an income tax benefit of $0.9 million primarily due to a net operating loss carryback under the CARES Act. Collectively, this $46.6 million of net incremental tax expens</w:t>
      </w:r>
      <w:r>
        <w:rPr>
          <w:rFonts w:eastAsia="Times New Roman"/>
          <w:color w:val="000000"/>
          <w:sz w:val="20"/>
          <w:szCs w:val="20"/>
        </w:rPr>
        <w:t xml:space="preserve">e impacted our prior fiscal year effective tax rate by 6,230 basis points. The remaining 2,010 basis point increase in our effective tax rate was primarily driven by the impact of stock compensation, favorable impact of the change in the geographic mix of </w:t>
      </w:r>
      <w:r>
        <w:rPr>
          <w:rFonts w:eastAsia="Times New Roman"/>
          <w:color w:val="000000"/>
          <w:sz w:val="20"/>
          <w:szCs w:val="20"/>
        </w:rPr>
        <w:t>our worldwide earnings, tax adjustments related to audit settlements, and certain deferred tax adjustments, partially offset by $3.4 million related to a net operating loss carryback under the CARES Act. See Note 10 to the accompanying consolidated financi</w:t>
      </w:r>
      <w:r>
        <w:rPr>
          <w:rFonts w:eastAsia="Times New Roman"/>
          <w:color w:val="000000"/>
          <w:sz w:val="20"/>
          <w:szCs w:val="20"/>
        </w:rPr>
        <w:t>al statements.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678114875"/>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678114875"/>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56</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84" style="width:0;height:1.5pt" o:hralign="center" o:hrstd="t" o:hr="t" fillcolor="#a0a0a0" stroked="f"/>
        </w:pict>
      </w:r>
    </w:p>
    <w:p w:rsidR="00000000" w:rsidRDefault="00BB5C2D">
      <w:pPr>
        <w:divId w:val="199437177"/>
        <w:rPr>
          <w:rFonts w:eastAsia="Times New Roman"/>
        </w:rPr>
      </w:pPr>
    </w:p>
    <w:p w:rsidR="00000000" w:rsidRDefault="00BB5C2D">
      <w:pPr>
        <w:ind w:firstLine="540"/>
        <w:jc w:val="both"/>
        <w:divId w:val="395934648"/>
        <w:rPr>
          <w:rFonts w:eastAsia="Times New Roman"/>
        </w:rPr>
      </w:pPr>
      <w:r>
        <w:rPr>
          <w:rFonts w:eastAsia="Times New Roman"/>
          <w:i/>
          <w:iCs/>
          <w:color w:val="000000"/>
          <w:sz w:val="20"/>
          <w:szCs w:val="20"/>
        </w:rPr>
        <w:t>Net Income (Loss).</w:t>
      </w:r>
      <w:r>
        <w:rPr>
          <w:rFonts w:eastAsia="Times New Roman"/>
          <w:color w:val="000000"/>
          <w:sz w:val="20"/>
          <w:szCs w:val="20"/>
        </w:rPr>
        <w:t xml:space="preserve">    We reported net income of $600.1 million in Fiscal 2022, as compared to a net loss of $121.1 million in Fiscal 2021. The $721.2 million increase in net income was primarily due to the increase in </w:t>
      </w:r>
      <w:r>
        <w:rPr>
          <w:rFonts w:eastAsia="Times New Roman"/>
          <w:color w:val="000000"/>
          <w:sz w:val="20"/>
          <w:szCs w:val="20"/>
        </w:rPr>
        <w:t xml:space="preserve">our operating income, partially offset by the increase in our income tax provision, both as previously discussed. Our operating results during Fiscal 2022 and Fiscal 2021 were negatively impacted by net restructuring-related charges, impairment of assets, </w:t>
      </w:r>
      <w:r>
        <w:rPr>
          <w:rFonts w:eastAsia="Times New Roman"/>
          <w:color w:val="000000"/>
          <w:sz w:val="20"/>
          <w:szCs w:val="20"/>
        </w:rPr>
        <w:t>and certain other charges (benefits) totaling $32.6 million and $254.4 million, respectively, which had an after-tax effect of reducing net income by $23.2 million and $201.5 million, respectively. Partially offsetting these charges was the favorable impac</w:t>
      </w:r>
      <w:r>
        <w:rPr>
          <w:rFonts w:eastAsia="Times New Roman"/>
          <w:color w:val="000000"/>
          <w:sz w:val="20"/>
          <w:szCs w:val="20"/>
        </w:rPr>
        <w:t>t of the 53rd week in Fiscal 2022, which increased net income by $16.5 million. Our net loss during Fiscal 2021 also reflected $46.6 million of incremental net tax expense recorded in connection with one-time tax events, as previously discussed.</w:t>
      </w:r>
    </w:p>
    <w:p w:rsidR="00000000" w:rsidRDefault="00BB5C2D">
      <w:pPr>
        <w:ind w:firstLine="540"/>
        <w:jc w:val="both"/>
        <w:divId w:val="2005818863"/>
        <w:rPr>
          <w:rFonts w:eastAsia="Times New Roman"/>
        </w:rPr>
      </w:pPr>
      <w:r>
        <w:rPr>
          <w:rFonts w:eastAsia="Times New Roman"/>
          <w:i/>
          <w:iCs/>
          <w:color w:val="000000"/>
          <w:sz w:val="20"/>
          <w:szCs w:val="20"/>
        </w:rPr>
        <w:t>Net Income</w:t>
      </w:r>
      <w:r>
        <w:rPr>
          <w:rFonts w:eastAsia="Times New Roman"/>
          <w:i/>
          <w:iCs/>
          <w:color w:val="000000"/>
          <w:sz w:val="20"/>
          <w:szCs w:val="20"/>
        </w:rPr>
        <w:t xml:space="preserve"> (Loss) per Diluted Share.</w:t>
      </w:r>
      <w:r>
        <w:rPr>
          <w:rFonts w:eastAsia="Times New Roman"/>
          <w:color w:val="000000"/>
          <w:sz w:val="20"/>
          <w:szCs w:val="20"/>
        </w:rPr>
        <w:t>    </w:t>
      </w:r>
      <w:r>
        <w:rPr>
          <w:rFonts w:eastAsia="Times New Roman"/>
          <w:color w:val="000000"/>
          <w:sz w:val="20"/>
          <w:szCs w:val="20"/>
        </w:rPr>
        <w:t>We reported net income per diluted share of $8.07 in Fiscal 2022, as compared to a net loss per diluted share of $1.65 in Fiscal 2021. The $9.72 per share increase was driven by the higher level of net income, as previously discussed. Net income per dilute</w:t>
      </w:r>
      <w:r>
        <w:rPr>
          <w:rFonts w:eastAsia="Times New Roman"/>
          <w:color w:val="000000"/>
          <w:sz w:val="20"/>
          <w:szCs w:val="20"/>
        </w:rPr>
        <w:t>d share in Fiscal 2022 and Fiscal 2021 were negatively impacted by $0.31 per share and $2.71 per share, respectively, related to net restructuring-related charges, impairment of assets, and certain other charges (benefits), and favorably impacted by approx</w:t>
      </w:r>
      <w:r>
        <w:rPr>
          <w:rFonts w:eastAsia="Times New Roman"/>
          <w:color w:val="000000"/>
          <w:sz w:val="20"/>
          <w:szCs w:val="20"/>
        </w:rPr>
        <w:t xml:space="preserve">imately $0.22 per share as a result of the 53rd week in Fiscal 2022, as previously discussed. Net loss per diluted share in Fiscal 2021 was also negatively impacted by $0.64 per share due to incremental net tax expense recorded in connection with one-time </w:t>
      </w:r>
      <w:r>
        <w:rPr>
          <w:rFonts w:eastAsia="Times New Roman"/>
          <w:color w:val="000000"/>
          <w:sz w:val="20"/>
          <w:szCs w:val="20"/>
        </w:rPr>
        <w:t>tax events, as previously discussed.</w:t>
      </w:r>
    </w:p>
    <w:p w:rsidR="00000000" w:rsidRDefault="00BB5C2D">
      <w:pPr>
        <w:ind w:firstLine="360"/>
        <w:jc w:val="both"/>
        <w:divId w:val="1001006920"/>
        <w:rPr>
          <w:rFonts w:eastAsia="Times New Roman"/>
        </w:rPr>
      </w:pPr>
      <w:r>
        <w:rPr>
          <w:rFonts w:eastAsia="Times New Roman"/>
          <w:b/>
          <w:bCs/>
          <w:i/>
          <w:iCs/>
          <w:color w:val="000000"/>
          <w:sz w:val="20"/>
          <w:szCs w:val="20"/>
        </w:rPr>
        <w:t>Fiscal 2021 Compared to Fiscal 2020</w:t>
      </w:r>
    </w:p>
    <w:p w:rsidR="00000000" w:rsidRDefault="00BB5C2D">
      <w:pPr>
        <w:ind w:firstLine="540"/>
        <w:jc w:val="both"/>
        <w:divId w:val="424426631"/>
        <w:rPr>
          <w:rFonts w:eastAsia="Times New Roman"/>
        </w:rPr>
      </w:pPr>
      <w:r>
        <w:rPr>
          <w:rFonts w:eastAsia="Times New Roman"/>
          <w:color w:val="000000"/>
          <w:sz w:val="20"/>
          <w:szCs w:val="20"/>
        </w:rPr>
        <w:t xml:space="preserve">The following table summarizes our results of operations and expresses the percentage relationship to net revenues of certain financial statement captions. All percentages shown in the below table and the discussion that follows have been calculated using </w:t>
      </w:r>
      <w:r>
        <w:rPr>
          <w:rFonts w:eastAsia="Times New Roman"/>
          <w:color w:val="000000"/>
          <w:sz w:val="20"/>
          <w:szCs w:val="20"/>
        </w:rPr>
        <w:t>unrounded numbers.</w:t>
      </w:r>
    </w:p>
    <w:tbl>
      <w:tblPr>
        <w:tblW w:w="4714" w:type="pct"/>
        <w:tblCellMar>
          <w:top w:w="15" w:type="dxa"/>
          <w:left w:w="15" w:type="dxa"/>
          <w:bottom w:w="15" w:type="dxa"/>
          <w:right w:w="15" w:type="dxa"/>
        </w:tblCellMar>
        <w:tblLook w:val="04A0" w:firstRow="1" w:lastRow="0" w:firstColumn="1" w:lastColumn="0" w:noHBand="0" w:noVBand="1"/>
      </w:tblPr>
      <w:tblGrid>
        <w:gridCol w:w="39"/>
        <w:gridCol w:w="3450"/>
        <w:gridCol w:w="38"/>
        <w:gridCol w:w="36"/>
        <w:gridCol w:w="36"/>
        <w:gridCol w:w="36"/>
        <w:gridCol w:w="120"/>
        <w:gridCol w:w="685"/>
        <w:gridCol w:w="254"/>
        <w:gridCol w:w="36"/>
        <w:gridCol w:w="36"/>
        <w:gridCol w:w="36"/>
        <w:gridCol w:w="120"/>
        <w:gridCol w:w="685"/>
        <w:gridCol w:w="254"/>
        <w:gridCol w:w="36"/>
        <w:gridCol w:w="36"/>
        <w:gridCol w:w="36"/>
        <w:gridCol w:w="120"/>
        <w:gridCol w:w="734"/>
        <w:gridCol w:w="36"/>
        <w:gridCol w:w="36"/>
        <w:gridCol w:w="36"/>
        <w:gridCol w:w="36"/>
        <w:gridCol w:w="46"/>
        <w:gridCol w:w="564"/>
        <w:gridCol w:w="254"/>
      </w:tblGrid>
      <w:tr w:rsidR="00000000">
        <w:trPr>
          <w:divId w:val="1299335044"/>
        </w:trPr>
        <w:tc>
          <w:tcPr>
            <w:tcW w:w="50" w:type="pct"/>
            <w:vAlign w:val="center"/>
            <w:hideMark/>
          </w:tcPr>
          <w:p w:rsidR="00000000" w:rsidRDefault="00BB5C2D">
            <w:pPr>
              <w:ind w:firstLine="540"/>
              <w:jc w:val="both"/>
              <w:rPr>
                <w:rFonts w:eastAsia="Times New Roman"/>
              </w:rPr>
            </w:pPr>
          </w:p>
        </w:tc>
        <w:tc>
          <w:tcPr>
            <w:tcW w:w="230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6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6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6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6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299335044"/>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16"/>
                <w:szCs w:val="16"/>
              </w:rPr>
              <w:t> </w:t>
            </w:r>
          </w:p>
        </w:tc>
      </w:tr>
      <w:tr w:rsidR="00000000">
        <w:trPr>
          <w:divId w:val="1299335044"/>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w:t>
            </w:r>
            <w:r>
              <w:rPr>
                <w:rFonts w:eastAsia="Times New Roman"/>
                <w:b/>
                <w:bCs/>
                <w:color w:val="000000"/>
                <w:sz w:val="16"/>
                <w:szCs w:val="16"/>
              </w:rPr>
              <w:br/>
              <w:t>Change</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 / bps</w:t>
            </w:r>
            <w:r>
              <w:rPr>
                <w:rFonts w:eastAsia="Times New Roman"/>
                <w:b/>
                <w:bCs/>
                <w:color w:val="000000"/>
                <w:sz w:val="16"/>
                <w:szCs w:val="16"/>
              </w:rPr>
              <w:br/>
              <w:t>Change</w:t>
            </w:r>
          </w:p>
        </w:tc>
      </w:tr>
      <w:tr w:rsidR="00000000">
        <w:trPr>
          <w:divId w:val="1299335044"/>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 except per share data)</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16"/>
                <w:szCs w:val="16"/>
              </w:rPr>
              <w:t> </w:t>
            </w:r>
          </w:p>
        </w:tc>
      </w:tr>
      <w:tr w:rsidR="00000000">
        <w:trPr>
          <w:divId w:val="1299335044"/>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divId w:val="657684924"/>
              <w:rPr>
                <w:rFonts w:eastAsia="Times New Roman"/>
              </w:rPr>
            </w:pPr>
            <w:r>
              <w:rPr>
                <w:rFonts w:eastAsia="Times New Roman"/>
                <w:b/>
                <w:bCs/>
                <w:color w:val="000000"/>
                <w:sz w:val="20"/>
                <w:szCs w:val="20"/>
              </w:rPr>
              <w:t>Net revenues</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4,400.8 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6,159.8 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(1,759.0)</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(28.6 </w:t>
            </w:r>
          </w:p>
        </w:tc>
        <w:tc>
          <w:tcPr>
            <w:tcW w:w="0" w:type="auto"/>
            <w:shd w:val="clear" w:color="auto" w:fill="CCEE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r>
      <w:tr w:rsidR="00000000">
        <w:trPr>
          <w:divId w:val="1299335044"/>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Cost of goods sold</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(1,539.4)</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(2,506.5)</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967.1 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(38.6 </w:t>
            </w:r>
          </w:p>
        </w:tc>
        <w:tc>
          <w:tcPr>
            <w:tcW w:w="0" w:type="auto"/>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r>
      <w:tr w:rsidR="00000000">
        <w:trPr>
          <w:divId w:val="1299335044"/>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divId w:val="1369643133"/>
              <w:rPr>
                <w:rFonts w:eastAsia="Times New Roman"/>
              </w:rPr>
            </w:pPr>
            <w:r>
              <w:rPr>
                <w:rFonts w:eastAsia="Times New Roman"/>
                <w:b/>
                <w:bCs/>
                <w:color w:val="000000"/>
                <w:sz w:val="20"/>
                <w:szCs w:val="20"/>
              </w:rPr>
              <w:t>Gross profit</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2,861.4 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3,653.3 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(791.9)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(21.7 </w:t>
            </w:r>
          </w:p>
        </w:tc>
        <w:tc>
          <w:tcPr>
            <w:tcW w:w="0" w:type="auto"/>
            <w:shd w:val="clear" w:color="auto" w:fill="CCEE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r>
      <w:tr w:rsidR="00000000">
        <w:trPr>
          <w:divId w:val="1299335044"/>
        </w:trPr>
        <w:tc>
          <w:tcPr>
            <w:tcW w:w="0" w:type="auto"/>
            <w:gridSpan w:val="3"/>
            <w:shd w:val="clear" w:color="auto" w:fill="FFFFFF"/>
            <w:tcMar>
              <w:top w:w="30" w:type="dxa"/>
              <w:left w:w="245" w:type="dxa"/>
              <w:bottom w:w="30" w:type="dxa"/>
              <w:right w:w="20" w:type="dxa"/>
            </w:tcMar>
            <w:vAlign w:val="bottom"/>
            <w:hideMark/>
          </w:tcPr>
          <w:p w:rsidR="00000000" w:rsidRDefault="00BB5C2D">
            <w:pPr>
              <w:spacing w:after="100"/>
              <w:rPr>
                <w:rFonts w:eastAsia="Times New Roman"/>
              </w:rPr>
            </w:pPr>
            <w:r>
              <w:rPr>
                <w:rFonts w:eastAsia="Times New Roman"/>
                <w:i/>
                <w:iCs/>
                <w:color w:val="000000"/>
                <w:sz w:val="20"/>
                <w:szCs w:val="20"/>
              </w:rPr>
              <w:t>Gross profit as % of net revenues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i/>
                <w:iCs/>
                <w:color w:val="000000"/>
                <w:sz w:val="20"/>
                <w:szCs w:val="20"/>
              </w:rPr>
              <w:t>65.0 </w:t>
            </w:r>
          </w:p>
        </w:tc>
        <w:tc>
          <w:tcPr>
            <w:tcW w:w="0" w:type="auto"/>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i/>
                <w:iCs/>
                <w:color w:val="000000"/>
                <w:sz w:val="20"/>
                <w:szCs w:val="20"/>
              </w:rPr>
              <w:t>59.3 </w:t>
            </w:r>
          </w:p>
        </w:tc>
        <w:tc>
          <w:tcPr>
            <w:tcW w:w="0" w:type="auto"/>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i/>
                <w:iCs/>
                <w:color w:val="000000"/>
                <w:sz w:val="20"/>
                <w:szCs w:val="20"/>
              </w:rPr>
              <w:t>570 bps</w:t>
            </w:r>
          </w:p>
        </w:tc>
      </w:tr>
      <w:tr w:rsidR="00000000">
        <w:trPr>
          <w:divId w:val="1299335044"/>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(2,638.5)</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(3,237.5)</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599.0 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(18.5 </w:t>
            </w:r>
          </w:p>
        </w:tc>
        <w:tc>
          <w:tcPr>
            <w:tcW w:w="0" w:type="auto"/>
            <w:shd w:val="clear" w:color="auto" w:fill="CCEE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r>
      <w:tr w:rsidR="00000000">
        <w:trPr>
          <w:divId w:val="1299335044"/>
        </w:trPr>
        <w:tc>
          <w:tcPr>
            <w:tcW w:w="0" w:type="auto"/>
            <w:gridSpan w:val="3"/>
            <w:shd w:val="clear" w:color="auto" w:fill="FFFFFF"/>
            <w:tcMar>
              <w:top w:w="30" w:type="dxa"/>
              <w:left w:w="245" w:type="dxa"/>
              <w:bottom w:w="30" w:type="dxa"/>
              <w:right w:w="20" w:type="dxa"/>
            </w:tcMar>
            <w:vAlign w:val="bottom"/>
            <w:hideMark/>
          </w:tcPr>
          <w:p w:rsidR="00000000" w:rsidRDefault="00BB5C2D">
            <w:pPr>
              <w:spacing w:after="100"/>
              <w:rPr>
                <w:rFonts w:eastAsia="Times New Roman"/>
              </w:rPr>
            </w:pPr>
            <w:r>
              <w:rPr>
                <w:rFonts w:eastAsia="Times New Roman"/>
                <w:i/>
                <w:iCs/>
                <w:color w:val="000000"/>
                <w:sz w:val="20"/>
                <w:szCs w:val="20"/>
              </w:rPr>
              <w:t>SG&amp;A expenses as % of net revenues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i/>
                <w:iCs/>
                <w:color w:val="000000"/>
                <w:sz w:val="20"/>
                <w:szCs w:val="20"/>
              </w:rPr>
              <w:t>60.0 </w:t>
            </w:r>
          </w:p>
        </w:tc>
        <w:tc>
          <w:tcPr>
            <w:tcW w:w="0" w:type="auto"/>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i/>
                <w:iCs/>
                <w:color w:val="000000"/>
                <w:sz w:val="20"/>
                <w:szCs w:val="20"/>
              </w:rPr>
              <w:t>52.6 </w:t>
            </w:r>
          </w:p>
        </w:tc>
        <w:tc>
          <w:tcPr>
            <w:tcW w:w="0" w:type="auto"/>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i/>
                <w:iCs/>
                <w:color w:val="000000"/>
                <w:sz w:val="20"/>
                <w:szCs w:val="20"/>
              </w:rPr>
              <w:t>740 bps</w:t>
            </w:r>
          </w:p>
        </w:tc>
      </w:tr>
      <w:tr w:rsidR="00000000">
        <w:trPr>
          <w:divId w:val="1299335044"/>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Impairment of assets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(96.0)</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(31.6)</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(64.4)</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203.5 </w:t>
            </w:r>
          </w:p>
        </w:tc>
        <w:tc>
          <w:tcPr>
            <w:tcW w:w="0" w:type="auto"/>
            <w:shd w:val="clear" w:color="auto" w:fill="CCEE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r>
      <w:tr w:rsidR="00000000">
        <w:trPr>
          <w:divId w:val="1299335044"/>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Restructuring and other charges, net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(170.5)</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(67.2)</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(103.3)</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153.9 </w:t>
            </w:r>
          </w:p>
        </w:tc>
        <w:tc>
          <w:tcPr>
            <w:tcW w:w="0" w:type="auto"/>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r>
      <w:tr w:rsidR="00000000">
        <w:trPr>
          <w:divId w:val="1299335044"/>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divId w:val="2135175617"/>
              <w:rPr>
                <w:rFonts w:eastAsia="Times New Roman"/>
              </w:rPr>
            </w:pPr>
            <w:r>
              <w:rPr>
                <w:rFonts w:eastAsia="Times New Roman"/>
                <w:b/>
                <w:bCs/>
                <w:color w:val="000000"/>
                <w:sz w:val="20"/>
                <w:szCs w:val="20"/>
              </w:rPr>
              <w:t>Operating income (loss)</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(43.6)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317.0 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(360.6)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20"/>
                <w:szCs w:val="20"/>
              </w:rPr>
              <w:t>NM</w:t>
            </w:r>
          </w:p>
        </w:tc>
      </w:tr>
      <w:tr w:rsidR="00000000">
        <w:trPr>
          <w:divId w:val="1299335044"/>
        </w:trPr>
        <w:tc>
          <w:tcPr>
            <w:tcW w:w="0" w:type="auto"/>
            <w:gridSpan w:val="3"/>
            <w:shd w:val="clear" w:color="auto" w:fill="FFFFFF"/>
            <w:tcMar>
              <w:top w:w="30" w:type="dxa"/>
              <w:left w:w="245" w:type="dxa"/>
              <w:bottom w:w="30" w:type="dxa"/>
              <w:right w:w="20" w:type="dxa"/>
            </w:tcMar>
            <w:vAlign w:val="bottom"/>
            <w:hideMark/>
          </w:tcPr>
          <w:p w:rsidR="00000000" w:rsidRDefault="00BB5C2D">
            <w:pPr>
              <w:spacing w:after="100"/>
              <w:rPr>
                <w:rFonts w:eastAsia="Times New Roman"/>
              </w:rPr>
            </w:pPr>
            <w:r>
              <w:rPr>
                <w:rFonts w:eastAsia="Times New Roman"/>
                <w:i/>
                <w:iCs/>
                <w:color w:val="000000"/>
                <w:sz w:val="20"/>
                <w:szCs w:val="20"/>
              </w:rPr>
              <w:t>Operating income (loss) as % of net revenues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i/>
                <w:iCs/>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i/>
                <w:iCs/>
                <w:color w:val="000000"/>
                <w:sz w:val="20"/>
                <w:szCs w:val="20"/>
              </w:rPr>
              <w:t>5.1 </w:t>
            </w:r>
          </w:p>
        </w:tc>
        <w:tc>
          <w:tcPr>
            <w:tcW w:w="0" w:type="auto"/>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i/>
                <w:iCs/>
                <w:color w:val="000000"/>
                <w:sz w:val="20"/>
                <w:szCs w:val="20"/>
              </w:rPr>
              <w:t>(610 bps)</w:t>
            </w:r>
          </w:p>
        </w:tc>
      </w:tr>
      <w:tr w:rsidR="00000000">
        <w:trPr>
          <w:divId w:val="1299335044"/>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Interest expense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(48.5)</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(17.6)</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(30.9)</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175.9 </w:t>
            </w:r>
          </w:p>
        </w:tc>
        <w:tc>
          <w:tcPr>
            <w:tcW w:w="0" w:type="auto"/>
            <w:shd w:val="clear" w:color="auto" w:fill="CCEE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r>
      <w:tr w:rsidR="00000000">
        <w:trPr>
          <w:divId w:val="1299335044"/>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Interest income</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9.7 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34.4 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(24.7)</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(71.8 </w:t>
            </w:r>
          </w:p>
        </w:tc>
        <w:tc>
          <w:tcPr>
            <w:tcW w:w="0" w:type="auto"/>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r>
      <w:tr w:rsidR="00000000">
        <w:trPr>
          <w:divId w:val="1299335044"/>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Other income (expense), net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(7.4)</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15.0 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20"/>
                <w:szCs w:val="20"/>
              </w:rPr>
              <w:t>NM</w:t>
            </w:r>
          </w:p>
        </w:tc>
      </w:tr>
      <w:tr w:rsidR="00000000">
        <w:trPr>
          <w:divId w:val="1299335044"/>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divId w:val="1473257972"/>
              <w:rPr>
                <w:rFonts w:eastAsia="Times New Roman"/>
              </w:rPr>
            </w:pPr>
            <w:r>
              <w:rPr>
                <w:rFonts w:eastAsia="Times New Roman"/>
                <w:b/>
                <w:bCs/>
                <w:color w:val="000000"/>
                <w:sz w:val="20"/>
                <w:szCs w:val="20"/>
              </w:rPr>
              <w:t>Income (loss) before income taxes</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(74.8)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326.4 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(401.2)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20"/>
                <w:szCs w:val="20"/>
              </w:rPr>
              <w:t>NM</w:t>
            </w:r>
          </w:p>
        </w:tc>
      </w:tr>
      <w:tr w:rsidR="00000000">
        <w:trPr>
          <w:divId w:val="1299335044"/>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Income tax benefit (provision)</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(46.3)</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57.9 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(104.2)</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20"/>
                <w:szCs w:val="20"/>
              </w:rPr>
              <w:t>NM</w:t>
            </w:r>
          </w:p>
        </w:tc>
      </w:tr>
      <w:tr w:rsidR="00000000">
        <w:trPr>
          <w:divId w:val="1299335044"/>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divId w:val="450056650"/>
              <w:rPr>
                <w:rFonts w:eastAsia="Times New Roman"/>
              </w:rPr>
            </w:pPr>
            <w:r>
              <w:rPr>
                <w:rFonts w:eastAsia="Times New Roman"/>
                <w:i/>
                <w:iCs/>
                <w:color w:val="000000"/>
                <w:sz w:val="20"/>
                <w:szCs w:val="20"/>
              </w:rPr>
              <w:t>Effective tax rat</w:t>
            </w:r>
            <w:r>
              <w:rPr>
                <w:rFonts w:eastAsia="Times New Roman"/>
                <w:i/>
                <w:iCs/>
                <w:color w:val="000000"/>
                <w:sz w:val="20"/>
                <w:szCs w:val="20"/>
              </w:rPr>
              <w:t>e</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i/>
                <w:iCs/>
                <w:color w:val="000000"/>
                <w:sz w:val="20"/>
                <w:szCs w:val="20"/>
              </w:rPr>
              <w:t>(61.9 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i/>
                <w:iCs/>
                <w:color w:val="000000"/>
                <w:sz w:val="20"/>
                <w:szCs w:val="20"/>
              </w:rPr>
              <w:t>(17.7 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i/>
                <w:iCs/>
                <w:color w:val="000000"/>
                <w:sz w:val="20"/>
                <w:szCs w:val="20"/>
              </w:rPr>
              <w:t>(4,420 bps)</w:t>
            </w:r>
          </w:p>
        </w:tc>
      </w:tr>
      <w:tr w:rsidR="00000000">
        <w:trPr>
          <w:divId w:val="1299335044"/>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divId w:val="1255817515"/>
              <w:rPr>
                <w:rFonts w:eastAsia="Times New Roman"/>
              </w:rPr>
            </w:pPr>
            <w:r>
              <w:rPr>
                <w:rFonts w:eastAsia="Times New Roman"/>
                <w:b/>
                <w:bCs/>
                <w:color w:val="000000"/>
                <w:sz w:val="20"/>
                <w:szCs w:val="20"/>
              </w:rPr>
              <w:t>Net income (loss)</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(121.1)</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384.3 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(505.4)</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20"/>
                <w:szCs w:val="20"/>
              </w:rPr>
              <w:t>NM</w:t>
            </w:r>
          </w:p>
        </w:tc>
      </w:tr>
      <w:tr w:rsidR="00000000">
        <w:trPr>
          <w:divId w:val="1299335044"/>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b/>
                <w:bCs/>
                <w:color w:val="000000"/>
                <w:sz w:val="20"/>
                <w:szCs w:val="20"/>
              </w:rPr>
              <w:t>Net income (loss) per common share:</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299335044"/>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divId w:val="618343161"/>
              <w:rPr>
                <w:rFonts w:eastAsia="Times New Roman"/>
              </w:rPr>
            </w:pPr>
            <w:r>
              <w:rPr>
                <w:rFonts w:eastAsia="Times New Roman"/>
                <w:b/>
                <w:bCs/>
                <w:color w:val="000000"/>
                <w:sz w:val="20"/>
                <w:szCs w:val="20"/>
              </w:rPr>
              <w:t>Basic</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(1.65)</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5.07 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(6.72)</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20"/>
                <w:szCs w:val="20"/>
              </w:rPr>
              <w:t>NM</w:t>
            </w:r>
          </w:p>
        </w:tc>
      </w:tr>
      <w:tr w:rsidR="00000000">
        <w:trPr>
          <w:divId w:val="1299335044"/>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divId w:val="833687584"/>
              <w:rPr>
                <w:rFonts w:eastAsia="Times New Roman"/>
              </w:rPr>
            </w:pPr>
            <w:r>
              <w:rPr>
                <w:rFonts w:eastAsia="Times New Roman"/>
                <w:color w:val="000000"/>
                <w:sz w:val="20"/>
                <w:szCs w:val="20"/>
              </w:rPr>
              <w:t>  </w:t>
            </w:r>
            <w:r>
              <w:rPr>
                <w:rFonts w:eastAsia="Times New Roman"/>
                <w:b/>
                <w:bCs/>
                <w:color w:val="000000"/>
                <w:sz w:val="20"/>
                <w:szCs w:val="20"/>
              </w:rPr>
              <w:t>Diluted</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(1.65)</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4.98 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(6.63)</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20"/>
                <w:szCs w:val="20"/>
              </w:rPr>
              <w:t>NM</w:t>
            </w: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BB5C2D">
            <w:pPr>
              <w:rPr>
                <w:rFonts w:eastAsia="Times New Roman"/>
              </w:rPr>
            </w:pPr>
          </w:p>
        </w:tc>
        <w:tc>
          <w:tcPr>
            <w:tcW w:w="494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r>
    </w:tbl>
    <w:p w:rsidR="00000000" w:rsidRDefault="00BB5C2D">
      <w:pPr>
        <w:ind w:hanging="540"/>
        <w:jc w:val="both"/>
        <w:divId w:val="300624267"/>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Effective tax rate is calculated by dividing the income tax benefit (provision) by income (loss) before income taxes.</w:t>
      </w:r>
    </w:p>
    <w:p w:rsidR="00000000" w:rsidRDefault="00BB5C2D">
      <w:pPr>
        <w:ind w:hanging="540"/>
        <w:jc w:val="both"/>
        <w:divId w:val="1424837615"/>
        <w:rPr>
          <w:rFonts w:eastAsia="Times New Roman"/>
        </w:rPr>
      </w:pPr>
      <w:r>
        <w:rPr>
          <w:rFonts w:eastAsia="Times New Roman"/>
          <w:color w:val="000000"/>
          <w:sz w:val="20"/>
          <w:szCs w:val="20"/>
        </w:rPr>
        <w:t>NM Not meaningful.</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352390664"/>
          <w:jc w:val="center"/>
        </w:trPr>
        <w:tc>
          <w:tcPr>
            <w:tcW w:w="50" w:type="pct"/>
            <w:vAlign w:val="center"/>
            <w:hideMark/>
          </w:tcPr>
          <w:p w:rsidR="00000000" w:rsidRDefault="00BB5C2D">
            <w:pPr>
              <w:ind w:hanging="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352390664"/>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57</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85" style="width:0;height:1.5pt" o:hralign="center" o:hrstd="t" o:hr="t" fillcolor="#a0a0a0" stroked="f"/>
        </w:pict>
      </w:r>
    </w:p>
    <w:p w:rsidR="00000000" w:rsidRDefault="00BB5C2D">
      <w:pPr>
        <w:divId w:val="1887835891"/>
        <w:rPr>
          <w:rFonts w:eastAsia="Times New Roman"/>
        </w:rPr>
      </w:pPr>
    </w:p>
    <w:p w:rsidR="00000000" w:rsidRDefault="00BB5C2D">
      <w:pPr>
        <w:ind w:firstLine="540"/>
        <w:jc w:val="both"/>
        <w:divId w:val="659698962"/>
        <w:rPr>
          <w:rFonts w:eastAsia="Times New Roman"/>
        </w:rPr>
      </w:pPr>
      <w:r>
        <w:rPr>
          <w:rFonts w:eastAsia="Times New Roman"/>
          <w:i/>
          <w:iCs/>
          <w:color w:val="000000"/>
          <w:sz w:val="20"/>
          <w:szCs w:val="20"/>
        </w:rPr>
        <w:t>Net Revenues.</w:t>
      </w:r>
      <w:r>
        <w:rPr>
          <w:rFonts w:eastAsia="Times New Roman"/>
          <w:color w:val="000000"/>
          <w:sz w:val="20"/>
          <w:szCs w:val="20"/>
        </w:rPr>
        <w:t>    Net revenues decreased by $1.759 billion, or 28.6%, to $4.401 billion in Fiscal 2021 as compared to Fiscal 2020, including net favorable foreign currency effects of $80.7 million. On a constant currenc</w:t>
      </w:r>
      <w:r>
        <w:rPr>
          <w:rFonts w:eastAsia="Times New Roman"/>
          <w:color w:val="000000"/>
          <w:sz w:val="20"/>
          <w:szCs w:val="20"/>
        </w:rPr>
        <w:t xml:space="preserve">y basis, net revenues decreased by $1.840 billion, or 29.9%. </w:t>
      </w:r>
    </w:p>
    <w:p w:rsidR="00000000" w:rsidRDefault="00BB5C2D">
      <w:pPr>
        <w:ind w:firstLine="540"/>
        <w:divId w:val="37895206"/>
        <w:rPr>
          <w:rFonts w:eastAsia="Times New Roman"/>
        </w:rPr>
      </w:pPr>
      <w:r>
        <w:rPr>
          <w:rFonts w:eastAsia="Times New Roman"/>
          <w:color w:val="000000"/>
          <w:sz w:val="20"/>
          <w:szCs w:val="20"/>
        </w:rPr>
        <w:t>The following table summarizes the percentage change in our Fiscal 2021 consolidated comparable store sales as compared to the prior fiscal year, inclusive of adverse impacts related to COVID-19</w:t>
      </w:r>
      <w:r>
        <w:rPr>
          <w:rFonts w:eastAsia="Times New Roman"/>
          <w:color w:val="000000"/>
          <w:sz w:val="20"/>
          <w:szCs w:val="20"/>
        </w:rPr>
        <w:t xml:space="preserve"> business disruptions:</w:t>
      </w:r>
    </w:p>
    <w:tbl>
      <w:tblPr>
        <w:tblW w:w="4722" w:type="pct"/>
        <w:tblCellMar>
          <w:top w:w="15" w:type="dxa"/>
          <w:left w:w="15" w:type="dxa"/>
          <w:bottom w:w="15" w:type="dxa"/>
          <w:right w:w="15" w:type="dxa"/>
        </w:tblCellMar>
        <w:tblLook w:val="04A0" w:firstRow="1" w:lastRow="0" w:firstColumn="1" w:lastColumn="0" w:noHBand="0" w:noVBand="1"/>
      </w:tblPr>
      <w:tblGrid>
        <w:gridCol w:w="38"/>
        <w:gridCol w:w="6391"/>
        <w:gridCol w:w="37"/>
        <w:gridCol w:w="36"/>
        <w:gridCol w:w="36"/>
        <w:gridCol w:w="36"/>
        <w:gridCol w:w="37"/>
        <w:gridCol w:w="979"/>
        <w:gridCol w:w="254"/>
      </w:tblGrid>
      <w:tr w:rsidR="00000000">
        <w:trPr>
          <w:divId w:val="2057925154"/>
        </w:trPr>
        <w:tc>
          <w:tcPr>
            <w:tcW w:w="50" w:type="pct"/>
            <w:vAlign w:val="center"/>
            <w:hideMark/>
          </w:tcPr>
          <w:p w:rsidR="00000000" w:rsidRDefault="00BB5C2D">
            <w:pPr>
              <w:ind w:firstLine="540"/>
              <w:rPr>
                <w:rFonts w:eastAsia="Times New Roman"/>
              </w:rPr>
            </w:pPr>
          </w:p>
        </w:tc>
        <w:tc>
          <w:tcPr>
            <w:tcW w:w="413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2057925154"/>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 Change</w:t>
            </w:r>
          </w:p>
        </w:tc>
      </w:tr>
      <w:tr w:rsidR="00000000">
        <w:trPr>
          <w:divId w:val="2057925154"/>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Digital commerce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r>
      <w:tr w:rsidR="00000000">
        <w:trPr>
          <w:divId w:val="2057925154"/>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Brick and mortar</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r>
      <w:tr w:rsidR="00000000">
        <w:trPr>
          <w:divId w:val="2057925154"/>
        </w:trPr>
        <w:tc>
          <w:tcPr>
            <w:tcW w:w="0" w:type="auto"/>
            <w:gridSpan w:val="3"/>
            <w:shd w:val="clear" w:color="auto" w:fill="CCEEFF"/>
            <w:tcMar>
              <w:top w:w="30" w:type="dxa"/>
              <w:left w:w="26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comparable store sales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r>
    </w:tbl>
    <w:p w:rsidR="00000000" w:rsidRDefault="00BB5C2D">
      <w:pPr>
        <w:ind w:firstLine="540"/>
        <w:jc w:val="both"/>
        <w:divId w:val="932975718"/>
        <w:rPr>
          <w:rFonts w:eastAsia="Times New Roman"/>
        </w:rPr>
      </w:pPr>
      <w:r>
        <w:rPr>
          <w:rFonts w:eastAsia="Times New Roman"/>
          <w:color w:val="000000"/>
          <w:sz w:val="20"/>
          <w:szCs w:val="20"/>
        </w:rPr>
        <w:t>Our global average store count increased by 20 stores and concession shops during Fiscal 2021 compared with the prior fiscal year, largely driven by new openings in Asia. The following table details our retail store presence by segment as of the periods pr</w:t>
      </w:r>
      <w:r>
        <w:rPr>
          <w:rFonts w:eastAsia="Times New Roman"/>
          <w:color w:val="000000"/>
          <w:sz w:val="20"/>
          <w:szCs w:val="20"/>
        </w:rPr>
        <w:t>esented:</w:t>
      </w:r>
    </w:p>
    <w:tbl>
      <w:tblPr>
        <w:tblW w:w="4729" w:type="pct"/>
        <w:tblCellMar>
          <w:top w:w="15" w:type="dxa"/>
          <w:left w:w="15" w:type="dxa"/>
          <w:bottom w:w="15" w:type="dxa"/>
          <w:right w:w="15" w:type="dxa"/>
        </w:tblCellMar>
        <w:tblLook w:val="04A0" w:firstRow="1" w:lastRow="0" w:firstColumn="1" w:lastColumn="0" w:noHBand="0" w:noVBand="1"/>
      </w:tblPr>
      <w:tblGrid>
        <w:gridCol w:w="54"/>
        <w:gridCol w:w="5173"/>
        <w:gridCol w:w="37"/>
        <w:gridCol w:w="36"/>
        <w:gridCol w:w="36"/>
        <w:gridCol w:w="36"/>
        <w:gridCol w:w="38"/>
        <w:gridCol w:w="1090"/>
        <w:gridCol w:w="36"/>
        <w:gridCol w:w="36"/>
        <w:gridCol w:w="55"/>
        <w:gridCol w:w="36"/>
        <w:gridCol w:w="54"/>
        <w:gridCol w:w="1103"/>
        <w:gridCol w:w="36"/>
      </w:tblGrid>
      <w:tr w:rsidR="00000000">
        <w:trPr>
          <w:divId w:val="149059244"/>
        </w:trPr>
        <w:tc>
          <w:tcPr>
            <w:tcW w:w="50" w:type="pct"/>
            <w:vAlign w:val="center"/>
            <w:hideMark/>
          </w:tcPr>
          <w:p w:rsidR="00000000" w:rsidRDefault="00BB5C2D">
            <w:pPr>
              <w:ind w:firstLine="540"/>
              <w:jc w:val="both"/>
              <w:rPr>
                <w:rFonts w:eastAsia="Times New Roman"/>
              </w:rPr>
            </w:pPr>
          </w:p>
        </w:tc>
        <w:tc>
          <w:tcPr>
            <w:tcW w:w="330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1"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49059244"/>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r>
      <w:tr w:rsidR="00000000">
        <w:trPr>
          <w:divId w:val="149059244"/>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b/>
                <w:bCs/>
                <w:color w:val="000000"/>
                <w:sz w:val="20"/>
                <w:szCs w:val="20"/>
              </w:rPr>
              <w:t>Freestanding Stores: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49059244"/>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North America</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233 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230 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49059244"/>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Europe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92 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94 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49059244"/>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Asia</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151 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132 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49059244"/>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Other non-reportable segments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74 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49059244"/>
        </w:trPr>
        <w:tc>
          <w:tcPr>
            <w:tcW w:w="0" w:type="auto"/>
            <w:gridSpan w:val="3"/>
            <w:shd w:val="clear" w:color="auto" w:fill="FFFFFF"/>
            <w:tcMar>
              <w:top w:w="30" w:type="dxa"/>
              <w:left w:w="24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freestanding stores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49059244"/>
          <w:trHeight w:val="180"/>
        </w:trPr>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49059244"/>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b/>
                <w:bCs/>
                <w:color w:val="000000"/>
                <w:sz w:val="20"/>
                <w:szCs w:val="20"/>
              </w:rPr>
              <w:t>Concession Shops: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49059244"/>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North America</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49059244"/>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Europe</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49059244"/>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Asia</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616 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619 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49059244"/>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Other non-reportable segments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49059244"/>
        </w:trPr>
        <w:tc>
          <w:tcPr>
            <w:tcW w:w="0" w:type="auto"/>
            <w:gridSpan w:val="3"/>
            <w:shd w:val="clear" w:color="auto" w:fill="CCEEFF"/>
            <w:tcMar>
              <w:top w:w="30" w:type="dxa"/>
              <w:left w:w="24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concession shops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49059244"/>
        </w:trPr>
        <w:tc>
          <w:tcPr>
            <w:tcW w:w="0" w:type="auto"/>
            <w:gridSpan w:val="3"/>
            <w:shd w:val="clear" w:color="auto" w:fill="FFFFFF"/>
            <w:tcMar>
              <w:top w:w="30" w:type="dxa"/>
              <w:left w:w="38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stores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1,198 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1,184 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bl>
    <w:p w:rsidR="00000000" w:rsidRDefault="00BB5C2D">
      <w:pPr>
        <w:ind w:firstLine="540"/>
        <w:jc w:val="both"/>
        <w:divId w:val="1612786657"/>
        <w:rPr>
          <w:rFonts w:eastAsia="Times New Roman"/>
        </w:rPr>
      </w:pPr>
      <w:r>
        <w:rPr>
          <w:rFonts w:eastAsia="Times New Roman"/>
          <w:color w:val="000000"/>
          <w:sz w:val="20"/>
          <w:szCs w:val="20"/>
        </w:rPr>
        <w:t>In addition to our stores, we sold products online in North America, Europe, and Asia through our various digital commerce sites, as well as through our Polo mobile app in North America and the United Kingdom. We also sold products online through various t</w:t>
      </w:r>
      <w:r>
        <w:rPr>
          <w:rFonts w:eastAsia="Times New Roman"/>
          <w:color w:val="000000"/>
          <w:sz w:val="20"/>
          <w:szCs w:val="20"/>
        </w:rPr>
        <w:t>hird-party digital partner commerce sites, primarily in Asia.</w:t>
      </w:r>
    </w:p>
    <w:p w:rsidR="00000000" w:rsidRDefault="00BB5C2D">
      <w:pPr>
        <w:ind w:firstLine="540"/>
        <w:divId w:val="1720013357"/>
        <w:rPr>
          <w:rFonts w:eastAsia="Times New Roman"/>
        </w:rPr>
      </w:pPr>
      <w:r>
        <w:rPr>
          <w:rFonts w:eastAsia="Times New Roman"/>
          <w:color w:val="000000"/>
          <w:sz w:val="20"/>
          <w:szCs w:val="20"/>
        </w:rPr>
        <w:t>Net revenues for our segments, as well as a discussion of the changes in each reportable segment's net revenues from the prior fiscal year, are provided below:</w:t>
      </w:r>
    </w:p>
    <w:tbl>
      <w:tblPr>
        <w:tblW w:w="4729" w:type="pct"/>
        <w:tblCellMar>
          <w:top w:w="15" w:type="dxa"/>
          <w:left w:w="15" w:type="dxa"/>
          <w:bottom w:w="15" w:type="dxa"/>
          <w:right w:w="15" w:type="dxa"/>
        </w:tblCellMar>
        <w:tblLook w:val="04A0" w:firstRow="1" w:lastRow="0" w:firstColumn="1" w:lastColumn="0" w:noHBand="0" w:noVBand="1"/>
      </w:tblPr>
      <w:tblGrid>
        <w:gridCol w:w="39"/>
        <w:gridCol w:w="105"/>
        <w:gridCol w:w="1246"/>
        <w:gridCol w:w="38"/>
        <w:gridCol w:w="36"/>
        <w:gridCol w:w="36"/>
        <w:gridCol w:w="36"/>
        <w:gridCol w:w="110"/>
        <w:gridCol w:w="585"/>
        <w:gridCol w:w="36"/>
        <w:gridCol w:w="36"/>
        <w:gridCol w:w="36"/>
        <w:gridCol w:w="36"/>
        <w:gridCol w:w="110"/>
        <w:gridCol w:w="481"/>
        <w:gridCol w:w="104"/>
        <w:gridCol w:w="36"/>
        <w:gridCol w:w="4"/>
        <w:gridCol w:w="32"/>
        <w:gridCol w:w="36"/>
        <w:gridCol w:w="36"/>
        <w:gridCol w:w="40"/>
        <w:gridCol w:w="70"/>
        <w:gridCol w:w="660"/>
        <w:gridCol w:w="36"/>
        <w:gridCol w:w="36"/>
        <w:gridCol w:w="36"/>
        <w:gridCol w:w="36"/>
        <w:gridCol w:w="111"/>
        <w:gridCol w:w="627"/>
        <w:gridCol w:w="36"/>
        <w:gridCol w:w="36"/>
        <w:gridCol w:w="36"/>
        <w:gridCol w:w="36"/>
        <w:gridCol w:w="110"/>
        <w:gridCol w:w="519"/>
        <w:gridCol w:w="141"/>
        <w:gridCol w:w="3"/>
        <w:gridCol w:w="33"/>
        <w:gridCol w:w="36"/>
        <w:gridCol w:w="36"/>
        <w:gridCol w:w="36"/>
        <w:gridCol w:w="3"/>
        <w:gridCol w:w="70"/>
        <w:gridCol w:w="600"/>
        <w:gridCol w:w="230"/>
        <w:gridCol w:w="36"/>
        <w:gridCol w:w="36"/>
        <w:gridCol w:w="36"/>
        <w:gridCol w:w="75"/>
        <w:gridCol w:w="616"/>
        <w:gridCol w:w="230"/>
        <w:gridCol w:w="893"/>
        <w:gridCol w:w="144"/>
      </w:tblGrid>
      <w:tr w:rsidR="00000000">
        <w:trPr>
          <w:gridAfter w:val="2"/>
          <w:divId w:val="967662829"/>
        </w:trPr>
        <w:tc>
          <w:tcPr>
            <w:tcW w:w="50" w:type="pct"/>
            <w:vAlign w:val="center"/>
            <w:hideMark/>
          </w:tcPr>
          <w:p w:rsidR="00000000" w:rsidRDefault="00BB5C2D">
            <w:pPr>
              <w:ind w:firstLine="540"/>
              <w:rPr>
                <w:rFonts w:eastAsia="Times New Roman"/>
              </w:rPr>
            </w:pPr>
          </w:p>
        </w:tc>
        <w:tc>
          <w:tcPr>
            <w:tcW w:w="1297" w:type="pct"/>
            <w:gridSpan w:val="2"/>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31"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31" w:type="pct"/>
            <w:gridSpan w:val="2"/>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gridSpan w:val="2"/>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gridSpan w:val="2"/>
            <w:vAlign w:val="center"/>
            <w:hideMark/>
          </w:tcPr>
          <w:p w:rsidR="00000000" w:rsidRDefault="00BB5C2D">
            <w:pPr>
              <w:spacing w:after="100"/>
              <w:rPr>
                <w:rFonts w:eastAsia="Times New Roman"/>
                <w:sz w:val="20"/>
                <w:szCs w:val="20"/>
              </w:rPr>
            </w:pPr>
          </w:p>
        </w:tc>
        <w:tc>
          <w:tcPr>
            <w:tcW w:w="431"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31"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31" w:type="pct"/>
            <w:gridSpan w:val="2"/>
            <w:vAlign w:val="center"/>
            <w:hideMark/>
          </w:tcPr>
          <w:p w:rsidR="00000000" w:rsidRDefault="00BB5C2D">
            <w:pPr>
              <w:spacing w:after="100"/>
              <w:rPr>
                <w:rFonts w:eastAsia="Times New Roman"/>
                <w:sz w:val="20"/>
                <w:szCs w:val="20"/>
              </w:rPr>
            </w:pPr>
          </w:p>
        </w:tc>
        <w:tc>
          <w:tcPr>
            <w:tcW w:w="5" w:type="pct"/>
            <w:gridSpan w:val="2"/>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gridSpan w:val="2"/>
            <w:vAlign w:val="center"/>
            <w:hideMark/>
          </w:tcPr>
          <w:p w:rsidR="00000000" w:rsidRDefault="00BB5C2D">
            <w:pPr>
              <w:spacing w:after="100"/>
              <w:rPr>
                <w:rFonts w:eastAsia="Times New Roman"/>
                <w:sz w:val="20"/>
                <w:szCs w:val="20"/>
              </w:rPr>
            </w:pPr>
          </w:p>
        </w:tc>
        <w:tc>
          <w:tcPr>
            <w:tcW w:w="41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1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gridAfter w:val="2"/>
          <w:divId w:val="967662829"/>
          <w:trHeight w:val="240"/>
        </w:trPr>
        <w:tc>
          <w:tcPr>
            <w:tcW w:w="0" w:type="auto"/>
            <w:gridSpan w:val="4"/>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0"/>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Years Ended</w:t>
            </w:r>
          </w:p>
        </w:tc>
        <w:tc>
          <w:tcPr>
            <w:tcW w:w="0" w:type="auto"/>
            <w:gridSpan w:val="4"/>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4"/>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 Change</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Foreign Exchange Impact</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5"/>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 Change</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10"/>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 Change</w:t>
            </w:r>
          </w:p>
        </w:tc>
      </w:tr>
      <w:tr w:rsidR="00000000">
        <w:trPr>
          <w:gridAfter w:val="2"/>
          <w:divId w:val="967662829"/>
          <w:trHeight w:val="420"/>
        </w:trPr>
        <w:tc>
          <w:tcPr>
            <w:tcW w:w="0" w:type="auto"/>
            <w:gridSpan w:val="4"/>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4"/>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4"/>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4"/>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As</w:t>
            </w:r>
            <w:r>
              <w:rPr>
                <w:rFonts w:eastAsia="Times New Roman"/>
                <w:b/>
                <w:bCs/>
                <w:color w:val="000000"/>
                <w:sz w:val="16"/>
                <w:szCs w:val="16"/>
              </w:rPr>
              <w:br/>
              <w:t>Reported</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vMerge/>
            <w:tcBorders>
              <w:bottom w:val="single" w:sz="8" w:space="0" w:color="000000"/>
            </w:tcBorders>
            <w:vAlign w:val="center"/>
            <w:hideMark/>
          </w:tcPr>
          <w:p w:rsidR="00000000" w:rsidRDefault="00BB5C2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5"/>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Constant Currency</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4"/>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As</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Constant</w:t>
            </w:r>
            <w:r>
              <w:rPr>
                <w:rFonts w:eastAsia="Times New Roman"/>
                <w:b/>
                <w:bCs/>
                <w:color w:val="000000"/>
                <w:sz w:val="16"/>
                <w:szCs w:val="16"/>
              </w:rPr>
              <w:br/>
            </w:r>
            <w:r>
              <w:rPr>
                <w:rFonts w:eastAsia="Times New Roman"/>
                <w:b/>
                <w:bCs/>
                <w:color w:val="000000"/>
                <w:sz w:val="16"/>
                <w:szCs w:val="16"/>
              </w:rPr>
              <w:t>Currency</w:t>
            </w:r>
          </w:p>
        </w:tc>
      </w:tr>
      <w:tr w:rsidR="00000000">
        <w:trPr>
          <w:gridAfter w:val="2"/>
          <w:divId w:val="967662829"/>
        </w:trPr>
        <w:tc>
          <w:tcPr>
            <w:tcW w:w="0" w:type="auto"/>
            <w:gridSpan w:val="4"/>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2"/>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4"/>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gridAfter w:val="2"/>
          <w:divId w:val="967662829"/>
        </w:trPr>
        <w:tc>
          <w:tcPr>
            <w:tcW w:w="0" w:type="auto"/>
            <w:gridSpan w:val="4"/>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b/>
                <w:bCs/>
                <w:color w:val="000000"/>
                <w:sz w:val="18"/>
                <w:szCs w:val="18"/>
              </w:rPr>
              <w:t>Net Revenues: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BB5C2D">
        <w:trPr>
          <w:gridAfter w:val="2"/>
          <w:divId w:val="967662829"/>
        </w:trPr>
        <w:tc>
          <w:tcPr>
            <w:tcW w:w="0" w:type="auto"/>
            <w:gridSpan w:val="4"/>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North America</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1,992.4 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3,140.5 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(1,148.1)</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(1,148.1)</w:t>
            </w:r>
          </w:p>
        </w:tc>
        <w:tc>
          <w:tcPr>
            <w:tcW w:w="0" w:type="auto"/>
            <w:gridSpan w:val="2"/>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(36.6 </w:t>
            </w:r>
          </w:p>
        </w:tc>
        <w:tc>
          <w:tcPr>
            <w:tcW w:w="0" w:type="auto"/>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(36.6 </w:t>
            </w:r>
          </w:p>
        </w:tc>
        <w:tc>
          <w:tcPr>
            <w:tcW w:w="0" w:type="auto"/>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w:t>
            </w:r>
          </w:p>
        </w:tc>
      </w:tr>
      <w:tr w:rsidR="00000000">
        <w:trPr>
          <w:gridAfter w:val="2"/>
          <w:divId w:val="967662829"/>
        </w:trPr>
        <w:tc>
          <w:tcPr>
            <w:tcW w:w="0" w:type="auto"/>
            <w:gridSpan w:val="4"/>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Europe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1,165.9 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1,632.2 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(466.3)</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52.1 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(518.4)</w:t>
            </w:r>
          </w:p>
        </w:tc>
        <w:tc>
          <w:tcPr>
            <w:tcW w:w="0" w:type="auto"/>
            <w:gridSpan w:val="2"/>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(28.6 </w:t>
            </w:r>
          </w:p>
        </w:tc>
        <w:tc>
          <w:tcPr>
            <w:tcW w:w="0" w:type="auto"/>
            <w:shd w:val="clear" w:color="auto" w:fill="CCEE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(31.8 </w:t>
            </w:r>
          </w:p>
        </w:tc>
        <w:tc>
          <w:tcPr>
            <w:tcW w:w="0" w:type="auto"/>
            <w:shd w:val="clear" w:color="auto" w:fill="CCEE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w:t>
            </w:r>
          </w:p>
        </w:tc>
      </w:tr>
      <w:tr w:rsidR="00000000">
        <w:trPr>
          <w:gridAfter w:val="2"/>
          <w:divId w:val="967662829"/>
        </w:trPr>
        <w:tc>
          <w:tcPr>
            <w:tcW w:w="0" w:type="auto"/>
            <w:gridSpan w:val="4"/>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Asia</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1,027.5 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1,017.2 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10.3 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28.5 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(18.2)</w:t>
            </w:r>
          </w:p>
        </w:tc>
        <w:tc>
          <w:tcPr>
            <w:tcW w:w="0" w:type="auto"/>
            <w:gridSpan w:val="2"/>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(1.8 </w:t>
            </w:r>
          </w:p>
        </w:tc>
        <w:tc>
          <w:tcPr>
            <w:tcW w:w="0" w:type="auto"/>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w:t>
            </w:r>
          </w:p>
        </w:tc>
      </w:tr>
      <w:tr w:rsidR="00000000">
        <w:trPr>
          <w:gridAfter w:val="2"/>
          <w:divId w:val="967662829"/>
        </w:trPr>
        <w:tc>
          <w:tcPr>
            <w:tcW w:w="0" w:type="auto"/>
            <w:gridSpan w:val="4"/>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Other non-reportable segments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215.0 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369.9 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(154.9)</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0.1 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(155.0)</w:t>
            </w:r>
          </w:p>
        </w:tc>
        <w:tc>
          <w:tcPr>
            <w:tcW w:w="0" w:type="auto"/>
            <w:gridSpan w:val="2"/>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(41.9 </w:t>
            </w:r>
          </w:p>
        </w:tc>
        <w:tc>
          <w:tcPr>
            <w:tcW w:w="0" w:type="auto"/>
            <w:shd w:val="clear" w:color="auto" w:fill="CCEE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(41.9 </w:t>
            </w:r>
          </w:p>
        </w:tc>
        <w:tc>
          <w:tcPr>
            <w:tcW w:w="0" w:type="auto"/>
            <w:shd w:val="clear" w:color="auto" w:fill="CCEE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w:t>
            </w:r>
          </w:p>
        </w:tc>
      </w:tr>
      <w:tr w:rsidR="00BB5C2D">
        <w:trPr>
          <w:gridAfter w:val="2"/>
          <w:divId w:val="967662829"/>
        </w:trPr>
        <w:tc>
          <w:tcPr>
            <w:tcW w:w="0" w:type="auto"/>
            <w:gridSpan w:val="4"/>
            <w:shd w:val="clear" w:color="auto" w:fill="FFFFFF"/>
            <w:tcMar>
              <w:top w:w="30" w:type="dxa"/>
              <w:left w:w="380"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Total net revenues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4,400.8 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6,159.8 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(1,759.0)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80.7 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(1,839.7)</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(28.6 </w:t>
            </w:r>
          </w:p>
        </w:tc>
        <w:tc>
          <w:tcPr>
            <w:tcW w:w="0" w:type="auto"/>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(29.9 </w:t>
            </w:r>
          </w:p>
        </w:tc>
        <w:tc>
          <w:tcPr>
            <w:tcW w:w="0" w:type="auto"/>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w:t>
            </w:r>
          </w:p>
        </w:tc>
      </w:tr>
      <w:tr w:rsidR="00000000">
        <w:tblPrEx>
          <w:tblW w:w="5000" w:type="pct"/>
          <w:jc w:val="center"/>
        </w:tblPrEx>
        <w:trPr>
          <w:jc w:val="center"/>
        </w:trPr>
        <w:tc>
          <w:tcPr>
            <w:tcW w:w="50" w:type="pct"/>
            <w:gridSpan w:val="2"/>
            <w:vAlign w:val="center"/>
            <w:hideMark/>
          </w:tcPr>
          <w:p w:rsidR="00000000" w:rsidRDefault="00BB5C2D">
            <w:pPr>
              <w:rPr>
                <w:rFonts w:eastAsia="Times New Roman"/>
              </w:rPr>
            </w:pPr>
          </w:p>
        </w:tc>
        <w:tc>
          <w:tcPr>
            <w:tcW w:w="1699" w:type="pct"/>
            <w:gridSpan w:val="13"/>
            <w:vAlign w:val="center"/>
            <w:hideMark/>
          </w:tcPr>
          <w:p w:rsidR="00000000" w:rsidRDefault="00BB5C2D">
            <w:pPr>
              <w:spacing w:after="100"/>
              <w:rPr>
                <w:rFonts w:eastAsia="Times New Roman"/>
                <w:sz w:val="20"/>
                <w:szCs w:val="20"/>
              </w:rPr>
            </w:pPr>
          </w:p>
        </w:tc>
        <w:tc>
          <w:tcPr>
            <w:tcW w:w="5" w:type="pct"/>
            <w:gridSpan w:val="3"/>
            <w:vAlign w:val="center"/>
            <w:hideMark/>
          </w:tcPr>
          <w:p w:rsidR="00000000" w:rsidRDefault="00BB5C2D">
            <w:pPr>
              <w:spacing w:after="100"/>
              <w:rPr>
                <w:rFonts w:eastAsia="Times New Roman"/>
                <w:sz w:val="20"/>
                <w:szCs w:val="20"/>
              </w:rPr>
            </w:pPr>
          </w:p>
        </w:tc>
        <w:tc>
          <w:tcPr>
            <w:tcW w:w="50" w:type="pct"/>
            <w:gridSpan w:val="4"/>
            <w:vAlign w:val="center"/>
            <w:hideMark/>
          </w:tcPr>
          <w:p w:rsidR="00000000" w:rsidRDefault="00BB5C2D">
            <w:pPr>
              <w:spacing w:after="100"/>
              <w:rPr>
                <w:rFonts w:eastAsia="Times New Roman"/>
                <w:sz w:val="20"/>
                <w:szCs w:val="20"/>
              </w:rPr>
            </w:pPr>
          </w:p>
        </w:tc>
        <w:tc>
          <w:tcPr>
            <w:tcW w:w="1436" w:type="pct"/>
            <w:gridSpan w:val="14"/>
            <w:vAlign w:val="center"/>
            <w:hideMark/>
          </w:tcPr>
          <w:p w:rsidR="00000000" w:rsidRDefault="00BB5C2D">
            <w:pPr>
              <w:spacing w:after="100"/>
              <w:rPr>
                <w:rFonts w:eastAsia="Times New Roman"/>
                <w:sz w:val="20"/>
                <w:szCs w:val="20"/>
              </w:rPr>
            </w:pPr>
          </w:p>
        </w:tc>
        <w:tc>
          <w:tcPr>
            <w:tcW w:w="5" w:type="pct"/>
            <w:gridSpan w:val="2"/>
            <w:vAlign w:val="center"/>
            <w:hideMark/>
          </w:tcPr>
          <w:p w:rsidR="00000000" w:rsidRDefault="00BB5C2D">
            <w:pPr>
              <w:spacing w:after="100"/>
              <w:rPr>
                <w:rFonts w:eastAsia="Times New Roman"/>
                <w:sz w:val="20"/>
                <w:szCs w:val="20"/>
              </w:rPr>
            </w:pPr>
          </w:p>
        </w:tc>
        <w:tc>
          <w:tcPr>
            <w:tcW w:w="50" w:type="pct"/>
            <w:gridSpan w:val="5"/>
            <w:vAlign w:val="center"/>
            <w:hideMark/>
          </w:tcPr>
          <w:p w:rsidR="00000000" w:rsidRDefault="00BB5C2D">
            <w:pPr>
              <w:spacing w:after="100"/>
              <w:rPr>
                <w:rFonts w:eastAsia="Times New Roman"/>
                <w:sz w:val="20"/>
                <w:szCs w:val="20"/>
              </w:rPr>
            </w:pPr>
          </w:p>
        </w:tc>
        <w:tc>
          <w:tcPr>
            <w:tcW w:w="1699" w:type="pct"/>
            <w:gridSpan w:val="10"/>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blPrEx>
          <w:tblW w:w="5000" w:type="pct"/>
          <w:jc w:val="center"/>
        </w:tblPrEx>
        <w:trPr>
          <w:jc w:val="center"/>
        </w:trPr>
        <w:tc>
          <w:tcPr>
            <w:tcW w:w="0" w:type="auto"/>
            <w:gridSpan w:val="18"/>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0"/>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58</w:t>
            </w:r>
          </w:p>
        </w:tc>
        <w:tc>
          <w:tcPr>
            <w:tcW w:w="0" w:type="auto"/>
            <w:gridSpan w:val="16"/>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86" style="width:0;height:1.5pt" o:hralign="center" o:hrstd="t" o:hr="t" fillcolor="#a0a0a0" stroked="f"/>
        </w:pict>
      </w:r>
    </w:p>
    <w:p w:rsidR="00000000" w:rsidRDefault="00BB5C2D">
      <w:pPr>
        <w:divId w:val="1944920010"/>
        <w:rPr>
          <w:rFonts w:eastAsia="Times New Roman"/>
        </w:rPr>
      </w:pPr>
    </w:p>
    <w:p w:rsidR="00000000" w:rsidRDefault="00BB5C2D">
      <w:pPr>
        <w:ind w:firstLine="540"/>
        <w:jc w:val="both"/>
        <w:divId w:val="483202423"/>
        <w:rPr>
          <w:rFonts w:eastAsia="Times New Roman"/>
        </w:rPr>
      </w:pPr>
      <w:r>
        <w:rPr>
          <w:rFonts w:eastAsia="Times New Roman"/>
          <w:i/>
          <w:iCs/>
          <w:color w:val="000000"/>
          <w:sz w:val="20"/>
          <w:szCs w:val="20"/>
        </w:rPr>
        <w:t>North America net revenues</w:t>
      </w:r>
      <w:r>
        <w:rPr>
          <w:rFonts w:eastAsia="Times New Roman"/>
          <w:color w:val="000000"/>
          <w:sz w:val="20"/>
          <w:szCs w:val="20"/>
        </w:rPr>
        <w:t xml:space="preserve"> — Net revenues decreased by $1.148 billion, or 36.6%, during Fiscal 2021 as compared to Fiscal 2020, on both a reported and constant currency basis. </w:t>
      </w:r>
    </w:p>
    <w:p w:rsidR="00000000" w:rsidRDefault="00BB5C2D">
      <w:pPr>
        <w:ind w:firstLine="540"/>
        <w:jc w:val="both"/>
        <w:divId w:val="330524378"/>
        <w:rPr>
          <w:rFonts w:eastAsia="Times New Roman"/>
        </w:rPr>
      </w:pPr>
      <w:r>
        <w:rPr>
          <w:rFonts w:eastAsia="Times New Roman"/>
          <w:color w:val="000000"/>
          <w:sz w:val="20"/>
          <w:szCs w:val="20"/>
        </w:rPr>
        <w:t>The $1.148 billion net decline in North A</w:t>
      </w:r>
      <w:r>
        <w:rPr>
          <w:rFonts w:eastAsia="Times New Roman"/>
          <w:color w:val="000000"/>
          <w:sz w:val="20"/>
          <w:szCs w:val="20"/>
        </w:rPr>
        <w:t>merica net revenues was driven by:</w:t>
      </w:r>
    </w:p>
    <w:p w:rsidR="00000000" w:rsidRDefault="00BB5C2D">
      <w:pPr>
        <w:ind w:hanging="360"/>
        <w:jc w:val="both"/>
        <w:divId w:val="1685012631"/>
        <w:rPr>
          <w:rFonts w:eastAsia="Times New Roman"/>
        </w:rPr>
      </w:pPr>
      <w:r>
        <w:rPr>
          <w:rFonts w:eastAsia="Times New Roman"/>
          <w:color w:val="000000"/>
          <w:sz w:val="20"/>
          <w:szCs w:val="20"/>
        </w:rPr>
        <w:t>•a $634.9 million net decrease related to our North America wholesale business, driven by COVID-19 business disruptions and continued challenging department store traffic trends; and</w:t>
      </w:r>
    </w:p>
    <w:p w:rsidR="00000000" w:rsidRDefault="00BB5C2D">
      <w:pPr>
        <w:ind w:hanging="360"/>
        <w:jc w:val="both"/>
        <w:divId w:val="1894731945"/>
        <w:rPr>
          <w:rFonts w:eastAsia="Times New Roman"/>
        </w:rPr>
      </w:pPr>
      <w:r>
        <w:rPr>
          <w:rFonts w:eastAsia="Times New Roman"/>
          <w:color w:val="000000"/>
          <w:sz w:val="20"/>
          <w:szCs w:val="20"/>
        </w:rPr>
        <w:t>•a $513.2 million net decrease related</w:t>
      </w:r>
      <w:r>
        <w:rPr>
          <w:rFonts w:eastAsia="Times New Roman"/>
          <w:color w:val="000000"/>
          <w:sz w:val="20"/>
          <w:szCs w:val="20"/>
        </w:rPr>
        <w:t xml:space="preserve"> to our North America retail business, inclusive of the adverse impact of COVID-19 business disruptions. On a constant currency basis, net revenues decreased by $513.1 million driven by decreases of $498.4 million in comparable store sales and $14.7 millio</w:t>
      </w:r>
      <w:r>
        <w:rPr>
          <w:rFonts w:eastAsia="Times New Roman"/>
          <w:color w:val="000000"/>
          <w:sz w:val="20"/>
          <w:szCs w:val="20"/>
        </w:rPr>
        <w:t>n in non-comparable store sales. The following table summarizes the percentage change in comparable store sales related to our North America retail business, inclusive of adverse impacts related to COVID-19 business disruptions:</w:t>
      </w:r>
    </w:p>
    <w:tbl>
      <w:tblPr>
        <w:tblW w:w="4459" w:type="pct"/>
        <w:tblCellMar>
          <w:top w:w="15" w:type="dxa"/>
          <w:left w:w="15" w:type="dxa"/>
          <w:bottom w:w="15" w:type="dxa"/>
          <w:right w:w="15" w:type="dxa"/>
        </w:tblCellMar>
        <w:tblLook w:val="04A0" w:firstRow="1" w:lastRow="0" w:firstColumn="1" w:lastColumn="0" w:noHBand="0" w:noVBand="1"/>
      </w:tblPr>
      <w:tblGrid>
        <w:gridCol w:w="38"/>
        <w:gridCol w:w="5955"/>
        <w:gridCol w:w="37"/>
        <w:gridCol w:w="36"/>
        <w:gridCol w:w="36"/>
        <w:gridCol w:w="36"/>
        <w:gridCol w:w="37"/>
        <w:gridCol w:w="978"/>
        <w:gridCol w:w="254"/>
      </w:tblGrid>
      <w:tr w:rsidR="00000000">
        <w:trPr>
          <w:divId w:val="738403936"/>
        </w:trPr>
        <w:tc>
          <w:tcPr>
            <w:tcW w:w="50" w:type="pct"/>
            <w:vAlign w:val="center"/>
            <w:hideMark/>
          </w:tcPr>
          <w:p w:rsidR="00000000" w:rsidRDefault="00BB5C2D">
            <w:pPr>
              <w:ind w:hanging="360"/>
              <w:jc w:val="both"/>
              <w:rPr>
                <w:rFonts w:eastAsia="Times New Roman"/>
              </w:rPr>
            </w:pPr>
          </w:p>
        </w:tc>
        <w:tc>
          <w:tcPr>
            <w:tcW w:w="408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3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6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738403936"/>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 Change</w:t>
            </w:r>
          </w:p>
        </w:tc>
      </w:tr>
      <w:tr w:rsidR="00000000">
        <w:trPr>
          <w:divId w:val="738403936"/>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Digital commerce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r>
      <w:tr w:rsidR="00000000">
        <w:trPr>
          <w:divId w:val="738403936"/>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Brick and mortar</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(40 </w:t>
            </w:r>
          </w:p>
        </w:tc>
        <w:tc>
          <w:tcPr>
            <w:tcW w:w="0" w:type="auto"/>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r>
      <w:tr w:rsidR="00000000">
        <w:trPr>
          <w:divId w:val="738403936"/>
        </w:trPr>
        <w:tc>
          <w:tcPr>
            <w:tcW w:w="0" w:type="auto"/>
            <w:gridSpan w:val="3"/>
            <w:shd w:val="clear" w:color="auto" w:fill="CCEEFF"/>
            <w:tcMar>
              <w:top w:w="30" w:type="dxa"/>
              <w:left w:w="26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comparable store sales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r>
    </w:tbl>
    <w:p w:rsidR="00000000" w:rsidRDefault="00BB5C2D">
      <w:pPr>
        <w:ind w:firstLine="540"/>
        <w:jc w:val="both"/>
        <w:divId w:val="1389911916"/>
        <w:rPr>
          <w:rFonts w:eastAsia="Times New Roman"/>
        </w:rPr>
      </w:pPr>
      <w:r>
        <w:rPr>
          <w:rFonts w:eastAsia="Times New Roman"/>
          <w:i/>
          <w:iCs/>
          <w:color w:val="000000"/>
          <w:sz w:val="20"/>
          <w:szCs w:val="20"/>
        </w:rPr>
        <w:t>Europe net revenues</w:t>
      </w:r>
      <w:r>
        <w:rPr>
          <w:rFonts w:eastAsia="Times New Roman"/>
          <w:color w:val="000000"/>
          <w:sz w:val="20"/>
          <w:szCs w:val="20"/>
        </w:rPr>
        <w:t xml:space="preserve"> — </w:t>
      </w:r>
      <w:r>
        <w:rPr>
          <w:rFonts w:eastAsia="Times New Roman"/>
          <w:color w:val="000000"/>
          <w:sz w:val="20"/>
          <w:szCs w:val="20"/>
        </w:rPr>
        <w:t xml:space="preserve">Net revenues decreased by $466.3 million, or 28.6%, during Fiscal 2021 as compared to Fiscal 2020. On a constant currency basis, net revenues decreased by $518.4 million, or 31.8%. </w:t>
      </w:r>
    </w:p>
    <w:p w:rsidR="00000000" w:rsidRDefault="00BB5C2D">
      <w:pPr>
        <w:ind w:firstLine="540"/>
        <w:jc w:val="both"/>
        <w:divId w:val="1253078336"/>
        <w:rPr>
          <w:rFonts w:eastAsia="Times New Roman"/>
        </w:rPr>
      </w:pPr>
      <w:r>
        <w:rPr>
          <w:rFonts w:eastAsia="Times New Roman"/>
          <w:color w:val="000000"/>
          <w:sz w:val="20"/>
          <w:szCs w:val="20"/>
        </w:rPr>
        <w:t>The $466.3 million net decline in Europe net revenues was driven by:</w:t>
      </w:r>
    </w:p>
    <w:p w:rsidR="00000000" w:rsidRDefault="00BB5C2D">
      <w:pPr>
        <w:ind w:hanging="360"/>
        <w:jc w:val="both"/>
        <w:divId w:val="1139419091"/>
        <w:rPr>
          <w:rFonts w:eastAsia="Times New Roman"/>
        </w:rPr>
      </w:pPr>
      <w:r>
        <w:rPr>
          <w:rFonts w:eastAsia="Times New Roman"/>
          <w:color w:val="000000"/>
          <w:sz w:val="20"/>
          <w:szCs w:val="20"/>
        </w:rPr>
        <w:t>•a $3</w:t>
      </w:r>
      <w:r>
        <w:rPr>
          <w:rFonts w:eastAsia="Times New Roman"/>
          <w:color w:val="000000"/>
          <w:sz w:val="20"/>
          <w:szCs w:val="20"/>
        </w:rPr>
        <w:t>57.5 million net decrease related to our Europe retail business, inclusive of the adverse impact of COVID-19 business disruptions, partially offset by net favorable foreign currency effects of $15.1 million. On a constant currency basis, net revenues decre</w:t>
      </w:r>
      <w:r>
        <w:rPr>
          <w:rFonts w:eastAsia="Times New Roman"/>
          <w:color w:val="000000"/>
          <w:sz w:val="20"/>
          <w:szCs w:val="20"/>
        </w:rPr>
        <w:t>ased by $372.6 million driven by decreases of $336.2 million in comparable store sales and $36.4 million in non-comparable store sales. The following table summarizes the percentage change in comparable store sales related to our Europe retail business, in</w:t>
      </w:r>
      <w:r>
        <w:rPr>
          <w:rFonts w:eastAsia="Times New Roman"/>
          <w:color w:val="000000"/>
          <w:sz w:val="20"/>
          <w:szCs w:val="20"/>
        </w:rPr>
        <w:t>clusive of adverse impacts related to COVID-19 business disruptions:</w:t>
      </w:r>
    </w:p>
    <w:tbl>
      <w:tblPr>
        <w:tblW w:w="4459" w:type="pct"/>
        <w:tblCellMar>
          <w:top w:w="15" w:type="dxa"/>
          <w:left w:w="15" w:type="dxa"/>
          <w:bottom w:w="15" w:type="dxa"/>
          <w:right w:w="15" w:type="dxa"/>
        </w:tblCellMar>
        <w:tblLook w:val="04A0" w:firstRow="1" w:lastRow="0" w:firstColumn="1" w:lastColumn="0" w:noHBand="0" w:noVBand="1"/>
      </w:tblPr>
      <w:tblGrid>
        <w:gridCol w:w="38"/>
        <w:gridCol w:w="5955"/>
        <w:gridCol w:w="37"/>
        <w:gridCol w:w="36"/>
        <w:gridCol w:w="36"/>
        <w:gridCol w:w="36"/>
        <w:gridCol w:w="37"/>
        <w:gridCol w:w="978"/>
        <w:gridCol w:w="254"/>
      </w:tblGrid>
      <w:tr w:rsidR="00000000">
        <w:trPr>
          <w:divId w:val="1264803267"/>
        </w:trPr>
        <w:tc>
          <w:tcPr>
            <w:tcW w:w="50" w:type="pct"/>
            <w:vAlign w:val="center"/>
            <w:hideMark/>
          </w:tcPr>
          <w:p w:rsidR="00000000" w:rsidRDefault="00BB5C2D">
            <w:pPr>
              <w:ind w:hanging="360"/>
              <w:jc w:val="both"/>
              <w:rPr>
                <w:rFonts w:eastAsia="Times New Roman"/>
              </w:rPr>
            </w:pPr>
          </w:p>
        </w:tc>
        <w:tc>
          <w:tcPr>
            <w:tcW w:w="408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3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6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264803267"/>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 Change</w:t>
            </w:r>
          </w:p>
        </w:tc>
      </w:tr>
      <w:tr w:rsidR="00000000">
        <w:trPr>
          <w:divId w:val="1264803267"/>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Digital commerce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r>
      <w:tr w:rsidR="00000000">
        <w:trPr>
          <w:divId w:val="1264803267"/>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Brick and mortar</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r>
      <w:tr w:rsidR="00000000">
        <w:trPr>
          <w:divId w:val="1264803267"/>
        </w:trPr>
        <w:tc>
          <w:tcPr>
            <w:tcW w:w="0" w:type="auto"/>
            <w:gridSpan w:val="3"/>
            <w:shd w:val="clear" w:color="auto" w:fill="CCEEFF"/>
            <w:tcMar>
              <w:top w:w="30" w:type="dxa"/>
              <w:left w:w="26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comparable store sales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r>
    </w:tbl>
    <w:p w:rsidR="00000000" w:rsidRDefault="00BB5C2D">
      <w:pPr>
        <w:ind w:hanging="360"/>
        <w:jc w:val="both"/>
        <w:divId w:val="362949503"/>
        <w:rPr>
          <w:rFonts w:eastAsia="Times New Roman"/>
        </w:rPr>
      </w:pPr>
      <w:r>
        <w:rPr>
          <w:rFonts w:eastAsia="Times New Roman"/>
          <w:i/>
          <w:iCs/>
          <w:color w:val="000000"/>
          <w:sz w:val="20"/>
          <w:szCs w:val="20"/>
        </w:rPr>
        <w:t>•</w:t>
      </w:r>
      <w:r>
        <w:rPr>
          <w:rFonts w:eastAsia="Times New Roman"/>
          <w:color w:val="000000"/>
          <w:sz w:val="20"/>
          <w:szCs w:val="20"/>
        </w:rPr>
        <w:t>a $108.8 </w:t>
      </w:r>
      <w:r>
        <w:rPr>
          <w:rFonts w:eastAsia="Times New Roman"/>
          <w:color w:val="000000"/>
          <w:sz w:val="20"/>
          <w:szCs w:val="20"/>
        </w:rPr>
        <w:t>million net decrease related to our Europe wholesale business driven by COVID-19 business disruptions partially offset by net favorable foreign currency effects of $37.0 million.</w:t>
      </w:r>
    </w:p>
    <w:p w:rsidR="00000000" w:rsidRDefault="00BB5C2D">
      <w:pPr>
        <w:ind w:firstLine="540"/>
        <w:jc w:val="both"/>
        <w:divId w:val="827789670"/>
        <w:rPr>
          <w:rFonts w:eastAsia="Times New Roman"/>
        </w:rPr>
      </w:pPr>
      <w:r>
        <w:rPr>
          <w:rFonts w:eastAsia="Times New Roman"/>
          <w:i/>
          <w:iCs/>
          <w:color w:val="000000"/>
          <w:sz w:val="20"/>
          <w:szCs w:val="20"/>
        </w:rPr>
        <w:t>Asia net revenues</w:t>
      </w:r>
      <w:r>
        <w:rPr>
          <w:rFonts w:eastAsia="Times New Roman"/>
          <w:color w:val="000000"/>
          <w:sz w:val="20"/>
          <w:szCs w:val="20"/>
        </w:rPr>
        <w:t xml:space="preserve"> — Net revenues increased by $10.3 million, or 1.0%, during </w:t>
      </w:r>
      <w:r>
        <w:rPr>
          <w:rFonts w:eastAsia="Times New Roman"/>
          <w:color w:val="000000"/>
          <w:sz w:val="20"/>
          <w:szCs w:val="20"/>
        </w:rPr>
        <w:t xml:space="preserve">Fiscal 2021 as compared to Fiscal 2020. On a constant currency basis, net revenues decreased by $18.2 million, or 1.8%. </w:t>
      </w:r>
    </w:p>
    <w:p w:rsidR="00000000" w:rsidRDefault="00BB5C2D">
      <w:pPr>
        <w:ind w:firstLine="540"/>
        <w:jc w:val="both"/>
        <w:divId w:val="304704410"/>
        <w:rPr>
          <w:rFonts w:eastAsia="Times New Roman"/>
        </w:rPr>
      </w:pPr>
      <w:r>
        <w:rPr>
          <w:rFonts w:eastAsia="Times New Roman"/>
          <w:color w:val="000000"/>
          <w:sz w:val="20"/>
          <w:szCs w:val="20"/>
        </w:rPr>
        <w:t xml:space="preserve">The $10.3 million net increase in Asia net revenues was driven by: </w:t>
      </w:r>
    </w:p>
    <w:p w:rsidR="00000000" w:rsidRDefault="00BB5C2D">
      <w:pPr>
        <w:ind w:hanging="360"/>
        <w:jc w:val="both"/>
        <w:divId w:val="527530317"/>
        <w:rPr>
          <w:rFonts w:eastAsia="Times New Roman"/>
        </w:rPr>
      </w:pPr>
      <w:r>
        <w:rPr>
          <w:rFonts w:eastAsia="Times New Roman"/>
          <w:color w:val="000000"/>
          <w:sz w:val="20"/>
          <w:szCs w:val="20"/>
        </w:rPr>
        <w:t xml:space="preserve">•a $20.4 million net increase related to our Asia retail business, </w:t>
      </w:r>
      <w:r>
        <w:rPr>
          <w:rFonts w:eastAsia="Times New Roman"/>
          <w:color w:val="000000"/>
          <w:sz w:val="20"/>
          <w:szCs w:val="20"/>
        </w:rPr>
        <w:t>inclusive of the adverse impact of COVID-19 business disruptions, as well as net favorable foreign currency effects of $26.9 million. On a constant currency basis, net revenues decreased by $6.5 million, reflecting a decrease of $43.1 million in comparable</w:t>
      </w:r>
      <w:r>
        <w:rPr>
          <w:rFonts w:eastAsia="Times New Roman"/>
          <w:color w:val="000000"/>
          <w:sz w:val="20"/>
          <w:szCs w:val="20"/>
        </w:rPr>
        <w:t xml:space="preserve"> store sales, partially offset by an increase of $36.6 million in non-comparable store sales. The following table summarizes the percentage change in comparable store sales related to our Asia retail business, inclusive of adverse impacts related to COVID-</w:t>
      </w:r>
      <w:r>
        <w:rPr>
          <w:rFonts w:eastAsia="Times New Roman"/>
          <w:color w:val="000000"/>
          <w:sz w:val="20"/>
          <w:szCs w:val="20"/>
        </w:rPr>
        <w:t>19 business disruptions:</w:t>
      </w:r>
    </w:p>
    <w:tbl>
      <w:tblPr>
        <w:tblW w:w="4459" w:type="pct"/>
        <w:tblCellMar>
          <w:top w:w="15" w:type="dxa"/>
          <w:left w:w="15" w:type="dxa"/>
          <w:bottom w:w="15" w:type="dxa"/>
          <w:right w:w="15" w:type="dxa"/>
        </w:tblCellMar>
        <w:tblLook w:val="04A0" w:firstRow="1" w:lastRow="0" w:firstColumn="1" w:lastColumn="0" w:noHBand="0" w:noVBand="1"/>
      </w:tblPr>
      <w:tblGrid>
        <w:gridCol w:w="38"/>
        <w:gridCol w:w="5955"/>
        <w:gridCol w:w="37"/>
        <w:gridCol w:w="36"/>
        <w:gridCol w:w="36"/>
        <w:gridCol w:w="36"/>
        <w:gridCol w:w="37"/>
        <w:gridCol w:w="978"/>
        <w:gridCol w:w="254"/>
      </w:tblGrid>
      <w:tr w:rsidR="00000000">
        <w:trPr>
          <w:divId w:val="287585009"/>
        </w:trPr>
        <w:tc>
          <w:tcPr>
            <w:tcW w:w="50" w:type="pct"/>
            <w:vAlign w:val="center"/>
            <w:hideMark/>
          </w:tcPr>
          <w:p w:rsidR="00000000" w:rsidRDefault="00BB5C2D">
            <w:pPr>
              <w:ind w:hanging="360"/>
              <w:jc w:val="both"/>
              <w:rPr>
                <w:rFonts w:eastAsia="Times New Roman"/>
              </w:rPr>
            </w:pPr>
          </w:p>
        </w:tc>
        <w:tc>
          <w:tcPr>
            <w:tcW w:w="408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3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6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287585009"/>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 Change</w:t>
            </w:r>
          </w:p>
        </w:tc>
      </w:tr>
      <w:tr w:rsidR="00000000">
        <w:trPr>
          <w:divId w:val="287585009"/>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Digital commerce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r>
      <w:tr w:rsidR="00000000">
        <w:trPr>
          <w:divId w:val="287585009"/>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Brick and mortar</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r>
      <w:tr w:rsidR="00000000">
        <w:trPr>
          <w:divId w:val="287585009"/>
        </w:trPr>
        <w:tc>
          <w:tcPr>
            <w:tcW w:w="0" w:type="auto"/>
            <w:gridSpan w:val="3"/>
            <w:shd w:val="clear" w:color="auto" w:fill="CCEEFF"/>
            <w:tcMar>
              <w:top w:w="30" w:type="dxa"/>
              <w:left w:w="26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comparable store sales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r>
    </w:tbl>
    <w:p w:rsidR="00000000" w:rsidRDefault="00BB5C2D">
      <w:pPr>
        <w:ind w:hanging="360"/>
        <w:jc w:val="both"/>
        <w:divId w:val="1746951430"/>
        <w:rPr>
          <w:rFonts w:eastAsia="Times New Roman"/>
        </w:rPr>
      </w:pPr>
      <w:r>
        <w:rPr>
          <w:rFonts w:eastAsia="Times New Roman"/>
          <w:color w:val="000000"/>
          <w:sz w:val="20"/>
          <w:szCs w:val="20"/>
        </w:rPr>
        <w:t>•This increase was partially offset by a $10.1 </w:t>
      </w:r>
      <w:r>
        <w:rPr>
          <w:rFonts w:eastAsia="Times New Roman"/>
          <w:color w:val="000000"/>
          <w:sz w:val="20"/>
          <w:szCs w:val="20"/>
        </w:rPr>
        <w:t>million net decrease related to our Asia wholesale business driven by COVID-19 business disruptions, primarily in Japan.</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240365290"/>
          <w:jc w:val="center"/>
        </w:trPr>
        <w:tc>
          <w:tcPr>
            <w:tcW w:w="50" w:type="pct"/>
            <w:vAlign w:val="center"/>
            <w:hideMark/>
          </w:tcPr>
          <w:p w:rsidR="00000000" w:rsidRDefault="00BB5C2D">
            <w:pPr>
              <w:ind w:hanging="36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240365290"/>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59</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87" style="width:0;height:1.5pt" o:hralign="center" o:hrstd="t" o:hr="t" fillcolor="#a0a0a0" stroked="f"/>
        </w:pict>
      </w:r>
    </w:p>
    <w:p w:rsidR="00000000" w:rsidRDefault="00BB5C2D">
      <w:pPr>
        <w:divId w:val="1232618460"/>
        <w:rPr>
          <w:rFonts w:eastAsia="Times New Roman"/>
        </w:rPr>
      </w:pPr>
    </w:p>
    <w:p w:rsidR="00000000" w:rsidRDefault="00BB5C2D">
      <w:pPr>
        <w:ind w:firstLine="540"/>
        <w:jc w:val="both"/>
        <w:divId w:val="661196367"/>
        <w:rPr>
          <w:rFonts w:eastAsia="Times New Roman"/>
        </w:rPr>
      </w:pPr>
      <w:r>
        <w:rPr>
          <w:rFonts w:eastAsia="Times New Roman"/>
          <w:i/>
          <w:iCs/>
          <w:color w:val="000000"/>
          <w:sz w:val="20"/>
          <w:szCs w:val="20"/>
        </w:rPr>
        <w:t>Gross Profit.    </w:t>
      </w:r>
      <w:r>
        <w:rPr>
          <w:rFonts w:eastAsia="Times New Roman"/>
          <w:color w:val="000000"/>
          <w:sz w:val="20"/>
          <w:szCs w:val="20"/>
        </w:rPr>
        <w:t xml:space="preserve">Gross profit decreased by $791.9 million, or 21.7%, to $2.861 billion in Fiscal 2021, including net favorable foreign currency effects of $60.2 million. Gross profit during Fiscal 2021 and Fiscal 2020 </w:t>
      </w:r>
      <w:r>
        <w:rPr>
          <w:rFonts w:eastAsia="Times New Roman"/>
          <w:color w:val="000000"/>
          <w:sz w:val="20"/>
          <w:szCs w:val="20"/>
        </w:rPr>
        <w:t>reflects adverse impacts related to COVID-19 business disruptions, including incremental inventory charges of $21.0 million and $157.3 million, respectively. Gross profit during Fiscal 2021 and Fiscal 2020 also reflects inventory charges of $8.3 million an</w:t>
      </w:r>
      <w:r>
        <w:rPr>
          <w:rFonts w:eastAsia="Times New Roman"/>
          <w:color w:val="000000"/>
          <w:sz w:val="20"/>
          <w:szCs w:val="20"/>
        </w:rPr>
        <w:t>d $2.2 million, respectively, recorded in connection with our restructuring plans. Gross profit as a percentage of net revenues increased to 65.0% in Fiscal 2021 from 59.3% in Fiscal 2020. The 570 basis point improvement was primarily driven by improved pr</w:t>
      </w:r>
      <w:r>
        <w:rPr>
          <w:rFonts w:eastAsia="Times New Roman"/>
          <w:color w:val="000000"/>
          <w:sz w:val="20"/>
          <w:szCs w:val="20"/>
        </w:rPr>
        <w:t>icing and lower levels of promotional activity, lower non-routine inventory charges recorded during Fiscal 2021 as compared to the prior fiscal year, and favorable geographic and channel mix.</w:t>
      </w:r>
    </w:p>
    <w:p w:rsidR="00000000" w:rsidRDefault="00BB5C2D">
      <w:pPr>
        <w:ind w:firstLine="540"/>
        <w:jc w:val="both"/>
        <w:divId w:val="17003506"/>
        <w:rPr>
          <w:rFonts w:eastAsia="Times New Roman"/>
        </w:rPr>
      </w:pPr>
      <w:r>
        <w:rPr>
          <w:rFonts w:eastAsia="Times New Roman"/>
          <w:i/>
          <w:iCs/>
          <w:color w:val="000000"/>
          <w:sz w:val="20"/>
          <w:szCs w:val="20"/>
        </w:rPr>
        <w:t>Selling, General, and Administrative Expenses.</w:t>
      </w:r>
      <w:r>
        <w:rPr>
          <w:rFonts w:eastAsia="Times New Roman"/>
          <w:color w:val="000000"/>
          <w:sz w:val="20"/>
          <w:szCs w:val="20"/>
        </w:rPr>
        <w:t xml:space="preserve">    SG&amp;A expenses </w:t>
      </w:r>
      <w:r>
        <w:rPr>
          <w:rFonts w:eastAsia="Times New Roman"/>
          <w:color w:val="000000"/>
          <w:sz w:val="20"/>
          <w:szCs w:val="20"/>
        </w:rPr>
        <w:t xml:space="preserve">decreased by $599.0 million, or 18.5%, to $2.639 billion in Fiscal 2021, including net unfavorable foreign currency effect of $40.7 million. The decrease in SG&amp;A expenses reflects impacts related to COVID-19 business disruptions and our related mitigating </w:t>
      </w:r>
      <w:r>
        <w:rPr>
          <w:rFonts w:eastAsia="Times New Roman"/>
          <w:color w:val="000000"/>
          <w:sz w:val="20"/>
          <w:szCs w:val="20"/>
        </w:rPr>
        <w:t>actions, including (i) lower compensation-related expenses largely driven by employee furloughs and terminations, reduced pay for our executives, senior management team, and Board of Directors, and COVID-19-related government subsidies, (ii) lower rent and</w:t>
      </w:r>
      <w:r>
        <w:rPr>
          <w:rFonts w:eastAsia="Times New Roman"/>
          <w:color w:val="000000"/>
          <w:sz w:val="20"/>
          <w:szCs w:val="20"/>
        </w:rPr>
        <w:t xml:space="preserve"> occupancy costs largely driven by reduced percentage-of-sales-based rent due to store closures and a reduction in traffic, as well as rent abatements negotiated with certain of our landlords, (iii) favorable COVID-19-related bad debt expense adjustments, </w:t>
      </w:r>
      <w:r>
        <w:rPr>
          <w:rFonts w:eastAsia="Times New Roman"/>
          <w:color w:val="000000"/>
          <w:sz w:val="20"/>
          <w:szCs w:val="20"/>
        </w:rPr>
        <w:t>and (iv) our operational discipline. SG&amp;A expenses as a percentage of net revenues increased to 60.0% in Fiscal 2021 from 52.6% in Fiscal 2020. The 740 basis point increase was primarily due to operating deleverage on lower net revenues, partially offset b</w:t>
      </w:r>
      <w:r>
        <w:rPr>
          <w:rFonts w:eastAsia="Times New Roman"/>
          <w:color w:val="000000"/>
          <w:sz w:val="20"/>
          <w:szCs w:val="20"/>
        </w:rPr>
        <w:t>y expense savings across various categories.</w:t>
      </w:r>
    </w:p>
    <w:p w:rsidR="00000000" w:rsidRDefault="00BB5C2D">
      <w:pPr>
        <w:ind w:firstLine="540"/>
        <w:jc w:val="both"/>
        <w:divId w:val="835537217"/>
        <w:rPr>
          <w:rFonts w:eastAsia="Times New Roman"/>
        </w:rPr>
      </w:pPr>
      <w:r>
        <w:rPr>
          <w:rFonts w:eastAsia="Times New Roman"/>
          <w:color w:val="000000"/>
          <w:sz w:val="20"/>
          <w:szCs w:val="20"/>
        </w:rPr>
        <w:t>The $599.0 million decrease in SG&amp;A expenses was driven by:</w:t>
      </w:r>
    </w:p>
    <w:tbl>
      <w:tblPr>
        <w:tblW w:w="4722" w:type="pct"/>
        <w:tblCellMar>
          <w:top w:w="15" w:type="dxa"/>
          <w:left w:w="15" w:type="dxa"/>
          <w:bottom w:w="15" w:type="dxa"/>
          <w:right w:w="15" w:type="dxa"/>
        </w:tblCellMar>
        <w:tblLook w:val="04A0" w:firstRow="1" w:lastRow="0" w:firstColumn="1" w:lastColumn="0" w:noHBand="0" w:noVBand="1"/>
      </w:tblPr>
      <w:tblGrid>
        <w:gridCol w:w="39"/>
        <w:gridCol w:w="6142"/>
        <w:gridCol w:w="37"/>
        <w:gridCol w:w="36"/>
        <w:gridCol w:w="36"/>
        <w:gridCol w:w="36"/>
        <w:gridCol w:w="121"/>
        <w:gridCol w:w="1361"/>
        <w:gridCol w:w="36"/>
      </w:tblGrid>
      <w:tr w:rsidR="00000000">
        <w:trPr>
          <w:divId w:val="129520356"/>
        </w:trPr>
        <w:tc>
          <w:tcPr>
            <w:tcW w:w="50" w:type="pct"/>
            <w:vAlign w:val="center"/>
            <w:hideMark/>
          </w:tcPr>
          <w:p w:rsidR="00000000" w:rsidRDefault="00BB5C2D">
            <w:pPr>
              <w:ind w:firstLine="540"/>
              <w:jc w:val="both"/>
              <w:rPr>
                <w:rFonts w:eastAsia="Times New Roman"/>
              </w:rPr>
            </w:pPr>
          </w:p>
        </w:tc>
        <w:tc>
          <w:tcPr>
            <w:tcW w:w="393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91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29520356"/>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2021</w:t>
            </w:r>
            <w:r>
              <w:rPr>
                <w:rFonts w:eastAsia="Times New Roman"/>
                <w:b/>
                <w:bCs/>
                <w:color w:val="000000"/>
                <w:sz w:val="16"/>
                <w:szCs w:val="16"/>
              </w:rPr>
              <w:br/>
              <w:t xml:space="preserve">Compared to </w:t>
            </w:r>
            <w:r>
              <w:rPr>
                <w:rFonts w:eastAsia="Times New Roman"/>
                <w:b/>
                <w:bCs/>
                <w:color w:val="000000"/>
                <w:sz w:val="16"/>
                <w:szCs w:val="16"/>
              </w:rPr>
              <w:br/>
              <w:t>Fiscal 2020</w:t>
            </w:r>
          </w:p>
        </w:tc>
      </w:tr>
      <w:tr w:rsidR="00000000">
        <w:trPr>
          <w:divId w:val="129520356"/>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129520356"/>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b/>
                <w:bCs/>
                <w:color w:val="000000"/>
                <w:sz w:val="20"/>
                <w:szCs w:val="20"/>
              </w:rPr>
              <w:t>SG&amp;A expense category:</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29520356"/>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Compensation-related expenses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(263.9)</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29520356"/>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Bad debt expense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(86.3)</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29520356"/>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Rent and occupancy costs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(80.4)</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29520356"/>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Staff-related expenses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(59.4)</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29520356"/>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Selling-related expenses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(46.8)</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29520356"/>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Depreciation and amortization expense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(22.1)</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29520356"/>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Consulting fees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(16.8)</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29520356"/>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Marketing and advertising expenses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(13.0)</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29520356"/>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Shipping and handling costs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(7.6)</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29520356"/>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Other</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(2.7)</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29520356"/>
        </w:trPr>
        <w:tc>
          <w:tcPr>
            <w:tcW w:w="0" w:type="auto"/>
            <w:gridSpan w:val="3"/>
            <w:shd w:val="clear" w:color="auto" w:fill="FFFFFF"/>
            <w:tcMar>
              <w:top w:w="30" w:type="dxa"/>
              <w:left w:w="38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decrease in SG&amp;A expenses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(599.0)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bl>
    <w:p w:rsidR="00000000" w:rsidRDefault="00BB5C2D">
      <w:pPr>
        <w:ind w:firstLine="540"/>
        <w:jc w:val="both"/>
        <w:divId w:val="433937983"/>
        <w:rPr>
          <w:rFonts w:eastAsia="Times New Roman"/>
        </w:rPr>
      </w:pPr>
      <w:r>
        <w:rPr>
          <w:rFonts w:eastAsia="Times New Roman"/>
          <w:i/>
          <w:iCs/>
          <w:color w:val="000000"/>
          <w:sz w:val="20"/>
          <w:szCs w:val="20"/>
        </w:rPr>
        <w:t>Impairment of Assets.</w:t>
      </w:r>
      <w:r>
        <w:rPr>
          <w:rFonts w:eastAsia="Times New Roman"/>
          <w:color w:val="000000"/>
          <w:sz w:val="20"/>
          <w:szCs w:val="20"/>
        </w:rPr>
        <w:t>   </w:t>
      </w:r>
      <w:r>
        <w:rPr>
          <w:rFonts w:eastAsia="Times New Roman"/>
          <w:color w:val="000000"/>
          <w:sz w:val="20"/>
          <w:szCs w:val="20"/>
        </w:rPr>
        <w:t>During Fiscal 2021 and Fiscal 2020, we recorded non-cash impairment charges of $96.0 million and $31.6 million, respectively, to write-down certain long-lived assets. See Note 8 to the accompanying consolidated financial statements.</w:t>
      </w:r>
    </w:p>
    <w:p w:rsidR="00000000" w:rsidRDefault="00BB5C2D">
      <w:pPr>
        <w:ind w:firstLine="540"/>
        <w:jc w:val="both"/>
        <w:divId w:val="1241910149"/>
        <w:rPr>
          <w:rFonts w:eastAsia="Times New Roman"/>
        </w:rPr>
      </w:pPr>
      <w:r>
        <w:rPr>
          <w:rFonts w:eastAsia="Times New Roman"/>
          <w:i/>
          <w:iCs/>
          <w:color w:val="000000"/>
          <w:sz w:val="20"/>
          <w:szCs w:val="20"/>
        </w:rPr>
        <w:t>Restructuring and Other</w:t>
      </w:r>
      <w:r>
        <w:rPr>
          <w:rFonts w:eastAsia="Times New Roman"/>
          <w:i/>
          <w:iCs/>
          <w:color w:val="000000"/>
          <w:sz w:val="20"/>
          <w:szCs w:val="20"/>
        </w:rPr>
        <w:t xml:space="preserve"> Charges, Net.</w:t>
      </w:r>
      <w:r>
        <w:rPr>
          <w:rFonts w:eastAsia="Times New Roman"/>
          <w:color w:val="000000"/>
          <w:sz w:val="20"/>
          <w:szCs w:val="20"/>
        </w:rPr>
        <w:t>   During Fiscal 2021 and Fiscal 2020, we recorded restructuring charges of $159.1 million and $37.6 million, respectively, primarily consisting of severance and benefits costs, as well as other charges of $11.4 million and $8.8 million, resp</w:t>
      </w:r>
      <w:r>
        <w:rPr>
          <w:rFonts w:eastAsia="Times New Roman"/>
          <w:color w:val="000000"/>
          <w:sz w:val="20"/>
          <w:szCs w:val="20"/>
        </w:rPr>
        <w:t>ectively, primarily related to rent and occupancy costs associated with certain previously exited real estate locations for which the related lease agreements had not yet expired. Additionally, during Fiscal 2020, we recorded other charges of $20.8 million</w:t>
      </w:r>
      <w:r>
        <w:rPr>
          <w:rFonts w:eastAsia="Times New Roman"/>
          <w:color w:val="000000"/>
          <w:sz w:val="20"/>
          <w:szCs w:val="20"/>
        </w:rPr>
        <w:t xml:space="preserve"> related to the charitable donation of the net cash proceeds received from the sale of our corporate jet. See Note 9 to the accompanying consolidated financial statements.</w:t>
      </w:r>
    </w:p>
    <w:p w:rsidR="00000000" w:rsidRDefault="00BB5C2D">
      <w:pPr>
        <w:ind w:firstLine="540"/>
        <w:jc w:val="both"/>
        <w:divId w:val="1926255561"/>
        <w:rPr>
          <w:rFonts w:eastAsia="Times New Roman"/>
        </w:rPr>
      </w:pPr>
      <w:r>
        <w:rPr>
          <w:rFonts w:eastAsia="Times New Roman"/>
          <w:i/>
          <w:iCs/>
          <w:color w:val="000000"/>
          <w:sz w:val="20"/>
          <w:szCs w:val="20"/>
        </w:rPr>
        <w:t>Operating Income (Loss).</w:t>
      </w:r>
      <w:r>
        <w:rPr>
          <w:rFonts w:eastAsia="Times New Roman"/>
          <w:color w:val="000000"/>
          <w:sz w:val="20"/>
          <w:szCs w:val="20"/>
        </w:rPr>
        <w:t>    During Fiscal 2021, we reported an operating loss of $43</w:t>
      </w:r>
      <w:r>
        <w:rPr>
          <w:rFonts w:eastAsia="Times New Roman"/>
          <w:color w:val="000000"/>
          <w:sz w:val="20"/>
          <w:szCs w:val="20"/>
        </w:rPr>
        <w:t>.6 million, as compared to operating income of $317.0 million during Fiscal 2020. The $360.6 million decline in operating income reflects net adverse impacts related to COVID-19 business disruptions, partially offset by net favorable foreign currency effec</w:t>
      </w:r>
      <w:r>
        <w:rPr>
          <w:rFonts w:eastAsia="Times New Roman"/>
          <w:color w:val="000000"/>
          <w:sz w:val="20"/>
          <w:szCs w:val="20"/>
        </w:rPr>
        <w:t>ts of $19.5 million. Our operating results during Fiscal 2021 and Fiscal 2020 were also negatively impacted by restructuring-related charges, impairment of assets, and certain other charges (a portion of which related to COVID-19 business disruptions) tota</w:t>
      </w:r>
      <w:r>
        <w:rPr>
          <w:rFonts w:eastAsia="Times New Roman"/>
          <w:color w:val="000000"/>
          <w:sz w:val="20"/>
          <w:szCs w:val="20"/>
        </w:rPr>
        <w:t xml:space="preserve">ling $254.4 million and $321.8 million, respectively, as previously discussed. Operating loss as a percentage of net revenues was 1.0% in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267349301"/>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267349301"/>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60</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88" style="width:0;height:1.5pt" o:hralign="center" o:hrstd="t" o:hr="t" fillcolor="#a0a0a0" stroked="f"/>
        </w:pict>
      </w:r>
    </w:p>
    <w:p w:rsidR="00000000" w:rsidRDefault="00BB5C2D">
      <w:pPr>
        <w:divId w:val="1299455749"/>
        <w:rPr>
          <w:rFonts w:eastAsia="Times New Roman"/>
        </w:rPr>
      </w:pPr>
    </w:p>
    <w:p w:rsidR="00000000" w:rsidRDefault="00BB5C2D">
      <w:pPr>
        <w:jc w:val="both"/>
        <w:divId w:val="1530529673"/>
        <w:rPr>
          <w:rFonts w:eastAsia="Times New Roman"/>
        </w:rPr>
      </w:pPr>
      <w:r>
        <w:rPr>
          <w:rFonts w:eastAsia="Times New Roman"/>
          <w:color w:val="000000"/>
          <w:sz w:val="20"/>
          <w:szCs w:val="20"/>
        </w:rPr>
        <w:t>Fiscal 2021, reflecting a 610 basis point decline from Fiscal 2020. The decline in operating income as a percentage of net revenues was primarily driven by the increase in SG&amp;A expenses as a percentage of net revenues,</w:t>
      </w:r>
      <w:r>
        <w:rPr>
          <w:rFonts w:eastAsia="Times New Roman"/>
          <w:color w:val="000000"/>
          <w:sz w:val="20"/>
          <w:szCs w:val="20"/>
        </w:rPr>
        <w:t xml:space="preserve"> partially offset by the increase in our gross margin and lower net restructuring-related charges, impairment of assets, and certain other charges recorded during Fiscal 2021 as compared to the prior fiscal year, all as previously discussed.</w:t>
      </w:r>
    </w:p>
    <w:p w:rsidR="00000000" w:rsidRDefault="00BB5C2D">
      <w:pPr>
        <w:ind w:firstLine="540"/>
        <w:jc w:val="both"/>
        <w:divId w:val="429550963"/>
        <w:rPr>
          <w:rFonts w:eastAsia="Times New Roman"/>
        </w:rPr>
      </w:pPr>
      <w:r>
        <w:rPr>
          <w:rFonts w:eastAsia="Times New Roman"/>
          <w:color w:val="000000"/>
          <w:sz w:val="20"/>
          <w:szCs w:val="20"/>
        </w:rPr>
        <w:t>Operating inco</w:t>
      </w:r>
      <w:r>
        <w:rPr>
          <w:rFonts w:eastAsia="Times New Roman"/>
          <w:color w:val="000000"/>
          <w:sz w:val="20"/>
          <w:szCs w:val="20"/>
        </w:rPr>
        <w:t>me (loss) and margin for our segments, as well as a discussion of the changes in each reportable segment's operating margin from the prior fiscal year, are provided below:</w:t>
      </w:r>
    </w:p>
    <w:tbl>
      <w:tblPr>
        <w:tblW w:w="4736" w:type="pct"/>
        <w:tblCellMar>
          <w:top w:w="15" w:type="dxa"/>
          <w:left w:w="15" w:type="dxa"/>
          <w:bottom w:w="15" w:type="dxa"/>
          <w:right w:w="15" w:type="dxa"/>
        </w:tblCellMar>
        <w:tblLook w:val="04A0" w:firstRow="1" w:lastRow="0" w:firstColumn="1" w:lastColumn="0" w:noHBand="0" w:noVBand="1"/>
      </w:tblPr>
      <w:tblGrid>
        <w:gridCol w:w="40"/>
        <w:gridCol w:w="2654"/>
        <w:gridCol w:w="39"/>
        <w:gridCol w:w="36"/>
        <w:gridCol w:w="36"/>
        <w:gridCol w:w="36"/>
        <w:gridCol w:w="121"/>
        <w:gridCol w:w="646"/>
        <w:gridCol w:w="37"/>
        <w:gridCol w:w="36"/>
        <w:gridCol w:w="36"/>
        <w:gridCol w:w="36"/>
        <w:gridCol w:w="88"/>
        <w:gridCol w:w="647"/>
        <w:gridCol w:w="36"/>
        <w:gridCol w:w="36"/>
        <w:gridCol w:w="36"/>
        <w:gridCol w:w="36"/>
        <w:gridCol w:w="121"/>
        <w:gridCol w:w="646"/>
        <w:gridCol w:w="37"/>
        <w:gridCol w:w="36"/>
        <w:gridCol w:w="36"/>
        <w:gridCol w:w="36"/>
        <w:gridCol w:w="88"/>
        <w:gridCol w:w="647"/>
        <w:gridCol w:w="36"/>
        <w:gridCol w:w="36"/>
        <w:gridCol w:w="36"/>
        <w:gridCol w:w="36"/>
        <w:gridCol w:w="120"/>
        <w:gridCol w:w="584"/>
        <w:gridCol w:w="36"/>
        <w:gridCol w:w="36"/>
        <w:gridCol w:w="36"/>
        <w:gridCol w:w="36"/>
        <w:gridCol w:w="55"/>
        <w:gridCol w:w="505"/>
        <w:gridCol w:w="36"/>
      </w:tblGrid>
      <w:tr w:rsidR="00000000">
        <w:trPr>
          <w:divId w:val="443112723"/>
        </w:trPr>
        <w:tc>
          <w:tcPr>
            <w:tcW w:w="50" w:type="pct"/>
            <w:vAlign w:val="center"/>
            <w:hideMark/>
          </w:tcPr>
          <w:p w:rsidR="00000000" w:rsidRDefault="00BB5C2D">
            <w:pPr>
              <w:ind w:firstLine="540"/>
              <w:jc w:val="both"/>
              <w:rPr>
                <w:rFonts w:eastAsia="Times New Roman"/>
              </w:rPr>
            </w:pPr>
          </w:p>
        </w:tc>
        <w:tc>
          <w:tcPr>
            <w:tcW w:w="209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36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36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36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36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34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6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443112723"/>
          <w:trHeight w:val="240"/>
        </w:trPr>
        <w:tc>
          <w:tcPr>
            <w:tcW w:w="0" w:type="auto"/>
            <w:gridSpan w:val="3"/>
            <w:vMerge w:val="restart"/>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16"/>
                <w:szCs w:val="16"/>
              </w:rPr>
              <w:t> </w:t>
            </w:r>
          </w:p>
        </w:tc>
      </w:tr>
      <w:tr w:rsidR="00000000">
        <w:trPr>
          <w:divId w:val="443112723"/>
          <w:trHeight w:val="240"/>
        </w:trPr>
        <w:tc>
          <w:tcPr>
            <w:tcW w:w="0" w:type="auto"/>
            <w:gridSpan w:val="3"/>
            <w:vMerge/>
            <w:vAlign w:val="center"/>
            <w:hideMark/>
          </w:tcPr>
          <w:p w:rsidR="00000000" w:rsidRDefault="00BB5C2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28, 2020</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16"/>
                <w:szCs w:val="16"/>
              </w:rPr>
              <w:t> </w:t>
            </w:r>
          </w:p>
        </w:tc>
      </w:tr>
      <w:tr w:rsidR="00000000">
        <w:trPr>
          <w:divId w:val="443112723"/>
          <w:trHeight w:val="540"/>
        </w:trPr>
        <w:tc>
          <w:tcPr>
            <w:tcW w:w="0" w:type="auto"/>
            <w:gridSpan w:val="3"/>
            <w:vMerge/>
            <w:vAlign w:val="center"/>
            <w:hideMark/>
          </w:tcPr>
          <w:p w:rsidR="00000000" w:rsidRDefault="00BB5C2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Operating</w:t>
            </w:r>
            <w:r>
              <w:rPr>
                <w:rFonts w:eastAsia="Times New Roman"/>
                <w:b/>
                <w:bCs/>
                <w:color w:val="000000"/>
                <w:sz w:val="16"/>
                <w:szCs w:val="16"/>
              </w:rPr>
              <w:br/>
              <w:t>Income</w:t>
            </w:r>
            <w:r>
              <w:rPr>
                <w:rFonts w:eastAsia="Times New Roman"/>
                <w:b/>
                <w:bCs/>
                <w:color w:val="000000"/>
                <w:sz w:val="16"/>
                <w:szCs w:val="16"/>
              </w:rPr>
              <w:br/>
              <w:t>(Loss)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Operating</w:t>
            </w:r>
            <w:r>
              <w:rPr>
                <w:rFonts w:eastAsia="Times New Roman"/>
                <w:b/>
                <w:bCs/>
                <w:color w:val="000000"/>
                <w:sz w:val="16"/>
                <w:szCs w:val="16"/>
              </w:rPr>
              <w:br/>
              <w:t>Margin</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Operating</w:t>
            </w:r>
            <w:r>
              <w:rPr>
                <w:rFonts w:eastAsia="Times New Roman"/>
                <w:b/>
                <w:bCs/>
                <w:color w:val="000000"/>
                <w:sz w:val="16"/>
                <w:szCs w:val="16"/>
              </w:rPr>
              <w:br/>
              <w:t>Income</w:t>
            </w:r>
            <w:r>
              <w:rPr>
                <w:rFonts w:eastAsia="Times New Roman"/>
                <w:b/>
                <w:bCs/>
                <w:color w:val="000000"/>
                <w:sz w:val="16"/>
                <w:szCs w:val="16"/>
              </w:rPr>
              <w:br/>
              <w:t>(Loss)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Operating</w:t>
            </w:r>
            <w:r>
              <w:rPr>
                <w:rFonts w:eastAsia="Times New Roman"/>
                <w:b/>
                <w:bCs/>
                <w:color w:val="000000"/>
                <w:sz w:val="16"/>
                <w:szCs w:val="16"/>
              </w:rPr>
              <w:br/>
              <w:t>Margin</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w:t>
            </w:r>
            <w:r>
              <w:rPr>
                <w:rFonts w:eastAsia="Times New Roman"/>
                <w:b/>
                <w:bCs/>
                <w:color w:val="000000"/>
                <w:sz w:val="16"/>
                <w:szCs w:val="16"/>
              </w:rPr>
              <w:br/>
              <w:t>Change</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Margin</w:t>
            </w:r>
            <w:r>
              <w:rPr>
                <w:rFonts w:eastAsia="Times New Roman"/>
                <w:b/>
                <w:bCs/>
                <w:color w:val="000000"/>
                <w:sz w:val="16"/>
                <w:szCs w:val="16"/>
              </w:rPr>
              <w:br/>
              <w:t>Change</w:t>
            </w:r>
          </w:p>
        </w:tc>
      </w:tr>
      <w:tr w:rsidR="00000000">
        <w:trPr>
          <w:divId w:val="443112723"/>
          <w:trHeight w:val="240"/>
        </w:trPr>
        <w:tc>
          <w:tcPr>
            <w:tcW w:w="0" w:type="auto"/>
            <w:gridSpan w:val="3"/>
            <w:vMerge/>
            <w:vAlign w:val="center"/>
            <w:hideMark/>
          </w:tcPr>
          <w:p w:rsidR="00000000" w:rsidRDefault="00BB5C2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16"/>
                <w:szCs w:val="16"/>
              </w:rPr>
              <w:t> </w:t>
            </w:r>
          </w:p>
        </w:tc>
      </w:tr>
      <w:tr w:rsidR="00000000">
        <w:trPr>
          <w:divId w:val="443112723"/>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b/>
                <w:bCs/>
                <w:color w:val="000000"/>
                <w:sz w:val="20"/>
                <w:szCs w:val="20"/>
              </w:rPr>
              <w:t>Segment: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443112723"/>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North America</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334.0 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16.8%</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456.0 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14.5%</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(122.0)</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230 bps</w:t>
            </w:r>
          </w:p>
        </w:tc>
      </w:tr>
      <w:tr w:rsidR="00000000">
        <w:trPr>
          <w:divId w:val="443112723"/>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Europe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189.3 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16.2%</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336.3 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20.6%</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(147.0)</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(440 bps)</w:t>
            </w:r>
          </w:p>
        </w:tc>
      </w:tr>
      <w:tr w:rsidR="00000000">
        <w:trPr>
          <w:divId w:val="443112723"/>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Asia</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148.2 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14.4%</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124.8 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12.3%</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23.4 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210 bps</w:t>
            </w:r>
          </w:p>
        </w:tc>
      </w:tr>
      <w:tr w:rsidR="00000000">
        <w:trPr>
          <w:divId w:val="443112723"/>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Other non-reportable segments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32.4 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15.1%</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85.2 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23.0%</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(52.8)</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(790 bps)</w:t>
            </w:r>
          </w:p>
        </w:tc>
      </w:tr>
      <w:tr w:rsidR="00000000">
        <w:trPr>
          <w:divId w:val="443112723"/>
        </w:trPr>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703.9 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1,002.3 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(298.4)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443112723"/>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Unallocated corporate expenses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(577.0)</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(618.1)</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41.1 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443112723"/>
        </w:trPr>
        <w:tc>
          <w:tcPr>
            <w:tcW w:w="0" w:type="auto"/>
            <w:gridSpan w:val="3"/>
            <w:shd w:val="clear" w:color="auto" w:fill="FFFFFF"/>
            <w:tcMar>
              <w:top w:w="30" w:type="dxa"/>
              <w:left w:w="335" w:type="dxa"/>
              <w:bottom w:w="30" w:type="dxa"/>
              <w:right w:w="20" w:type="dxa"/>
            </w:tcMar>
            <w:vAlign w:val="bottom"/>
            <w:hideMark/>
          </w:tcPr>
          <w:p w:rsidR="00000000" w:rsidRDefault="00BB5C2D">
            <w:pPr>
              <w:spacing w:after="100"/>
              <w:ind w:hanging="180"/>
              <w:rPr>
                <w:rFonts w:eastAsia="Times New Roman"/>
              </w:rPr>
            </w:pPr>
            <w:r>
              <w:rPr>
                <w:rFonts w:eastAsia="Times New Roman"/>
                <w:color w:val="000000"/>
                <w:sz w:val="20"/>
                <w:szCs w:val="20"/>
              </w:rPr>
              <w:t>Unallocated restructuring and other charges, net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(170.5)</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(67.2)</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(103.3)</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443112723"/>
        </w:trPr>
        <w:tc>
          <w:tcPr>
            <w:tcW w:w="0" w:type="auto"/>
            <w:gridSpan w:val="3"/>
            <w:shd w:val="clear" w:color="auto" w:fill="CCEEFF"/>
            <w:tcMar>
              <w:top w:w="30" w:type="dxa"/>
              <w:left w:w="38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operating income (loss)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(43.6)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(1.0%)</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317.0 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5.1%</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(360.6)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(610 bps)</w:t>
            </w:r>
          </w:p>
        </w:tc>
      </w:tr>
    </w:tbl>
    <w:p w:rsidR="00000000" w:rsidRDefault="00BB5C2D">
      <w:pPr>
        <w:ind w:firstLine="540"/>
        <w:jc w:val="both"/>
        <w:divId w:val="965041443"/>
        <w:rPr>
          <w:rFonts w:eastAsia="Times New Roman"/>
        </w:rPr>
      </w:pPr>
      <w:r>
        <w:rPr>
          <w:rFonts w:eastAsia="Times New Roman"/>
          <w:i/>
          <w:iCs/>
          <w:color w:val="000000"/>
          <w:sz w:val="20"/>
          <w:szCs w:val="20"/>
        </w:rPr>
        <w:t>North America operating margin</w:t>
      </w:r>
      <w:r>
        <w:rPr>
          <w:rFonts w:eastAsia="Times New Roman"/>
          <w:color w:val="000000"/>
          <w:sz w:val="20"/>
          <w:szCs w:val="20"/>
        </w:rPr>
        <w:t xml:space="preserve"> improved by 230 basis points, primarily due to approximately 400 basis points attributable to net lower non-routine inventory charg</w:t>
      </w:r>
      <w:r>
        <w:rPr>
          <w:rFonts w:eastAsia="Times New Roman"/>
          <w:color w:val="000000"/>
          <w:sz w:val="20"/>
          <w:szCs w:val="20"/>
        </w:rPr>
        <w:t xml:space="preserve">es and COVID-19-related bad debt expense recorded during Fiscal 2021 as compared to the prior fiscal year, partially offset by higher impairment of assets recorded during Fiscal 2021. Partially offsetting this net favorable improvement in operating margin </w:t>
      </w:r>
      <w:r>
        <w:rPr>
          <w:rFonts w:eastAsia="Times New Roman"/>
          <w:color w:val="000000"/>
          <w:sz w:val="20"/>
          <w:szCs w:val="20"/>
        </w:rPr>
        <w:t>were the unfavorable impacts of approximately 90 basis points and 60 basis points attributable to our wholesale and retail businesses, respectively, both largely driven by an increase in SG&amp;A expenses as a percentage of net revenues, partially offset by an</w:t>
      </w:r>
      <w:r>
        <w:rPr>
          <w:rFonts w:eastAsia="Times New Roman"/>
          <w:color w:val="000000"/>
          <w:sz w:val="20"/>
          <w:szCs w:val="20"/>
        </w:rPr>
        <w:t xml:space="preserve"> increase in our gross margin. Our North America operating margin also reflected the unfavorable impact of approximately 20 basis points attributable to other factors, including unfavorable channel mix.</w:t>
      </w:r>
    </w:p>
    <w:p w:rsidR="00000000" w:rsidRDefault="00BB5C2D">
      <w:pPr>
        <w:ind w:firstLine="540"/>
        <w:jc w:val="both"/>
        <w:divId w:val="665866299"/>
        <w:rPr>
          <w:rFonts w:eastAsia="Times New Roman"/>
        </w:rPr>
      </w:pPr>
      <w:r>
        <w:rPr>
          <w:rFonts w:eastAsia="Times New Roman"/>
          <w:i/>
          <w:iCs/>
          <w:color w:val="000000"/>
          <w:sz w:val="20"/>
          <w:szCs w:val="20"/>
        </w:rPr>
        <w:t>Europe operating margin</w:t>
      </w:r>
      <w:r>
        <w:rPr>
          <w:rFonts w:eastAsia="Times New Roman"/>
          <w:color w:val="000000"/>
          <w:sz w:val="20"/>
          <w:szCs w:val="20"/>
        </w:rPr>
        <w:t xml:space="preserve"> declined by 440 basis points,</w:t>
      </w:r>
      <w:r>
        <w:rPr>
          <w:rFonts w:eastAsia="Times New Roman"/>
          <w:color w:val="000000"/>
          <w:sz w:val="20"/>
          <w:szCs w:val="20"/>
        </w:rPr>
        <w:t xml:space="preserve"> primarily due to the unfavorable impact of approximately 790 basis points related to our retail business largely driven by an increase in SG&amp;A expenses as a percentage of net revenues, partially offset by an increase in our gross margin. This decline in o</w:t>
      </w:r>
      <w:r>
        <w:rPr>
          <w:rFonts w:eastAsia="Times New Roman"/>
          <w:color w:val="000000"/>
          <w:sz w:val="20"/>
          <w:szCs w:val="20"/>
        </w:rPr>
        <w:t>perating income was partially offset by approximately 180 basis points attributable to favorable channel mix and 160 basis points attributable to net lower non-routine inventory charges and COVID-19-related bad debt expense recorded during Fiscal 2021 as c</w:t>
      </w:r>
      <w:r>
        <w:rPr>
          <w:rFonts w:eastAsia="Times New Roman"/>
          <w:color w:val="000000"/>
          <w:sz w:val="20"/>
          <w:szCs w:val="20"/>
        </w:rPr>
        <w:t>ompared to the prior fiscal year, partially offset by higher impairment of assets recorded during Fiscal 2021. The remaining change in operating margin was attributable to other factors, including slight improvement in our wholesale business.</w:t>
      </w:r>
    </w:p>
    <w:p w:rsidR="00000000" w:rsidRDefault="00BB5C2D">
      <w:pPr>
        <w:ind w:firstLine="540"/>
        <w:jc w:val="both"/>
        <w:divId w:val="336545320"/>
        <w:rPr>
          <w:rFonts w:eastAsia="Times New Roman"/>
        </w:rPr>
      </w:pPr>
      <w:r>
        <w:rPr>
          <w:rFonts w:eastAsia="Times New Roman"/>
          <w:i/>
          <w:iCs/>
          <w:color w:val="000000"/>
          <w:sz w:val="20"/>
          <w:szCs w:val="20"/>
        </w:rPr>
        <w:t>Asia operatin</w:t>
      </w:r>
      <w:r>
        <w:rPr>
          <w:rFonts w:eastAsia="Times New Roman"/>
          <w:i/>
          <w:iCs/>
          <w:color w:val="000000"/>
          <w:sz w:val="20"/>
          <w:szCs w:val="20"/>
        </w:rPr>
        <w:t>g margin</w:t>
      </w:r>
      <w:r>
        <w:rPr>
          <w:rFonts w:eastAsia="Times New Roman"/>
          <w:color w:val="000000"/>
          <w:sz w:val="20"/>
          <w:szCs w:val="20"/>
        </w:rPr>
        <w:t xml:space="preserve"> improved by 210 basis points, primarily due to approximately 190 basis points attributable to net lower non-routine inventory charges, COVID-19-related bad debt expense, and impairment of assets recorded during Fiscal 2021 as compared to the prior</w:t>
      </w:r>
      <w:r>
        <w:rPr>
          <w:rFonts w:eastAsia="Times New Roman"/>
          <w:color w:val="000000"/>
          <w:sz w:val="20"/>
          <w:szCs w:val="20"/>
        </w:rPr>
        <w:t xml:space="preserve"> fiscal year, as well as favorable foreign currency effects of approximately 60 basis points. The increase in operating margin also reflected the favorable impact of approximately 20 basis points related to our retail business. These increases in operating</w:t>
      </w:r>
      <w:r>
        <w:rPr>
          <w:rFonts w:eastAsia="Times New Roman"/>
          <w:color w:val="000000"/>
          <w:sz w:val="20"/>
          <w:szCs w:val="20"/>
        </w:rPr>
        <w:t xml:space="preserve"> margin were partially offset by the unfavorable impact of approximately 30 basis points related to our wholesale business largely driven by an increase in SG&amp;A expenses as a percentage of net revenues. The remaining change in operating margin was attribut</w:t>
      </w:r>
      <w:r>
        <w:rPr>
          <w:rFonts w:eastAsia="Times New Roman"/>
          <w:color w:val="000000"/>
          <w:sz w:val="20"/>
          <w:szCs w:val="20"/>
        </w:rPr>
        <w:t>able to other factors, including unfavorable channel mix.</w:t>
      </w:r>
    </w:p>
    <w:p w:rsidR="00000000" w:rsidRDefault="00BB5C2D">
      <w:pPr>
        <w:ind w:firstLine="540"/>
        <w:jc w:val="both"/>
        <w:divId w:val="15082797"/>
        <w:rPr>
          <w:rFonts w:eastAsia="Times New Roman"/>
        </w:rPr>
      </w:pPr>
      <w:r>
        <w:rPr>
          <w:rFonts w:eastAsia="Times New Roman"/>
          <w:i/>
          <w:iCs/>
          <w:color w:val="000000"/>
          <w:sz w:val="20"/>
          <w:szCs w:val="20"/>
        </w:rPr>
        <w:t>Unallocated corporate expenses</w:t>
      </w:r>
      <w:r>
        <w:rPr>
          <w:rFonts w:eastAsia="Times New Roman"/>
          <w:color w:val="000000"/>
          <w:sz w:val="20"/>
          <w:szCs w:val="20"/>
        </w:rPr>
        <w:t xml:space="preserve"> decreased by $41.1 million to $577.0 million in Fiscal 2021. The decline in unallocated corporate expenses was due to lower compensation-related expenses of $87.3 mill</w:t>
      </w:r>
      <w:r>
        <w:rPr>
          <w:rFonts w:eastAsia="Times New Roman"/>
          <w:color w:val="000000"/>
          <w:sz w:val="20"/>
          <w:szCs w:val="20"/>
        </w:rPr>
        <w:t xml:space="preserve">ion and lower rent and occupancy costs of $24.3 million, partially offset by lower intercompany sourcing commission income of $33.9 million (which is offset at the segment level and eliminates in consolidation), higher impairment of asset charges of $33.2 </w:t>
      </w:r>
      <w:r>
        <w:rPr>
          <w:rFonts w:eastAsia="Times New Roman"/>
          <w:color w:val="000000"/>
          <w:sz w:val="20"/>
          <w:szCs w:val="20"/>
        </w:rPr>
        <w:t>million, and higher other expenses of $3.4 million.</w:t>
      </w:r>
    </w:p>
    <w:p w:rsidR="00000000" w:rsidRDefault="00BB5C2D">
      <w:pPr>
        <w:ind w:firstLine="540"/>
        <w:jc w:val="both"/>
        <w:divId w:val="1219436653"/>
        <w:rPr>
          <w:rFonts w:eastAsia="Times New Roman"/>
        </w:rPr>
      </w:pPr>
      <w:r>
        <w:rPr>
          <w:rFonts w:eastAsia="Times New Roman"/>
          <w:i/>
          <w:iCs/>
          <w:color w:val="000000"/>
          <w:sz w:val="20"/>
          <w:szCs w:val="20"/>
        </w:rPr>
        <w:t>Unallocated restructuring and other charges, net</w:t>
      </w:r>
      <w:r>
        <w:rPr>
          <w:rFonts w:eastAsia="Times New Roman"/>
          <w:color w:val="000000"/>
          <w:sz w:val="20"/>
          <w:szCs w:val="20"/>
        </w:rPr>
        <w:t xml:space="preserve"> increased by $103.3 million to $170.5 million in Fiscal 2021, as previously discussed above and in Note 9 to the accompanying consolidated financial statem</w:t>
      </w:r>
      <w:r>
        <w:rPr>
          <w:rFonts w:eastAsia="Times New Roman"/>
          <w:color w:val="000000"/>
          <w:sz w:val="20"/>
          <w:szCs w:val="20"/>
        </w:rPr>
        <w: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457602305"/>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457602305"/>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61</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89" style="width:0;height:1.5pt" o:hralign="center" o:hrstd="t" o:hr="t" fillcolor="#a0a0a0" stroked="f"/>
        </w:pict>
      </w:r>
    </w:p>
    <w:p w:rsidR="00000000" w:rsidRDefault="00BB5C2D">
      <w:pPr>
        <w:divId w:val="1598706936"/>
        <w:rPr>
          <w:rFonts w:eastAsia="Times New Roman"/>
        </w:rPr>
      </w:pPr>
    </w:p>
    <w:p w:rsidR="00000000" w:rsidRDefault="00BB5C2D">
      <w:pPr>
        <w:ind w:firstLine="540"/>
        <w:jc w:val="both"/>
        <w:divId w:val="2030135368"/>
        <w:rPr>
          <w:rFonts w:eastAsia="Times New Roman"/>
        </w:rPr>
      </w:pPr>
      <w:r>
        <w:rPr>
          <w:rFonts w:eastAsia="Times New Roman"/>
          <w:i/>
          <w:iCs/>
          <w:color w:val="000000"/>
          <w:sz w:val="20"/>
          <w:szCs w:val="20"/>
        </w:rPr>
        <w:t>Non-operating Income (Expense), Net.</w:t>
      </w:r>
      <w:r>
        <w:rPr>
          <w:rFonts w:eastAsia="Times New Roman"/>
          <w:color w:val="000000"/>
          <w:sz w:val="20"/>
          <w:szCs w:val="20"/>
        </w:rPr>
        <w:t xml:space="preserve">    During Fiscal 2021, we reported non-operating expense, net, of $31.2 million, as compared to non-operating income, net, of $9.4 million in Fiscal 2020. The $40.6 million decline </w:t>
      </w:r>
      <w:r>
        <w:rPr>
          <w:rFonts w:eastAsia="Times New Roman"/>
          <w:color w:val="000000"/>
          <w:sz w:val="20"/>
          <w:szCs w:val="20"/>
        </w:rPr>
        <w:t>in non-operating income was driven by:</w:t>
      </w:r>
    </w:p>
    <w:p w:rsidR="00000000" w:rsidRDefault="00BB5C2D">
      <w:pPr>
        <w:ind w:hanging="360"/>
        <w:jc w:val="both"/>
        <w:divId w:val="1177815778"/>
        <w:rPr>
          <w:rFonts w:eastAsia="Times New Roman"/>
        </w:rPr>
      </w:pPr>
      <w:r>
        <w:rPr>
          <w:rFonts w:eastAsia="Times New Roman"/>
          <w:i/>
          <w:iCs/>
          <w:color w:val="000000"/>
          <w:sz w:val="20"/>
          <w:szCs w:val="20"/>
        </w:rPr>
        <w:t>•</w:t>
      </w:r>
      <w:r>
        <w:rPr>
          <w:rFonts w:eastAsia="Times New Roman"/>
          <w:color w:val="000000"/>
          <w:sz w:val="20"/>
          <w:szCs w:val="20"/>
        </w:rPr>
        <w:t>a $30.9 million increase in interest expense, primarily driven by the net increase in our borrowings during Fiscal 2021 (see "</w:t>
      </w:r>
      <w:r>
        <w:rPr>
          <w:rFonts w:eastAsia="Times New Roman"/>
          <w:i/>
          <w:iCs/>
          <w:color w:val="000000"/>
          <w:sz w:val="20"/>
          <w:szCs w:val="20"/>
        </w:rPr>
        <w:t>Financial Condition and Liquidity — Cash Flows</w:t>
      </w:r>
      <w:r>
        <w:rPr>
          <w:rFonts w:eastAsia="Times New Roman"/>
          <w:color w:val="000000"/>
          <w:sz w:val="20"/>
          <w:szCs w:val="20"/>
        </w:rPr>
        <w:t>"); and</w:t>
      </w:r>
    </w:p>
    <w:p w:rsidR="00000000" w:rsidRDefault="00BB5C2D">
      <w:pPr>
        <w:ind w:hanging="360"/>
        <w:jc w:val="both"/>
        <w:divId w:val="453597968"/>
        <w:rPr>
          <w:rFonts w:eastAsia="Times New Roman"/>
        </w:rPr>
      </w:pPr>
      <w:r>
        <w:rPr>
          <w:rFonts w:eastAsia="Times New Roman"/>
          <w:color w:val="000000"/>
          <w:sz w:val="20"/>
          <w:szCs w:val="20"/>
        </w:rPr>
        <w:t>•</w:t>
      </w:r>
      <w:r>
        <w:rPr>
          <w:rFonts w:eastAsia="Times New Roman"/>
          <w:color w:val="000000"/>
          <w:sz w:val="20"/>
          <w:szCs w:val="20"/>
        </w:rPr>
        <w:t>a $24.7 million decline in interest income, primarily driven by the decrease in our investment portfolio and lower interest rates in financial markets.</w:t>
      </w:r>
    </w:p>
    <w:p w:rsidR="00000000" w:rsidRDefault="00BB5C2D">
      <w:pPr>
        <w:ind w:firstLine="540"/>
        <w:jc w:val="both"/>
        <w:divId w:val="635840003"/>
        <w:rPr>
          <w:rFonts w:eastAsia="Times New Roman"/>
        </w:rPr>
      </w:pPr>
      <w:r>
        <w:rPr>
          <w:rFonts w:eastAsia="Times New Roman"/>
          <w:color w:val="000000"/>
          <w:sz w:val="20"/>
          <w:szCs w:val="20"/>
        </w:rPr>
        <w:t>These unfavorable variances were partially offset by a $15.0 million favorable change in other income (e</w:t>
      </w:r>
      <w:r>
        <w:rPr>
          <w:rFonts w:eastAsia="Times New Roman"/>
          <w:color w:val="000000"/>
          <w:sz w:val="20"/>
          <w:szCs w:val="20"/>
        </w:rPr>
        <w:t>xpense), net, primarily driven by the absence of a $7.1 million impairment of an equity method investment recorded during Fiscal 2020, as well as higher net foreign currency gains during Fiscal 2021 as compared to the prior fiscal year.</w:t>
      </w:r>
    </w:p>
    <w:p w:rsidR="00000000" w:rsidRDefault="00BB5C2D">
      <w:pPr>
        <w:ind w:firstLine="540"/>
        <w:jc w:val="both"/>
        <w:divId w:val="1369065453"/>
        <w:rPr>
          <w:rFonts w:eastAsia="Times New Roman"/>
        </w:rPr>
      </w:pPr>
      <w:r>
        <w:rPr>
          <w:rFonts w:eastAsia="Times New Roman"/>
          <w:i/>
          <w:iCs/>
          <w:color w:val="000000"/>
          <w:sz w:val="20"/>
          <w:szCs w:val="20"/>
        </w:rPr>
        <w:t xml:space="preserve">Income Tax Benefit </w:t>
      </w:r>
      <w:r>
        <w:rPr>
          <w:rFonts w:eastAsia="Times New Roman"/>
          <w:i/>
          <w:iCs/>
          <w:color w:val="000000"/>
          <w:sz w:val="20"/>
          <w:szCs w:val="20"/>
        </w:rPr>
        <w:t>(Provision).</w:t>
      </w:r>
      <w:r>
        <w:rPr>
          <w:rFonts w:eastAsia="Times New Roman"/>
          <w:color w:val="000000"/>
          <w:sz w:val="20"/>
          <w:szCs w:val="20"/>
        </w:rPr>
        <w:t>   We reported an income tax provision and effective tax rate of $46.3 million and (61.9%), respectively, in Fiscal 2021, as compared to an income tax benefit and effective tax rate of $57.9 million and (17.7%), respectively, in Fiscal 2020. Th</w:t>
      </w:r>
      <w:r>
        <w:rPr>
          <w:rFonts w:eastAsia="Times New Roman"/>
          <w:color w:val="000000"/>
          <w:sz w:val="20"/>
          <w:szCs w:val="20"/>
        </w:rPr>
        <w:t>e $104.2 million increase in our income tax provision was driven by the absence of a one-time benefit of $122.9 million recorded in connection with Swiss tax reform during the prior fiscal year, which reduced our prior fiscal year effective tax rate by 3,7</w:t>
      </w:r>
      <w:r>
        <w:rPr>
          <w:rFonts w:eastAsia="Times New Roman"/>
          <w:color w:val="000000"/>
          <w:sz w:val="20"/>
          <w:szCs w:val="20"/>
        </w:rPr>
        <w:t>60 basis points. Our income tax provision in Fiscal 2021 also reflected incremental tax expense of $33.7 million primarily related to a valuation allowance provided against domestic losses attributable to significant COVID-19 business disruptions and $13.8</w:t>
      </w:r>
      <w:r>
        <w:rPr>
          <w:rFonts w:eastAsia="Times New Roman"/>
          <w:color w:val="000000"/>
          <w:sz w:val="20"/>
          <w:szCs w:val="20"/>
        </w:rPr>
        <w:t xml:space="preserve"> million related to international tax legislation enacted in connection with the European Union's anti-tax avoidance directive, partially offset by an income tax benefit of $0.9 million primarily due to a net operating loss carryback under the CARES Act. C</w:t>
      </w:r>
      <w:r>
        <w:rPr>
          <w:rFonts w:eastAsia="Times New Roman"/>
          <w:color w:val="000000"/>
          <w:sz w:val="20"/>
          <w:szCs w:val="20"/>
        </w:rPr>
        <w:t>ollectively, this $46.6 million of net incremental tax expense unfavorably impacted our Fiscal 2021 effective tax rate by 6,230 basis points. The remaining 1,950 basis point decline was attributable to tax impacts on stock-based compensation, as well as th</w:t>
      </w:r>
      <w:r>
        <w:rPr>
          <w:rFonts w:eastAsia="Times New Roman"/>
          <w:color w:val="000000"/>
          <w:sz w:val="20"/>
          <w:szCs w:val="20"/>
        </w:rPr>
        <w:t>e absence of favorable settlements of certain international income tax audits that impacted the prior fiscal year. See Note 10 to the accompanying consolidated financial statements for discussion regarding the Swiss Tax Act.</w:t>
      </w:r>
    </w:p>
    <w:p w:rsidR="00000000" w:rsidRDefault="00BB5C2D">
      <w:pPr>
        <w:ind w:firstLine="540"/>
        <w:jc w:val="both"/>
        <w:divId w:val="1859195477"/>
        <w:rPr>
          <w:rFonts w:eastAsia="Times New Roman"/>
        </w:rPr>
      </w:pPr>
      <w:r>
        <w:rPr>
          <w:rFonts w:eastAsia="Times New Roman"/>
          <w:i/>
          <w:iCs/>
          <w:color w:val="000000"/>
          <w:sz w:val="20"/>
          <w:szCs w:val="20"/>
        </w:rPr>
        <w:t>Net Income (Loss).</w:t>
      </w:r>
      <w:r>
        <w:rPr>
          <w:rFonts w:eastAsia="Times New Roman"/>
          <w:color w:val="000000"/>
          <w:sz w:val="20"/>
          <w:szCs w:val="20"/>
        </w:rPr>
        <w:t>    We report</w:t>
      </w:r>
      <w:r>
        <w:rPr>
          <w:rFonts w:eastAsia="Times New Roman"/>
          <w:color w:val="000000"/>
          <w:sz w:val="20"/>
          <w:szCs w:val="20"/>
        </w:rPr>
        <w:t>ed a net loss of $121.1 million in Fiscal 2021, as compared to net income of $384.3 million in Fiscal 2020. The $505.4 million decline in net income was primarily due to the decline in our operating income, the increase in our income tax provision, and hig</w:t>
      </w:r>
      <w:r>
        <w:rPr>
          <w:rFonts w:eastAsia="Times New Roman"/>
          <w:color w:val="000000"/>
          <w:sz w:val="20"/>
          <w:szCs w:val="20"/>
        </w:rPr>
        <w:t>her non-operating expense, net, all as previously discussed. Our operating results during Fiscal 2021 and Fiscal 2020 included net restructuring-related charges, impairment of assets, and certain other charges totaling $254.4 million and $321.8 million, re</w:t>
      </w:r>
      <w:r>
        <w:rPr>
          <w:rFonts w:eastAsia="Times New Roman"/>
          <w:color w:val="000000"/>
          <w:sz w:val="20"/>
          <w:szCs w:val="20"/>
        </w:rPr>
        <w:t xml:space="preserve">spectively, which had an after-tax effect of reducing net income by $201.5 million and $244.8 million, respectively. Net income (loss) during Fiscal 2021 and Fiscal 2020 also reflected $46.6 million of incremental net tax expense and an income tax benefit </w:t>
      </w:r>
      <w:r>
        <w:rPr>
          <w:rFonts w:eastAsia="Times New Roman"/>
          <w:color w:val="000000"/>
          <w:sz w:val="20"/>
          <w:szCs w:val="20"/>
        </w:rPr>
        <w:t xml:space="preserve">of $122.9 million, respectively, recorded in connection with one-time income tax events, as previously discussed. </w:t>
      </w:r>
    </w:p>
    <w:p w:rsidR="00000000" w:rsidRDefault="00BB5C2D">
      <w:pPr>
        <w:ind w:firstLine="540"/>
        <w:jc w:val="both"/>
        <w:divId w:val="1268318527"/>
        <w:rPr>
          <w:rFonts w:eastAsia="Times New Roman"/>
        </w:rPr>
      </w:pPr>
      <w:r>
        <w:rPr>
          <w:rFonts w:eastAsia="Times New Roman"/>
          <w:i/>
          <w:iCs/>
          <w:color w:val="000000"/>
          <w:sz w:val="20"/>
          <w:szCs w:val="20"/>
        </w:rPr>
        <w:t>Net Income (Loss) per Diluted Share.</w:t>
      </w:r>
      <w:r>
        <w:rPr>
          <w:rFonts w:eastAsia="Times New Roman"/>
          <w:color w:val="000000"/>
          <w:sz w:val="20"/>
          <w:szCs w:val="20"/>
        </w:rPr>
        <w:t>    We reported a net loss per diluted share of $1.65 in Fiscal 2021, as compared to net income per dilut</w:t>
      </w:r>
      <w:r>
        <w:rPr>
          <w:rFonts w:eastAsia="Times New Roman"/>
          <w:color w:val="000000"/>
          <w:sz w:val="20"/>
          <w:szCs w:val="20"/>
        </w:rPr>
        <w:t>ed share of $4.98 in Fiscal 2020. The $6.63 per share decline was due to the lower level of net income, as previously discussed. Net income (loss) per diluted share in Fiscal 2021 and Fiscal 2020 were negatively impacted by $2.71 per share and $3.17 per sh</w:t>
      </w:r>
      <w:r>
        <w:rPr>
          <w:rFonts w:eastAsia="Times New Roman"/>
          <w:color w:val="000000"/>
          <w:sz w:val="20"/>
          <w:szCs w:val="20"/>
        </w:rPr>
        <w:t>are, respectively, as a result of net restructuring-related charges, impairment of assets, and certain other charges, as previously discussed. Net income (loss) per diluted share in Fiscal 2021 and Fiscal 2020 were also negatively impacted by $0.64 per sha</w:t>
      </w:r>
      <w:r>
        <w:rPr>
          <w:rFonts w:eastAsia="Times New Roman"/>
          <w:color w:val="000000"/>
          <w:sz w:val="20"/>
          <w:szCs w:val="20"/>
        </w:rPr>
        <w:t>re due to incremental net tax expense and favorably impacted by $1.59 per share due to an income tax benefit, respectively, recorded in connection with one-time tax events, as previously discussed.</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634404285"/>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634404285"/>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62</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90" style="width:0;height:1.5pt" o:hralign="center" o:hrstd="t" o:hr="t" fillcolor="#a0a0a0" stroked="f"/>
        </w:pict>
      </w:r>
    </w:p>
    <w:p w:rsidR="00000000" w:rsidRDefault="00BB5C2D">
      <w:pPr>
        <w:divId w:val="661391393"/>
        <w:rPr>
          <w:rFonts w:eastAsia="Times New Roman"/>
        </w:rPr>
      </w:pPr>
    </w:p>
    <w:p w:rsidR="00000000" w:rsidRDefault="00BB5C2D">
      <w:pPr>
        <w:divId w:val="1280801458"/>
        <w:rPr>
          <w:rFonts w:eastAsia="Times New Roman"/>
        </w:rPr>
      </w:pPr>
      <w:r>
        <w:rPr>
          <w:rFonts w:eastAsia="Times New Roman"/>
          <w:b/>
          <w:bCs/>
          <w:color w:val="000000"/>
          <w:sz w:val="20"/>
          <w:szCs w:val="20"/>
        </w:rPr>
        <w:t>FINANCIAL CONDITION AND LIQUIDITY</w:t>
      </w:r>
    </w:p>
    <w:p w:rsidR="00000000" w:rsidRDefault="00BB5C2D">
      <w:pPr>
        <w:ind w:firstLine="360"/>
        <w:divId w:val="447355210"/>
        <w:rPr>
          <w:rFonts w:eastAsia="Times New Roman"/>
        </w:rPr>
      </w:pPr>
      <w:r>
        <w:rPr>
          <w:rFonts w:eastAsia="Times New Roman"/>
          <w:b/>
          <w:bCs/>
          <w:i/>
          <w:iCs/>
          <w:color w:val="000000"/>
          <w:sz w:val="20"/>
          <w:szCs w:val="20"/>
        </w:rPr>
        <w:t>Financial Condition</w:t>
      </w:r>
      <w:r>
        <w:rPr>
          <w:rFonts w:eastAsia="Times New Roman"/>
          <w:color w:val="000000"/>
          <w:sz w:val="18"/>
          <w:szCs w:val="18"/>
        </w:rPr>
        <w:t> </w:t>
      </w:r>
    </w:p>
    <w:p w:rsidR="00000000" w:rsidRDefault="00BB5C2D">
      <w:pPr>
        <w:ind w:firstLine="540"/>
        <w:divId w:val="1022436942"/>
        <w:rPr>
          <w:rFonts w:eastAsia="Times New Roman"/>
        </w:rPr>
      </w:pPr>
      <w:r>
        <w:rPr>
          <w:rFonts w:eastAsia="Times New Roman"/>
          <w:color w:val="000000"/>
          <w:sz w:val="20"/>
          <w:szCs w:val="20"/>
        </w:rPr>
        <w:t>The following table presents our financial condition as of April 2, 2022 and March 27, 2021.</w:t>
      </w:r>
    </w:p>
    <w:tbl>
      <w:tblPr>
        <w:tblW w:w="4722" w:type="pct"/>
        <w:tblCellMar>
          <w:top w:w="15" w:type="dxa"/>
          <w:left w:w="15" w:type="dxa"/>
          <w:bottom w:w="15" w:type="dxa"/>
          <w:right w:w="15" w:type="dxa"/>
        </w:tblCellMar>
        <w:tblLook w:val="04A0" w:firstRow="1" w:lastRow="0" w:firstColumn="1" w:lastColumn="0" w:noHBand="0" w:noVBand="1"/>
      </w:tblPr>
      <w:tblGrid>
        <w:gridCol w:w="37"/>
        <w:gridCol w:w="3886"/>
        <w:gridCol w:w="36"/>
        <w:gridCol w:w="36"/>
        <w:gridCol w:w="36"/>
        <w:gridCol w:w="36"/>
        <w:gridCol w:w="120"/>
        <w:gridCol w:w="1023"/>
        <w:gridCol w:w="36"/>
        <w:gridCol w:w="36"/>
        <w:gridCol w:w="36"/>
        <w:gridCol w:w="36"/>
        <w:gridCol w:w="120"/>
        <w:gridCol w:w="1034"/>
        <w:gridCol w:w="36"/>
        <w:gridCol w:w="36"/>
        <w:gridCol w:w="36"/>
        <w:gridCol w:w="36"/>
        <w:gridCol w:w="120"/>
        <w:gridCol w:w="1036"/>
        <w:gridCol w:w="36"/>
      </w:tblGrid>
      <w:tr w:rsidR="00000000">
        <w:trPr>
          <w:divId w:val="252670826"/>
        </w:trPr>
        <w:tc>
          <w:tcPr>
            <w:tcW w:w="50" w:type="pct"/>
            <w:vAlign w:val="center"/>
            <w:hideMark/>
          </w:tcPr>
          <w:p w:rsidR="00000000" w:rsidRDefault="00BB5C2D">
            <w:pPr>
              <w:ind w:firstLine="540"/>
              <w:rPr>
                <w:rFonts w:eastAsia="Times New Roman"/>
              </w:rPr>
            </w:pPr>
          </w:p>
        </w:tc>
        <w:tc>
          <w:tcPr>
            <w:tcW w:w="251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1"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252670826"/>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w:t>
            </w:r>
            <w:r>
              <w:rPr>
                <w:rFonts w:eastAsia="Times New Roman"/>
                <w:b/>
                <w:bCs/>
                <w:color w:val="000000"/>
                <w:sz w:val="16"/>
                <w:szCs w:val="16"/>
              </w:rPr>
              <w:br/>
            </w:r>
            <w:r>
              <w:rPr>
                <w:rFonts w:eastAsia="Times New Roman"/>
                <w:b/>
                <w:bCs/>
                <w:color w:val="000000"/>
                <w:sz w:val="16"/>
                <w:szCs w:val="16"/>
              </w:rPr>
              <w:t>Change</w:t>
            </w:r>
          </w:p>
        </w:tc>
      </w:tr>
      <w:tr w:rsidR="00000000">
        <w:trPr>
          <w:divId w:val="252670826"/>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252670826"/>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1,863.8 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2,579.0 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(715.2)</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52670826"/>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Short-term investments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734.6 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197.5 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537.1 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52670826"/>
        </w:trPr>
        <w:tc>
          <w:tcPr>
            <w:tcW w:w="0" w:type="auto"/>
            <w:gridSpan w:val="3"/>
            <w:vAlign w:val="center"/>
            <w:hideMark/>
          </w:tcPr>
          <w:p w:rsidR="00000000" w:rsidRDefault="00BB5C2D">
            <w:pPr>
              <w:spacing w:after="100"/>
              <w:jc w:val="right"/>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r>
      <w:tr w:rsidR="00000000">
        <w:trPr>
          <w:divId w:val="252670826"/>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divId w:val="2134203273"/>
              <w:rPr>
                <w:rFonts w:eastAsia="Times New Roman"/>
              </w:rPr>
            </w:pPr>
            <w:r>
              <w:rPr>
                <w:rFonts w:eastAsia="Times New Roman"/>
                <w:color w:val="000000"/>
                <w:sz w:val="20"/>
                <w:szCs w:val="20"/>
              </w:rPr>
              <w:t>Current portion of long-term deb</w:t>
            </w:r>
            <w:r>
              <w:rPr>
                <w:rFonts w:eastAsia="Times New Roman"/>
                <w:color w:val="000000"/>
                <w:sz w:val="20"/>
                <w:szCs w:val="20"/>
              </w:rPr>
              <w:t>t</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(499.8)</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(499.8)</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52670826"/>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divId w:val="912084430"/>
              <w:rPr>
                <w:rFonts w:eastAsia="Times New Roman"/>
              </w:rPr>
            </w:pPr>
            <w:r>
              <w:rPr>
                <w:rFonts w:eastAsia="Times New Roman"/>
                <w:color w:val="000000"/>
                <w:sz w:val="20"/>
                <w:szCs w:val="20"/>
              </w:rPr>
              <w:t>Long-term deb</w:t>
            </w:r>
            <w:r>
              <w:rPr>
                <w:rFonts w:eastAsia="Times New Roman"/>
                <w:color w:val="000000"/>
                <w:sz w:val="20"/>
                <w:szCs w:val="20"/>
              </w:rPr>
              <w:t>t</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(1,136.5)</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(1,632.9)</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496.4 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52670826"/>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ind w:firstLine="180"/>
              <w:rPr>
                <w:rFonts w:eastAsia="Times New Roman"/>
              </w:rPr>
            </w:pPr>
            <w:r>
              <w:rPr>
                <w:rFonts w:eastAsia="Times New Roman"/>
                <w:color w:val="000000"/>
                <w:sz w:val="20"/>
                <w:szCs w:val="20"/>
              </w:rPr>
              <w:t>Net cash and short-term investments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ind w:firstLine="18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962.1 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1,143.6 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(181.5)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52670826"/>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Equity</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2,536.0 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2,604.4 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(68.4)</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BB5C2D">
            <w:pPr>
              <w:rPr>
                <w:rFonts w:eastAsia="Times New Roman"/>
              </w:rPr>
            </w:pPr>
          </w:p>
        </w:tc>
        <w:tc>
          <w:tcPr>
            <w:tcW w:w="494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r>
    </w:tbl>
    <w:p w:rsidR="00000000" w:rsidRDefault="00BB5C2D">
      <w:pPr>
        <w:ind w:hanging="360"/>
        <w:jc w:val="both"/>
        <w:divId w:val="1392734090"/>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See Note 11 to the accompanying consolidated financial statements for discussion of the carrying values of our debt.</w:t>
      </w:r>
    </w:p>
    <w:p w:rsidR="00000000" w:rsidRDefault="00BB5C2D">
      <w:pPr>
        <w:ind w:firstLine="540"/>
        <w:jc w:val="both"/>
        <w:divId w:val="496267345"/>
        <w:rPr>
          <w:rFonts w:eastAsia="Times New Roman"/>
        </w:rPr>
      </w:pPr>
      <w:r>
        <w:rPr>
          <w:rFonts w:eastAsia="Times New Roman"/>
          <w:color w:val="000000"/>
          <w:sz w:val="20"/>
          <w:szCs w:val="20"/>
        </w:rPr>
        <w:t>The decrease in our net cash and short-term investments position at April 2, 2022 as compared to March 27, 2021 was primarily due to our us</w:t>
      </w:r>
      <w:r>
        <w:rPr>
          <w:rFonts w:eastAsia="Times New Roman"/>
          <w:color w:val="000000"/>
          <w:sz w:val="20"/>
          <w:szCs w:val="20"/>
        </w:rPr>
        <w:t>e of cash to support Class A common stock repurchases of $492.6 million, including withholdings in satisfaction of tax obligations for stock-based compensation awards, to invest in our business through $166.9 million in capital expenditures, and to make di</w:t>
      </w:r>
      <w:r>
        <w:rPr>
          <w:rFonts w:eastAsia="Times New Roman"/>
          <w:color w:val="000000"/>
          <w:sz w:val="20"/>
          <w:szCs w:val="20"/>
        </w:rPr>
        <w:t xml:space="preserve">vidend payments of $150.0 million partially offset by operating cash flows of $715.9 million. </w:t>
      </w:r>
    </w:p>
    <w:p w:rsidR="00000000" w:rsidRDefault="00BB5C2D">
      <w:pPr>
        <w:ind w:firstLine="540"/>
        <w:jc w:val="both"/>
        <w:divId w:val="1892422728"/>
        <w:rPr>
          <w:rFonts w:eastAsia="Times New Roman"/>
        </w:rPr>
      </w:pPr>
      <w:r>
        <w:rPr>
          <w:rFonts w:eastAsia="Times New Roman"/>
          <w:color w:val="000000"/>
          <w:sz w:val="20"/>
          <w:szCs w:val="20"/>
        </w:rPr>
        <w:t>The decrease in our equity was attributable to our share repurchase activity and dividends declared during Fiscal 2022, partially offset by our comprehensive income and the net impact of stock-based compensation arrangements.</w:t>
      </w:r>
    </w:p>
    <w:p w:rsidR="00000000" w:rsidRDefault="00BB5C2D">
      <w:pPr>
        <w:ind w:firstLine="360"/>
        <w:jc w:val="both"/>
        <w:divId w:val="702442878"/>
        <w:rPr>
          <w:rFonts w:eastAsia="Times New Roman"/>
        </w:rPr>
      </w:pPr>
      <w:r>
        <w:rPr>
          <w:rFonts w:eastAsia="Times New Roman"/>
          <w:b/>
          <w:bCs/>
          <w:i/>
          <w:iCs/>
          <w:color w:val="000000"/>
          <w:sz w:val="20"/>
          <w:szCs w:val="20"/>
        </w:rPr>
        <w:t>Cash Flows</w:t>
      </w:r>
    </w:p>
    <w:p w:rsidR="00000000" w:rsidRDefault="00BB5C2D">
      <w:pPr>
        <w:ind w:firstLine="360"/>
        <w:jc w:val="both"/>
        <w:divId w:val="742146397"/>
        <w:rPr>
          <w:rFonts w:eastAsia="Times New Roman"/>
        </w:rPr>
      </w:pPr>
      <w:r>
        <w:rPr>
          <w:rFonts w:eastAsia="Times New Roman"/>
          <w:i/>
          <w:iCs/>
          <w:color w:val="000000"/>
          <w:sz w:val="20"/>
          <w:szCs w:val="20"/>
        </w:rPr>
        <w:t>Fiscal 2022 Compare</w:t>
      </w:r>
      <w:r>
        <w:rPr>
          <w:rFonts w:eastAsia="Times New Roman"/>
          <w:i/>
          <w:iCs/>
          <w:color w:val="000000"/>
          <w:sz w:val="20"/>
          <w:szCs w:val="20"/>
        </w:rPr>
        <w:t>d to Fiscal 2021</w:t>
      </w:r>
    </w:p>
    <w:tbl>
      <w:tblPr>
        <w:tblW w:w="4714" w:type="pct"/>
        <w:tblCellMar>
          <w:top w:w="15" w:type="dxa"/>
          <w:left w:w="15" w:type="dxa"/>
          <w:bottom w:w="15" w:type="dxa"/>
          <w:right w:w="15" w:type="dxa"/>
        </w:tblCellMar>
        <w:tblLook w:val="04A0" w:firstRow="1" w:lastRow="0" w:firstColumn="1" w:lastColumn="0" w:noHBand="0" w:noVBand="1"/>
      </w:tblPr>
      <w:tblGrid>
        <w:gridCol w:w="39"/>
        <w:gridCol w:w="5086"/>
        <w:gridCol w:w="38"/>
        <w:gridCol w:w="36"/>
        <w:gridCol w:w="36"/>
        <w:gridCol w:w="36"/>
        <w:gridCol w:w="120"/>
        <w:gridCol w:w="584"/>
        <w:gridCol w:w="36"/>
        <w:gridCol w:w="36"/>
        <w:gridCol w:w="36"/>
        <w:gridCol w:w="36"/>
        <w:gridCol w:w="120"/>
        <w:gridCol w:w="558"/>
        <w:gridCol w:w="36"/>
        <w:gridCol w:w="36"/>
        <w:gridCol w:w="36"/>
        <w:gridCol w:w="36"/>
        <w:gridCol w:w="120"/>
        <w:gridCol w:w="734"/>
        <w:gridCol w:w="36"/>
      </w:tblGrid>
      <w:tr w:rsidR="00000000">
        <w:trPr>
          <w:divId w:val="1509249517"/>
        </w:trPr>
        <w:tc>
          <w:tcPr>
            <w:tcW w:w="50" w:type="pct"/>
            <w:vAlign w:val="center"/>
            <w:hideMark/>
          </w:tcPr>
          <w:p w:rsidR="00000000" w:rsidRDefault="00BB5C2D">
            <w:pPr>
              <w:ind w:firstLine="360"/>
              <w:jc w:val="both"/>
              <w:rPr>
                <w:rFonts w:eastAsia="Times New Roman"/>
              </w:rPr>
            </w:pPr>
          </w:p>
        </w:tc>
        <w:tc>
          <w:tcPr>
            <w:tcW w:w="331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4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4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4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509249517"/>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r>
      <w:tr w:rsidR="00000000">
        <w:trPr>
          <w:divId w:val="1509249517"/>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w:t>
            </w:r>
            <w:r>
              <w:rPr>
                <w:rFonts w:eastAsia="Times New Roman"/>
                <w:b/>
                <w:bCs/>
                <w:color w:val="000000"/>
                <w:sz w:val="16"/>
                <w:szCs w:val="16"/>
              </w:rPr>
              <w:br/>
              <w:t>Change</w:t>
            </w:r>
          </w:p>
        </w:tc>
      </w:tr>
      <w:tr w:rsidR="00000000">
        <w:trPr>
          <w:divId w:val="1509249517"/>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1509249517"/>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715.9 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380.9 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335.0 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509249517"/>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Net cash provided by (used in) investing activities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(717.9)</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195.0 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(912.9)</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509249517"/>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Net cash provided by (used in) financing activities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(665.7)</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356.8 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(1,022.5)</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509249517"/>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ind w:hanging="180"/>
              <w:divId w:val="555825385"/>
              <w:rPr>
                <w:rFonts w:eastAsia="Times New Roman"/>
              </w:rPr>
            </w:pPr>
            <w:r>
              <w:rPr>
                <w:rFonts w:eastAsia="Times New Roman"/>
                <w:color w:val="000000"/>
                <w:sz w:val="20"/>
                <w:szCs w:val="20"/>
              </w:rPr>
              <w:t>Effect of exchange rate changes on cash, cash equivalents, and restricted cash</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(48.3)</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25.5 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(73.8)</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509249517"/>
        </w:trPr>
        <w:tc>
          <w:tcPr>
            <w:tcW w:w="0" w:type="auto"/>
            <w:gridSpan w:val="3"/>
            <w:shd w:val="clear" w:color="auto" w:fill="CCEEFF"/>
            <w:tcMar>
              <w:top w:w="30" w:type="dxa"/>
              <w:left w:w="335" w:type="dxa"/>
              <w:bottom w:w="30" w:type="dxa"/>
              <w:right w:w="20" w:type="dxa"/>
            </w:tcMar>
            <w:vAlign w:val="bottom"/>
            <w:hideMark/>
          </w:tcPr>
          <w:p w:rsidR="00000000" w:rsidRDefault="00BB5C2D">
            <w:pPr>
              <w:spacing w:after="100"/>
              <w:ind w:hanging="180"/>
              <w:rPr>
                <w:rFonts w:eastAsia="Times New Roman"/>
              </w:rPr>
            </w:pPr>
            <w:r>
              <w:rPr>
                <w:rFonts w:eastAsia="Times New Roman"/>
                <w:color w:val="000000"/>
                <w:sz w:val="20"/>
                <w:szCs w:val="20"/>
              </w:rPr>
              <w:t>Net increase (decrease) in cash, cash equivalents, and restricted cash</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ind w:hanging="18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(716.0)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958.2 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(1,674.2)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bl>
    <w:p w:rsidR="00000000" w:rsidRDefault="00BB5C2D">
      <w:pPr>
        <w:ind w:firstLine="540"/>
        <w:jc w:val="both"/>
        <w:divId w:val="86199427"/>
        <w:rPr>
          <w:rFonts w:eastAsia="Times New Roman"/>
        </w:rPr>
      </w:pPr>
      <w:r>
        <w:rPr>
          <w:rFonts w:eastAsia="Times New Roman"/>
          <w:i/>
          <w:iCs/>
          <w:color w:val="000000"/>
          <w:sz w:val="20"/>
          <w:szCs w:val="20"/>
        </w:rPr>
        <w:t>Net Cash Provided by Operating Activities.</w:t>
      </w:r>
      <w:r>
        <w:rPr>
          <w:rFonts w:eastAsia="Times New Roman"/>
          <w:color w:val="000000"/>
          <w:sz w:val="20"/>
          <w:szCs w:val="20"/>
        </w:rPr>
        <w:t xml:space="preserve">    Net cash provided by operating activities was $715.9 </w:t>
      </w:r>
      <w:r>
        <w:rPr>
          <w:rFonts w:eastAsia="Times New Roman"/>
          <w:color w:val="000000"/>
          <w:sz w:val="20"/>
          <w:szCs w:val="20"/>
        </w:rPr>
        <w:t>million during Fiscal 2022, as compared to $380.9 million during Fiscal 2021. The $335.0 million net increase in cash provided by operating activities was due to an increase in net income before non-cash charges, partially offset by a net unfavorable chang</w:t>
      </w:r>
      <w:r>
        <w:rPr>
          <w:rFonts w:eastAsia="Times New Roman"/>
          <w:color w:val="000000"/>
          <w:sz w:val="20"/>
          <w:szCs w:val="20"/>
        </w:rPr>
        <w:t>e related to our operating assets and liabilities, including our working capital, as compared to the prior fiscal year.</w:t>
      </w:r>
    </w:p>
    <w:p w:rsidR="00000000" w:rsidRDefault="00BB5C2D">
      <w:pPr>
        <w:ind w:firstLine="540"/>
        <w:jc w:val="both"/>
        <w:divId w:val="1249771628"/>
        <w:rPr>
          <w:rFonts w:eastAsia="Times New Roman"/>
        </w:rPr>
      </w:pPr>
      <w:r>
        <w:rPr>
          <w:rFonts w:eastAsia="Times New Roman"/>
          <w:color w:val="000000"/>
          <w:sz w:val="20"/>
          <w:szCs w:val="20"/>
        </w:rPr>
        <w:t>The net unfavorable change related to our operating assets and liabilities, including our working capital, was primarily driven by:</w:t>
      </w:r>
    </w:p>
    <w:p w:rsidR="00000000" w:rsidRDefault="00BB5C2D">
      <w:pPr>
        <w:ind w:hanging="360"/>
        <w:jc w:val="both"/>
        <w:divId w:val="1105538524"/>
        <w:rPr>
          <w:rFonts w:eastAsia="Times New Roman"/>
        </w:rPr>
      </w:pPr>
      <w:r>
        <w:rPr>
          <w:rFonts w:eastAsia="Times New Roman"/>
          <w:color w:val="000000"/>
          <w:sz w:val="20"/>
          <w:szCs w:val="20"/>
        </w:rPr>
        <w:t>•a y</w:t>
      </w:r>
      <w:r>
        <w:rPr>
          <w:rFonts w:eastAsia="Times New Roman"/>
          <w:color w:val="000000"/>
          <w:sz w:val="20"/>
          <w:szCs w:val="20"/>
        </w:rPr>
        <w:t>ear-over-year increase in our inventory levels largely to support revenue growth, as well as higher goods-in-transit to mitigate ongoing global supply chain delays;</w:t>
      </w:r>
    </w:p>
    <w:p w:rsidR="00000000" w:rsidRDefault="00BB5C2D">
      <w:pPr>
        <w:ind w:hanging="360"/>
        <w:jc w:val="both"/>
        <w:divId w:val="1990554649"/>
        <w:rPr>
          <w:rFonts w:eastAsia="Times New Roman"/>
        </w:rPr>
      </w:pPr>
      <w:r>
        <w:rPr>
          <w:rFonts w:eastAsia="Times New Roman"/>
          <w:i/>
          <w:iCs/>
          <w:color w:val="000000"/>
          <w:sz w:val="20"/>
          <w:szCs w:val="20"/>
        </w:rPr>
        <w:t>•</w:t>
      </w:r>
      <w:r>
        <w:rPr>
          <w:rFonts w:eastAsia="Times New Roman"/>
          <w:color w:val="000000"/>
          <w:sz w:val="20"/>
          <w:szCs w:val="20"/>
        </w:rPr>
        <w:t>a net unfavorable change in our accrued liabilities largely driven by an unfavorable chang</w:t>
      </w:r>
      <w:r>
        <w:rPr>
          <w:rFonts w:eastAsia="Times New Roman"/>
          <w:color w:val="000000"/>
          <w:sz w:val="20"/>
          <w:szCs w:val="20"/>
        </w:rPr>
        <w:t>e in our restructuring reserve due to a decrease in restructuring charges recorded during Fiscal 2022 as compared to the prior fiscal year, partially offset by a favorable change in our dividends payable related to the temporary suspension and subsequent r</w:t>
      </w:r>
      <w:r>
        <w:rPr>
          <w:rFonts w:eastAsia="Times New Roman"/>
          <w:color w:val="000000"/>
          <w:sz w:val="20"/>
          <w:szCs w:val="20"/>
        </w:rPr>
        <w:t>esumption of our quarterly cash dividend program; and</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141314427"/>
          <w:jc w:val="center"/>
        </w:trPr>
        <w:tc>
          <w:tcPr>
            <w:tcW w:w="50" w:type="pct"/>
            <w:vAlign w:val="center"/>
            <w:hideMark/>
          </w:tcPr>
          <w:p w:rsidR="00000000" w:rsidRDefault="00BB5C2D">
            <w:pPr>
              <w:ind w:hanging="36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141314427"/>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63</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91" style="width:0;height:1.5pt" o:hralign="center" o:hrstd="t" o:hr="t" fillcolor="#a0a0a0" stroked="f"/>
        </w:pict>
      </w:r>
    </w:p>
    <w:p w:rsidR="00000000" w:rsidRDefault="00BB5C2D">
      <w:pPr>
        <w:divId w:val="133065136"/>
        <w:rPr>
          <w:rFonts w:eastAsia="Times New Roman"/>
        </w:rPr>
      </w:pPr>
    </w:p>
    <w:p w:rsidR="00000000" w:rsidRDefault="00BB5C2D">
      <w:pPr>
        <w:ind w:hanging="360"/>
        <w:jc w:val="both"/>
        <w:divId w:val="1639871876"/>
        <w:rPr>
          <w:rFonts w:eastAsia="Times New Roman"/>
        </w:rPr>
      </w:pPr>
      <w:r>
        <w:rPr>
          <w:rFonts w:eastAsia="Times New Roman"/>
          <w:i/>
          <w:iCs/>
          <w:color w:val="000000"/>
          <w:sz w:val="20"/>
          <w:szCs w:val="20"/>
        </w:rPr>
        <w:t>•</w:t>
      </w:r>
      <w:r>
        <w:rPr>
          <w:rFonts w:eastAsia="Times New Roman"/>
          <w:color w:val="000000"/>
          <w:sz w:val="20"/>
          <w:szCs w:val="20"/>
        </w:rPr>
        <w:t>an unfavorable change related to our prepaid expenses and other current assets largely driven by an increase in non-trade receivables primarily related to transition services being performed in connection with the dis</w:t>
      </w:r>
      <w:r>
        <w:rPr>
          <w:rFonts w:eastAsia="Times New Roman"/>
          <w:color w:val="000000"/>
          <w:sz w:val="20"/>
          <w:szCs w:val="20"/>
        </w:rPr>
        <w:t>position of our former Club Monaco business (see "</w:t>
      </w:r>
      <w:r>
        <w:rPr>
          <w:rFonts w:eastAsia="Times New Roman"/>
          <w:i/>
          <w:iCs/>
          <w:color w:val="000000"/>
          <w:sz w:val="20"/>
          <w:szCs w:val="20"/>
        </w:rPr>
        <w:t>Recent Developments</w:t>
      </w:r>
      <w:r>
        <w:rPr>
          <w:rFonts w:eastAsia="Times New Roman"/>
          <w:color w:val="000000"/>
          <w:sz w:val="20"/>
          <w:szCs w:val="20"/>
        </w:rPr>
        <w:t>"), as well as the timing of cash payments; and</w:t>
      </w:r>
    </w:p>
    <w:p w:rsidR="00000000" w:rsidRDefault="00BB5C2D">
      <w:pPr>
        <w:ind w:hanging="360"/>
        <w:jc w:val="both"/>
        <w:divId w:val="1707869041"/>
        <w:rPr>
          <w:rFonts w:eastAsia="Times New Roman"/>
        </w:rPr>
      </w:pPr>
      <w:r>
        <w:rPr>
          <w:rFonts w:eastAsia="Times New Roman"/>
          <w:color w:val="000000"/>
          <w:sz w:val="20"/>
          <w:szCs w:val="20"/>
        </w:rPr>
        <w:t>•an unfavorable change related to our income tax receivables and payables largely driven by the timing of cash receipts and payments, respe</w:t>
      </w:r>
      <w:r>
        <w:rPr>
          <w:rFonts w:eastAsia="Times New Roman"/>
          <w:color w:val="000000"/>
          <w:sz w:val="20"/>
          <w:szCs w:val="20"/>
        </w:rPr>
        <w:t>ctively.</w:t>
      </w:r>
    </w:p>
    <w:p w:rsidR="00000000" w:rsidRDefault="00BB5C2D">
      <w:pPr>
        <w:ind w:firstLine="720"/>
        <w:jc w:val="both"/>
        <w:divId w:val="284236161"/>
        <w:rPr>
          <w:rFonts w:eastAsia="Times New Roman"/>
        </w:rPr>
      </w:pPr>
      <w:r>
        <w:rPr>
          <w:rFonts w:eastAsia="Times New Roman"/>
          <w:color w:val="000000"/>
          <w:sz w:val="20"/>
          <w:szCs w:val="20"/>
        </w:rPr>
        <w:t>These decreases related to our operating assets and liabilities were partially offset by:</w:t>
      </w:r>
    </w:p>
    <w:p w:rsidR="00000000" w:rsidRDefault="00BB5C2D">
      <w:pPr>
        <w:ind w:hanging="360"/>
        <w:jc w:val="both"/>
        <w:divId w:val="30998900"/>
        <w:rPr>
          <w:rFonts w:eastAsia="Times New Roman"/>
        </w:rPr>
      </w:pPr>
      <w:r>
        <w:rPr>
          <w:rFonts w:eastAsia="Times New Roman"/>
          <w:color w:val="000000"/>
          <w:sz w:val="20"/>
          <w:szCs w:val="20"/>
        </w:rPr>
        <w:t>•a favorable change related to our accounts receivable, largely driven by a return to more normalized operations in comparison to the prior fiscal year perio</w:t>
      </w:r>
      <w:r>
        <w:rPr>
          <w:rFonts w:eastAsia="Times New Roman"/>
          <w:color w:val="000000"/>
          <w:sz w:val="20"/>
          <w:szCs w:val="20"/>
        </w:rPr>
        <w:t>d.</w:t>
      </w:r>
    </w:p>
    <w:p w:rsidR="00000000" w:rsidRDefault="00BB5C2D">
      <w:pPr>
        <w:ind w:firstLine="540"/>
        <w:jc w:val="both"/>
        <w:divId w:val="1312713467"/>
        <w:rPr>
          <w:rFonts w:eastAsia="Times New Roman"/>
        </w:rPr>
      </w:pPr>
      <w:r>
        <w:rPr>
          <w:rFonts w:eastAsia="Times New Roman"/>
          <w:i/>
          <w:iCs/>
          <w:color w:val="000000"/>
          <w:sz w:val="20"/>
          <w:szCs w:val="20"/>
        </w:rPr>
        <w:t>Net Cash Provided by (Used in) Investing Activities.    </w:t>
      </w:r>
      <w:r>
        <w:rPr>
          <w:rFonts w:eastAsia="Times New Roman"/>
          <w:color w:val="000000"/>
          <w:sz w:val="20"/>
          <w:szCs w:val="20"/>
        </w:rPr>
        <w:t>Net cash used in investing activities was $717.9 million during Fiscal 2022, as compared to cash provided by investing activities of $195.0 million during Fiscal 2021. The $912.9 million net decrea</w:t>
      </w:r>
      <w:r>
        <w:rPr>
          <w:rFonts w:eastAsia="Times New Roman"/>
          <w:color w:val="000000"/>
          <w:sz w:val="20"/>
          <w:szCs w:val="20"/>
        </w:rPr>
        <w:t>se in cash provided by investing activities was primarily driven by:</w:t>
      </w:r>
    </w:p>
    <w:p w:rsidR="00000000" w:rsidRDefault="00BB5C2D">
      <w:pPr>
        <w:ind w:hanging="360"/>
        <w:jc w:val="both"/>
        <w:divId w:val="1308121306"/>
        <w:rPr>
          <w:rFonts w:eastAsia="Times New Roman"/>
        </w:rPr>
      </w:pPr>
      <w:r>
        <w:rPr>
          <w:rFonts w:eastAsia="Times New Roman"/>
          <w:color w:val="000000"/>
          <w:sz w:val="20"/>
          <w:szCs w:val="20"/>
        </w:rPr>
        <w:t>•an $848.6 million decrease in proceeds from sales and maturities of investments, less purchases of investments. During Fiscal 2022, we made net purchases of investments of $546.0 million</w:t>
      </w:r>
      <w:r>
        <w:rPr>
          <w:rFonts w:eastAsia="Times New Roman"/>
          <w:color w:val="000000"/>
          <w:sz w:val="20"/>
          <w:szCs w:val="20"/>
        </w:rPr>
        <w:t>, as compared to receiving net proceeds from sales and maturities of investments of $302.6 million during Fiscal 2021; and</w:t>
      </w:r>
    </w:p>
    <w:p w:rsidR="00000000" w:rsidRDefault="00BB5C2D">
      <w:pPr>
        <w:ind w:hanging="360"/>
        <w:jc w:val="both"/>
        <w:divId w:val="1403331360"/>
        <w:rPr>
          <w:rFonts w:eastAsia="Times New Roman"/>
        </w:rPr>
      </w:pPr>
      <w:r>
        <w:rPr>
          <w:rFonts w:eastAsia="Times New Roman"/>
          <w:color w:val="000000"/>
          <w:sz w:val="20"/>
          <w:szCs w:val="20"/>
        </w:rPr>
        <w:t>•a $59.1 million increase in capital expenditures. During Fiscal 2022, we spent $166.9 million on capital expenditures, as compared t</w:t>
      </w:r>
      <w:r>
        <w:rPr>
          <w:rFonts w:eastAsia="Times New Roman"/>
          <w:color w:val="000000"/>
          <w:sz w:val="20"/>
          <w:szCs w:val="20"/>
        </w:rPr>
        <w:t>o $107.8 million during Fiscal 2021. Our capital expenditures during Fiscal 2022 primarily related to store openings and renovations, as well as enhancements to our information technology systems.</w:t>
      </w:r>
    </w:p>
    <w:p w:rsidR="00000000" w:rsidRDefault="00BB5C2D">
      <w:pPr>
        <w:ind w:firstLine="540"/>
        <w:jc w:val="both"/>
        <w:divId w:val="160002388"/>
        <w:rPr>
          <w:rFonts w:eastAsia="Times New Roman"/>
        </w:rPr>
      </w:pPr>
      <w:r>
        <w:rPr>
          <w:rFonts w:eastAsia="Times New Roman"/>
          <w:color w:val="000000"/>
          <w:sz w:val="20"/>
          <w:szCs w:val="20"/>
        </w:rPr>
        <w:t>In Fiscal 2023, we expect to spend approximately $290 milli</w:t>
      </w:r>
      <w:r>
        <w:rPr>
          <w:rFonts w:eastAsia="Times New Roman"/>
          <w:color w:val="000000"/>
          <w:sz w:val="20"/>
          <w:szCs w:val="20"/>
        </w:rPr>
        <w:t>on to $310 million on capital expenditures primarily related to store opening and renovations, as well as enhancements to our information technology systems.</w:t>
      </w:r>
    </w:p>
    <w:p w:rsidR="00000000" w:rsidRDefault="00BB5C2D">
      <w:pPr>
        <w:ind w:firstLine="540"/>
        <w:jc w:val="both"/>
        <w:divId w:val="1559248497"/>
        <w:rPr>
          <w:rFonts w:eastAsia="Times New Roman"/>
        </w:rPr>
      </w:pPr>
      <w:r>
        <w:rPr>
          <w:rFonts w:eastAsia="Times New Roman"/>
          <w:i/>
          <w:iCs/>
          <w:color w:val="000000"/>
          <w:sz w:val="20"/>
          <w:szCs w:val="20"/>
        </w:rPr>
        <w:t>Net Cash Provided by (Used in) Financing Activities.</w:t>
      </w:r>
      <w:r>
        <w:rPr>
          <w:rFonts w:eastAsia="Times New Roman"/>
          <w:color w:val="000000"/>
          <w:sz w:val="20"/>
          <w:szCs w:val="20"/>
        </w:rPr>
        <w:t xml:space="preserve">    Net cash used in financing activities was </w:t>
      </w:r>
      <w:r>
        <w:rPr>
          <w:rFonts w:eastAsia="Times New Roman"/>
          <w:color w:val="000000"/>
          <w:sz w:val="20"/>
          <w:szCs w:val="20"/>
        </w:rPr>
        <w:t>$665.7 million during Fiscal 2022, as compared to net cash provided by financing activities of $356.8 million during Fiscal 2021. The $1.022 billion net decrease in cash provided by financing activities was primarily driven by:</w:t>
      </w:r>
    </w:p>
    <w:p w:rsidR="00000000" w:rsidRDefault="00BB5C2D">
      <w:pPr>
        <w:ind w:hanging="360"/>
        <w:jc w:val="both"/>
        <w:divId w:val="422189038"/>
        <w:rPr>
          <w:rFonts w:eastAsia="Times New Roman"/>
        </w:rPr>
      </w:pPr>
      <w:r>
        <w:rPr>
          <w:rFonts w:eastAsia="Times New Roman"/>
          <w:color w:val="000000"/>
          <w:sz w:val="20"/>
          <w:szCs w:val="20"/>
        </w:rPr>
        <w:t>•a $466.9 million decrease i</w:t>
      </w:r>
      <w:r>
        <w:rPr>
          <w:rFonts w:eastAsia="Times New Roman"/>
          <w:color w:val="000000"/>
          <w:sz w:val="20"/>
          <w:szCs w:val="20"/>
        </w:rPr>
        <w:t>n cash proceeds from the issuance of debt, less debt repayments. During Fiscal 2022, we did not issue or repay any debt. On a comparative basis, during Fiscal 2021, we received $1.242 billion in proceeds from the issuance of our 1.700% unsecured senior not</w:t>
      </w:r>
      <w:r>
        <w:rPr>
          <w:rFonts w:eastAsia="Times New Roman"/>
          <w:color w:val="000000"/>
          <w:sz w:val="20"/>
          <w:szCs w:val="20"/>
        </w:rPr>
        <w:t xml:space="preserve">es and 2.950% unsecured senior notes, a portion of which was used to repay $475.0 million of borrowings previously outstanding under our credit facilities and our previously outstanding $300.0 million principal amount of 2.625% unsecured senior notes that </w:t>
      </w:r>
      <w:r>
        <w:rPr>
          <w:rFonts w:eastAsia="Times New Roman"/>
          <w:color w:val="000000"/>
          <w:sz w:val="20"/>
          <w:szCs w:val="20"/>
        </w:rPr>
        <w:t>matured August 18, 2020;</w:t>
      </w:r>
    </w:p>
    <w:p w:rsidR="00000000" w:rsidRDefault="00BB5C2D">
      <w:pPr>
        <w:ind w:hanging="360"/>
        <w:jc w:val="both"/>
        <w:divId w:val="314455463"/>
        <w:rPr>
          <w:rFonts w:eastAsia="Times New Roman"/>
        </w:rPr>
      </w:pPr>
      <w:r>
        <w:rPr>
          <w:rFonts w:eastAsia="Times New Roman"/>
          <w:color w:val="000000"/>
          <w:sz w:val="20"/>
          <w:szCs w:val="20"/>
        </w:rPr>
        <w:t>•a $454.9 million increase in cash used to repurchase shares of our Class A common stock. During Fiscal 2022, we resumed activities under our common stock repurchase program and repurchased $450.5 million of shares of our Class A c</w:t>
      </w:r>
      <w:r>
        <w:rPr>
          <w:rFonts w:eastAsia="Times New Roman"/>
          <w:color w:val="000000"/>
          <w:sz w:val="20"/>
          <w:szCs w:val="20"/>
        </w:rPr>
        <w:t>ommon stock, and an additional $42.1 million in shares of our Class A common stock were surrendered or withheld in satisfaction of withholding taxes in connection with the vesting of awards under our long-term stock incentive plans. On a comparative basis,</w:t>
      </w:r>
      <w:r>
        <w:rPr>
          <w:rFonts w:eastAsia="Times New Roman"/>
          <w:color w:val="000000"/>
          <w:sz w:val="20"/>
          <w:szCs w:val="20"/>
        </w:rPr>
        <w:t xml:space="preserve"> during Fiscal 2021, $37.7 million in shares of our Class A common stock were surrendered or withheld for taxes; and</w:t>
      </w:r>
    </w:p>
    <w:p w:rsidR="00000000" w:rsidRDefault="00BB5C2D">
      <w:pPr>
        <w:ind w:hanging="360"/>
        <w:jc w:val="both"/>
        <w:divId w:val="1695182396"/>
        <w:rPr>
          <w:rFonts w:eastAsia="Times New Roman"/>
        </w:rPr>
      </w:pPr>
      <w:r>
        <w:rPr>
          <w:rFonts w:eastAsia="Times New Roman"/>
          <w:color w:val="000000"/>
          <w:sz w:val="20"/>
          <w:szCs w:val="20"/>
        </w:rPr>
        <w:t xml:space="preserve">•a $100.2 million increase in payments of dividends, driven by the reinstatement of our quarterly cash dividend program during Fiscal 2022 </w:t>
      </w:r>
      <w:r>
        <w:rPr>
          <w:rFonts w:eastAsia="Times New Roman"/>
          <w:color w:val="000000"/>
          <w:sz w:val="20"/>
          <w:szCs w:val="20"/>
        </w:rPr>
        <w:t>after being temporarily suspended at the beginning of the COVID-19 pandemic as a preemptive action to preserve cash and strengthen our liquidity position, as discussed in "</w:t>
      </w:r>
      <w:r>
        <w:rPr>
          <w:rFonts w:eastAsia="Times New Roman"/>
          <w:i/>
          <w:iCs/>
          <w:color w:val="000000"/>
          <w:sz w:val="20"/>
          <w:szCs w:val="20"/>
        </w:rPr>
        <w:t>Dividends</w:t>
      </w:r>
      <w:r>
        <w:rPr>
          <w:rFonts w:eastAsia="Times New Roman"/>
          <w:color w:val="000000"/>
          <w:sz w:val="20"/>
          <w:szCs w:val="20"/>
        </w:rPr>
        <w:t>" below.</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979728192"/>
          <w:jc w:val="center"/>
        </w:trPr>
        <w:tc>
          <w:tcPr>
            <w:tcW w:w="50" w:type="pct"/>
            <w:vAlign w:val="center"/>
            <w:hideMark/>
          </w:tcPr>
          <w:p w:rsidR="00000000" w:rsidRDefault="00BB5C2D">
            <w:pPr>
              <w:ind w:hanging="36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979728192"/>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64</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92" style="width:0;height:1.5pt" o:hralign="center" o:hrstd="t" o:hr="t" fillcolor="#a0a0a0" stroked="f"/>
        </w:pict>
      </w:r>
    </w:p>
    <w:p w:rsidR="00000000" w:rsidRDefault="00BB5C2D">
      <w:pPr>
        <w:divId w:val="1137142793"/>
        <w:rPr>
          <w:rFonts w:eastAsia="Times New Roman"/>
        </w:rPr>
      </w:pPr>
    </w:p>
    <w:p w:rsidR="00000000" w:rsidRDefault="00BB5C2D">
      <w:pPr>
        <w:ind w:firstLine="360"/>
        <w:jc w:val="both"/>
        <w:divId w:val="1829397177"/>
        <w:rPr>
          <w:rFonts w:eastAsia="Times New Roman"/>
        </w:rPr>
      </w:pPr>
      <w:r>
        <w:rPr>
          <w:rFonts w:eastAsia="Times New Roman"/>
          <w:i/>
          <w:iCs/>
          <w:color w:val="000000"/>
          <w:sz w:val="20"/>
          <w:szCs w:val="20"/>
        </w:rPr>
        <w:t>Fiscal 2021 Compared to Fiscal 2020</w:t>
      </w:r>
    </w:p>
    <w:tbl>
      <w:tblPr>
        <w:tblW w:w="4714" w:type="pct"/>
        <w:tblCellMar>
          <w:top w:w="15" w:type="dxa"/>
          <w:left w:w="15" w:type="dxa"/>
          <w:bottom w:w="15" w:type="dxa"/>
          <w:right w:w="15" w:type="dxa"/>
        </w:tblCellMar>
        <w:tblLook w:val="04A0" w:firstRow="1" w:lastRow="0" w:firstColumn="1" w:lastColumn="0" w:noHBand="0" w:noVBand="1"/>
      </w:tblPr>
      <w:tblGrid>
        <w:gridCol w:w="39"/>
        <w:gridCol w:w="5128"/>
        <w:gridCol w:w="38"/>
        <w:gridCol w:w="36"/>
        <w:gridCol w:w="36"/>
        <w:gridCol w:w="36"/>
        <w:gridCol w:w="120"/>
        <w:gridCol w:w="600"/>
        <w:gridCol w:w="36"/>
        <w:gridCol w:w="36"/>
        <w:gridCol w:w="36"/>
        <w:gridCol w:w="36"/>
        <w:gridCol w:w="120"/>
        <w:gridCol w:w="650"/>
        <w:gridCol w:w="36"/>
        <w:gridCol w:w="36"/>
        <w:gridCol w:w="36"/>
        <w:gridCol w:w="36"/>
        <w:gridCol w:w="120"/>
        <w:gridCol w:w="584"/>
        <w:gridCol w:w="36"/>
      </w:tblGrid>
      <w:tr w:rsidR="00000000">
        <w:trPr>
          <w:divId w:val="841509977"/>
        </w:trPr>
        <w:tc>
          <w:tcPr>
            <w:tcW w:w="50" w:type="pct"/>
            <w:vAlign w:val="center"/>
            <w:hideMark/>
          </w:tcPr>
          <w:p w:rsidR="00000000" w:rsidRDefault="00BB5C2D">
            <w:pPr>
              <w:ind w:firstLine="360"/>
              <w:jc w:val="both"/>
              <w:rPr>
                <w:rFonts w:eastAsia="Times New Roman"/>
              </w:rPr>
            </w:pPr>
          </w:p>
        </w:tc>
        <w:tc>
          <w:tcPr>
            <w:tcW w:w="331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4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4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4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841509977"/>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r>
      <w:tr w:rsidR="00000000">
        <w:trPr>
          <w:divId w:val="841509977"/>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w:t>
            </w:r>
            <w:r>
              <w:rPr>
                <w:rFonts w:eastAsia="Times New Roman"/>
                <w:b/>
                <w:bCs/>
                <w:color w:val="000000"/>
                <w:sz w:val="16"/>
                <w:szCs w:val="16"/>
              </w:rPr>
              <w:br/>
              <w:t>Change</w:t>
            </w:r>
          </w:p>
        </w:tc>
      </w:tr>
      <w:tr w:rsidR="00000000">
        <w:trPr>
          <w:divId w:val="841509977"/>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841509977"/>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380.9 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754.6 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(373.7)</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841509977"/>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Net cash provided by investing activities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195.0 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702.1 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(507.1)</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841509977"/>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Net cash provided by (used in) financing activities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356.8 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(438.2)</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795.0 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841509977"/>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ind w:hanging="180"/>
              <w:divId w:val="2045518744"/>
              <w:rPr>
                <w:rFonts w:eastAsia="Times New Roman"/>
              </w:rPr>
            </w:pPr>
            <w:r>
              <w:rPr>
                <w:rFonts w:eastAsia="Times New Roman"/>
                <w:color w:val="000000"/>
                <w:sz w:val="20"/>
                <w:szCs w:val="20"/>
              </w:rPr>
              <w:t>Effect of exchange rate changes on cash, cash equivalents, and restricted cash</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25.5 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(15.2)</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40.7 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841509977"/>
        </w:trPr>
        <w:tc>
          <w:tcPr>
            <w:tcW w:w="0" w:type="auto"/>
            <w:gridSpan w:val="3"/>
            <w:shd w:val="clear" w:color="auto" w:fill="CCEEFF"/>
            <w:tcMar>
              <w:top w:w="30" w:type="dxa"/>
              <w:left w:w="335" w:type="dxa"/>
              <w:bottom w:w="30" w:type="dxa"/>
              <w:right w:w="20" w:type="dxa"/>
            </w:tcMar>
            <w:vAlign w:val="bottom"/>
            <w:hideMark/>
          </w:tcPr>
          <w:p w:rsidR="00000000" w:rsidRDefault="00BB5C2D">
            <w:pPr>
              <w:spacing w:after="100"/>
              <w:ind w:hanging="180"/>
              <w:rPr>
                <w:rFonts w:eastAsia="Times New Roman"/>
              </w:rPr>
            </w:pPr>
            <w:r>
              <w:rPr>
                <w:rFonts w:eastAsia="Times New Roman"/>
                <w:color w:val="000000"/>
                <w:sz w:val="20"/>
                <w:szCs w:val="20"/>
              </w:rPr>
              <w:t>Net increase in cash, cash equivalents, and restricted cash</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ind w:hanging="18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958.2 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1,003.3 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(45.1)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bl>
    <w:p w:rsidR="00000000" w:rsidRDefault="00BB5C2D">
      <w:pPr>
        <w:ind w:firstLine="540"/>
        <w:jc w:val="both"/>
        <w:divId w:val="948315259"/>
        <w:rPr>
          <w:rFonts w:eastAsia="Times New Roman"/>
        </w:rPr>
      </w:pPr>
      <w:r>
        <w:rPr>
          <w:rFonts w:eastAsia="Times New Roman"/>
          <w:i/>
          <w:iCs/>
          <w:color w:val="000000"/>
          <w:sz w:val="20"/>
          <w:szCs w:val="20"/>
        </w:rPr>
        <w:t>Net Cash Provided by Operating Activities.</w:t>
      </w:r>
      <w:r>
        <w:rPr>
          <w:rFonts w:eastAsia="Times New Roman"/>
          <w:color w:val="000000"/>
          <w:sz w:val="20"/>
          <w:szCs w:val="20"/>
        </w:rPr>
        <w:t>    Net cash provided by operating activities decreased t</w:t>
      </w:r>
      <w:r>
        <w:rPr>
          <w:rFonts w:eastAsia="Times New Roman"/>
          <w:color w:val="000000"/>
          <w:sz w:val="20"/>
          <w:szCs w:val="20"/>
        </w:rPr>
        <w:t>o $380.9 million during Fiscal 2021, from $754.6 million during Fiscal 2020. The $373.7 million net decline in cash provided by operating activities was due to a decrease in net income before non-cash charges, partially offset by a net favorable change rel</w:t>
      </w:r>
      <w:r>
        <w:rPr>
          <w:rFonts w:eastAsia="Times New Roman"/>
          <w:color w:val="000000"/>
          <w:sz w:val="20"/>
          <w:szCs w:val="20"/>
        </w:rPr>
        <w:t xml:space="preserve">ated to our operating assets and liabilities, including our working capital, as compared to the prior fiscal year. </w:t>
      </w:r>
    </w:p>
    <w:p w:rsidR="00000000" w:rsidRDefault="00BB5C2D">
      <w:pPr>
        <w:ind w:firstLine="540"/>
        <w:jc w:val="both"/>
        <w:divId w:val="518784135"/>
        <w:rPr>
          <w:rFonts w:eastAsia="Times New Roman"/>
        </w:rPr>
      </w:pPr>
      <w:r>
        <w:rPr>
          <w:rFonts w:eastAsia="Times New Roman"/>
          <w:color w:val="000000"/>
          <w:sz w:val="20"/>
          <w:szCs w:val="20"/>
        </w:rPr>
        <w:t>The net favorable change related to our operating assets and liabilities, including our working capital, was primarily driven by:</w:t>
      </w:r>
    </w:p>
    <w:p w:rsidR="00000000" w:rsidRDefault="00BB5C2D">
      <w:pPr>
        <w:ind w:hanging="360"/>
        <w:jc w:val="both"/>
        <w:divId w:val="977420622"/>
        <w:rPr>
          <w:rFonts w:eastAsia="Times New Roman"/>
        </w:rPr>
      </w:pPr>
      <w:r>
        <w:rPr>
          <w:rFonts w:eastAsia="Times New Roman"/>
          <w:color w:val="000000"/>
          <w:sz w:val="20"/>
          <w:szCs w:val="20"/>
        </w:rPr>
        <w:t>•a favorab</w:t>
      </w:r>
      <w:r>
        <w:rPr>
          <w:rFonts w:eastAsia="Times New Roman"/>
          <w:color w:val="000000"/>
          <w:sz w:val="20"/>
          <w:szCs w:val="20"/>
        </w:rPr>
        <w:t>le change in our accrued liabilities, primarily driven by the increase in our restructuring reserve related to charges recorded in connection with the Fiscal 2021 Strategic Realignment Plan; and</w:t>
      </w:r>
    </w:p>
    <w:p w:rsidR="00000000" w:rsidRDefault="00BB5C2D">
      <w:pPr>
        <w:ind w:hanging="360"/>
        <w:jc w:val="both"/>
        <w:divId w:val="1590894992"/>
        <w:rPr>
          <w:rFonts w:eastAsia="Times New Roman"/>
        </w:rPr>
      </w:pPr>
      <w:r>
        <w:rPr>
          <w:rFonts w:eastAsia="Times New Roman"/>
          <w:color w:val="000000"/>
          <w:sz w:val="20"/>
          <w:szCs w:val="20"/>
        </w:rPr>
        <w:t>•a favorable change in our accounts payable, driven by our ex</w:t>
      </w:r>
      <w:r>
        <w:rPr>
          <w:rFonts w:eastAsia="Times New Roman"/>
          <w:color w:val="000000"/>
          <w:sz w:val="20"/>
          <w:szCs w:val="20"/>
        </w:rPr>
        <w:t>tended payment terms.</w:t>
      </w:r>
    </w:p>
    <w:p w:rsidR="00000000" w:rsidRDefault="00BB5C2D">
      <w:pPr>
        <w:ind w:firstLine="540"/>
        <w:jc w:val="both"/>
        <w:divId w:val="590700501"/>
        <w:rPr>
          <w:rFonts w:eastAsia="Times New Roman"/>
        </w:rPr>
      </w:pPr>
      <w:r>
        <w:rPr>
          <w:rFonts w:eastAsia="Times New Roman"/>
          <w:color w:val="000000"/>
          <w:sz w:val="20"/>
          <w:szCs w:val="20"/>
        </w:rPr>
        <w:t>These increases related to our operating assets and liabilities were partially offset by:</w:t>
      </w:r>
    </w:p>
    <w:p w:rsidR="00000000" w:rsidRDefault="00BB5C2D">
      <w:pPr>
        <w:ind w:hanging="360"/>
        <w:jc w:val="both"/>
        <w:divId w:val="600534295"/>
        <w:rPr>
          <w:rFonts w:eastAsia="Times New Roman"/>
        </w:rPr>
      </w:pPr>
      <w:r>
        <w:rPr>
          <w:rFonts w:eastAsia="Times New Roman"/>
          <w:color w:val="000000"/>
          <w:sz w:val="20"/>
          <w:szCs w:val="20"/>
        </w:rPr>
        <w:t>•an unfavorable change related to our accounts receivable, largely driven by an increase in wholesale revenue during the fourth quarter of Fisca</w:t>
      </w:r>
      <w:r>
        <w:rPr>
          <w:rFonts w:eastAsia="Times New Roman"/>
          <w:color w:val="000000"/>
          <w:sz w:val="20"/>
          <w:szCs w:val="20"/>
        </w:rPr>
        <w:t>l 2021 as compared to the fourth quarter of Fiscal 2020;</w:t>
      </w:r>
    </w:p>
    <w:p w:rsidR="00000000" w:rsidRDefault="00BB5C2D">
      <w:pPr>
        <w:ind w:hanging="360"/>
        <w:jc w:val="both"/>
        <w:divId w:val="720061874"/>
        <w:rPr>
          <w:rFonts w:eastAsia="Times New Roman"/>
        </w:rPr>
      </w:pPr>
      <w:r>
        <w:rPr>
          <w:rFonts w:eastAsia="Times New Roman"/>
          <w:color w:val="000000"/>
          <w:sz w:val="20"/>
          <w:szCs w:val="20"/>
        </w:rPr>
        <w:t>•an unfavorable change in inventory, largely driven by lower COVID-19-related inventory charges recorded in Fiscal 2021 as compared to the prior year period; and</w:t>
      </w:r>
    </w:p>
    <w:p w:rsidR="00000000" w:rsidRDefault="00BB5C2D">
      <w:pPr>
        <w:ind w:hanging="360"/>
        <w:jc w:val="both"/>
        <w:divId w:val="1486431146"/>
        <w:rPr>
          <w:rFonts w:eastAsia="Times New Roman"/>
        </w:rPr>
      </w:pPr>
      <w:r>
        <w:rPr>
          <w:rFonts w:eastAsia="Times New Roman"/>
          <w:color w:val="000000"/>
          <w:sz w:val="20"/>
          <w:szCs w:val="20"/>
        </w:rPr>
        <w:t>•an unfavorable change in our prepaid</w:t>
      </w:r>
      <w:r>
        <w:rPr>
          <w:rFonts w:eastAsia="Times New Roman"/>
          <w:color w:val="000000"/>
          <w:sz w:val="20"/>
          <w:szCs w:val="20"/>
        </w:rPr>
        <w:t xml:space="preserve"> expenses and other current assets, primarily driven by the timing of cash payments.</w:t>
      </w:r>
    </w:p>
    <w:p w:rsidR="00000000" w:rsidRDefault="00BB5C2D">
      <w:pPr>
        <w:ind w:firstLine="540"/>
        <w:jc w:val="both"/>
        <w:divId w:val="912542825"/>
        <w:rPr>
          <w:rFonts w:eastAsia="Times New Roman"/>
        </w:rPr>
      </w:pPr>
      <w:r>
        <w:rPr>
          <w:rFonts w:eastAsia="Times New Roman"/>
          <w:i/>
          <w:iCs/>
          <w:color w:val="000000"/>
          <w:sz w:val="20"/>
          <w:szCs w:val="20"/>
        </w:rPr>
        <w:t>Net Cash Provided by Investing Activities.    </w:t>
      </w:r>
      <w:r>
        <w:rPr>
          <w:rFonts w:eastAsia="Times New Roman"/>
          <w:color w:val="000000"/>
          <w:sz w:val="20"/>
          <w:szCs w:val="20"/>
        </w:rPr>
        <w:t xml:space="preserve">Net cash provided by investing activities was $195.0 million during Fiscal 2021, as compared to $702.1 million during Fiscal </w:t>
      </w:r>
      <w:r>
        <w:rPr>
          <w:rFonts w:eastAsia="Times New Roman"/>
          <w:color w:val="000000"/>
          <w:sz w:val="20"/>
          <w:szCs w:val="20"/>
        </w:rPr>
        <w:t>2020. The $507.1 million net decrease in cash provided by investing activities was primarily driven by:</w:t>
      </w:r>
    </w:p>
    <w:p w:rsidR="00000000" w:rsidRDefault="00BB5C2D">
      <w:pPr>
        <w:ind w:hanging="360"/>
        <w:jc w:val="both"/>
        <w:divId w:val="160972722"/>
        <w:rPr>
          <w:rFonts w:eastAsia="Times New Roman"/>
        </w:rPr>
      </w:pPr>
      <w:r>
        <w:rPr>
          <w:rFonts w:eastAsia="Times New Roman"/>
          <w:color w:val="000000"/>
          <w:sz w:val="20"/>
          <w:szCs w:val="20"/>
        </w:rPr>
        <w:t>•</w:t>
      </w:r>
      <w:r>
        <w:rPr>
          <w:rFonts w:eastAsia="Times New Roman"/>
          <w:color w:val="000000"/>
          <w:sz w:val="20"/>
          <w:szCs w:val="20"/>
        </w:rPr>
        <w:t>a $648.1 million decrease in proceeds from sales and maturities of investments, less purchases of investments. During Fiscal 2021, we received net proceeds from sales and maturities of investments of $302.6 million, as compared to $950.7 million during Fis</w:t>
      </w:r>
      <w:r>
        <w:rPr>
          <w:rFonts w:eastAsia="Times New Roman"/>
          <w:color w:val="000000"/>
          <w:sz w:val="20"/>
          <w:szCs w:val="20"/>
        </w:rPr>
        <w:t>cal 2020.</w:t>
      </w:r>
    </w:p>
    <w:p w:rsidR="00000000" w:rsidRDefault="00BB5C2D">
      <w:pPr>
        <w:jc w:val="both"/>
        <w:divId w:val="576207790"/>
        <w:rPr>
          <w:rFonts w:eastAsia="Times New Roman"/>
        </w:rPr>
      </w:pPr>
      <w:r>
        <w:rPr>
          <w:rFonts w:eastAsia="Times New Roman"/>
          <w:color w:val="000000"/>
          <w:sz w:val="20"/>
          <w:szCs w:val="20"/>
        </w:rPr>
        <w:t>    This decrease in cash provided by investing activities was partially offset by:</w:t>
      </w:r>
    </w:p>
    <w:p w:rsidR="00000000" w:rsidRDefault="00BB5C2D">
      <w:pPr>
        <w:ind w:hanging="360"/>
        <w:jc w:val="both"/>
        <w:divId w:val="668751466"/>
        <w:rPr>
          <w:rFonts w:eastAsia="Times New Roman"/>
        </w:rPr>
      </w:pPr>
      <w:r>
        <w:rPr>
          <w:rFonts w:eastAsia="Times New Roman"/>
          <w:color w:val="000000"/>
          <w:sz w:val="20"/>
          <w:szCs w:val="20"/>
        </w:rPr>
        <w:t>•a $162.5 million decrease in capital expenditures. During Fiscal 2021, we spent $107.8 million on capital expenditures, as compared to $270.3 million during Fisc</w:t>
      </w:r>
      <w:r>
        <w:rPr>
          <w:rFonts w:eastAsia="Times New Roman"/>
          <w:color w:val="000000"/>
          <w:sz w:val="20"/>
          <w:szCs w:val="20"/>
        </w:rPr>
        <w:t>al 2020. This decline reflects the temporary postponement of non-critical capital expenditures as a preemptive action to preserve cash and strengthen our liquidity position in response to business disruptions related to the COVID-19 pandemic. Our capital e</w:t>
      </w:r>
      <w:r>
        <w:rPr>
          <w:rFonts w:eastAsia="Times New Roman"/>
          <w:color w:val="000000"/>
          <w:sz w:val="20"/>
          <w:szCs w:val="20"/>
        </w:rPr>
        <w:t>xpenditures during Fiscal 2021 primarily related to international store openings and renovations, as well as enhancements to our information technology systems.</w:t>
      </w:r>
    </w:p>
    <w:p w:rsidR="00000000" w:rsidRDefault="00BB5C2D">
      <w:pPr>
        <w:ind w:firstLine="540"/>
        <w:jc w:val="both"/>
        <w:divId w:val="1329285368"/>
        <w:rPr>
          <w:rFonts w:eastAsia="Times New Roman"/>
        </w:rPr>
      </w:pPr>
      <w:r>
        <w:rPr>
          <w:rFonts w:eastAsia="Times New Roman"/>
          <w:i/>
          <w:iCs/>
          <w:color w:val="000000"/>
          <w:sz w:val="20"/>
          <w:szCs w:val="20"/>
        </w:rPr>
        <w:t>Net Cash Provided by (Used in) Financing Activities.</w:t>
      </w:r>
      <w:r>
        <w:rPr>
          <w:rFonts w:eastAsia="Times New Roman"/>
          <w:color w:val="000000"/>
          <w:sz w:val="20"/>
          <w:szCs w:val="20"/>
        </w:rPr>
        <w:t>    Net cash provided by financing activiti</w:t>
      </w:r>
      <w:r>
        <w:rPr>
          <w:rFonts w:eastAsia="Times New Roman"/>
          <w:color w:val="000000"/>
          <w:sz w:val="20"/>
          <w:szCs w:val="20"/>
        </w:rPr>
        <w:t>es was $356.8 million during Fiscal 2021, as compared to net cash used in financing activities of $438.2 million during Fiscal 2020. The $795.0 million net increase in cash provided by financing activities was primarily driven by:</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717437094"/>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717437094"/>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65</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93" style="width:0;height:1.5pt" o:hralign="center" o:hrstd="t" o:hr="t" fillcolor="#a0a0a0" stroked="f"/>
        </w:pict>
      </w:r>
    </w:p>
    <w:p w:rsidR="00000000" w:rsidRDefault="00BB5C2D">
      <w:pPr>
        <w:divId w:val="1626079398"/>
        <w:rPr>
          <w:rFonts w:eastAsia="Times New Roman"/>
        </w:rPr>
      </w:pPr>
    </w:p>
    <w:p w:rsidR="00000000" w:rsidRDefault="00BB5C2D">
      <w:pPr>
        <w:ind w:hanging="360"/>
        <w:jc w:val="both"/>
        <w:divId w:val="1134059694"/>
        <w:rPr>
          <w:rFonts w:eastAsia="Times New Roman"/>
        </w:rPr>
      </w:pPr>
      <w:r>
        <w:rPr>
          <w:rFonts w:eastAsia="Times New Roman"/>
          <w:color w:val="000000"/>
          <w:sz w:val="20"/>
          <w:szCs w:val="20"/>
        </w:rPr>
        <w:t xml:space="preserve">•a $657.1 million decrease in cash used to repurchase shares of our Class A common stock. During Fiscal 2021, $37.7 million in shares of Class A common stock were surrendered or withheld in satisfaction of withholding </w:t>
      </w:r>
      <w:r>
        <w:rPr>
          <w:rFonts w:eastAsia="Times New Roman"/>
          <w:color w:val="000000"/>
          <w:sz w:val="20"/>
          <w:szCs w:val="20"/>
        </w:rPr>
        <w:t>taxes in connection with the vesting of awards under our long-term stock incentive plans and no shares of Class A common stock were repurchased pursuant to our common stock repurchase program, which was temporarily suspended as a preemptive action to prese</w:t>
      </w:r>
      <w:r>
        <w:rPr>
          <w:rFonts w:eastAsia="Times New Roman"/>
          <w:color w:val="000000"/>
          <w:sz w:val="20"/>
          <w:szCs w:val="20"/>
        </w:rPr>
        <w:t>rve cash and strengthen our liquidity position in response to business disruptions related to the COVID-19 pandemic. On a comparative basis, during Fiscal 2020, $650.3 million in shares of Class A common stock were repurchased and $44.5 million in shares o</w:t>
      </w:r>
      <w:r>
        <w:rPr>
          <w:rFonts w:eastAsia="Times New Roman"/>
          <w:color w:val="000000"/>
          <w:sz w:val="20"/>
          <w:szCs w:val="20"/>
        </w:rPr>
        <w:t>f Class A common stock were surrendered or withheld for taxes; and</w:t>
      </w:r>
    </w:p>
    <w:p w:rsidR="00000000" w:rsidRDefault="00BB5C2D">
      <w:pPr>
        <w:ind w:hanging="360"/>
        <w:jc w:val="both"/>
        <w:divId w:val="147094500"/>
        <w:rPr>
          <w:rFonts w:eastAsia="Times New Roman"/>
        </w:rPr>
      </w:pPr>
      <w:r>
        <w:rPr>
          <w:rFonts w:eastAsia="Times New Roman"/>
          <w:color w:val="000000"/>
          <w:sz w:val="20"/>
          <w:szCs w:val="20"/>
        </w:rPr>
        <w:t>•a $154.1 million decrease in payments of dividends, driven by the temporary suspension of our quarterly cash dividend program as a preemptive action to preserve cash and strengthen our liq</w:t>
      </w:r>
      <w:r>
        <w:rPr>
          <w:rFonts w:eastAsia="Times New Roman"/>
          <w:color w:val="000000"/>
          <w:sz w:val="20"/>
          <w:szCs w:val="20"/>
        </w:rPr>
        <w:t>uidity position, as discussed in "</w:t>
      </w:r>
      <w:r>
        <w:rPr>
          <w:rFonts w:eastAsia="Times New Roman"/>
          <w:i/>
          <w:iCs/>
          <w:color w:val="000000"/>
          <w:sz w:val="20"/>
          <w:szCs w:val="20"/>
        </w:rPr>
        <w:t>Dividends</w:t>
      </w:r>
      <w:r>
        <w:rPr>
          <w:rFonts w:eastAsia="Times New Roman"/>
          <w:color w:val="000000"/>
          <w:sz w:val="20"/>
          <w:szCs w:val="20"/>
        </w:rPr>
        <w:t>" below.</w:t>
      </w:r>
    </w:p>
    <w:p w:rsidR="00000000" w:rsidRDefault="00BB5C2D">
      <w:pPr>
        <w:ind w:firstLine="720"/>
        <w:jc w:val="both"/>
        <w:divId w:val="93283519"/>
        <w:rPr>
          <w:rFonts w:eastAsia="Times New Roman"/>
        </w:rPr>
      </w:pPr>
      <w:r>
        <w:rPr>
          <w:rFonts w:eastAsia="Times New Roman"/>
          <w:color w:val="000000"/>
          <w:sz w:val="20"/>
          <w:szCs w:val="20"/>
        </w:rPr>
        <w:t>These increases in cash provided by financing activities were partially offset by:</w:t>
      </w:r>
    </w:p>
    <w:p w:rsidR="00000000" w:rsidRDefault="00BB5C2D">
      <w:pPr>
        <w:ind w:hanging="360"/>
        <w:jc w:val="both"/>
        <w:divId w:val="486553350"/>
        <w:rPr>
          <w:rFonts w:eastAsia="Times New Roman"/>
        </w:rPr>
      </w:pPr>
      <w:r>
        <w:rPr>
          <w:rFonts w:eastAsia="Times New Roman"/>
          <w:color w:val="000000"/>
          <w:sz w:val="20"/>
          <w:szCs w:val="20"/>
        </w:rPr>
        <w:t>•an $8.1 million decrease in cash proceeds from the issuance of debt, less debt repayments. During Fiscal 2021, we receiv</w:t>
      </w:r>
      <w:r>
        <w:rPr>
          <w:rFonts w:eastAsia="Times New Roman"/>
          <w:color w:val="000000"/>
          <w:sz w:val="20"/>
          <w:szCs w:val="20"/>
        </w:rPr>
        <w:t>ed $1.242 billion in proceeds from our issuance of 1.700% unsecured senior notes and 2.950% unsecured senior notes, a portion of which was used to repay $475 million of borrowings previously outstanding under our credit facilities and our previously outsta</w:t>
      </w:r>
      <w:r>
        <w:rPr>
          <w:rFonts w:eastAsia="Times New Roman"/>
          <w:color w:val="000000"/>
          <w:sz w:val="20"/>
          <w:szCs w:val="20"/>
        </w:rPr>
        <w:t>nding $300 million principal amount of 2.625% unsecured senior notes that matured in August 2020. On a comparative basis, during Fiscal 2020 we borrowed $475 million under our credit facilities as a preemptive action to preserve cash and strengthen our liq</w:t>
      </w:r>
      <w:r>
        <w:rPr>
          <w:rFonts w:eastAsia="Times New Roman"/>
          <w:color w:val="000000"/>
          <w:sz w:val="20"/>
          <w:szCs w:val="20"/>
        </w:rPr>
        <w:t>uidity in response to the COVID-19 pandemic.</w:t>
      </w:r>
    </w:p>
    <w:p w:rsidR="00000000" w:rsidRDefault="00BB5C2D">
      <w:pPr>
        <w:ind w:firstLine="360"/>
        <w:jc w:val="both"/>
        <w:divId w:val="1842044234"/>
        <w:rPr>
          <w:rFonts w:eastAsia="Times New Roman"/>
        </w:rPr>
      </w:pPr>
      <w:r>
        <w:rPr>
          <w:rFonts w:eastAsia="Times New Roman"/>
          <w:b/>
          <w:bCs/>
          <w:i/>
          <w:iCs/>
          <w:color w:val="000000"/>
          <w:sz w:val="20"/>
          <w:szCs w:val="20"/>
        </w:rPr>
        <w:t>Sources of Liquidity</w:t>
      </w:r>
    </w:p>
    <w:p w:rsidR="00000000" w:rsidRDefault="00BB5C2D">
      <w:pPr>
        <w:ind w:firstLine="540"/>
        <w:jc w:val="both"/>
        <w:divId w:val="75832468"/>
        <w:rPr>
          <w:rFonts w:eastAsia="Times New Roman"/>
        </w:rPr>
      </w:pPr>
      <w:r>
        <w:rPr>
          <w:rFonts w:eastAsia="Times New Roman"/>
          <w:color w:val="000000"/>
          <w:sz w:val="20"/>
          <w:szCs w:val="20"/>
        </w:rPr>
        <w:t xml:space="preserve">Our primary sources of liquidity are the cash flows generated from our operations, our available cash and cash equivalents and short-term investments, availability under our credit and overdraft facilities and commercial paper program, and other available </w:t>
      </w:r>
      <w:r>
        <w:rPr>
          <w:rFonts w:eastAsia="Times New Roman"/>
          <w:color w:val="000000"/>
          <w:sz w:val="20"/>
          <w:szCs w:val="20"/>
        </w:rPr>
        <w:t>financing options.</w:t>
      </w:r>
    </w:p>
    <w:p w:rsidR="00000000" w:rsidRDefault="00BB5C2D">
      <w:pPr>
        <w:ind w:firstLine="540"/>
        <w:jc w:val="both"/>
        <w:divId w:val="1551919733"/>
        <w:rPr>
          <w:rFonts w:eastAsia="Times New Roman"/>
        </w:rPr>
      </w:pPr>
      <w:r>
        <w:rPr>
          <w:rFonts w:eastAsia="Times New Roman"/>
          <w:color w:val="000000"/>
          <w:sz w:val="20"/>
          <w:szCs w:val="20"/>
        </w:rPr>
        <w:t>During Fiscal 2022, we generated $715.9 million of net cash flows from our operations. As of April 2, 2022, we had $2.598 billion in cash, cash equivalents, and short-term investments, of which $995.5 million were held by our subsidiarie</w:t>
      </w:r>
      <w:r>
        <w:rPr>
          <w:rFonts w:eastAsia="Times New Roman"/>
          <w:color w:val="000000"/>
          <w:sz w:val="20"/>
          <w:szCs w:val="20"/>
        </w:rPr>
        <w:t>s domiciled outside the U.S. We are not dependent on foreign cash to fund our domestic operations. Undistributed foreign earnings generated on or before December 31, 2017 that were subject to the one-time mandatory transition tax in connection with U.S. ta</w:t>
      </w:r>
      <w:r>
        <w:rPr>
          <w:rFonts w:eastAsia="Times New Roman"/>
          <w:color w:val="000000"/>
          <w:sz w:val="20"/>
          <w:szCs w:val="20"/>
        </w:rPr>
        <w:t>x legislation commonly referred to as the Tax Cuts and Jobs Act (the "TCJA") are not considered to be permanently reinvested and may be repatriated to the U.S. in the future with minimal or no additional U.S. taxation. We intend to permanently reinvest und</w:t>
      </w:r>
      <w:r>
        <w:rPr>
          <w:rFonts w:eastAsia="Times New Roman"/>
          <w:color w:val="000000"/>
          <w:sz w:val="20"/>
          <w:szCs w:val="20"/>
        </w:rPr>
        <w:t>istributed foreign earnings generated after December 31, 2017 that were not subject to the one-time mandatory transition tax. However, if our plans change and we choose to repatriate post-2017 earnings to the U.S. in the future, we would be subject to appl</w:t>
      </w:r>
      <w:r>
        <w:rPr>
          <w:rFonts w:eastAsia="Times New Roman"/>
          <w:color w:val="000000"/>
          <w:sz w:val="20"/>
          <w:szCs w:val="20"/>
        </w:rPr>
        <w:t>icable U.S. and foreign taxes.</w:t>
      </w:r>
    </w:p>
    <w:p w:rsidR="00000000" w:rsidRDefault="00BB5C2D">
      <w:pPr>
        <w:ind w:firstLine="540"/>
        <w:jc w:val="both"/>
        <w:divId w:val="664434521"/>
        <w:rPr>
          <w:rFonts w:eastAsia="Times New Roman"/>
        </w:rPr>
      </w:pPr>
      <w:r>
        <w:rPr>
          <w:rFonts w:eastAsia="Times New Roman"/>
          <w:color w:val="000000"/>
          <w:sz w:val="20"/>
          <w:szCs w:val="20"/>
        </w:rPr>
        <w:t>The following table presents the total availability, borrowings outstanding, and remaining availability under our credit and overdraft facilities and Commercial Paper Program as of April 2, 2022:</w:t>
      </w:r>
    </w:p>
    <w:tbl>
      <w:tblPr>
        <w:tblW w:w="4641" w:type="pct"/>
        <w:jc w:val="center"/>
        <w:tblCellMar>
          <w:top w:w="15" w:type="dxa"/>
          <w:left w:w="15" w:type="dxa"/>
          <w:bottom w:w="15" w:type="dxa"/>
          <w:right w:w="15" w:type="dxa"/>
        </w:tblCellMar>
        <w:tblLook w:val="04A0" w:firstRow="1" w:lastRow="0" w:firstColumn="1" w:lastColumn="0" w:noHBand="0" w:noVBand="1"/>
      </w:tblPr>
      <w:tblGrid>
        <w:gridCol w:w="41"/>
        <w:gridCol w:w="3949"/>
        <w:gridCol w:w="36"/>
        <w:gridCol w:w="36"/>
        <w:gridCol w:w="36"/>
        <w:gridCol w:w="36"/>
        <w:gridCol w:w="121"/>
        <w:gridCol w:w="884"/>
        <w:gridCol w:w="36"/>
        <w:gridCol w:w="41"/>
        <w:gridCol w:w="121"/>
        <w:gridCol w:w="36"/>
        <w:gridCol w:w="121"/>
        <w:gridCol w:w="911"/>
        <w:gridCol w:w="36"/>
        <w:gridCol w:w="59"/>
        <w:gridCol w:w="121"/>
        <w:gridCol w:w="36"/>
        <w:gridCol w:w="121"/>
        <w:gridCol w:w="896"/>
        <w:gridCol w:w="36"/>
      </w:tblGrid>
      <w:tr w:rsidR="00000000">
        <w:trPr>
          <w:divId w:val="627932876"/>
          <w:jc w:val="center"/>
        </w:trPr>
        <w:tc>
          <w:tcPr>
            <w:tcW w:w="50" w:type="pct"/>
            <w:vAlign w:val="center"/>
            <w:hideMark/>
          </w:tcPr>
          <w:p w:rsidR="00000000" w:rsidRDefault="00BB5C2D">
            <w:pPr>
              <w:ind w:firstLine="540"/>
              <w:jc w:val="both"/>
              <w:rPr>
                <w:rFonts w:eastAsia="Times New Roman"/>
              </w:rPr>
            </w:pPr>
          </w:p>
        </w:tc>
        <w:tc>
          <w:tcPr>
            <w:tcW w:w="258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61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0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61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0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61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627932876"/>
          <w:jc w:val="center"/>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 2022</w:t>
            </w:r>
          </w:p>
        </w:tc>
      </w:tr>
      <w:tr w:rsidR="00000000">
        <w:trPr>
          <w:divId w:val="627932876"/>
          <w:jc w:val="center"/>
        </w:trPr>
        <w:tc>
          <w:tcPr>
            <w:tcW w:w="0" w:type="auto"/>
            <w:gridSpan w:val="3"/>
            <w:tcMar>
              <w:top w:w="30" w:type="dxa"/>
              <w:left w:w="20" w:type="dxa"/>
              <w:bottom w:w="30" w:type="dxa"/>
              <w:right w:w="20" w:type="dxa"/>
            </w:tcMar>
            <w:vAlign w:val="bottom"/>
            <w:hideMark/>
          </w:tcPr>
          <w:p w:rsidR="00000000" w:rsidRDefault="00BB5C2D">
            <w:pPr>
              <w:spacing w:after="100"/>
              <w:divId w:val="822282057"/>
              <w:rPr>
                <w:rFonts w:eastAsia="Times New Roman"/>
              </w:rPr>
            </w:pPr>
            <w:r>
              <w:rPr>
                <w:rFonts w:eastAsia="Times New Roman"/>
                <w:b/>
                <w:bCs/>
                <w:color w:val="000000"/>
                <w:sz w:val="16"/>
                <w:szCs w:val="16"/>
                <w:u w:val="single"/>
              </w:rPr>
              <w:t>Descriptio</w:t>
            </w:r>
            <w:r>
              <w:rPr>
                <w:rFonts w:eastAsia="Times New Roman"/>
                <w:b/>
                <w:bCs/>
                <w:color w:val="000000"/>
                <w:sz w:val="16"/>
                <w:szCs w:val="16"/>
                <w:u w:val="single"/>
              </w:rPr>
              <w:t>n</w:t>
            </w:r>
            <w:r>
              <w:rPr>
                <w:rFonts w:eastAsia="Times New Roman"/>
                <w:b/>
                <w:bCs/>
                <w:color w:val="000000"/>
                <w:sz w:val="10"/>
                <w:szCs w:val="10"/>
              </w:rPr>
              <w:t>(a</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Availability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Borrowings</w:t>
            </w:r>
            <w:r>
              <w:rPr>
                <w:rFonts w:eastAsia="Times New Roman"/>
                <w:b/>
                <w:bCs/>
                <w:color w:val="000000"/>
                <w:sz w:val="16"/>
                <w:szCs w:val="16"/>
              </w:rPr>
              <w:br/>
              <w:t>Outstanding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Remaining</w:t>
            </w:r>
            <w:r>
              <w:rPr>
                <w:rFonts w:eastAsia="Times New Roman"/>
                <w:b/>
                <w:bCs/>
                <w:color w:val="000000"/>
                <w:sz w:val="16"/>
                <w:szCs w:val="16"/>
              </w:rPr>
              <w:br/>
              <w:t>Availability</w:t>
            </w:r>
          </w:p>
        </w:tc>
      </w:tr>
      <w:tr w:rsidR="00000000">
        <w:trPr>
          <w:divId w:val="627932876"/>
          <w:jc w:val="center"/>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627932876"/>
          <w:jc w:val="center"/>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divId w:val="2090156178"/>
              <w:rPr>
                <w:rFonts w:eastAsia="Times New Roman"/>
              </w:rPr>
            </w:pPr>
            <w:r>
              <w:rPr>
                <w:rFonts w:eastAsia="Times New Roman"/>
                <w:color w:val="000000"/>
                <w:sz w:val="20"/>
                <w:szCs w:val="20"/>
              </w:rPr>
              <w:t>Global Credit Facility and Commercial Paper Progra</w:t>
            </w:r>
            <w:r>
              <w:rPr>
                <w:rFonts w:eastAsia="Times New Roman"/>
                <w:color w:val="000000"/>
                <w:sz w:val="20"/>
                <w:szCs w:val="20"/>
              </w:rPr>
              <w:t>m</w:t>
            </w:r>
            <w:r>
              <w:rPr>
                <w:rFonts w:eastAsia="Times New Roman"/>
                <w:b/>
                <w:bCs/>
                <w:color w:val="000000"/>
                <w:sz w:val="13"/>
                <w:szCs w:val="13"/>
              </w:rPr>
              <w:t>(b</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500 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divId w:val="791095137"/>
              <w:rPr>
                <w:rFonts w:eastAsia="Times New Roman"/>
              </w:rPr>
            </w:pPr>
            <w:r>
              <w:rPr>
                <w:rFonts w:eastAsia="Times New Roman"/>
                <w:b/>
                <w:bCs/>
                <w:color w:val="000000"/>
                <w:sz w:val="13"/>
                <w:szCs w:val="13"/>
              </w:rPr>
              <w:t>(c</w:t>
            </w:r>
            <w:r>
              <w:rPr>
                <w:rFonts w:eastAsia="Times New Roman"/>
                <w:b/>
                <w:bCs/>
                <w:color w:val="000000"/>
                <w:sz w:val="13"/>
                <w:szCs w:val="13"/>
              </w:rPr>
              <w:t>)</w:t>
            </w: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490 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627932876"/>
          <w:jc w:val="center"/>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divId w:val="923149985"/>
              <w:rPr>
                <w:rFonts w:eastAsia="Times New Roman"/>
              </w:rPr>
            </w:pPr>
            <w:r>
              <w:rPr>
                <w:rFonts w:eastAsia="Times New Roman"/>
                <w:color w:val="000000"/>
                <w:sz w:val="20"/>
                <w:szCs w:val="20"/>
              </w:rPr>
              <w:t>Pan-Asia Credit Facilitie</w:t>
            </w:r>
            <w:r>
              <w:rPr>
                <w:rFonts w:eastAsia="Times New Roman"/>
                <w:color w:val="000000"/>
                <w:sz w:val="20"/>
                <w:szCs w:val="20"/>
              </w:rPr>
              <w:t>s</w:t>
            </w:r>
            <w:r>
              <w:rPr>
                <w:rFonts w:eastAsia="Times New Roman"/>
                <w:b/>
                <w:bCs/>
                <w:color w:val="000000"/>
                <w:sz w:val="13"/>
                <w:szCs w:val="13"/>
              </w:rPr>
              <w:t>(d</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627932876"/>
          <w:jc w:val="center"/>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Japan Overdraft Facility</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41 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41 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BB5C2D">
            <w:pPr>
              <w:ind w:firstLine="540"/>
              <w:jc w:val="center"/>
              <w:rPr>
                <w:rFonts w:eastAsia="Times New Roman"/>
              </w:rPr>
            </w:pPr>
          </w:p>
        </w:tc>
        <w:tc>
          <w:tcPr>
            <w:tcW w:w="494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r>
    </w:tbl>
    <w:p w:rsidR="00000000" w:rsidRDefault="00BB5C2D">
      <w:pPr>
        <w:ind w:hanging="360"/>
        <w:jc w:val="both"/>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As defined in Note 11 to the accompanying consolidated financial statements.</w:t>
      </w:r>
    </w:p>
    <w:p w:rsidR="00000000" w:rsidRDefault="00BB5C2D">
      <w:pPr>
        <w:ind w:hanging="360"/>
        <w:jc w:val="both"/>
        <w:divId w:val="964116960"/>
        <w:rPr>
          <w:rFonts w:eastAsia="Times New Roman"/>
        </w:rPr>
      </w:pPr>
      <w:r>
        <w:rPr>
          <w:rFonts w:eastAsia="Times New Roman"/>
          <w:b/>
          <w:bCs/>
          <w:color w:val="000000"/>
          <w:sz w:val="13"/>
          <w:szCs w:val="13"/>
        </w:rPr>
        <w:t>(b</w:t>
      </w:r>
      <w:r>
        <w:rPr>
          <w:rFonts w:eastAsia="Times New Roman"/>
          <w:b/>
          <w:bCs/>
          <w:color w:val="000000"/>
          <w:sz w:val="13"/>
          <w:szCs w:val="13"/>
        </w:rPr>
        <w:t>)</w:t>
      </w:r>
      <w:r>
        <w:rPr>
          <w:rFonts w:eastAsia="Times New Roman"/>
          <w:color w:val="000000"/>
          <w:sz w:val="20"/>
          <w:szCs w:val="20"/>
        </w:rPr>
        <w:t>Borrowings under the Commercial Paper Program are supported by the Global Credit Facility. Accordingly, we do not expect combined borrowings outstanding under the Commercial Paper Program and the Global Credit Facility to exceed $500 million.</w:t>
      </w:r>
    </w:p>
    <w:p w:rsidR="00000000" w:rsidRDefault="00BB5C2D">
      <w:pPr>
        <w:ind w:hanging="360"/>
        <w:jc w:val="both"/>
        <w:divId w:val="1122000855"/>
        <w:rPr>
          <w:rFonts w:eastAsia="Times New Roman"/>
        </w:rPr>
      </w:pPr>
      <w:r>
        <w:rPr>
          <w:rFonts w:eastAsia="Times New Roman"/>
          <w:b/>
          <w:bCs/>
          <w:color w:val="000000"/>
          <w:sz w:val="13"/>
          <w:szCs w:val="13"/>
        </w:rPr>
        <w:t>(c</w:t>
      </w:r>
      <w:r>
        <w:rPr>
          <w:rFonts w:eastAsia="Times New Roman"/>
          <w:b/>
          <w:bCs/>
          <w:color w:val="000000"/>
          <w:sz w:val="13"/>
          <w:szCs w:val="13"/>
        </w:rPr>
        <w:t>)</w:t>
      </w:r>
      <w:r>
        <w:rPr>
          <w:rFonts w:eastAsia="Times New Roman"/>
          <w:color w:val="000000"/>
          <w:sz w:val="20"/>
          <w:szCs w:val="20"/>
        </w:rPr>
        <w:t>Represents</w:t>
      </w:r>
      <w:r>
        <w:rPr>
          <w:rFonts w:eastAsia="Times New Roman"/>
          <w:color w:val="000000"/>
          <w:sz w:val="20"/>
          <w:szCs w:val="20"/>
        </w:rPr>
        <w:t xml:space="preserve"> outstanding letters of credit for which we were contingently liable under the Global Credit Facility as of April 2, 2022.</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139152213"/>
          <w:jc w:val="center"/>
        </w:trPr>
        <w:tc>
          <w:tcPr>
            <w:tcW w:w="50" w:type="pct"/>
            <w:vAlign w:val="center"/>
            <w:hideMark/>
          </w:tcPr>
          <w:p w:rsidR="00000000" w:rsidRDefault="00BB5C2D">
            <w:pPr>
              <w:ind w:hanging="36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139152213"/>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66</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94" style="width:0;height:1.5pt" o:hralign="center" o:hrstd="t" o:hr="t" fillcolor="#a0a0a0" stroked="f"/>
        </w:pict>
      </w:r>
    </w:p>
    <w:p w:rsidR="00000000" w:rsidRDefault="00BB5C2D">
      <w:pPr>
        <w:divId w:val="1159807837"/>
        <w:rPr>
          <w:rFonts w:eastAsia="Times New Roman"/>
        </w:rPr>
      </w:pPr>
    </w:p>
    <w:p w:rsidR="00000000" w:rsidRDefault="00BB5C2D">
      <w:pPr>
        <w:ind w:hanging="360"/>
        <w:jc w:val="both"/>
        <w:divId w:val="401559398"/>
        <w:rPr>
          <w:rFonts w:eastAsia="Times New Roman"/>
        </w:rPr>
      </w:pPr>
      <w:r>
        <w:rPr>
          <w:rFonts w:eastAsia="Times New Roman"/>
          <w:b/>
          <w:bCs/>
          <w:color w:val="000000"/>
          <w:sz w:val="13"/>
          <w:szCs w:val="13"/>
        </w:rPr>
        <w:t>(d</w:t>
      </w:r>
      <w:r>
        <w:rPr>
          <w:rFonts w:eastAsia="Times New Roman"/>
          <w:b/>
          <w:bCs/>
          <w:color w:val="000000"/>
          <w:sz w:val="13"/>
          <w:szCs w:val="13"/>
        </w:rPr>
        <w:t>)</w:t>
      </w:r>
      <w:r>
        <w:rPr>
          <w:rFonts w:eastAsia="Times New Roman"/>
          <w:color w:val="000000"/>
          <w:sz w:val="20"/>
          <w:szCs w:val="20"/>
        </w:rPr>
        <w:t>We amended the China Credit Facility during the first quarter of Fiscal 2023, whereby the borrowing capacity was increased to 100 million Chinese Renminbi (approximately $16 million). Accordingly, our total availabi</w:t>
      </w:r>
      <w:r>
        <w:rPr>
          <w:rFonts w:eastAsia="Times New Roman"/>
          <w:color w:val="000000"/>
          <w:sz w:val="20"/>
          <w:szCs w:val="20"/>
        </w:rPr>
        <w:t>lity under the Pan-Asia Credit Facilities was increased to approximately $41 million during the first quarter of Fiscal 2023. See Note 11 to the accompanying consolidated financial statements.</w:t>
      </w:r>
    </w:p>
    <w:p w:rsidR="00000000" w:rsidRDefault="00BB5C2D">
      <w:pPr>
        <w:ind w:firstLine="540"/>
        <w:jc w:val="both"/>
        <w:divId w:val="662587785"/>
        <w:rPr>
          <w:rFonts w:eastAsia="Times New Roman"/>
        </w:rPr>
      </w:pPr>
      <w:r>
        <w:rPr>
          <w:rFonts w:eastAsia="Times New Roman"/>
          <w:color w:val="000000"/>
          <w:sz w:val="20"/>
          <w:szCs w:val="20"/>
        </w:rPr>
        <w:t>We believe that the Global Credit Facility is adequately divers</w:t>
      </w:r>
      <w:r>
        <w:rPr>
          <w:rFonts w:eastAsia="Times New Roman"/>
          <w:color w:val="000000"/>
          <w:sz w:val="20"/>
          <w:szCs w:val="20"/>
        </w:rPr>
        <w:t>ified with no undue concentration in any one financial institution. In particular, as of April 2, 2022, there were eight financial institutions participating in the Global Credit Facility, with no one participant maintaining a maximum commitment percentage</w:t>
      </w:r>
      <w:r>
        <w:rPr>
          <w:rFonts w:eastAsia="Times New Roman"/>
          <w:color w:val="000000"/>
          <w:sz w:val="20"/>
          <w:szCs w:val="20"/>
        </w:rPr>
        <w:t xml:space="preserve"> in excess of 20%. In accordance with the terms of the agreement, we have the ability to expand our borrowing availability under the Global Credit Facility to $1 billion through the full term of the facility, subject to the agreement of one or more new or </w:t>
      </w:r>
      <w:r>
        <w:rPr>
          <w:rFonts w:eastAsia="Times New Roman"/>
          <w:color w:val="000000"/>
          <w:sz w:val="20"/>
          <w:szCs w:val="20"/>
        </w:rPr>
        <w:t>existing lenders under the facility to increase their commitments.</w:t>
      </w:r>
    </w:p>
    <w:p w:rsidR="00000000" w:rsidRDefault="00BB5C2D">
      <w:pPr>
        <w:ind w:firstLine="540"/>
        <w:jc w:val="both"/>
        <w:divId w:val="536697642"/>
        <w:rPr>
          <w:rFonts w:eastAsia="Times New Roman"/>
        </w:rPr>
      </w:pPr>
      <w:r>
        <w:rPr>
          <w:rFonts w:eastAsia="Times New Roman"/>
          <w:color w:val="000000"/>
          <w:sz w:val="20"/>
          <w:szCs w:val="20"/>
        </w:rPr>
        <w:t xml:space="preserve">Borrowings under the Pan-Asia Credit Facilities and Japan Overdraft Facility (collectively, the "Pan-Asia Borrowing Facilities") are guaranteed by the parent company and are granted at the </w:t>
      </w:r>
      <w:r>
        <w:rPr>
          <w:rFonts w:eastAsia="Times New Roman"/>
          <w:color w:val="000000"/>
          <w:sz w:val="20"/>
          <w:szCs w:val="20"/>
        </w:rPr>
        <w:t>sole discretion of the participating banks (as described within Note 11 to the accompanying consolidated financial statements), subject to availability of the respective banks' funds and satisfaction of certain regulatory requirements. We have no reason to</w:t>
      </w:r>
      <w:r>
        <w:rPr>
          <w:rFonts w:eastAsia="Times New Roman"/>
          <w:color w:val="000000"/>
          <w:sz w:val="20"/>
          <w:szCs w:val="20"/>
        </w:rPr>
        <w:t xml:space="preserve"> believe that the participating institutions will be unable to fulfill their obligations to provide financing in accordance with the terms of the Global Credit Facility and the Pan-Asia Borrowing Facilities in the event of our election to draw additional f</w:t>
      </w:r>
      <w:r>
        <w:rPr>
          <w:rFonts w:eastAsia="Times New Roman"/>
          <w:color w:val="000000"/>
          <w:sz w:val="20"/>
          <w:szCs w:val="20"/>
        </w:rPr>
        <w:t>unds in the foreseeable future.</w:t>
      </w:r>
    </w:p>
    <w:p w:rsidR="00000000" w:rsidRDefault="00BB5C2D">
      <w:pPr>
        <w:ind w:firstLine="540"/>
        <w:jc w:val="both"/>
        <w:divId w:val="58406919"/>
        <w:rPr>
          <w:rFonts w:eastAsia="Times New Roman"/>
        </w:rPr>
      </w:pPr>
      <w:r>
        <w:rPr>
          <w:rFonts w:eastAsia="Times New Roman"/>
          <w:color w:val="000000"/>
          <w:sz w:val="20"/>
          <w:szCs w:val="20"/>
        </w:rPr>
        <w:t>Our sources of liquidity are used to fund our ongoing cash requirements, including working capital requirements, global retail store and digital commerce expansion, construction and renovation of shop-within-shops, investmen</w:t>
      </w:r>
      <w:r>
        <w:rPr>
          <w:rFonts w:eastAsia="Times New Roman"/>
          <w:color w:val="000000"/>
          <w:sz w:val="20"/>
          <w:szCs w:val="20"/>
        </w:rPr>
        <w:t>t in infrastructure, including technology, acquisitions, joint ventures, payment of dividends, debt repayments, Class A common stock repurchases, settlement of contingent liabilities (including uncertain tax positions), and other corporate activities, incl</w:t>
      </w:r>
      <w:r>
        <w:rPr>
          <w:rFonts w:eastAsia="Times New Roman"/>
          <w:color w:val="000000"/>
          <w:sz w:val="20"/>
          <w:szCs w:val="20"/>
        </w:rPr>
        <w:t>uding our restructuring actions. We believe that our existing sources of cash, the availability under our credit facilities, and our ability to access capital markets will be sufficient to support our operating, capital, and debt service requirements for t</w:t>
      </w:r>
      <w:r>
        <w:rPr>
          <w:rFonts w:eastAsia="Times New Roman"/>
          <w:color w:val="000000"/>
          <w:sz w:val="20"/>
          <w:szCs w:val="20"/>
        </w:rPr>
        <w:t>he foreseeable future, the ongoing development of our businesses, and our plans for further business expansion. However, prolonged periods of adverse economic conditions or business disruptions in any of our key regions, or a combination thereof, such as t</w:t>
      </w:r>
      <w:r>
        <w:rPr>
          <w:rFonts w:eastAsia="Times New Roman"/>
          <w:color w:val="000000"/>
          <w:sz w:val="20"/>
          <w:szCs w:val="20"/>
        </w:rPr>
        <w:t>hose resulting from pandemic diseases and other catastrophic events, could impede our ability to pay our obligations as they become due or return value to our shareholders, as well as delay previously planned expenditures related to our operations.</w:t>
      </w:r>
    </w:p>
    <w:p w:rsidR="00000000" w:rsidRDefault="00BB5C2D">
      <w:pPr>
        <w:ind w:firstLine="540"/>
        <w:jc w:val="both"/>
        <w:divId w:val="253124858"/>
        <w:rPr>
          <w:rFonts w:eastAsia="Times New Roman"/>
        </w:rPr>
      </w:pPr>
      <w:r>
        <w:rPr>
          <w:rFonts w:eastAsia="Times New Roman"/>
          <w:color w:val="000000"/>
          <w:sz w:val="20"/>
          <w:szCs w:val="20"/>
        </w:rPr>
        <w:t>See Not</w:t>
      </w:r>
      <w:r>
        <w:rPr>
          <w:rFonts w:eastAsia="Times New Roman"/>
          <w:color w:val="000000"/>
          <w:sz w:val="20"/>
          <w:szCs w:val="20"/>
        </w:rPr>
        <w:t>e 11 to the accompanying consolidated financial statements for additional information relating to our credit facilities.</w:t>
      </w:r>
    </w:p>
    <w:p w:rsidR="00000000" w:rsidRDefault="00BB5C2D">
      <w:pPr>
        <w:ind w:firstLine="360"/>
        <w:jc w:val="both"/>
        <w:divId w:val="86999000"/>
        <w:rPr>
          <w:rFonts w:eastAsia="Times New Roman"/>
        </w:rPr>
      </w:pPr>
      <w:r>
        <w:rPr>
          <w:rFonts w:eastAsia="Times New Roman"/>
          <w:b/>
          <w:bCs/>
          <w:i/>
          <w:iCs/>
          <w:color w:val="000000"/>
          <w:sz w:val="20"/>
          <w:szCs w:val="20"/>
        </w:rPr>
        <w:t>Debt and Covenant Compliance</w:t>
      </w:r>
    </w:p>
    <w:p w:rsidR="00000000" w:rsidRDefault="00BB5C2D">
      <w:pPr>
        <w:ind w:firstLine="540"/>
        <w:jc w:val="both"/>
        <w:divId w:val="574824034"/>
        <w:rPr>
          <w:rFonts w:eastAsia="Times New Roman"/>
        </w:rPr>
      </w:pPr>
      <w:r>
        <w:rPr>
          <w:rFonts w:eastAsia="Times New Roman"/>
          <w:color w:val="000000"/>
          <w:sz w:val="20"/>
          <w:szCs w:val="20"/>
        </w:rPr>
        <w:t>In August 2018, we completed a registered public debt offering and issued $400 million aggregate principal</w:t>
      </w:r>
      <w:r>
        <w:rPr>
          <w:rFonts w:eastAsia="Times New Roman"/>
          <w:color w:val="000000"/>
          <w:sz w:val="20"/>
          <w:szCs w:val="20"/>
        </w:rPr>
        <w:t xml:space="preserve"> amount of unsecured senior notes due September 15, 2025, which bear interest at a fixed rate of 3.750%, payable semi-annually (the "3.750% Senior Notes"). In June 2020, we completed another registered public debt offering and issued an additional $500 mil</w:t>
      </w:r>
      <w:r>
        <w:rPr>
          <w:rFonts w:eastAsia="Times New Roman"/>
          <w:color w:val="000000"/>
          <w:sz w:val="20"/>
          <w:szCs w:val="20"/>
        </w:rPr>
        <w:t>lion aggregate principal amount of unsecured senior notes due June 15, 2022, which bear interest at a fixed rate of 1.700%, payable semi-annually (the "1.700% Senior Notes"), and $750 million aggregate principal amount of unsecured senior notes due June 15</w:t>
      </w:r>
      <w:r>
        <w:rPr>
          <w:rFonts w:eastAsia="Times New Roman"/>
          <w:color w:val="000000"/>
          <w:sz w:val="20"/>
          <w:szCs w:val="20"/>
        </w:rPr>
        <w:t>, 2030, which bear interest at a fixed rate of 2.950%, payable semi-annually (the "2.950% Senior Notes").</w:t>
      </w:r>
    </w:p>
    <w:p w:rsidR="00000000" w:rsidRDefault="00BB5C2D">
      <w:pPr>
        <w:ind w:firstLine="540"/>
        <w:jc w:val="both"/>
        <w:divId w:val="819886136"/>
        <w:rPr>
          <w:rFonts w:eastAsia="Times New Roman"/>
        </w:rPr>
      </w:pPr>
      <w:r>
        <w:rPr>
          <w:rFonts w:eastAsia="Times New Roman"/>
          <w:color w:val="000000"/>
          <w:sz w:val="20"/>
          <w:szCs w:val="20"/>
        </w:rPr>
        <w:t>The indenture and supplemental indentures governing the 3.750% Senior Notes, 1.700% Senior Notes, and 2.950% Senior Notes (as supplemented, the "Inden</w:t>
      </w:r>
      <w:r>
        <w:rPr>
          <w:rFonts w:eastAsia="Times New Roman"/>
          <w:color w:val="000000"/>
          <w:sz w:val="20"/>
          <w:szCs w:val="20"/>
        </w:rPr>
        <w:t xml:space="preserve">ture") contain certain covenants that restrict our ability, subject to specified exceptions, to incur certain liens; enter into sale and leaseback transactions; consolidate or merge with another party; or sell, lease, or convey all or substantially all of </w:t>
      </w:r>
      <w:r>
        <w:rPr>
          <w:rFonts w:eastAsia="Times New Roman"/>
          <w:color w:val="000000"/>
          <w:sz w:val="20"/>
          <w:szCs w:val="20"/>
        </w:rPr>
        <w:t>our property or assets to another party. However, the Indenture does not contain any financial covenants.</w:t>
      </w:r>
    </w:p>
    <w:p w:rsidR="00000000" w:rsidRDefault="00BB5C2D">
      <w:pPr>
        <w:ind w:firstLine="540"/>
        <w:jc w:val="both"/>
        <w:divId w:val="382876938"/>
        <w:rPr>
          <w:rFonts w:eastAsia="Times New Roman"/>
        </w:rPr>
      </w:pPr>
      <w:r>
        <w:rPr>
          <w:rFonts w:eastAsia="Times New Roman"/>
          <w:color w:val="000000"/>
          <w:sz w:val="20"/>
          <w:szCs w:val="20"/>
        </w:rPr>
        <w:t>We have a credit facility that provides for a $500 million senior unsecured revolving line of credit through August 12, 2024, which is also used to su</w:t>
      </w:r>
      <w:r>
        <w:rPr>
          <w:rFonts w:eastAsia="Times New Roman"/>
          <w:color w:val="000000"/>
          <w:sz w:val="20"/>
          <w:szCs w:val="20"/>
        </w:rPr>
        <w:t>pport the issuance of letters of credit and the maintenance of the Commercial Paper Program (the "Global Credit Facility"). Borrowings under the Global Credit Facility may be denominated in U.S. Dollars and other currencies, including Euros, Hong Kong Doll</w:t>
      </w:r>
      <w:r>
        <w:rPr>
          <w:rFonts w:eastAsia="Times New Roman"/>
          <w:color w:val="000000"/>
          <w:sz w:val="20"/>
          <w:szCs w:val="20"/>
        </w:rPr>
        <w:t>ars, and Japanese Yen. We have the ability to expand the borrowing availability under the Global Credit Facility to $1 billion, subject to the agreement of one or more new or existing lenders under the facility to increase their commitments. There are no m</w:t>
      </w:r>
      <w:r>
        <w:rPr>
          <w:rFonts w:eastAsia="Times New Roman"/>
          <w:color w:val="000000"/>
          <w:sz w:val="20"/>
          <w:szCs w:val="20"/>
        </w:rPr>
        <w:t>andatory reductions in borrowing ability throughout the term of the Global Credit Facility.</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853225474"/>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853225474"/>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67</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95" style="width:0;height:1.5pt" o:hralign="center" o:hrstd="t" o:hr="t" fillcolor="#a0a0a0" stroked="f"/>
        </w:pict>
      </w:r>
    </w:p>
    <w:p w:rsidR="00000000" w:rsidRDefault="00BB5C2D">
      <w:pPr>
        <w:divId w:val="773981473"/>
        <w:rPr>
          <w:rFonts w:eastAsia="Times New Roman"/>
        </w:rPr>
      </w:pPr>
    </w:p>
    <w:p w:rsidR="00000000" w:rsidRDefault="00BB5C2D">
      <w:pPr>
        <w:ind w:firstLine="540"/>
        <w:jc w:val="both"/>
        <w:divId w:val="1708683013"/>
        <w:rPr>
          <w:rFonts w:eastAsia="Times New Roman"/>
        </w:rPr>
      </w:pPr>
      <w:r>
        <w:rPr>
          <w:rFonts w:eastAsia="Times New Roman"/>
          <w:color w:val="000000"/>
          <w:sz w:val="20"/>
          <w:szCs w:val="20"/>
        </w:rPr>
        <w:t>The Global Credit Facility contains a number of covenants, as described in Note 11 to the accompanying consolidated financial statements. As of April 2, 2022, no Event of Default (as such term is defined pursuant to th</w:t>
      </w:r>
      <w:r>
        <w:rPr>
          <w:rFonts w:eastAsia="Times New Roman"/>
          <w:color w:val="000000"/>
          <w:sz w:val="20"/>
          <w:szCs w:val="20"/>
        </w:rPr>
        <w:t>e Global Credit Facility) has occurred under our Global Credit Facility. The Pan-Asia Borrowing Facilities do not contain any financial covenants.</w:t>
      </w:r>
    </w:p>
    <w:p w:rsidR="00000000" w:rsidRDefault="00BB5C2D">
      <w:pPr>
        <w:ind w:firstLine="450"/>
        <w:jc w:val="both"/>
        <w:divId w:val="1140000051"/>
        <w:rPr>
          <w:rFonts w:eastAsia="Times New Roman"/>
        </w:rPr>
      </w:pPr>
      <w:r>
        <w:rPr>
          <w:rFonts w:eastAsia="Times New Roman"/>
          <w:color w:val="000000"/>
          <w:sz w:val="20"/>
          <w:szCs w:val="20"/>
        </w:rPr>
        <w:t xml:space="preserve">See Note 11 to the accompanying consolidated financial statements for additional information relating to our </w:t>
      </w:r>
      <w:r>
        <w:rPr>
          <w:rFonts w:eastAsia="Times New Roman"/>
          <w:color w:val="000000"/>
          <w:sz w:val="20"/>
          <w:szCs w:val="20"/>
        </w:rPr>
        <w:t>debt and covenant compliance.</w:t>
      </w:r>
    </w:p>
    <w:p w:rsidR="00000000" w:rsidRDefault="00BB5C2D">
      <w:pPr>
        <w:ind w:firstLine="360"/>
        <w:jc w:val="both"/>
        <w:divId w:val="180363508"/>
        <w:rPr>
          <w:rFonts w:eastAsia="Times New Roman"/>
        </w:rPr>
      </w:pPr>
      <w:r>
        <w:rPr>
          <w:rFonts w:eastAsia="Times New Roman"/>
          <w:b/>
          <w:bCs/>
          <w:i/>
          <w:iCs/>
          <w:color w:val="000000"/>
          <w:sz w:val="20"/>
          <w:szCs w:val="20"/>
        </w:rPr>
        <w:t>Common Stock Repurchase Program</w:t>
      </w:r>
    </w:p>
    <w:p w:rsidR="00000000" w:rsidRDefault="00BB5C2D">
      <w:pPr>
        <w:ind w:firstLine="540"/>
        <w:jc w:val="both"/>
        <w:divId w:val="1312520702"/>
        <w:rPr>
          <w:rFonts w:eastAsia="Times New Roman"/>
        </w:rPr>
      </w:pPr>
      <w:r>
        <w:rPr>
          <w:rFonts w:eastAsia="Times New Roman"/>
          <w:color w:val="000000"/>
          <w:sz w:val="20"/>
          <w:szCs w:val="20"/>
        </w:rPr>
        <w:t>Repurchases of shares of our Class A common stock are subject to overall business and market conditions, as well as other potential factors such as the temporary restrictions previously in place</w:t>
      </w:r>
      <w:r>
        <w:rPr>
          <w:rFonts w:eastAsia="Times New Roman"/>
          <w:color w:val="000000"/>
          <w:sz w:val="20"/>
          <w:szCs w:val="20"/>
        </w:rPr>
        <w:t xml:space="preserve"> under our Global Credit Facility. Accordingly, in response to business disruptions related to the COVID-19 pandemic, effective beginning in the first quarter of Fiscal 2021, we temporarily suspended our common stock repurchase program as a preemptive acti</w:t>
      </w:r>
      <w:r>
        <w:rPr>
          <w:rFonts w:eastAsia="Times New Roman"/>
          <w:color w:val="000000"/>
          <w:sz w:val="20"/>
          <w:szCs w:val="20"/>
        </w:rPr>
        <w:t>on to preserve cash and strengthen our liquidity position. However, we resumed activities under our Class A common stock repurchase program during the third quarter of Fiscal 2022 as restrictions under our Global Credit Facility were lifted (see Note 11 to</w:t>
      </w:r>
      <w:r>
        <w:rPr>
          <w:rFonts w:eastAsia="Times New Roman"/>
          <w:color w:val="000000"/>
          <w:sz w:val="20"/>
          <w:szCs w:val="20"/>
        </w:rPr>
        <w:t xml:space="preserve"> the accompanying consolidated financial statements) and overall business and market conditions have improved since the COVID-19 pandemic first emerged.</w:t>
      </w:r>
    </w:p>
    <w:p w:rsidR="00000000" w:rsidRDefault="00BB5C2D">
      <w:pPr>
        <w:ind w:firstLine="540"/>
        <w:jc w:val="both"/>
        <w:divId w:val="1097947955"/>
        <w:rPr>
          <w:rFonts w:eastAsia="Times New Roman"/>
        </w:rPr>
      </w:pPr>
      <w:r>
        <w:rPr>
          <w:rFonts w:eastAsia="Times New Roman"/>
          <w:color w:val="000000"/>
          <w:sz w:val="20"/>
          <w:szCs w:val="20"/>
        </w:rPr>
        <w:t>On February 2, 2022, our Board of Directors approved an expansion of our existing common stock repurcha</w:t>
      </w:r>
      <w:r>
        <w:rPr>
          <w:rFonts w:eastAsia="Times New Roman"/>
          <w:color w:val="000000"/>
          <w:sz w:val="20"/>
          <w:szCs w:val="20"/>
        </w:rPr>
        <w:t xml:space="preserve">se program that allowed us to repurchase up to an additional $1.500 billion of our Class A common stock. As of April 2, 2022, the remaining availability under our Class A common stock repurchase program was approximately $1.629 billion. </w:t>
      </w:r>
    </w:p>
    <w:p w:rsidR="00000000" w:rsidRDefault="00BB5C2D">
      <w:pPr>
        <w:ind w:firstLine="450"/>
        <w:jc w:val="both"/>
        <w:divId w:val="1579708908"/>
        <w:rPr>
          <w:rFonts w:eastAsia="Times New Roman"/>
        </w:rPr>
      </w:pPr>
      <w:r>
        <w:rPr>
          <w:rFonts w:eastAsia="Times New Roman"/>
          <w:color w:val="000000"/>
          <w:sz w:val="20"/>
          <w:szCs w:val="20"/>
        </w:rPr>
        <w:t>See Note 16 to the</w:t>
      </w:r>
      <w:r>
        <w:rPr>
          <w:rFonts w:eastAsia="Times New Roman"/>
          <w:color w:val="000000"/>
          <w:sz w:val="20"/>
          <w:szCs w:val="20"/>
        </w:rPr>
        <w:t xml:space="preserve"> accompanying consolidated financial statements for additional information relating to our Class A common stock repurchase program. </w:t>
      </w:r>
    </w:p>
    <w:p w:rsidR="00000000" w:rsidRDefault="00BB5C2D">
      <w:pPr>
        <w:ind w:firstLine="360"/>
        <w:jc w:val="both"/>
        <w:divId w:val="549852880"/>
        <w:rPr>
          <w:rFonts w:eastAsia="Times New Roman"/>
        </w:rPr>
      </w:pPr>
      <w:r>
        <w:rPr>
          <w:rFonts w:eastAsia="Times New Roman"/>
          <w:b/>
          <w:bCs/>
          <w:i/>
          <w:iCs/>
          <w:color w:val="000000"/>
          <w:sz w:val="20"/>
          <w:szCs w:val="20"/>
        </w:rPr>
        <w:t>Dividends</w:t>
      </w:r>
    </w:p>
    <w:p w:rsidR="00000000" w:rsidRDefault="00BB5C2D">
      <w:pPr>
        <w:ind w:firstLine="540"/>
        <w:jc w:val="both"/>
        <w:divId w:val="1108744007"/>
        <w:rPr>
          <w:rFonts w:eastAsia="Times New Roman"/>
        </w:rPr>
      </w:pPr>
      <w:r>
        <w:rPr>
          <w:rFonts w:eastAsia="Times New Roman"/>
          <w:color w:val="000000"/>
          <w:sz w:val="20"/>
          <w:szCs w:val="20"/>
        </w:rPr>
        <w:t>Except as discussed below, we have maintained a regular quarterly cash dividend program on our common stock since</w:t>
      </w:r>
      <w:r>
        <w:rPr>
          <w:rFonts w:eastAsia="Times New Roman"/>
          <w:color w:val="000000"/>
          <w:sz w:val="20"/>
          <w:szCs w:val="20"/>
        </w:rPr>
        <w:t xml:space="preserve"> 2003. </w:t>
      </w:r>
    </w:p>
    <w:p w:rsidR="00000000" w:rsidRDefault="00BB5C2D">
      <w:pPr>
        <w:ind w:firstLine="540"/>
        <w:jc w:val="both"/>
        <w:divId w:val="444353758"/>
        <w:rPr>
          <w:rFonts w:eastAsia="Times New Roman"/>
        </w:rPr>
      </w:pPr>
      <w:r>
        <w:rPr>
          <w:rFonts w:eastAsia="Times New Roman"/>
          <w:color w:val="000000"/>
          <w:sz w:val="20"/>
          <w:szCs w:val="20"/>
        </w:rPr>
        <w:t>In response to business disruptions related to the COVID-19 pandemic, effective beginning in the first quarter of Fiscal 2021 we temporarily suspended our quarterly cash dividend program as a preemptive action to preserve cash and strengthen our li</w:t>
      </w:r>
      <w:r>
        <w:rPr>
          <w:rFonts w:eastAsia="Times New Roman"/>
          <w:color w:val="000000"/>
          <w:sz w:val="20"/>
          <w:szCs w:val="20"/>
        </w:rPr>
        <w:t>quidity position. On May 19, 2021, our Board of Directors approved the reinstatement of our quarterly cash dividend program at the pre-pandemic amount of $0.6875 per share.</w:t>
      </w:r>
    </w:p>
    <w:p w:rsidR="00000000" w:rsidRDefault="00BB5C2D">
      <w:pPr>
        <w:ind w:firstLine="540"/>
        <w:jc w:val="both"/>
        <w:divId w:val="249854871"/>
        <w:rPr>
          <w:rFonts w:eastAsia="Times New Roman"/>
        </w:rPr>
      </w:pPr>
      <w:r>
        <w:rPr>
          <w:rFonts w:eastAsia="Times New Roman"/>
          <w:color w:val="000000"/>
          <w:sz w:val="20"/>
          <w:szCs w:val="20"/>
        </w:rPr>
        <w:t xml:space="preserve">On May 18, 2022, our Board of Directors approved an increase to the quarterly cash </w:t>
      </w:r>
      <w:r>
        <w:rPr>
          <w:rFonts w:eastAsia="Times New Roman"/>
          <w:color w:val="000000"/>
          <w:sz w:val="20"/>
          <w:szCs w:val="20"/>
        </w:rPr>
        <w:t>dividend on our common stock from $0.6875 to $0.75 per share. The first quarterly dividend declared to reflect this increase will be payable to shareholders of record at the close of business on July 1, 2022 and will be paid on July 15, 2022.</w:t>
      </w:r>
    </w:p>
    <w:p w:rsidR="00000000" w:rsidRDefault="00BB5C2D">
      <w:pPr>
        <w:ind w:firstLine="540"/>
        <w:jc w:val="both"/>
        <w:divId w:val="1791052773"/>
        <w:rPr>
          <w:rFonts w:eastAsia="Times New Roman"/>
        </w:rPr>
      </w:pPr>
      <w:r>
        <w:rPr>
          <w:rFonts w:eastAsia="Times New Roman"/>
          <w:color w:val="000000"/>
          <w:sz w:val="20"/>
          <w:szCs w:val="20"/>
        </w:rPr>
        <w:t xml:space="preserve">We intend to </w:t>
      </w:r>
      <w:r>
        <w:rPr>
          <w:rFonts w:eastAsia="Times New Roman"/>
          <w:color w:val="000000"/>
          <w:sz w:val="20"/>
          <w:szCs w:val="20"/>
        </w:rPr>
        <w:t xml:space="preserve">continue to pay regular dividends on outstanding shares of our common stock. However, any decision to declare and pay dividends in the future will ultimately be made at the discretion of our Board of Directors and will depend on our results of operations, </w:t>
      </w:r>
      <w:r>
        <w:rPr>
          <w:rFonts w:eastAsia="Times New Roman"/>
          <w:color w:val="000000"/>
          <w:sz w:val="20"/>
          <w:szCs w:val="20"/>
        </w:rPr>
        <w:t>cash requirements, financial condition, and other factors that the Board of Directors may deem relevant, including economic and market conditions.</w:t>
      </w:r>
    </w:p>
    <w:p w:rsidR="00000000" w:rsidRDefault="00BB5C2D">
      <w:pPr>
        <w:ind w:firstLine="540"/>
        <w:jc w:val="both"/>
        <w:divId w:val="918104234"/>
        <w:rPr>
          <w:rFonts w:eastAsia="Times New Roman"/>
        </w:rPr>
      </w:pPr>
      <w:r>
        <w:rPr>
          <w:rFonts w:eastAsia="Times New Roman"/>
          <w:color w:val="000000"/>
          <w:sz w:val="20"/>
          <w:szCs w:val="20"/>
        </w:rPr>
        <w:t xml:space="preserve">See Note 16 to the accompanying consolidated financial statements for additional information relating to our </w:t>
      </w:r>
      <w:r>
        <w:rPr>
          <w:rFonts w:eastAsia="Times New Roman"/>
          <w:color w:val="000000"/>
          <w:sz w:val="20"/>
          <w:szCs w:val="20"/>
        </w:rPr>
        <w:t>quarterly cash dividend program.</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951667418"/>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951667418"/>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68</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96" style="width:0;height:1.5pt" o:hralign="center" o:hrstd="t" o:hr="t" fillcolor="#a0a0a0" stroked="f"/>
        </w:pict>
      </w:r>
    </w:p>
    <w:p w:rsidR="00000000" w:rsidRDefault="00BB5C2D">
      <w:pPr>
        <w:divId w:val="1889411582"/>
        <w:rPr>
          <w:rFonts w:eastAsia="Times New Roman"/>
        </w:rPr>
      </w:pPr>
    </w:p>
    <w:p w:rsidR="00000000" w:rsidRDefault="00BB5C2D">
      <w:pPr>
        <w:ind w:firstLine="360"/>
        <w:jc w:val="both"/>
        <w:divId w:val="173229939"/>
        <w:rPr>
          <w:rFonts w:eastAsia="Times New Roman"/>
        </w:rPr>
      </w:pPr>
      <w:r>
        <w:rPr>
          <w:rFonts w:eastAsia="Times New Roman"/>
          <w:b/>
          <w:bCs/>
          <w:i/>
          <w:iCs/>
          <w:color w:val="000000"/>
          <w:sz w:val="20"/>
          <w:szCs w:val="20"/>
        </w:rPr>
        <w:t>Material Cash Requirements</w:t>
      </w:r>
    </w:p>
    <w:p w:rsidR="00000000" w:rsidRDefault="00BB5C2D">
      <w:pPr>
        <w:ind w:firstLine="360"/>
        <w:jc w:val="both"/>
        <w:divId w:val="905645100"/>
        <w:rPr>
          <w:rFonts w:eastAsia="Times New Roman"/>
        </w:rPr>
      </w:pPr>
      <w:r>
        <w:rPr>
          <w:rFonts w:eastAsia="Times New Roman"/>
          <w:i/>
          <w:iCs/>
          <w:color w:val="000000"/>
          <w:sz w:val="20"/>
          <w:szCs w:val="20"/>
        </w:rPr>
        <w:t>Firm Commitments</w:t>
      </w:r>
    </w:p>
    <w:p w:rsidR="00000000" w:rsidRDefault="00BB5C2D">
      <w:pPr>
        <w:ind w:firstLine="540"/>
        <w:jc w:val="both"/>
        <w:divId w:val="75909267"/>
        <w:rPr>
          <w:rFonts w:eastAsia="Times New Roman"/>
        </w:rPr>
      </w:pPr>
      <w:r>
        <w:rPr>
          <w:rFonts w:eastAsia="Times New Roman"/>
          <w:color w:val="000000"/>
          <w:sz w:val="20"/>
          <w:szCs w:val="20"/>
        </w:rPr>
        <w:t>The following table summarizes certain of our aggregate material cash requirements as of April 2, 2022, and the estimated timing and effect that such obligations are expected to have on our liquidity and cash flows in future periods. We expect to fund thes</w:t>
      </w:r>
      <w:r>
        <w:rPr>
          <w:rFonts w:eastAsia="Times New Roman"/>
          <w:color w:val="000000"/>
          <w:sz w:val="20"/>
          <w:szCs w:val="20"/>
        </w:rPr>
        <w:t>e firm commitments with operating cash flows generated in the normal course of business and, if necessary, through availability under our credit facilities or other accessible sources of financing.</w:t>
      </w:r>
    </w:p>
    <w:tbl>
      <w:tblPr>
        <w:tblW w:w="4707" w:type="pct"/>
        <w:tblCellMar>
          <w:top w:w="15" w:type="dxa"/>
          <w:left w:w="15" w:type="dxa"/>
          <w:bottom w:w="15" w:type="dxa"/>
          <w:right w:w="15" w:type="dxa"/>
        </w:tblCellMar>
        <w:tblLook w:val="04A0" w:firstRow="1" w:lastRow="0" w:firstColumn="1" w:lastColumn="0" w:noHBand="0" w:noVBand="1"/>
      </w:tblPr>
      <w:tblGrid>
        <w:gridCol w:w="39"/>
        <w:gridCol w:w="2564"/>
        <w:gridCol w:w="38"/>
        <w:gridCol w:w="36"/>
        <w:gridCol w:w="36"/>
        <w:gridCol w:w="36"/>
        <w:gridCol w:w="120"/>
        <w:gridCol w:w="770"/>
        <w:gridCol w:w="36"/>
        <w:gridCol w:w="36"/>
        <w:gridCol w:w="36"/>
        <w:gridCol w:w="36"/>
        <w:gridCol w:w="120"/>
        <w:gridCol w:w="772"/>
        <w:gridCol w:w="36"/>
        <w:gridCol w:w="36"/>
        <w:gridCol w:w="36"/>
        <w:gridCol w:w="36"/>
        <w:gridCol w:w="120"/>
        <w:gridCol w:w="772"/>
        <w:gridCol w:w="36"/>
        <w:gridCol w:w="36"/>
        <w:gridCol w:w="36"/>
        <w:gridCol w:w="36"/>
        <w:gridCol w:w="120"/>
        <w:gridCol w:w="772"/>
        <w:gridCol w:w="36"/>
        <w:gridCol w:w="36"/>
        <w:gridCol w:w="36"/>
        <w:gridCol w:w="36"/>
        <w:gridCol w:w="120"/>
        <w:gridCol w:w="772"/>
        <w:gridCol w:w="36"/>
      </w:tblGrid>
      <w:tr w:rsidR="00000000">
        <w:trPr>
          <w:divId w:val="669605379"/>
        </w:trPr>
        <w:tc>
          <w:tcPr>
            <w:tcW w:w="50" w:type="pct"/>
            <w:vAlign w:val="center"/>
            <w:hideMark/>
          </w:tcPr>
          <w:p w:rsidR="00000000" w:rsidRDefault="00BB5C2D">
            <w:pPr>
              <w:ind w:firstLine="540"/>
              <w:jc w:val="both"/>
              <w:rPr>
                <w:rFonts w:eastAsia="Times New Roman"/>
              </w:rPr>
            </w:pPr>
          </w:p>
        </w:tc>
        <w:tc>
          <w:tcPr>
            <w:tcW w:w="168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5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5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5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5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5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669605379"/>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w:t>
            </w:r>
            <w:r>
              <w:rPr>
                <w:rFonts w:eastAsia="Times New Roman"/>
                <w:b/>
                <w:bCs/>
                <w:color w:val="000000"/>
                <w:sz w:val="16"/>
                <w:szCs w:val="16"/>
              </w:rPr>
              <w:br/>
              <w:t>2023</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w:t>
            </w:r>
            <w:r>
              <w:rPr>
                <w:rFonts w:eastAsia="Times New Roman"/>
                <w:b/>
                <w:bCs/>
                <w:color w:val="000000"/>
                <w:sz w:val="16"/>
                <w:szCs w:val="16"/>
              </w:rPr>
              <w:br/>
              <w:t>2024-2025</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w:t>
            </w:r>
            <w:r>
              <w:rPr>
                <w:rFonts w:eastAsia="Times New Roman"/>
                <w:b/>
                <w:bCs/>
                <w:color w:val="000000"/>
                <w:sz w:val="16"/>
                <w:szCs w:val="16"/>
              </w:rPr>
              <w:br/>
              <w:t>2026-2027</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w:t>
            </w:r>
            <w:r>
              <w:rPr>
                <w:rFonts w:eastAsia="Times New Roman"/>
                <w:b/>
                <w:bCs/>
                <w:color w:val="000000"/>
                <w:sz w:val="16"/>
                <w:szCs w:val="16"/>
              </w:rPr>
              <w:br/>
              <w:t>2028 and</w:t>
            </w:r>
            <w:r>
              <w:rPr>
                <w:rFonts w:eastAsia="Times New Roman"/>
                <w:b/>
                <w:bCs/>
                <w:color w:val="000000"/>
                <w:sz w:val="16"/>
                <w:szCs w:val="16"/>
              </w:rPr>
              <w:br/>
              <w:t>Thereafter</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Total</w:t>
            </w:r>
          </w:p>
        </w:tc>
      </w:tr>
      <w:tr w:rsidR="00000000">
        <w:trPr>
          <w:divId w:val="669605379"/>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669605379"/>
        </w:trPr>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Senior Notes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500.0 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400.0 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750.0 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1,650.0 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669605379"/>
        </w:trPr>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Interest payments on debt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41.4 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74.3 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51.8 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77.4 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244.9 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669605379"/>
        </w:trPr>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Operating leases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286.1 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507.3 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304.3 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396.5 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1,494.2 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669605379"/>
        </w:trPr>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Finance leases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32.5 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69.1 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69.7 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276.1 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447.4 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669605379"/>
        </w:trPr>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Other lease commitments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8.4 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8.8 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23.9 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669605379"/>
        </w:trPr>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Inventory purchase commitments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915.9 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916.0 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669605379"/>
        </w:trPr>
        <w:tc>
          <w:tcPr>
            <w:tcW w:w="0" w:type="auto"/>
            <w:gridSpan w:val="3"/>
            <w:shd w:val="clear" w:color="auto" w:fill="CCEE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Mandatory transition tax payments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13.9 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57.7 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41.2 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112.8 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669605379"/>
        </w:trPr>
        <w:tc>
          <w:tcPr>
            <w:tcW w:w="0" w:type="auto"/>
            <w:gridSpan w:val="3"/>
            <w:shd w:val="clear" w:color="auto" w:fill="FFFFFF"/>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Other commitments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59.0 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43.8 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20.1 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22.0 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144.9 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669605379"/>
        </w:trPr>
        <w:tc>
          <w:tcPr>
            <w:tcW w:w="0" w:type="auto"/>
            <w:gridSpan w:val="3"/>
            <w:shd w:val="clear" w:color="auto" w:fill="CCEEFF"/>
            <w:tcMar>
              <w:top w:w="30" w:type="dxa"/>
              <w:left w:w="245" w:type="dxa"/>
              <w:bottom w:w="30" w:type="dxa"/>
              <w:right w:w="20" w:type="dxa"/>
            </w:tcMar>
            <w:hideMark/>
          </w:tcPr>
          <w:p w:rsidR="00000000" w:rsidRDefault="00BB5C2D">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1,850.5 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760.7 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895.9 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1,527.0 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5,034.1 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bl>
    <w:p w:rsidR="00000000" w:rsidRDefault="00BB5C2D">
      <w:pPr>
        <w:ind w:firstLine="540"/>
        <w:jc w:val="both"/>
        <w:divId w:val="908732487"/>
        <w:rPr>
          <w:rFonts w:eastAsia="Times New Roman"/>
        </w:rPr>
      </w:pPr>
      <w:r>
        <w:rPr>
          <w:rFonts w:eastAsia="Times New Roman"/>
          <w:color w:val="000000"/>
          <w:sz w:val="20"/>
          <w:szCs w:val="20"/>
        </w:rPr>
        <w:t>The following is a description of our material, firmly committed obligations as of April 2, 2022:</w:t>
      </w:r>
    </w:p>
    <w:p w:rsidR="00000000" w:rsidRDefault="00BB5C2D">
      <w:pPr>
        <w:ind w:hanging="360"/>
        <w:jc w:val="both"/>
        <w:divId w:val="861435021"/>
        <w:rPr>
          <w:rFonts w:eastAsia="Times New Roman"/>
        </w:rPr>
      </w:pPr>
      <w:r>
        <w:rPr>
          <w:rFonts w:eastAsia="Times New Roman"/>
          <w:color w:val="000000"/>
          <w:sz w:val="20"/>
          <w:szCs w:val="20"/>
        </w:rPr>
        <w:t>•</w:t>
      </w:r>
      <w:r>
        <w:rPr>
          <w:rFonts w:eastAsia="Times New Roman"/>
          <w:i/>
          <w:iCs/>
          <w:color w:val="000000"/>
          <w:sz w:val="20"/>
          <w:szCs w:val="20"/>
        </w:rPr>
        <w:t>Senior Notes</w:t>
      </w:r>
      <w:r>
        <w:rPr>
          <w:rFonts w:eastAsia="Times New Roman"/>
          <w:color w:val="000000"/>
          <w:sz w:val="20"/>
          <w:szCs w:val="20"/>
        </w:rPr>
        <w:t xml:space="preserve"> re</w:t>
      </w:r>
      <w:r>
        <w:rPr>
          <w:rFonts w:eastAsia="Times New Roman"/>
          <w:color w:val="000000"/>
          <w:sz w:val="20"/>
          <w:szCs w:val="20"/>
        </w:rPr>
        <w:t>present the principal amount of our outstanding 3.750% Senior Notes, 1.700% Senior Notes, and 2.950% Senior Notes. Amounts do not include any call premiums, unamortized debt issuance costs, or interest payments (see below);</w:t>
      </w:r>
    </w:p>
    <w:p w:rsidR="00000000" w:rsidRDefault="00BB5C2D">
      <w:pPr>
        <w:ind w:hanging="360"/>
        <w:jc w:val="both"/>
        <w:divId w:val="2083526927"/>
        <w:rPr>
          <w:rFonts w:eastAsia="Times New Roman"/>
        </w:rPr>
      </w:pPr>
      <w:r>
        <w:rPr>
          <w:rFonts w:eastAsia="Times New Roman"/>
          <w:color w:val="000000"/>
          <w:sz w:val="20"/>
          <w:szCs w:val="20"/>
        </w:rPr>
        <w:t>•</w:t>
      </w:r>
      <w:r>
        <w:rPr>
          <w:rFonts w:eastAsia="Times New Roman"/>
          <w:i/>
          <w:iCs/>
          <w:color w:val="000000"/>
          <w:sz w:val="20"/>
          <w:szCs w:val="20"/>
        </w:rPr>
        <w:t>Interest payments on debt</w:t>
      </w:r>
      <w:r>
        <w:rPr>
          <w:rFonts w:eastAsia="Times New Roman"/>
          <w:color w:val="000000"/>
          <w:sz w:val="20"/>
          <w:szCs w:val="20"/>
        </w:rPr>
        <w:t xml:space="preserve"> represent the semi-annual contractual interest payments due on our 3.750% Senior Notes, 1.700% Senior Notes, and 2.950% Senior Notes. Amounts do not include the impact of potential cash flows underlying our related swap contracts </w:t>
      </w:r>
      <w:r>
        <w:rPr>
          <w:rFonts w:eastAsia="Times New Roman"/>
          <w:color w:val="000000"/>
          <w:sz w:val="20"/>
          <w:szCs w:val="20"/>
        </w:rPr>
        <w:t>(see Note 13 to the accompanying consolidated financial statements for discussion of our swap contracts);</w:t>
      </w:r>
    </w:p>
    <w:p w:rsidR="00000000" w:rsidRDefault="00BB5C2D">
      <w:pPr>
        <w:ind w:hanging="360"/>
        <w:jc w:val="both"/>
        <w:divId w:val="1867718196"/>
        <w:rPr>
          <w:rFonts w:eastAsia="Times New Roman"/>
        </w:rPr>
      </w:pPr>
      <w:r>
        <w:rPr>
          <w:rFonts w:eastAsia="Times New Roman"/>
          <w:color w:val="000000"/>
          <w:sz w:val="20"/>
          <w:szCs w:val="20"/>
        </w:rPr>
        <w:t>•</w:t>
      </w:r>
      <w:r>
        <w:rPr>
          <w:rFonts w:eastAsia="Times New Roman"/>
          <w:i/>
          <w:iCs/>
          <w:color w:val="000000"/>
          <w:sz w:val="20"/>
          <w:szCs w:val="20"/>
        </w:rPr>
        <w:t>Lease obligations</w:t>
      </w:r>
      <w:r>
        <w:rPr>
          <w:rFonts w:eastAsia="Times New Roman"/>
          <w:color w:val="000000"/>
          <w:sz w:val="20"/>
          <w:szCs w:val="20"/>
        </w:rPr>
        <w:t xml:space="preserve"> represent fixed payments due over the lease term of our noncancelable leases of real estate and operating equipment, including rent</w:t>
      </w:r>
      <w:r>
        <w:rPr>
          <w:rFonts w:eastAsia="Times New Roman"/>
          <w:color w:val="000000"/>
          <w:sz w:val="20"/>
          <w:szCs w:val="20"/>
        </w:rPr>
        <w:t>, real estate taxes, insurance, common area maintenance fees, and/or certain other costs. For lease terms that have commenced, information has been presented separately for operating and finance leases. Other lease commitments relate to executed lease agre</w:t>
      </w:r>
      <w:r>
        <w:rPr>
          <w:rFonts w:eastAsia="Times New Roman"/>
          <w:color w:val="000000"/>
          <w:sz w:val="20"/>
          <w:szCs w:val="20"/>
        </w:rPr>
        <w:t>ements for which the related lease terms have not yet commenced as of April 2, 2022;</w:t>
      </w:r>
    </w:p>
    <w:p w:rsidR="00000000" w:rsidRDefault="00BB5C2D">
      <w:pPr>
        <w:ind w:hanging="360"/>
        <w:jc w:val="both"/>
        <w:divId w:val="1050886955"/>
        <w:rPr>
          <w:rFonts w:eastAsia="Times New Roman"/>
        </w:rPr>
      </w:pPr>
      <w:r>
        <w:rPr>
          <w:rFonts w:eastAsia="Times New Roman"/>
          <w:color w:val="000000"/>
          <w:sz w:val="20"/>
          <w:szCs w:val="20"/>
        </w:rPr>
        <w:t>•</w:t>
      </w:r>
      <w:r>
        <w:rPr>
          <w:rFonts w:eastAsia="Times New Roman"/>
          <w:i/>
          <w:iCs/>
          <w:color w:val="000000"/>
          <w:sz w:val="20"/>
          <w:szCs w:val="20"/>
        </w:rPr>
        <w:t>Inventory purchase commitments</w:t>
      </w:r>
      <w:r>
        <w:rPr>
          <w:rFonts w:eastAsia="Times New Roman"/>
          <w:color w:val="000000"/>
          <w:sz w:val="20"/>
          <w:szCs w:val="20"/>
        </w:rPr>
        <w:t xml:space="preserve"> represent our legally-binding agreements to purchase fixed or minimum quantities of goods at determinable prices;</w:t>
      </w:r>
    </w:p>
    <w:p w:rsidR="00000000" w:rsidRDefault="00BB5C2D">
      <w:pPr>
        <w:ind w:hanging="360"/>
        <w:jc w:val="both"/>
        <w:divId w:val="1654676105"/>
        <w:rPr>
          <w:rFonts w:eastAsia="Times New Roman"/>
        </w:rPr>
      </w:pPr>
      <w:r>
        <w:rPr>
          <w:rFonts w:eastAsia="Times New Roman"/>
          <w:color w:val="000000"/>
          <w:sz w:val="20"/>
          <w:szCs w:val="20"/>
        </w:rPr>
        <w:t>•</w:t>
      </w:r>
      <w:r>
        <w:rPr>
          <w:rFonts w:eastAsia="Times New Roman"/>
          <w:i/>
          <w:iCs/>
          <w:color w:val="000000"/>
          <w:sz w:val="20"/>
          <w:szCs w:val="20"/>
        </w:rPr>
        <w:t>Mandatory transition tax</w:t>
      </w:r>
      <w:r>
        <w:rPr>
          <w:rFonts w:eastAsia="Times New Roman"/>
          <w:i/>
          <w:iCs/>
          <w:color w:val="000000"/>
          <w:sz w:val="20"/>
          <w:szCs w:val="20"/>
        </w:rPr>
        <w:t xml:space="preserve"> payments</w:t>
      </w:r>
      <w:r>
        <w:rPr>
          <w:rFonts w:eastAsia="Times New Roman"/>
          <w:color w:val="000000"/>
          <w:sz w:val="20"/>
          <w:szCs w:val="20"/>
        </w:rPr>
        <w:t xml:space="preserve"> represent our remaining tax obligation incurred in connection with the deemed repatriation of previously deferred foreign earnings pursuant to the TCJA (see Note 10 to the accompanying consolidated financial statements for discussion of the TCJA)</w:t>
      </w:r>
      <w:r>
        <w:rPr>
          <w:rFonts w:eastAsia="Times New Roman"/>
          <w:color w:val="000000"/>
          <w:sz w:val="20"/>
          <w:szCs w:val="20"/>
        </w:rPr>
        <w:t>; and</w:t>
      </w:r>
    </w:p>
    <w:p w:rsidR="00000000" w:rsidRDefault="00BB5C2D">
      <w:pPr>
        <w:ind w:hanging="360"/>
        <w:jc w:val="both"/>
        <w:divId w:val="1409383949"/>
        <w:rPr>
          <w:rFonts w:eastAsia="Times New Roman"/>
        </w:rPr>
      </w:pPr>
      <w:r>
        <w:rPr>
          <w:rFonts w:eastAsia="Times New Roman"/>
          <w:i/>
          <w:iCs/>
          <w:color w:val="000000"/>
          <w:sz w:val="20"/>
          <w:szCs w:val="20"/>
        </w:rPr>
        <w:t>•Other commitments</w:t>
      </w:r>
      <w:r>
        <w:rPr>
          <w:rFonts w:eastAsia="Times New Roman"/>
          <w:color w:val="000000"/>
          <w:sz w:val="20"/>
          <w:szCs w:val="20"/>
        </w:rPr>
        <w:t xml:space="preserve"> primarily represent our legally-binding obligations under sponsorship, licensing, and other marketing and advertising agreements; information technology-related service agreements; and pension-related obligations.</w:t>
      </w:r>
    </w:p>
    <w:p w:rsidR="00000000" w:rsidRDefault="00BB5C2D">
      <w:pPr>
        <w:ind w:firstLine="540"/>
        <w:jc w:val="both"/>
        <w:divId w:val="1597054183"/>
        <w:rPr>
          <w:rFonts w:eastAsia="Times New Roman"/>
        </w:rPr>
      </w:pPr>
      <w:r>
        <w:rPr>
          <w:rFonts w:eastAsia="Times New Roman"/>
          <w:color w:val="000000"/>
          <w:sz w:val="20"/>
          <w:szCs w:val="20"/>
        </w:rPr>
        <w:t>Excluded from the</w:t>
      </w:r>
      <w:r>
        <w:rPr>
          <w:rFonts w:eastAsia="Times New Roman"/>
          <w:color w:val="000000"/>
          <w:sz w:val="20"/>
          <w:szCs w:val="20"/>
        </w:rPr>
        <w:t xml:space="preserve"> above contractual obligations table is the non-current liability for unrecognized tax benefits of $91.9 million as of April 2, 2022, as we cannot make a reliable estimate of the period in which the liability will be settled, if ever. The above table also </w:t>
      </w:r>
      <w:r>
        <w:rPr>
          <w:rFonts w:eastAsia="Times New Roman"/>
          <w:color w:val="000000"/>
          <w:sz w:val="20"/>
          <w:szCs w:val="20"/>
        </w:rPr>
        <w:t>excludes the following: (i) amounts recorded in current liabilities in our consolidated balance sheet as of April 2, 2022, which will be paid within one year, other than lease obligations, mandatory transition tax payments, and accrued interest payments on</w:t>
      </w:r>
      <w:r>
        <w:rPr>
          <w:rFonts w:eastAsia="Times New Roman"/>
          <w:color w:val="000000"/>
          <w:sz w:val="20"/>
          <w:szCs w:val="20"/>
        </w:rPr>
        <w:t xml:space="preserve"> debt; and (ii) non-current liabilities that have no cash outflows associated with them (e.g., deferred income), or the cash outflows associated with them are uncertain or do not represent a "purchase obligation" as such term is used herein (e.g., deferred</w:t>
      </w:r>
      <w:r>
        <w:rPr>
          <w:rFonts w:eastAsia="Times New Roman"/>
          <w:color w:val="000000"/>
          <w:sz w:val="20"/>
          <w:szCs w:val="20"/>
        </w:rPr>
        <w:t xml:space="preserve"> taxes, derivative financial instruments, and other miscellaneous items).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852256170"/>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852256170"/>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69</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97" style="width:0;height:1.5pt" o:hralign="center" o:hrstd="t" o:hr="t" fillcolor="#a0a0a0" stroked="f"/>
        </w:pict>
      </w:r>
    </w:p>
    <w:p w:rsidR="00000000" w:rsidRDefault="00BB5C2D">
      <w:pPr>
        <w:divId w:val="1056851523"/>
        <w:rPr>
          <w:rFonts w:eastAsia="Times New Roman"/>
        </w:rPr>
      </w:pPr>
    </w:p>
    <w:p w:rsidR="00000000" w:rsidRDefault="00BB5C2D">
      <w:pPr>
        <w:ind w:firstLine="540"/>
        <w:jc w:val="both"/>
        <w:divId w:val="1219977130"/>
        <w:rPr>
          <w:rFonts w:eastAsia="Times New Roman"/>
        </w:rPr>
      </w:pPr>
      <w:r>
        <w:rPr>
          <w:rFonts w:eastAsia="Times New Roman"/>
          <w:color w:val="000000"/>
          <w:sz w:val="20"/>
          <w:szCs w:val="20"/>
        </w:rPr>
        <w:t>We also have certain contractual arrangements that would require us to make payments if certain events or circumstances occur. See Note 15 to the accompanying consolidated financial statements for a description of our contingent commitments not included in</w:t>
      </w:r>
      <w:r>
        <w:rPr>
          <w:rFonts w:eastAsia="Times New Roman"/>
          <w:color w:val="000000"/>
          <w:sz w:val="20"/>
          <w:szCs w:val="20"/>
        </w:rPr>
        <w:t xml:space="preserve"> the above table.</w:t>
      </w:r>
    </w:p>
    <w:p w:rsidR="00000000" w:rsidRDefault="00BB5C2D">
      <w:pPr>
        <w:ind w:firstLine="360"/>
        <w:jc w:val="both"/>
        <w:divId w:val="684285751"/>
        <w:rPr>
          <w:rFonts w:eastAsia="Times New Roman"/>
        </w:rPr>
      </w:pPr>
      <w:r>
        <w:rPr>
          <w:rFonts w:eastAsia="Times New Roman"/>
          <w:i/>
          <w:iCs/>
          <w:color w:val="000000"/>
          <w:sz w:val="20"/>
          <w:szCs w:val="20"/>
        </w:rPr>
        <w:t>Off-Balance Sheet Arrangements</w:t>
      </w:r>
    </w:p>
    <w:p w:rsidR="00000000" w:rsidRDefault="00BB5C2D">
      <w:pPr>
        <w:ind w:firstLine="540"/>
        <w:jc w:val="both"/>
        <w:divId w:val="1464158364"/>
        <w:rPr>
          <w:rFonts w:eastAsia="Times New Roman"/>
        </w:rPr>
      </w:pPr>
      <w:r>
        <w:rPr>
          <w:rFonts w:eastAsia="Times New Roman"/>
          <w:color w:val="000000"/>
          <w:sz w:val="20"/>
          <w:szCs w:val="20"/>
        </w:rPr>
        <w:t xml:space="preserve">In addition to the commitments included in the above table, our other off-balance sheet firm commitments relating to our outstanding letters of credit amounted to $9.5 million as of April 2, 2022. We do not </w:t>
      </w:r>
      <w:r>
        <w:rPr>
          <w:rFonts w:eastAsia="Times New Roman"/>
          <w:color w:val="000000"/>
          <w:sz w:val="20"/>
          <w:szCs w:val="20"/>
        </w:rPr>
        <w:t>maintain any other off-balance sheet arrangements, transactions, obligations, or other relationships with unconsolidated entities that would be expected to have a material current or future effect on our consolidated financial statements.</w:t>
      </w:r>
    </w:p>
    <w:p w:rsidR="00000000" w:rsidRDefault="00BB5C2D">
      <w:pPr>
        <w:jc w:val="both"/>
        <w:divId w:val="872501115"/>
        <w:rPr>
          <w:rFonts w:eastAsia="Times New Roman"/>
        </w:rPr>
      </w:pPr>
      <w:r>
        <w:rPr>
          <w:rFonts w:eastAsia="Times New Roman"/>
          <w:b/>
          <w:bCs/>
          <w:color w:val="000000"/>
          <w:sz w:val="20"/>
          <w:szCs w:val="20"/>
        </w:rPr>
        <w:t>MARKET RISK MANAG</w:t>
      </w:r>
      <w:r>
        <w:rPr>
          <w:rFonts w:eastAsia="Times New Roman"/>
          <w:b/>
          <w:bCs/>
          <w:color w:val="000000"/>
          <w:sz w:val="20"/>
          <w:szCs w:val="20"/>
        </w:rPr>
        <w:t>EMENT</w:t>
      </w:r>
    </w:p>
    <w:p w:rsidR="00000000" w:rsidRDefault="00BB5C2D">
      <w:pPr>
        <w:ind w:firstLine="540"/>
        <w:jc w:val="both"/>
        <w:divId w:val="1032924421"/>
        <w:rPr>
          <w:rFonts w:eastAsia="Times New Roman"/>
        </w:rPr>
      </w:pPr>
      <w:r>
        <w:rPr>
          <w:rFonts w:eastAsia="Times New Roman"/>
          <w:color w:val="000000"/>
          <w:sz w:val="20"/>
          <w:szCs w:val="20"/>
        </w:rPr>
        <w:t>As discussed in Note 13 to the accompanying consolidated financial statements, we are exposed to a variety of levels and types of risks, including the impact of changes in currency exchange rates on foreign currency-denominated balances, certain anticipate</w:t>
      </w:r>
      <w:r>
        <w:rPr>
          <w:rFonts w:eastAsia="Times New Roman"/>
          <w:color w:val="000000"/>
          <w:sz w:val="20"/>
          <w:szCs w:val="20"/>
        </w:rPr>
        <w:t xml:space="preserve">d cash flows of our international operations, and the value of reported net assets of our foreign operations, as well as changes in the fair value of our fixed-rate debt obligations relating to fluctuations in benchmark interest rates. Accordingly, in the </w:t>
      </w:r>
      <w:r>
        <w:rPr>
          <w:rFonts w:eastAsia="Times New Roman"/>
          <w:color w:val="000000"/>
          <w:sz w:val="20"/>
          <w:szCs w:val="20"/>
        </w:rPr>
        <w:t>normal course of business we assess such risks and, in accordance with our established policies and procedures, may use derivative financial instruments to manage and mitigate them. We do not use derivatives for speculative or trading purposes.</w:t>
      </w:r>
    </w:p>
    <w:p w:rsidR="00000000" w:rsidRDefault="00BB5C2D">
      <w:pPr>
        <w:ind w:firstLine="540"/>
        <w:jc w:val="both"/>
        <w:divId w:val="801384003"/>
        <w:rPr>
          <w:rFonts w:eastAsia="Times New Roman"/>
        </w:rPr>
      </w:pPr>
      <w:r>
        <w:rPr>
          <w:rFonts w:eastAsia="Times New Roman"/>
          <w:color w:val="000000"/>
          <w:sz w:val="20"/>
          <w:szCs w:val="20"/>
        </w:rPr>
        <w:t>Given our u</w:t>
      </w:r>
      <w:r>
        <w:rPr>
          <w:rFonts w:eastAsia="Times New Roman"/>
          <w:color w:val="000000"/>
          <w:sz w:val="20"/>
          <w:szCs w:val="20"/>
        </w:rPr>
        <w:t>se of derivative instruments, we are exposed to the risk that the counterparties to such contracts will fail to meet their contractual obligations. To mitigate such counterparty credit risk, it is our policy to only enter into contracts with carefully sele</w:t>
      </w:r>
      <w:r>
        <w:rPr>
          <w:rFonts w:eastAsia="Times New Roman"/>
          <w:color w:val="000000"/>
          <w:sz w:val="20"/>
          <w:szCs w:val="20"/>
        </w:rPr>
        <w:t>cted financial institutions based upon an evaluation of their credit ratings and certain other factors, adhering to established limits for credit exposure. Our established policies and procedures for mitigating credit risk include ongoing review and assess</w:t>
      </w:r>
      <w:r>
        <w:rPr>
          <w:rFonts w:eastAsia="Times New Roman"/>
          <w:color w:val="000000"/>
          <w:sz w:val="20"/>
          <w:szCs w:val="20"/>
        </w:rPr>
        <w:t xml:space="preserve">ment of the creditworthiness of our counterparties. We also enter into master netting arrangements with counterparties, when possible, to further mitigate credit risk. As a result of the above considerations, we do not believe that we are exposed to undue </w:t>
      </w:r>
      <w:r>
        <w:rPr>
          <w:rFonts w:eastAsia="Times New Roman"/>
          <w:color w:val="000000"/>
          <w:sz w:val="20"/>
          <w:szCs w:val="20"/>
        </w:rPr>
        <w:t>concentration of counterparty risk with respect to our derivative contracts as of April 2, 2022. However, we do have in aggregate $32.6 million of derivative instruments in net asset positions held across six creditworthy financial institutions.</w:t>
      </w:r>
    </w:p>
    <w:p w:rsidR="00000000" w:rsidRDefault="00BB5C2D">
      <w:pPr>
        <w:ind w:firstLine="360"/>
        <w:jc w:val="both"/>
        <w:divId w:val="1635285231"/>
        <w:rPr>
          <w:rFonts w:eastAsia="Times New Roman"/>
        </w:rPr>
      </w:pPr>
      <w:r>
        <w:rPr>
          <w:rFonts w:eastAsia="Times New Roman"/>
          <w:b/>
          <w:bCs/>
          <w:i/>
          <w:iCs/>
          <w:color w:val="000000"/>
          <w:sz w:val="20"/>
          <w:szCs w:val="20"/>
        </w:rPr>
        <w:t>Foreign Cu</w:t>
      </w:r>
      <w:r>
        <w:rPr>
          <w:rFonts w:eastAsia="Times New Roman"/>
          <w:b/>
          <w:bCs/>
          <w:i/>
          <w:iCs/>
          <w:color w:val="000000"/>
          <w:sz w:val="20"/>
          <w:szCs w:val="20"/>
        </w:rPr>
        <w:t>rrency Risk Management</w:t>
      </w:r>
    </w:p>
    <w:p w:rsidR="00000000" w:rsidRDefault="00BB5C2D">
      <w:pPr>
        <w:ind w:firstLine="540"/>
        <w:jc w:val="both"/>
        <w:divId w:val="259146927"/>
        <w:rPr>
          <w:rFonts w:eastAsia="Times New Roman"/>
        </w:rPr>
      </w:pPr>
      <w:r>
        <w:rPr>
          <w:rFonts w:eastAsia="Times New Roman"/>
          <w:color w:val="000000"/>
          <w:sz w:val="20"/>
          <w:szCs w:val="20"/>
        </w:rPr>
        <w:t>We manage our exposure to changes in foreign currency exchange rates using forward foreign currency exchange and cross-currency swap contracts. Refer to Note 13 to the accompanying consolidated financial statements for a summary of t</w:t>
      </w:r>
      <w:r>
        <w:rPr>
          <w:rFonts w:eastAsia="Times New Roman"/>
          <w:color w:val="000000"/>
          <w:sz w:val="20"/>
          <w:szCs w:val="20"/>
        </w:rPr>
        <w:t>he notional amounts and fair values of our outstanding forward foreign currency exchange and cross-currency swap contracts, as well as the impact on earnings and other comprehensive income of such instruments for the fiscal periods presented.</w:t>
      </w:r>
    </w:p>
    <w:p w:rsidR="00000000" w:rsidRDefault="00BB5C2D">
      <w:pPr>
        <w:ind w:firstLine="360"/>
        <w:jc w:val="both"/>
        <w:divId w:val="125705449"/>
        <w:rPr>
          <w:rFonts w:eastAsia="Times New Roman"/>
        </w:rPr>
      </w:pPr>
      <w:r>
        <w:rPr>
          <w:rFonts w:eastAsia="Times New Roman"/>
          <w:i/>
          <w:iCs/>
          <w:color w:val="000000"/>
          <w:sz w:val="20"/>
          <w:szCs w:val="20"/>
        </w:rPr>
        <w:t>Forward Forei</w:t>
      </w:r>
      <w:r>
        <w:rPr>
          <w:rFonts w:eastAsia="Times New Roman"/>
          <w:i/>
          <w:iCs/>
          <w:color w:val="000000"/>
          <w:sz w:val="20"/>
          <w:szCs w:val="20"/>
        </w:rPr>
        <w:t>gn Currency Exchange Contracts</w:t>
      </w:r>
    </w:p>
    <w:p w:rsidR="00000000" w:rsidRDefault="00BB5C2D">
      <w:pPr>
        <w:ind w:firstLine="540"/>
        <w:jc w:val="both"/>
        <w:divId w:val="562063819"/>
        <w:rPr>
          <w:rFonts w:eastAsia="Times New Roman"/>
        </w:rPr>
      </w:pPr>
      <w:r>
        <w:rPr>
          <w:rFonts w:eastAsia="Times New Roman"/>
          <w:color w:val="000000"/>
          <w:sz w:val="20"/>
          <w:szCs w:val="20"/>
        </w:rPr>
        <w:t>We enter into forward foreign currency exchange contracts to mitigate risk related to exchange rate fluctuations on inventory transactions made in an entity's non-functional currency, the settlement of foreign currency-denomi</w:t>
      </w:r>
      <w:r>
        <w:rPr>
          <w:rFonts w:eastAsia="Times New Roman"/>
          <w:color w:val="000000"/>
          <w:sz w:val="20"/>
          <w:szCs w:val="20"/>
        </w:rPr>
        <w:t>nated balances, and the translation of certain foreign operations' net assets into U.S. Dollars. As part of our overall strategy for managing the level of exposure to such exchange rate risk, relating primarily to the Euro, the Japanese Yen, the South Kore</w:t>
      </w:r>
      <w:r>
        <w:rPr>
          <w:rFonts w:eastAsia="Times New Roman"/>
          <w:color w:val="000000"/>
          <w:sz w:val="20"/>
          <w:szCs w:val="20"/>
        </w:rPr>
        <w:t>an Won, the Australian Dollar, the Canadian Dollar, the British Pound Sterling, the Swiss Franc, and the Chinese Renminbi, we generally hedge a portion of our related exposures anticipated over the next twelve months using forward foreign currency exchange</w:t>
      </w:r>
      <w:r>
        <w:rPr>
          <w:rFonts w:eastAsia="Times New Roman"/>
          <w:color w:val="000000"/>
          <w:sz w:val="20"/>
          <w:szCs w:val="20"/>
        </w:rPr>
        <w:t xml:space="preserve"> contracts with maturities of two months to one year to provide continuing coverage over the period of the respective exposure.</w:t>
      </w:r>
    </w:p>
    <w:p w:rsidR="00000000" w:rsidRDefault="00BB5C2D">
      <w:pPr>
        <w:ind w:firstLine="540"/>
        <w:jc w:val="both"/>
        <w:divId w:val="817723641"/>
        <w:rPr>
          <w:rFonts w:eastAsia="Times New Roman"/>
        </w:rPr>
      </w:pPr>
      <w:r>
        <w:rPr>
          <w:rFonts w:eastAsia="Times New Roman"/>
          <w:color w:val="000000"/>
          <w:sz w:val="20"/>
          <w:szCs w:val="20"/>
        </w:rPr>
        <w:t>Our foreign exchange risk management activities are governed by established policies and procedures. These policies and procedur</w:t>
      </w:r>
      <w:r>
        <w:rPr>
          <w:rFonts w:eastAsia="Times New Roman"/>
          <w:color w:val="000000"/>
          <w:sz w:val="20"/>
          <w:szCs w:val="20"/>
        </w:rPr>
        <w:t xml:space="preserve">es provide a framework that allows for the management of currency exposures while ensuring the activities are conducted within our established guidelines. Our policies include guidelines for the organizational structure of our risk management function and </w:t>
      </w:r>
      <w:r>
        <w:rPr>
          <w:rFonts w:eastAsia="Times New Roman"/>
          <w:color w:val="000000"/>
          <w:sz w:val="20"/>
          <w:szCs w:val="20"/>
        </w:rPr>
        <w:t>for internal controls over foreign exchange risk management activities, including, but not limited to, authorization levels, transaction limits, and credit quality controls, as well as various measurements for monitoring compliance. We monitor foreign exch</w:t>
      </w:r>
      <w:r>
        <w:rPr>
          <w:rFonts w:eastAsia="Times New Roman"/>
          <w:color w:val="000000"/>
          <w:sz w:val="20"/>
          <w:szCs w:val="20"/>
        </w:rPr>
        <w:t>ange risk using different techniques, including periodic review of market values and performance of sensitivity analyses.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959648930"/>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959648930"/>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70</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98" style="width:0;height:1.5pt" o:hralign="center" o:hrstd="t" o:hr="t" fillcolor="#a0a0a0" stroked="f"/>
        </w:pict>
      </w:r>
    </w:p>
    <w:p w:rsidR="00000000" w:rsidRDefault="00BB5C2D">
      <w:pPr>
        <w:divId w:val="1085418980"/>
        <w:rPr>
          <w:rFonts w:eastAsia="Times New Roman"/>
        </w:rPr>
      </w:pPr>
    </w:p>
    <w:p w:rsidR="00000000" w:rsidRDefault="00BB5C2D">
      <w:pPr>
        <w:ind w:firstLine="360"/>
        <w:jc w:val="both"/>
        <w:divId w:val="1115757591"/>
        <w:rPr>
          <w:rFonts w:eastAsia="Times New Roman"/>
        </w:rPr>
      </w:pPr>
      <w:r>
        <w:rPr>
          <w:rFonts w:eastAsia="Times New Roman"/>
          <w:i/>
          <w:iCs/>
          <w:color w:val="000000"/>
          <w:sz w:val="20"/>
          <w:szCs w:val="20"/>
        </w:rPr>
        <w:t>Cross-Currency Swap Contracts</w:t>
      </w:r>
    </w:p>
    <w:p w:rsidR="00000000" w:rsidRDefault="00BB5C2D">
      <w:pPr>
        <w:ind w:firstLine="540"/>
        <w:jc w:val="both"/>
        <w:divId w:val="944845651"/>
        <w:rPr>
          <w:rFonts w:eastAsia="Times New Roman"/>
        </w:rPr>
      </w:pPr>
      <w:r>
        <w:rPr>
          <w:rFonts w:eastAsia="Times New Roman"/>
          <w:color w:val="000000"/>
          <w:sz w:val="20"/>
          <w:szCs w:val="20"/>
        </w:rPr>
        <w:t xml:space="preserve">We periodically designate pay-fixed rate, receive-fixed rate cross-currency swap contracts as hedges of our net investment in certain European subsidiaries. </w:t>
      </w:r>
    </w:p>
    <w:p w:rsidR="00000000" w:rsidRDefault="00BB5C2D">
      <w:pPr>
        <w:ind w:firstLine="540"/>
        <w:jc w:val="both"/>
        <w:divId w:val="300692770"/>
        <w:rPr>
          <w:rFonts w:eastAsia="Times New Roman"/>
        </w:rPr>
      </w:pPr>
      <w:r>
        <w:rPr>
          <w:rFonts w:eastAsia="Times New Roman"/>
          <w:color w:val="000000"/>
          <w:sz w:val="20"/>
          <w:szCs w:val="20"/>
        </w:rPr>
        <w:t>Our pay-fixed rate, receive-fi</w:t>
      </w:r>
      <w:r>
        <w:rPr>
          <w:rFonts w:eastAsia="Times New Roman"/>
          <w:color w:val="000000"/>
          <w:sz w:val="20"/>
          <w:szCs w:val="20"/>
        </w:rPr>
        <w:t>xed rate cross-currency swap contracts swap U.S. Dollar-denominated fixed interest rate payments based on the contract's notional amount and the fixed rate of interest payable on certain of our senior notes for Euro-denominated fixed interest rate payments</w:t>
      </w:r>
      <w:r>
        <w:rPr>
          <w:rFonts w:eastAsia="Times New Roman"/>
          <w:color w:val="000000"/>
          <w:sz w:val="20"/>
          <w:szCs w:val="20"/>
        </w:rPr>
        <w:t>, thereby economically converting a portion of our fixed-rate U.S. Dollar-denominated senior note obligations to fixed rate Euro-denominated obligations.</w:t>
      </w:r>
    </w:p>
    <w:p w:rsidR="00000000" w:rsidRDefault="00BB5C2D">
      <w:pPr>
        <w:ind w:firstLine="540"/>
        <w:jc w:val="both"/>
        <w:divId w:val="1997294337"/>
        <w:rPr>
          <w:rFonts w:eastAsia="Times New Roman"/>
        </w:rPr>
      </w:pPr>
      <w:r>
        <w:rPr>
          <w:rFonts w:eastAsia="Times New Roman"/>
          <w:color w:val="000000"/>
          <w:sz w:val="20"/>
          <w:szCs w:val="20"/>
        </w:rPr>
        <w:t>See Note 3 to the accompanying consolidated financial statements for further discussion of our foreign currency exposures and the types of derivative instruments used to hedge those exposures.</w:t>
      </w:r>
    </w:p>
    <w:p w:rsidR="00000000" w:rsidRDefault="00BB5C2D">
      <w:pPr>
        <w:ind w:firstLine="360"/>
        <w:jc w:val="both"/>
        <w:divId w:val="2098138904"/>
        <w:rPr>
          <w:rFonts w:eastAsia="Times New Roman"/>
        </w:rPr>
      </w:pPr>
      <w:r>
        <w:rPr>
          <w:rFonts w:eastAsia="Times New Roman"/>
          <w:i/>
          <w:iCs/>
          <w:color w:val="000000"/>
          <w:sz w:val="20"/>
          <w:szCs w:val="20"/>
        </w:rPr>
        <w:t>Sensitivity</w:t>
      </w:r>
    </w:p>
    <w:p w:rsidR="00000000" w:rsidRDefault="00BB5C2D">
      <w:pPr>
        <w:ind w:firstLine="540"/>
        <w:jc w:val="both"/>
        <w:divId w:val="709498172"/>
        <w:rPr>
          <w:rFonts w:eastAsia="Times New Roman"/>
        </w:rPr>
      </w:pPr>
      <w:r>
        <w:rPr>
          <w:rFonts w:eastAsia="Times New Roman"/>
          <w:color w:val="000000"/>
          <w:sz w:val="20"/>
          <w:szCs w:val="20"/>
        </w:rPr>
        <w:t xml:space="preserve">We perform a sensitivity analysis to determine the </w:t>
      </w:r>
      <w:r>
        <w:rPr>
          <w:rFonts w:eastAsia="Times New Roman"/>
          <w:color w:val="000000"/>
          <w:sz w:val="20"/>
          <w:szCs w:val="20"/>
        </w:rPr>
        <w:t>effects that market risk exposures may have on the fair values of our forward foreign currency exchange and cross-currency swap contracts. In doing so, we assess the risk of loss in the fair values of these contracts that would result from hypothetical cha</w:t>
      </w:r>
      <w:r>
        <w:rPr>
          <w:rFonts w:eastAsia="Times New Roman"/>
          <w:color w:val="000000"/>
          <w:sz w:val="20"/>
          <w:szCs w:val="20"/>
        </w:rPr>
        <w:t>nges in foreign currency exchange rates. This analysis assumes a like movement by the foreign currencies in our hedge portfolio against the U.S. Dollar. As of April 2, 2022, a 10% appreciation or depreciation of the U.S. Dollar against the foreign currenci</w:t>
      </w:r>
      <w:r>
        <w:rPr>
          <w:rFonts w:eastAsia="Times New Roman"/>
          <w:color w:val="000000"/>
          <w:sz w:val="20"/>
          <w:szCs w:val="20"/>
        </w:rPr>
        <w:t>es under contract would result in a net increase or decrease, respectively, in the fair value of our derivative portfolio of approximately $113 million. This hypothetical net change in fair value should ultimately be largely offset by the net change in the</w:t>
      </w:r>
      <w:r>
        <w:rPr>
          <w:rFonts w:eastAsia="Times New Roman"/>
          <w:color w:val="000000"/>
          <w:sz w:val="20"/>
          <w:szCs w:val="20"/>
        </w:rPr>
        <w:t xml:space="preserve"> related underlying hedged items.</w:t>
      </w:r>
    </w:p>
    <w:p w:rsidR="00000000" w:rsidRDefault="00BB5C2D">
      <w:pPr>
        <w:ind w:firstLine="360"/>
        <w:jc w:val="both"/>
        <w:divId w:val="965893332"/>
        <w:rPr>
          <w:rFonts w:eastAsia="Times New Roman"/>
        </w:rPr>
      </w:pPr>
      <w:r>
        <w:rPr>
          <w:rFonts w:eastAsia="Times New Roman"/>
          <w:b/>
          <w:bCs/>
          <w:i/>
          <w:iCs/>
          <w:color w:val="000000"/>
          <w:sz w:val="20"/>
          <w:szCs w:val="20"/>
        </w:rPr>
        <w:t>Interest Rate Risk Management</w:t>
      </w:r>
    </w:p>
    <w:p w:rsidR="00000000" w:rsidRDefault="00BB5C2D">
      <w:pPr>
        <w:ind w:firstLine="360"/>
        <w:jc w:val="both"/>
        <w:divId w:val="1237979245"/>
        <w:rPr>
          <w:rFonts w:eastAsia="Times New Roman"/>
        </w:rPr>
      </w:pPr>
      <w:r>
        <w:rPr>
          <w:rFonts w:eastAsia="Times New Roman"/>
          <w:i/>
          <w:iCs/>
          <w:color w:val="000000"/>
          <w:sz w:val="20"/>
          <w:szCs w:val="20"/>
        </w:rPr>
        <w:t>Sensitivity</w:t>
      </w:r>
    </w:p>
    <w:p w:rsidR="00000000" w:rsidRDefault="00BB5C2D">
      <w:pPr>
        <w:ind w:firstLine="540"/>
        <w:jc w:val="both"/>
        <w:divId w:val="720321950"/>
        <w:rPr>
          <w:rFonts w:eastAsia="Times New Roman"/>
        </w:rPr>
      </w:pPr>
      <w:r>
        <w:rPr>
          <w:rFonts w:eastAsia="Times New Roman"/>
          <w:color w:val="000000"/>
          <w:sz w:val="20"/>
          <w:szCs w:val="20"/>
        </w:rPr>
        <w:t xml:space="preserve">As of April 2, 2022, we had no variable-rate debt outstanding. As such, our exposure to changes in interest rates primarily relates to changes in the fair values of our fixed-rate </w:t>
      </w:r>
      <w:r>
        <w:rPr>
          <w:rFonts w:eastAsia="Times New Roman"/>
          <w:color w:val="000000"/>
          <w:sz w:val="20"/>
          <w:szCs w:val="20"/>
        </w:rPr>
        <w:t>Senior Notes. As of April 2, 2022, the aggregate fair values of our Senior Notes were $1.629 billion. A 25-basis point increase or decrease in interest rates would decrease or increase, respectively, the aggregate fair values of our Senior Notes by approxi</w:t>
      </w:r>
      <w:r>
        <w:rPr>
          <w:rFonts w:eastAsia="Times New Roman"/>
          <w:color w:val="000000"/>
          <w:sz w:val="20"/>
          <w:szCs w:val="20"/>
        </w:rPr>
        <w:t>mately $16.5 million based on certain simplifying assumptions, including an immediate across-the-board increase or decrease in the level of interest rates with no other subsequent changes for the remainder of the period. Such potential increases or decreas</w:t>
      </w:r>
      <w:r>
        <w:rPr>
          <w:rFonts w:eastAsia="Times New Roman"/>
          <w:color w:val="000000"/>
          <w:sz w:val="20"/>
          <w:szCs w:val="20"/>
        </w:rPr>
        <w:t>es in the fair value of our debt would only be realized if we were to retire all or a portion of the debt prior to its maturity.</w:t>
      </w:r>
    </w:p>
    <w:p w:rsidR="00000000" w:rsidRDefault="00BB5C2D">
      <w:pPr>
        <w:ind w:firstLine="360"/>
        <w:jc w:val="both"/>
        <w:divId w:val="1879202943"/>
        <w:rPr>
          <w:rFonts w:eastAsia="Times New Roman"/>
        </w:rPr>
      </w:pPr>
      <w:r>
        <w:rPr>
          <w:rFonts w:eastAsia="Times New Roman"/>
          <w:b/>
          <w:bCs/>
          <w:i/>
          <w:iCs/>
          <w:color w:val="000000"/>
          <w:sz w:val="20"/>
          <w:szCs w:val="20"/>
        </w:rPr>
        <w:t>Investment Risk Management</w:t>
      </w:r>
    </w:p>
    <w:p w:rsidR="00000000" w:rsidRDefault="00BB5C2D">
      <w:pPr>
        <w:ind w:firstLine="540"/>
        <w:jc w:val="both"/>
        <w:divId w:val="520823636"/>
        <w:rPr>
          <w:rFonts w:eastAsia="Times New Roman"/>
        </w:rPr>
      </w:pPr>
      <w:r>
        <w:rPr>
          <w:rFonts w:eastAsia="Times New Roman"/>
          <w:color w:val="000000"/>
          <w:sz w:val="20"/>
          <w:szCs w:val="20"/>
        </w:rPr>
        <w:t>As of April 2, 2022, we had cash and cash equivalents on-hand of $1.864 billion, consisting of depos</w:t>
      </w:r>
      <w:r>
        <w:rPr>
          <w:rFonts w:eastAsia="Times New Roman"/>
          <w:color w:val="000000"/>
          <w:sz w:val="20"/>
          <w:szCs w:val="20"/>
        </w:rPr>
        <w:t>its in interest bearing accounts, investments in money market deposit accounts, and investments in time deposits with original maturities of 90 days or less. Our other significant investments included $734.6 million of short-term investments, consisting of</w:t>
      </w:r>
      <w:r>
        <w:rPr>
          <w:rFonts w:eastAsia="Times New Roman"/>
          <w:color w:val="000000"/>
          <w:sz w:val="20"/>
          <w:szCs w:val="20"/>
        </w:rPr>
        <w:t xml:space="preserve"> investments in time deposits with original maturities greater than 90 days.</w:t>
      </w:r>
    </w:p>
    <w:p w:rsidR="00000000" w:rsidRDefault="00BB5C2D">
      <w:pPr>
        <w:ind w:firstLine="540"/>
        <w:jc w:val="both"/>
        <w:divId w:val="1683819314"/>
        <w:rPr>
          <w:rFonts w:eastAsia="Times New Roman"/>
        </w:rPr>
      </w:pPr>
      <w:r>
        <w:rPr>
          <w:rFonts w:eastAsia="Times New Roman"/>
          <w:color w:val="000000"/>
          <w:sz w:val="20"/>
          <w:szCs w:val="20"/>
        </w:rPr>
        <w:t>We actively monitor our exposure to changes in the fair value of our global investment portfolio in accordance with our established policies and procedures, which include monitori</w:t>
      </w:r>
      <w:r>
        <w:rPr>
          <w:rFonts w:eastAsia="Times New Roman"/>
          <w:color w:val="000000"/>
          <w:sz w:val="20"/>
          <w:szCs w:val="20"/>
        </w:rPr>
        <w:t>ng both general and issuer-specific economic conditions, as discussed in Note 3 to the accompanying consolidated financial statements. Our investment objectives include capital preservation, maintaining adequate liquidity, diversification to minimize liqui</w:t>
      </w:r>
      <w:r>
        <w:rPr>
          <w:rFonts w:eastAsia="Times New Roman"/>
          <w:color w:val="000000"/>
          <w:sz w:val="20"/>
          <w:szCs w:val="20"/>
        </w:rPr>
        <w:t>dity and credit risk, and achievement of maximum returns within the guidelines set forth in our investment policy. See Note 13 to the accompanying consolidated financial statements for further detail of the composition of our investment portfolio as of Apr</w:t>
      </w:r>
      <w:r>
        <w:rPr>
          <w:rFonts w:eastAsia="Times New Roman"/>
          <w:color w:val="000000"/>
          <w:sz w:val="20"/>
          <w:szCs w:val="20"/>
        </w:rPr>
        <w:t>il 2, 2022.</w:t>
      </w:r>
    </w:p>
    <w:p w:rsidR="00000000" w:rsidRDefault="00BB5C2D">
      <w:pPr>
        <w:jc w:val="both"/>
        <w:divId w:val="430710180"/>
        <w:rPr>
          <w:rFonts w:eastAsia="Times New Roman"/>
        </w:rPr>
      </w:pPr>
      <w:r>
        <w:rPr>
          <w:rFonts w:eastAsia="Times New Roman"/>
          <w:b/>
          <w:bCs/>
          <w:color w:val="000000"/>
          <w:sz w:val="20"/>
          <w:szCs w:val="20"/>
        </w:rPr>
        <w:t xml:space="preserve">CRITICAL ACCOUNTING POLICIES </w:t>
      </w:r>
    </w:p>
    <w:p w:rsidR="00000000" w:rsidRDefault="00BB5C2D">
      <w:pPr>
        <w:ind w:firstLine="540"/>
        <w:jc w:val="both"/>
        <w:divId w:val="970094176"/>
        <w:rPr>
          <w:rFonts w:eastAsia="Times New Roman"/>
        </w:rPr>
      </w:pPr>
      <w:r>
        <w:rPr>
          <w:rFonts w:eastAsia="Times New Roman"/>
          <w:color w:val="000000"/>
          <w:sz w:val="20"/>
          <w:szCs w:val="20"/>
        </w:rPr>
        <w:t>An accounting policy is considered to be critical if it is important to our results of operations, financial condition, and cash flows, and requires significant judgment and estimates on the part of management in i</w:t>
      </w:r>
      <w:r>
        <w:rPr>
          <w:rFonts w:eastAsia="Times New Roman"/>
          <w:color w:val="000000"/>
          <w:sz w:val="20"/>
          <w:szCs w:val="20"/>
        </w:rPr>
        <w:t>ts application. Our estimates are often based on complex judgments, assessments of probability, and assumptions that management believes to be reasonable, but that are inherently uncertain and unpredictable. It is also possible that other professionals, ap</w:t>
      </w:r>
      <w:r>
        <w:rPr>
          <w:rFonts w:eastAsia="Times New Roman"/>
          <w:color w:val="000000"/>
          <w:sz w:val="20"/>
          <w:szCs w:val="20"/>
        </w:rPr>
        <w:t>plying reasonable judgment to the same set of facts and circumstances, could develop and support a range of alternative estimated amounts. We believe that the following list represents our critical accounting policies. For a discussion of all of our signif</w:t>
      </w:r>
      <w:r>
        <w:rPr>
          <w:rFonts w:eastAsia="Times New Roman"/>
          <w:color w:val="000000"/>
          <w:sz w:val="20"/>
          <w:szCs w:val="20"/>
        </w:rPr>
        <w:t>icant accounting policies, including our critical accounting policies, see Note 3 to the accompanying consolidated financial statements.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659000379"/>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659000379"/>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71</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099" style="width:0;height:1.5pt" o:hralign="center" o:hrstd="t" o:hr="t" fillcolor="#a0a0a0" stroked="f"/>
        </w:pict>
      </w:r>
    </w:p>
    <w:p w:rsidR="00000000" w:rsidRDefault="00BB5C2D">
      <w:pPr>
        <w:divId w:val="842663585"/>
        <w:rPr>
          <w:rFonts w:eastAsia="Times New Roman"/>
        </w:rPr>
      </w:pPr>
    </w:p>
    <w:p w:rsidR="00000000" w:rsidRDefault="00BB5C2D">
      <w:pPr>
        <w:ind w:firstLine="360"/>
        <w:jc w:val="both"/>
        <w:divId w:val="936444647"/>
        <w:rPr>
          <w:rFonts w:eastAsia="Times New Roman"/>
        </w:rPr>
      </w:pPr>
      <w:r>
        <w:rPr>
          <w:rFonts w:eastAsia="Times New Roman"/>
          <w:b/>
          <w:bCs/>
          <w:i/>
          <w:iCs/>
          <w:color w:val="000000"/>
          <w:sz w:val="20"/>
          <w:szCs w:val="20"/>
        </w:rPr>
        <w:t>Sales Reserves and Uncollectible Accounts</w:t>
      </w:r>
    </w:p>
    <w:p w:rsidR="00000000" w:rsidRDefault="00BB5C2D">
      <w:pPr>
        <w:ind w:firstLine="540"/>
        <w:jc w:val="both"/>
        <w:divId w:val="1752894759"/>
        <w:rPr>
          <w:rFonts w:eastAsia="Times New Roman"/>
        </w:rPr>
      </w:pPr>
      <w:r>
        <w:rPr>
          <w:rFonts w:eastAsia="Times New Roman"/>
          <w:color w:val="000000"/>
          <w:sz w:val="20"/>
          <w:szCs w:val="20"/>
        </w:rPr>
        <w:t>A significant area of judgment affecting reported revenue involves estimating sales reserves, which represent the portion of gross revenues not expected to be realized. In part</w:t>
      </w:r>
      <w:r>
        <w:rPr>
          <w:rFonts w:eastAsia="Times New Roman"/>
          <w:color w:val="000000"/>
          <w:sz w:val="20"/>
          <w:szCs w:val="20"/>
        </w:rPr>
        <w:t>icular, gross revenue related to our wholesale business is reduced by estimates of returns, discounts, end-of-season markdowns, operational chargebacks, and certain cooperative advertising allowances. Gross revenue related to our retail business, including</w:t>
      </w:r>
      <w:r>
        <w:rPr>
          <w:rFonts w:eastAsia="Times New Roman"/>
          <w:color w:val="000000"/>
          <w:sz w:val="20"/>
          <w:szCs w:val="20"/>
        </w:rPr>
        <w:t xml:space="preserve"> digital commerce sales, is also reduced by an estimate of returns.</w:t>
      </w:r>
    </w:p>
    <w:p w:rsidR="00000000" w:rsidRDefault="00BB5C2D">
      <w:pPr>
        <w:ind w:firstLine="540"/>
        <w:jc w:val="both"/>
        <w:divId w:val="492184666"/>
        <w:rPr>
          <w:rFonts w:eastAsia="Times New Roman"/>
        </w:rPr>
      </w:pPr>
      <w:r>
        <w:rPr>
          <w:rFonts w:eastAsia="Times New Roman"/>
          <w:color w:val="000000"/>
          <w:sz w:val="20"/>
          <w:szCs w:val="20"/>
        </w:rPr>
        <w:t xml:space="preserve">In developing estimates of returns, discounts, end-of-season markdowns, operational chargebacks, and cooperative advertising allowances, we analyze historical trends, actual and forecasted seasonal results, current economic and market conditions, retailer </w:t>
      </w:r>
      <w:r>
        <w:rPr>
          <w:rFonts w:eastAsia="Times New Roman"/>
          <w:color w:val="000000"/>
          <w:sz w:val="20"/>
          <w:szCs w:val="20"/>
        </w:rPr>
        <w:t>performance, and, in certain cases, contractual terms. Estimates for operational chargebacks are based on actual customer notifications of order fulfillment discrepancies and historical trends. We review and refine these estimates on a quarterly basis. Our</w:t>
      </w:r>
      <w:r>
        <w:rPr>
          <w:rFonts w:eastAsia="Times New Roman"/>
          <w:color w:val="000000"/>
          <w:sz w:val="20"/>
          <w:szCs w:val="20"/>
        </w:rPr>
        <w:t xml:space="preserve"> historical estimates of these amounts have not differed materially from actual results. However, unforeseen adverse future economic and market conditions, such as those resulting from widespread pandemic diseases and/or other catastrophic events, could re</w:t>
      </w:r>
      <w:r>
        <w:rPr>
          <w:rFonts w:eastAsia="Times New Roman"/>
          <w:color w:val="000000"/>
          <w:sz w:val="20"/>
          <w:szCs w:val="20"/>
        </w:rPr>
        <w:t>sult in our actual results differing materially from our estimates. A hypothetical 1% increase in our reserves for returns, discounts, end-of-season markdowns, operational chargebacks, and certain cooperative advertising allowances as of April 2, 2022 woul</w:t>
      </w:r>
      <w:r>
        <w:rPr>
          <w:rFonts w:eastAsia="Times New Roman"/>
          <w:color w:val="000000"/>
          <w:sz w:val="20"/>
          <w:szCs w:val="20"/>
        </w:rPr>
        <w:t>d have reduced our Fiscal 2022 net revenues by approximately $2 million.</w:t>
      </w:r>
    </w:p>
    <w:p w:rsidR="00000000" w:rsidRDefault="00BB5C2D">
      <w:pPr>
        <w:ind w:firstLine="540"/>
        <w:jc w:val="both"/>
        <w:divId w:val="796726580"/>
        <w:rPr>
          <w:rFonts w:eastAsia="Times New Roman"/>
        </w:rPr>
      </w:pPr>
      <w:r>
        <w:rPr>
          <w:rFonts w:eastAsia="Times New Roman"/>
          <w:color w:val="000000"/>
          <w:sz w:val="20"/>
          <w:szCs w:val="20"/>
        </w:rPr>
        <w:t>Similarly, we evaluate our accounts receivable balances to develop expectations regarding the extent to which they will ultimately be collected. Significant judgment and estimation ar</w:t>
      </w:r>
      <w:r>
        <w:rPr>
          <w:rFonts w:eastAsia="Times New Roman"/>
          <w:color w:val="000000"/>
          <w:sz w:val="20"/>
          <w:szCs w:val="20"/>
        </w:rPr>
        <w:t>e involved in this evaluation, including a receivables aging analysis which shows, by aged category, the percentage of receivables that has historically gone uncollected, an analysis of specific risks on a customer-by-customer basis for larger accounts (in</w:t>
      </w:r>
      <w:r>
        <w:rPr>
          <w:rFonts w:eastAsia="Times New Roman"/>
          <w:color w:val="000000"/>
          <w:sz w:val="20"/>
          <w:szCs w:val="20"/>
        </w:rPr>
        <w:t>cluding consideration of their financial condition and ability to withstand potential prolonged periods of adverse economic conditions), and an evaluation of current and forecasted economic and market conditions over the respective asset's contractual life</w:t>
      </w:r>
      <w:r>
        <w:rPr>
          <w:rFonts w:eastAsia="Times New Roman"/>
          <w:color w:val="000000"/>
          <w:sz w:val="20"/>
          <w:szCs w:val="20"/>
        </w:rPr>
        <w:t xml:space="preserve">. Based on this information, we record an allowance for estimated amounts that we ultimately expect not to collect due to credit. Although we believe that we have adequately provided for these risks as part of our allowance for doubtful accounts, a severe </w:t>
      </w:r>
      <w:r>
        <w:rPr>
          <w:rFonts w:eastAsia="Times New Roman"/>
          <w:color w:val="000000"/>
          <w:sz w:val="20"/>
          <w:szCs w:val="20"/>
        </w:rPr>
        <w:t xml:space="preserve">and prolonged adverse impact on our major customers' business and operations beyond those forecasted could have a corresponding material adverse effect on our net revenues, cash flows, and/or financial condition. A hypothetical 1% increase in the level of </w:t>
      </w:r>
      <w:r>
        <w:rPr>
          <w:rFonts w:eastAsia="Times New Roman"/>
          <w:color w:val="000000"/>
          <w:sz w:val="20"/>
          <w:szCs w:val="20"/>
        </w:rPr>
        <w:t>our allowance for doubtful accounts as of April 2, 2022 would have increased our Fiscal 2022 SG&amp;A expenses by less than $1 million.</w:t>
      </w:r>
    </w:p>
    <w:p w:rsidR="00000000" w:rsidRDefault="00BB5C2D">
      <w:pPr>
        <w:ind w:firstLine="540"/>
        <w:jc w:val="both"/>
        <w:divId w:val="2033071230"/>
        <w:rPr>
          <w:rFonts w:eastAsia="Times New Roman"/>
        </w:rPr>
      </w:pPr>
      <w:r>
        <w:rPr>
          <w:rFonts w:eastAsia="Times New Roman"/>
          <w:color w:val="000000"/>
          <w:sz w:val="20"/>
          <w:szCs w:val="20"/>
        </w:rPr>
        <w:t>See "Accounts Receivable" in Note 3 to the accompanying consolidated financial statements for an analysis of the activity in</w:t>
      </w:r>
      <w:r>
        <w:rPr>
          <w:rFonts w:eastAsia="Times New Roman"/>
          <w:color w:val="000000"/>
          <w:sz w:val="20"/>
          <w:szCs w:val="20"/>
        </w:rPr>
        <w:t xml:space="preserve"> our sales reserves and allowance for doubtful accounts for each of the three fiscal years presented.</w:t>
      </w:r>
    </w:p>
    <w:p w:rsidR="00000000" w:rsidRDefault="00BB5C2D">
      <w:pPr>
        <w:ind w:firstLine="360"/>
        <w:jc w:val="both"/>
        <w:divId w:val="1416591435"/>
        <w:rPr>
          <w:rFonts w:eastAsia="Times New Roman"/>
        </w:rPr>
      </w:pPr>
      <w:r>
        <w:rPr>
          <w:rFonts w:eastAsia="Times New Roman"/>
          <w:b/>
          <w:bCs/>
          <w:i/>
          <w:iCs/>
          <w:color w:val="000000"/>
          <w:sz w:val="20"/>
          <w:szCs w:val="20"/>
        </w:rPr>
        <w:t>Inventories</w:t>
      </w:r>
    </w:p>
    <w:p w:rsidR="00000000" w:rsidRDefault="00BB5C2D">
      <w:pPr>
        <w:ind w:firstLine="540"/>
        <w:jc w:val="both"/>
        <w:divId w:val="1883442644"/>
        <w:rPr>
          <w:rFonts w:eastAsia="Times New Roman"/>
        </w:rPr>
      </w:pPr>
      <w:r>
        <w:rPr>
          <w:rFonts w:eastAsia="Times New Roman"/>
          <w:color w:val="000000"/>
          <w:sz w:val="20"/>
          <w:szCs w:val="20"/>
        </w:rPr>
        <w:t xml:space="preserve">We hold retail inventory that is sold in our own stores and digital commerce sites directly to consumers. We also hold inventory that is sold </w:t>
      </w:r>
      <w:r>
        <w:rPr>
          <w:rFonts w:eastAsia="Times New Roman"/>
          <w:color w:val="000000"/>
          <w:sz w:val="20"/>
          <w:szCs w:val="20"/>
        </w:rPr>
        <w:t xml:space="preserve">through wholesale distribution channels to major department stores and specialty retail stores. Substantially all of our inventories are comprised of finished goods, which are stated at the lower of cost or estimated realizable value, with cost determined </w:t>
      </w:r>
      <w:r>
        <w:rPr>
          <w:rFonts w:eastAsia="Times New Roman"/>
          <w:color w:val="000000"/>
          <w:sz w:val="20"/>
          <w:szCs w:val="20"/>
        </w:rPr>
        <w:t>on a weighted-average cost basis.</w:t>
      </w:r>
    </w:p>
    <w:p w:rsidR="00000000" w:rsidRDefault="00BB5C2D">
      <w:pPr>
        <w:ind w:firstLine="540"/>
        <w:jc w:val="both"/>
        <w:divId w:val="7340564"/>
        <w:rPr>
          <w:rFonts w:eastAsia="Times New Roman"/>
        </w:rPr>
      </w:pPr>
      <w:r>
        <w:rPr>
          <w:rFonts w:eastAsia="Times New Roman"/>
          <w:color w:val="000000"/>
          <w:sz w:val="20"/>
          <w:szCs w:val="20"/>
        </w:rPr>
        <w:t xml:space="preserve">The estimated net realizable value of inventory is determined based on an analysis of historical sales trends of our individual product lines, the impact of market trends and economic conditions (including those resulting </w:t>
      </w:r>
      <w:r>
        <w:rPr>
          <w:rFonts w:eastAsia="Times New Roman"/>
          <w:color w:val="000000"/>
          <w:sz w:val="20"/>
          <w:szCs w:val="20"/>
        </w:rPr>
        <w:t>from pandemic diseases and other catastrophic events), and a forecast of future demand, giving consideration to the value of current orders in-house for future sales of inventory, as well as plans to sell inventory through our factory stores, among other l</w:t>
      </w:r>
      <w:r>
        <w:rPr>
          <w:rFonts w:eastAsia="Times New Roman"/>
          <w:color w:val="000000"/>
          <w:sz w:val="20"/>
          <w:szCs w:val="20"/>
        </w:rPr>
        <w:t xml:space="preserve">iquidation channels. Actual results may differ from estimates due to the quantity, quality, and mix of products in inventory, consumer and retailer preferences, and economic and market conditions. Reserves for inventory shrinkage, representing the risk of </w:t>
      </w:r>
      <w:r>
        <w:rPr>
          <w:rFonts w:eastAsia="Times New Roman"/>
          <w:color w:val="000000"/>
          <w:sz w:val="20"/>
          <w:szCs w:val="20"/>
        </w:rPr>
        <w:t>physical loss of inventory, are estimated based on historical experience and are adjusted based upon physical inventory counts. Our historical estimates of these costs and the related provisions have not differed materially from actual results. However, un</w:t>
      </w:r>
      <w:r>
        <w:rPr>
          <w:rFonts w:eastAsia="Times New Roman"/>
          <w:color w:val="000000"/>
          <w:sz w:val="20"/>
          <w:szCs w:val="20"/>
        </w:rPr>
        <w:t xml:space="preserve">foreseen adverse future economic and market conditions could result in our actual results differing materially from our estimates. </w:t>
      </w:r>
    </w:p>
    <w:p w:rsidR="00000000" w:rsidRDefault="00BB5C2D">
      <w:pPr>
        <w:ind w:firstLine="540"/>
        <w:jc w:val="both"/>
        <w:divId w:val="1027371180"/>
        <w:rPr>
          <w:rFonts w:eastAsia="Times New Roman"/>
        </w:rPr>
      </w:pPr>
      <w:r>
        <w:rPr>
          <w:rFonts w:eastAsia="Times New Roman"/>
          <w:color w:val="000000"/>
          <w:sz w:val="20"/>
          <w:szCs w:val="20"/>
        </w:rPr>
        <w:t>A hypothetical 1% increase in the level of our inventory reserves as of April 2, 2022 would have decreased our Fiscal 2022 g</w:t>
      </w:r>
      <w:r>
        <w:rPr>
          <w:rFonts w:eastAsia="Times New Roman"/>
          <w:color w:val="000000"/>
          <w:sz w:val="20"/>
          <w:szCs w:val="20"/>
        </w:rPr>
        <w:t>ross profit by approximately $2 million.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695694183"/>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695694183"/>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72</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00" style="width:0;height:1.5pt" o:hralign="center" o:hrstd="t" o:hr="t" fillcolor="#a0a0a0" stroked="f"/>
        </w:pict>
      </w:r>
    </w:p>
    <w:p w:rsidR="00000000" w:rsidRDefault="00BB5C2D">
      <w:pPr>
        <w:divId w:val="1142889061"/>
        <w:rPr>
          <w:rFonts w:eastAsia="Times New Roman"/>
        </w:rPr>
      </w:pPr>
    </w:p>
    <w:p w:rsidR="00000000" w:rsidRDefault="00BB5C2D">
      <w:pPr>
        <w:ind w:firstLine="360"/>
        <w:jc w:val="both"/>
        <w:divId w:val="322971185"/>
        <w:rPr>
          <w:rFonts w:eastAsia="Times New Roman"/>
        </w:rPr>
      </w:pPr>
      <w:r>
        <w:rPr>
          <w:rFonts w:eastAsia="Times New Roman"/>
          <w:b/>
          <w:bCs/>
          <w:i/>
          <w:iCs/>
          <w:color w:val="000000"/>
          <w:sz w:val="20"/>
          <w:szCs w:val="20"/>
        </w:rPr>
        <w:t>Impairment of Goodwill and Other Intangible Assets</w:t>
      </w:r>
    </w:p>
    <w:p w:rsidR="00000000" w:rsidRDefault="00BB5C2D">
      <w:pPr>
        <w:ind w:firstLine="540"/>
        <w:jc w:val="both"/>
        <w:divId w:val="825124356"/>
        <w:rPr>
          <w:rFonts w:eastAsia="Times New Roman"/>
        </w:rPr>
      </w:pPr>
      <w:r>
        <w:rPr>
          <w:rFonts w:eastAsia="Times New Roman"/>
          <w:color w:val="000000"/>
          <w:sz w:val="20"/>
          <w:szCs w:val="20"/>
        </w:rPr>
        <w:t>Goodwill and certain other intangible assets deemed to have indefinite useful lives are not amortized. Rather, goodwill and indefinite-lived intangible assets are asse</w:t>
      </w:r>
      <w:r>
        <w:rPr>
          <w:rFonts w:eastAsia="Times New Roman"/>
          <w:color w:val="000000"/>
          <w:sz w:val="20"/>
          <w:szCs w:val="20"/>
        </w:rPr>
        <w:t xml:space="preserve">ssed for impairment at least annually. Finite-lived intangible assets are amortized over their respective estimated useful lives and, along with other long-lived assets, are evaluated for impairment periodically whenever events or changes in circumstances </w:t>
      </w:r>
      <w:r>
        <w:rPr>
          <w:rFonts w:eastAsia="Times New Roman"/>
          <w:color w:val="000000"/>
          <w:sz w:val="20"/>
          <w:szCs w:val="20"/>
        </w:rPr>
        <w:t>indicate that their carrying values may not be fully recoverable.</w:t>
      </w:r>
    </w:p>
    <w:p w:rsidR="00000000" w:rsidRDefault="00BB5C2D">
      <w:pPr>
        <w:ind w:firstLine="540"/>
        <w:jc w:val="both"/>
        <w:divId w:val="1385909640"/>
        <w:rPr>
          <w:rFonts w:eastAsia="Times New Roman"/>
        </w:rPr>
      </w:pPr>
      <w:r>
        <w:rPr>
          <w:rFonts w:eastAsia="Times New Roman"/>
          <w:color w:val="000000"/>
          <w:sz w:val="20"/>
          <w:szCs w:val="20"/>
        </w:rPr>
        <w:t>We generally perform our annual goodwill impairment assessment using a qualitative approach to determine whether it is more likely than not that the fair value of a reporting unit is less th</w:t>
      </w:r>
      <w:r>
        <w:rPr>
          <w:rFonts w:eastAsia="Times New Roman"/>
          <w:color w:val="000000"/>
          <w:sz w:val="20"/>
          <w:szCs w:val="20"/>
        </w:rPr>
        <w:t>an its respective carrying value. However, in order to reassess the fair values of our reporting units, we periodically perform a quantitative impairment analysis in lieu of using the qualitative approach.</w:t>
      </w:r>
    </w:p>
    <w:p w:rsidR="00000000" w:rsidRDefault="00BB5C2D">
      <w:pPr>
        <w:ind w:firstLine="540"/>
        <w:jc w:val="both"/>
        <w:divId w:val="1959557025"/>
        <w:rPr>
          <w:rFonts w:eastAsia="Times New Roman"/>
        </w:rPr>
      </w:pPr>
      <w:r>
        <w:rPr>
          <w:rFonts w:eastAsia="Times New Roman"/>
          <w:color w:val="000000"/>
          <w:sz w:val="20"/>
          <w:szCs w:val="20"/>
        </w:rPr>
        <w:t>Performance of the qualitative goodwill impairment</w:t>
      </w:r>
      <w:r>
        <w:rPr>
          <w:rFonts w:eastAsia="Times New Roman"/>
          <w:color w:val="000000"/>
          <w:sz w:val="20"/>
          <w:szCs w:val="20"/>
        </w:rPr>
        <w:t xml:space="preserve"> assessment requires judgment in identifying and considering the significance of relevant key factors, events, and circumstances that affect the fair values of our reporting units. This requires consideration and assessment of external factors such as macr</w:t>
      </w:r>
      <w:r>
        <w:rPr>
          <w:rFonts w:eastAsia="Times New Roman"/>
          <w:color w:val="000000"/>
          <w:sz w:val="20"/>
          <w:szCs w:val="20"/>
        </w:rPr>
        <w:t>oeconomic, industry, and market conditions, as well as entity-specific factors, such as our actual and planned financial performance. We also give consideration to the difference between each reporting unit's fair value and carrying value as of the most re</w:t>
      </w:r>
      <w:r>
        <w:rPr>
          <w:rFonts w:eastAsia="Times New Roman"/>
          <w:color w:val="000000"/>
          <w:sz w:val="20"/>
          <w:szCs w:val="20"/>
        </w:rPr>
        <w:t xml:space="preserve">cent date that a fair value measurement was performed. If the results of the qualitative assessment conclude that it is not more likely than not that the fair value of a reporting unit exceeds its carrying value, additional quantitative impairment testing </w:t>
      </w:r>
      <w:r>
        <w:rPr>
          <w:rFonts w:eastAsia="Times New Roman"/>
          <w:color w:val="000000"/>
          <w:sz w:val="20"/>
          <w:szCs w:val="20"/>
        </w:rPr>
        <w:t>is performed.</w:t>
      </w:r>
    </w:p>
    <w:p w:rsidR="00000000" w:rsidRDefault="00BB5C2D">
      <w:pPr>
        <w:ind w:firstLine="540"/>
        <w:jc w:val="both"/>
        <w:divId w:val="50621219"/>
        <w:rPr>
          <w:rFonts w:eastAsia="Times New Roman"/>
        </w:rPr>
      </w:pPr>
      <w:r>
        <w:rPr>
          <w:rFonts w:eastAsia="Times New Roman"/>
          <w:color w:val="000000"/>
          <w:sz w:val="20"/>
          <w:szCs w:val="20"/>
        </w:rPr>
        <w:t>The quantitative goodwill impairment test involves comparing the fair value of a reporting unit with its carrying value, including goodwill. If the fair value of a reporting unit exceeds its carrying value, the reporting unit's goodwill is co</w:t>
      </w:r>
      <w:r>
        <w:rPr>
          <w:rFonts w:eastAsia="Times New Roman"/>
          <w:color w:val="000000"/>
          <w:sz w:val="20"/>
          <w:szCs w:val="20"/>
        </w:rPr>
        <w:t xml:space="preserve">nsidered not to be impaired. However, if the carrying value of a reporting unit exceeds its fair value, an impairment loss is recorded in an amount equal to that excess. Any impairment charge recognized is limited to the amount of the respective reporting </w:t>
      </w:r>
      <w:r>
        <w:rPr>
          <w:rFonts w:eastAsia="Times New Roman"/>
          <w:color w:val="000000"/>
          <w:sz w:val="20"/>
          <w:szCs w:val="20"/>
        </w:rPr>
        <w:t>unit's allocated goodwill.</w:t>
      </w:r>
    </w:p>
    <w:p w:rsidR="00000000" w:rsidRDefault="00BB5C2D">
      <w:pPr>
        <w:ind w:firstLine="540"/>
        <w:jc w:val="both"/>
        <w:divId w:val="862861954"/>
        <w:rPr>
          <w:rFonts w:eastAsia="Times New Roman"/>
        </w:rPr>
      </w:pPr>
      <w:r>
        <w:rPr>
          <w:rFonts w:eastAsia="Times New Roman"/>
          <w:color w:val="000000"/>
          <w:sz w:val="20"/>
          <w:szCs w:val="20"/>
        </w:rPr>
        <w:t>Determining the fair value of a reporting unit under the quantitative goodwill impairment test requires judgment and often involves the use of significant estimates and assumptions, including an assessment of external factors suc</w:t>
      </w:r>
      <w:r>
        <w:rPr>
          <w:rFonts w:eastAsia="Times New Roman"/>
          <w:color w:val="000000"/>
          <w:sz w:val="20"/>
          <w:szCs w:val="20"/>
        </w:rPr>
        <w:t>h as macroeconomic, industry, and market conditions, as well as entity-specific factors, such as actual and planned financial performance. Similarly, estimates and assumptions are used when determining the fair values of other indefinite-lived intangible a</w:t>
      </w:r>
      <w:r>
        <w:rPr>
          <w:rFonts w:eastAsia="Times New Roman"/>
          <w:color w:val="000000"/>
          <w:sz w:val="20"/>
          <w:szCs w:val="20"/>
        </w:rPr>
        <w:t>ssets. These estimates and assumptions could have a significant impact on whether or not an impairment charge is recognized and the magnitude of any such charge. To assist management in the process of determining any potential goodwill impairment, we may r</w:t>
      </w:r>
      <w:r>
        <w:rPr>
          <w:rFonts w:eastAsia="Times New Roman"/>
          <w:color w:val="000000"/>
          <w:sz w:val="20"/>
          <w:szCs w:val="20"/>
        </w:rPr>
        <w:t>eview and consider appraisals from accredited independent valuation firms. Estimates of fair value are primarily determined using discounted cash flows, market comparisons, and recent transactions. These approaches involve significant estimates and assumpt</w:t>
      </w:r>
      <w:r>
        <w:rPr>
          <w:rFonts w:eastAsia="Times New Roman"/>
          <w:color w:val="000000"/>
          <w:sz w:val="20"/>
          <w:szCs w:val="20"/>
        </w:rPr>
        <w:t>ions, including projected future cash flows (including timing), discount rates reflecting the risks inherent in those future cash flows, perpetual growth rates, and selection of appropriate market comparable metrics and transactions.</w:t>
      </w:r>
    </w:p>
    <w:p w:rsidR="00000000" w:rsidRDefault="00BB5C2D">
      <w:pPr>
        <w:ind w:firstLine="540"/>
        <w:jc w:val="both"/>
        <w:divId w:val="518399150"/>
        <w:rPr>
          <w:rFonts w:eastAsia="Times New Roman"/>
        </w:rPr>
      </w:pPr>
      <w:r>
        <w:rPr>
          <w:rFonts w:eastAsia="Times New Roman"/>
          <w:color w:val="000000"/>
          <w:sz w:val="20"/>
          <w:szCs w:val="20"/>
        </w:rPr>
        <w:t>We performed our annua</w:t>
      </w:r>
      <w:r>
        <w:rPr>
          <w:rFonts w:eastAsia="Times New Roman"/>
          <w:color w:val="000000"/>
          <w:sz w:val="20"/>
          <w:szCs w:val="20"/>
        </w:rPr>
        <w:t>l goodwill impairment assessment as of the beginning of the second quarter of Fiscal 2022 using the qualitative approach discussed above. In performing the assessment, we considered the results of our most recent quantitative goodwill impairment test, whic</w:t>
      </w:r>
      <w:r>
        <w:rPr>
          <w:rFonts w:eastAsia="Times New Roman"/>
          <w:color w:val="000000"/>
          <w:sz w:val="20"/>
          <w:szCs w:val="20"/>
        </w:rPr>
        <w:t>h was performed as of the end of Fiscal 2020 and incorporated assumptions related to COVID-19 business disruptions, the results of which indicated that the fair values of our reporting units significantly exceeded their respective carrying values. Based on</w:t>
      </w:r>
      <w:r>
        <w:rPr>
          <w:rFonts w:eastAsia="Times New Roman"/>
          <w:color w:val="000000"/>
          <w:sz w:val="20"/>
          <w:szCs w:val="20"/>
        </w:rPr>
        <w:t xml:space="preserve"> the results of the qualitative impairment assessment performed, we concluded that it is more likely than not that the fair values of our reporting units significantly exceeded their respective carrying values and there were no reporting units at risk of i</w:t>
      </w:r>
      <w:r>
        <w:rPr>
          <w:rFonts w:eastAsia="Times New Roman"/>
          <w:color w:val="000000"/>
          <w:sz w:val="20"/>
          <w:szCs w:val="20"/>
        </w:rPr>
        <w:t>mpairment. No goodwill impairment charges were recorded during any of the fiscal years presented. See Note 12 to the accompanying consolidated financial statements for further discussion.</w:t>
      </w:r>
    </w:p>
    <w:p w:rsidR="00000000" w:rsidRDefault="00BB5C2D">
      <w:pPr>
        <w:ind w:firstLine="540"/>
        <w:jc w:val="both"/>
        <w:divId w:val="866912687"/>
        <w:rPr>
          <w:rFonts w:eastAsia="Times New Roman"/>
        </w:rPr>
      </w:pPr>
      <w:r>
        <w:rPr>
          <w:rFonts w:eastAsia="Times New Roman"/>
          <w:color w:val="000000"/>
          <w:sz w:val="20"/>
          <w:szCs w:val="20"/>
        </w:rPr>
        <w:t xml:space="preserve">In evaluating finite-lived intangible assets for recoverability, we </w:t>
      </w:r>
      <w:r>
        <w:rPr>
          <w:rFonts w:eastAsia="Times New Roman"/>
          <w:color w:val="000000"/>
          <w:sz w:val="20"/>
          <w:szCs w:val="20"/>
        </w:rPr>
        <w:t>use our best estimate of future cash flows expected to result from the use of the asset and its eventual disposition where probable. If such estimated future undiscounted net cash flows attributable to the asset are less than its carrying value, an impairm</w:t>
      </w:r>
      <w:r>
        <w:rPr>
          <w:rFonts w:eastAsia="Times New Roman"/>
          <w:color w:val="000000"/>
          <w:sz w:val="20"/>
          <w:szCs w:val="20"/>
        </w:rPr>
        <w:t>ent loss is recognized to the extent that such asset's carrying value exceeds its fair value, as estimated considering external market participant assumptions.</w:t>
      </w:r>
    </w:p>
    <w:p w:rsidR="00000000" w:rsidRDefault="00BB5C2D">
      <w:pPr>
        <w:ind w:firstLine="540"/>
        <w:jc w:val="both"/>
        <w:divId w:val="4525377"/>
        <w:rPr>
          <w:rFonts w:eastAsia="Times New Roman"/>
        </w:rPr>
      </w:pPr>
      <w:r>
        <w:rPr>
          <w:rFonts w:eastAsia="Times New Roman"/>
          <w:color w:val="000000"/>
          <w:sz w:val="20"/>
          <w:szCs w:val="20"/>
        </w:rPr>
        <w:t xml:space="preserve">It is possible that our conclusions regarding impairment or recoverability of goodwill or other </w:t>
      </w:r>
      <w:r>
        <w:rPr>
          <w:rFonts w:eastAsia="Times New Roman"/>
          <w:color w:val="000000"/>
          <w:sz w:val="20"/>
          <w:szCs w:val="20"/>
        </w:rPr>
        <w:t>intangible assets could change in future periods if, for example, (i) our businesses do not perform as projected, (ii) overall economic conditions in future years vary from current assumptions, (iii) business conditions or strategies change from our curren</w:t>
      </w:r>
      <w:r>
        <w:rPr>
          <w:rFonts w:eastAsia="Times New Roman"/>
          <w:color w:val="000000"/>
          <w:sz w:val="20"/>
          <w:szCs w:val="20"/>
        </w:rPr>
        <w:t>t assumptions, or (iv) the identification of our reporting units change, among other factors. Such changes could result in a future impairment charge of goodwill or other intangible assets, which could have a material adverse effect on our consolidated fin</w:t>
      </w:r>
      <w:r>
        <w:rPr>
          <w:rFonts w:eastAsia="Times New Roman"/>
          <w:color w:val="000000"/>
          <w:sz w:val="20"/>
          <w:szCs w:val="20"/>
        </w:rPr>
        <w:t>ancial position or results of operations.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520051090"/>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520051090"/>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73</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01" style="width:0;height:1.5pt" o:hralign="center" o:hrstd="t" o:hr="t" fillcolor="#a0a0a0" stroked="f"/>
        </w:pict>
      </w:r>
    </w:p>
    <w:p w:rsidR="00000000" w:rsidRDefault="00BB5C2D">
      <w:pPr>
        <w:divId w:val="258369395"/>
        <w:rPr>
          <w:rFonts w:eastAsia="Times New Roman"/>
        </w:rPr>
      </w:pPr>
    </w:p>
    <w:p w:rsidR="00000000" w:rsidRDefault="00BB5C2D">
      <w:pPr>
        <w:ind w:firstLine="360"/>
        <w:jc w:val="both"/>
        <w:divId w:val="733894684"/>
        <w:rPr>
          <w:rFonts w:eastAsia="Times New Roman"/>
        </w:rPr>
      </w:pPr>
      <w:r>
        <w:rPr>
          <w:rFonts w:eastAsia="Times New Roman"/>
          <w:b/>
          <w:bCs/>
          <w:i/>
          <w:iCs/>
          <w:color w:val="000000"/>
          <w:sz w:val="20"/>
          <w:szCs w:val="20"/>
        </w:rPr>
        <w:t>Impairment of Other Long-Lived Assets</w:t>
      </w:r>
    </w:p>
    <w:p w:rsidR="00000000" w:rsidRDefault="00BB5C2D">
      <w:pPr>
        <w:ind w:firstLine="540"/>
        <w:jc w:val="both"/>
        <w:divId w:val="1574389276"/>
        <w:rPr>
          <w:rFonts w:eastAsia="Times New Roman"/>
        </w:rPr>
      </w:pPr>
      <w:r>
        <w:rPr>
          <w:rFonts w:eastAsia="Times New Roman"/>
          <w:color w:val="000000"/>
          <w:sz w:val="20"/>
          <w:szCs w:val="20"/>
        </w:rPr>
        <w:t>Property and equipment and lease-related right-of-use ("ROU") assets, along with other long-lived assets, are evaluated for impairment periodically whenever events or changes in ci</w:t>
      </w:r>
      <w:r>
        <w:rPr>
          <w:rFonts w:eastAsia="Times New Roman"/>
          <w:color w:val="000000"/>
          <w:sz w:val="20"/>
          <w:szCs w:val="20"/>
        </w:rPr>
        <w:t>rcumstances indicate that their related carrying values may not be fully recoverable. In evaluating long-lived assets for recoverability, we use our best estimate of future cash flows expected to result from the use of the asset (including any potential su</w:t>
      </w:r>
      <w:r>
        <w:rPr>
          <w:rFonts w:eastAsia="Times New Roman"/>
          <w:color w:val="000000"/>
          <w:sz w:val="20"/>
          <w:szCs w:val="20"/>
        </w:rPr>
        <w:t>blease income for lease-related ROU assets) and its eventual disposition, where applicable. If such estimated future undiscounted net cash flows attributable to the asset are less than its carrying value, an impairment loss is recognized to the extent that</w:t>
      </w:r>
      <w:r>
        <w:rPr>
          <w:rFonts w:eastAsia="Times New Roman"/>
          <w:color w:val="000000"/>
          <w:sz w:val="20"/>
          <w:szCs w:val="20"/>
        </w:rPr>
        <w:t xml:space="preserve"> such asset's carrying value exceeds its fair value, as estimated considering external market participant assumptions and discounted cash flows, including those based on estimated market rents for lease-related ROU assets. Assets to be disposed of and for </w:t>
      </w:r>
      <w:r>
        <w:rPr>
          <w:rFonts w:eastAsia="Times New Roman"/>
          <w:color w:val="000000"/>
          <w:sz w:val="20"/>
          <w:szCs w:val="20"/>
        </w:rPr>
        <w:t>which there is a committed plan of disposal (commonly referred to as assets held-for-sale) are reported at the lower of carrying value or fair value, less costs to sell.</w:t>
      </w:r>
    </w:p>
    <w:p w:rsidR="00000000" w:rsidRDefault="00BB5C2D">
      <w:pPr>
        <w:ind w:firstLine="540"/>
        <w:jc w:val="both"/>
        <w:divId w:val="914975826"/>
        <w:rPr>
          <w:rFonts w:eastAsia="Times New Roman"/>
        </w:rPr>
      </w:pPr>
      <w:r>
        <w:rPr>
          <w:rFonts w:eastAsia="Times New Roman"/>
          <w:color w:val="000000"/>
          <w:sz w:val="20"/>
          <w:szCs w:val="20"/>
        </w:rPr>
        <w:t>In determining future cash flows, we take various factors into account, including chan</w:t>
      </w:r>
      <w:r>
        <w:rPr>
          <w:rFonts w:eastAsia="Times New Roman"/>
          <w:color w:val="000000"/>
          <w:sz w:val="20"/>
          <w:szCs w:val="20"/>
        </w:rPr>
        <w:t xml:space="preserve">ges in merchandising strategy, the emphasis on retail store cost controls, the effects of macroeconomic trends such as consumer spending, and the impacts of more experienced retail store managers and increased local advertising. Since the determination of </w:t>
      </w:r>
      <w:r>
        <w:rPr>
          <w:rFonts w:eastAsia="Times New Roman"/>
          <w:color w:val="000000"/>
          <w:sz w:val="20"/>
          <w:szCs w:val="20"/>
        </w:rPr>
        <w:t>future cash flows is an estimate of future performance, future impairments may arise in the event that future cash flows do not meet expectations. For example, unforeseen adverse future economic and market conditions could negatively impact consumer behavi</w:t>
      </w:r>
      <w:r>
        <w:rPr>
          <w:rFonts w:eastAsia="Times New Roman"/>
          <w:color w:val="000000"/>
          <w:sz w:val="20"/>
          <w:szCs w:val="20"/>
        </w:rPr>
        <w:t>or, spending levels, and/or shopping preferences and result in actual results differing from our estimates. Additionally, we may review and consider appraisals from accredited independent valuation firms to determine the fair value of long-lived assets, wh</w:t>
      </w:r>
      <w:r>
        <w:rPr>
          <w:rFonts w:eastAsia="Times New Roman"/>
          <w:color w:val="000000"/>
          <w:sz w:val="20"/>
          <w:szCs w:val="20"/>
        </w:rPr>
        <w:t>ere applicable.</w:t>
      </w:r>
    </w:p>
    <w:p w:rsidR="00000000" w:rsidRDefault="00BB5C2D">
      <w:pPr>
        <w:ind w:firstLine="540"/>
        <w:jc w:val="both"/>
        <w:divId w:val="534932231"/>
        <w:rPr>
          <w:rFonts w:eastAsia="Times New Roman"/>
        </w:rPr>
      </w:pPr>
      <w:r>
        <w:rPr>
          <w:rFonts w:eastAsia="Times New Roman"/>
          <w:color w:val="000000"/>
          <w:sz w:val="20"/>
          <w:szCs w:val="20"/>
        </w:rPr>
        <w:t>During Fiscal 2022, Fiscal 2021, and Fiscal 2020, we recorded non-cash impairment charges of $21.3 million, $96.0 million, and $38.7 million, respectively, to write-down the carrying values of certain long-lived assets based upon their assu</w:t>
      </w:r>
      <w:r>
        <w:rPr>
          <w:rFonts w:eastAsia="Times New Roman"/>
          <w:color w:val="000000"/>
          <w:sz w:val="20"/>
          <w:szCs w:val="20"/>
        </w:rPr>
        <w:t>med fair values. See Note 8 to the accompanying consolidated financial statements for further discussion.</w:t>
      </w:r>
    </w:p>
    <w:p w:rsidR="00000000" w:rsidRDefault="00BB5C2D">
      <w:pPr>
        <w:ind w:firstLine="360"/>
        <w:jc w:val="both"/>
        <w:divId w:val="270087014"/>
        <w:rPr>
          <w:rFonts w:eastAsia="Times New Roman"/>
        </w:rPr>
      </w:pPr>
      <w:r>
        <w:rPr>
          <w:rFonts w:eastAsia="Times New Roman"/>
          <w:b/>
          <w:bCs/>
          <w:i/>
          <w:iCs/>
          <w:color w:val="000000"/>
          <w:sz w:val="20"/>
          <w:szCs w:val="20"/>
        </w:rPr>
        <w:t>Income Taxes</w:t>
      </w:r>
    </w:p>
    <w:p w:rsidR="00000000" w:rsidRDefault="00BB5C2D">
      <w:pPr>
        <w:ind w:firstLine="540"/>
        <w:jc w:val="both"/>
        <w:divId w:val="1459028361"/>
        <w:rPr>
          <w:rFonts w:eastAsia="Times New Roman"/>
        </w:rPr>
      </w:pPr>
      <w:r>
        <w:rPr>
          <w:rFonts w:eastAsia="Times New Roman"/>
          <w:color w:val="000000"/>
          <w:sz w:val="20"/>
          <w:szCs w:val="20"/>
        </w:rPr>
        <w:t>In determining our income tax provision for financial reporting purposes, we establish a reserve for uncertain tax positions. If we belie</w:t>
      </w:r>
      <w:r>
        <w:rPr>
          <w:rFonts w:eastAsia="Times New Roman"/>
          <w:color w:val="000000"/>
          <w:sz w:val="20"/>
          <w:szCs w:val="20"/>
        </w:rPr>
        <w:t>ve that a tax position is more likely than not of being sustained upon audit, based solely on the technical merits of the position, we recognize the tax benefit. We measure the tax benefit by determining the largest amount that is greater than 50% likely o</w:t>
      </w:r>
      <w:r>
        <w:rPr>
          <w:rFonts w:eastAsia="Times New Roman"/>
          <w:color w:val="000000"/>
          <w:sz w:val="20"/>
          <w:szCs w:val="20"/>
        </w:rPr>
        <w:t>f being realized upon settlement, presuming that the tax position is examined by the appropriate taxing authority that has full knowledge of all relevant information. These assessments can be complex and require significant judgment, and we often obtain as</w:t>
      </w:r>
      <w:r>
        <w:rPr>
          <w:rFonts w:eastAsia="Times New Roman"/>
          <w:color w:val="000000"/>
          <w:sz w:val="20"/>
          <w:szCs w:val="20"/>
        </w:rPr>
        <w:t xml:space="preserve">sistance from external advisors. To the extent that our estimates change or the final tax outcome of these matters is different from the amounts recorded, such differences will impact the income tax provision in the period in which such determinations are </w:t>
      </w:r>
      <w:r>
        <w:rPr>
          <w:rFonts w:eastAsia="Times New Roman"/>
          <w:color w:val="000000"/>
          <w:sz w:val="20"/>
          <w:szCs w:val="20"/>
        </w:rPr>
        <w:t>made. If the initial assessment of a position fails to result in the recognition of a tax benefit, we will recognize the tax benefit if (i) there are changes in tax law or analogous case law that sufficiently raise the likelihood of prevailing on the techn</w:t>
      </w:r>
      <w:r>
        <w:rPr>
          <w:rFonts w:eastAsia="Times New Roman"/>
          <w:color w:val="000000"/>
          <w:sz w:val="20"/>
          <w:szCs w:val="20"/>
        </w:rPr>
        <w:t>ical merits of the position to more likely than not; (ii) the statute of limitations expires; or (iii) there is a completion of an audit resulting in a settlement of that tax year with the appropriate agency.</w:t>
      </w:r>
    </w:p>
    <w:p w:rsidR="00000000" w:rsidRDefault="00BB5C2D">
      <w:pPr>
        <w:ind w:firstLine="540"/>
        <w:jc w:val="both"/>
        <w:divId w:val="1704358599"/>
        <w:rPr>
          <w:rFonts w:eastAsia="Times New Roman"/>
        </w:rPr>
      </w:pPr>
      <w:r>
        <w:rPr>
          <w:rFonts w:eastAsia="Times New Roman"/>
          <w:color w:val="000000"/>
          <w:sz w:val="20"/>
          <w:szCs w:val="20"/>
        </w:rPr>
        <w:t>Deferred income taxes reflect the tax effect of</w:t>
      </w:r>
      <w:r>
        <w:rPr>
          <w:rFonts w:eastAsia="Times New Roman"/>
          <w:color w:val="000000"/>
          <w:sz w:val="20"/>
          <w:szCs w:val="20"/>
        </w:rPr>
        <w:t xml:space="preserve"> certain net operating losses, capital losses, general business credit carryforwards, and the net tax effects of temporary differences between the carrying amount of assets and liabilities for financial statement and income tax purposes, as determined unde</w:t>
      </w:r>
      <w:r>
        <w:rPr>
          <w:rFonts w:eastAsia="Times New Roman"/>
          <w:color w:val="000000"/>
          <w:sz w:val="20"/>
          <w:szCs w:val="20"/>
        </w:rPr>
        <w:t>r enacted tax laws and rates. Valuation allowances are established when management determines that it is more likely than not that some portion or all of a deferred tax asset will not be realized. Tax valuation allowances are analyzed periodically by asses</w:t>
      </w:r>
      <w:r>
        <w:rPr>
          <w:rFonts w:eastAsia="Times New Roman"/>
          <w:color w:val="000000"/>
          <w:sz w:val="20"/>
          <w:szCs w:val="20"/>
        </w:rPr>
        <w:t>sing the adequacy of future expected taxable income, which typically involves the use of significant estimates. Such allowances are adjusted as events occur, or circumstances change, that warrant adjustments to those balances.</w:t>
      </w:r>
    </w:p>
    <w:p w:rsidR="00000000" w:rsidRDefault="00BB5C2D">
      <w:pPr>
        <w:ind w:firstLine="540"/>
        <w:jc w:val="both"/>
        <w:divId w:val="1647004933"/>
        <w:rPr>
          <w:rFonts w:eastAsia="Times New Roman"/>
        </w:rPr>
      </w:pPr>
      <w:r>
        <w:rPr>
          <w:rFonts w:eastAsia="Times New Roman"/>
          <w:color w:val="000000"/>
          <w:sz w:val="20"/>
          <w:szCs w:val="20"/>
        </w:rPr>
        <w:t>See Note 10 to the accompanyi</w:t>
      </w:r>
      <w:r>
        <w:rPr>
          <w:rFonts w:eastAsia="Times New Roman"/>
          <w:color w:val="000000"/>
          <w:sz w:val="20"/>
          <w:szCs w:val="20"/>
        </w:rPr>
        <w:t>ng consolidated financial statements for further discussion of income taxes.</w:t>
      </w:r>
    </w:p>
    <w:p w:rsidR="00000000" w:rsidRDefault="00BB5C2D">
      <w:pPr>
        <w:ind w:firstLine="360"/>
        <w:jc w:val="both"/>
        <w:divId w:val="1184902619"/>
        <w:rPr>
          <w:rFonts w:eastAsia="Times New Roman"/>
        </w:rPr>
      </w:pPr>
      <w:r>
        <w:rPr>
          <w:rFonts w:eastAsia="Times New Roman"/>
          <w:b/>
          <w:bCs/>
          <w:i/>
          <w:iCs/>
          <w:color w:val="000000"/>
          <w:sz w:val="20"/>
          <w:szCs w:val="20"/>
        </w:rPr>
        <w:t>Contingencies</w:t>
      </w:r>
    </w:p>
    <w:p w:rsidR="00000000" w:rsidRDefault="00BB5C2D">
      <w:pPr>
        <w:ind w:firstLine="540"/>
        <w:jc w:val="both"/>
        <w:divId w:val="808596343"/>
        <w:rPr>
          <w:rFonts w:eastAsia="Times New Roman"/>
        </w:rPr>
      </w:pPr>
      <w:r>
        <w:rPr>
          <w:rFonts w:eastAsia="Times New Roman"/>
          <w:color w:val="000000"/>
          <w:sz w:val="20"/>
          <w:szCs w:val="20"/>
        </w:rPr>
        <w:t>We are periodically exposed to various contingencies in the ordinary course of conducting our business, including potential losses relating to certain litigation, al</w:t>
      </w:r>
      <w:r>
        <w:rPr>
          <w:rFonts w:eastAsia="Times New Roman"/>
          <w:color w:val="000000"/>
          <w:sz w:val="20"/>
          <w:szCs w:val="20"/>
        </w:rPr>
        <w:t xml:space="preserve">leged information system security breaches, contractual disputes, employee relation matters, various tax or other governmental audits, and trademark and intellectual property matters and disputes. We record a liability for such contingencies to the extent </w:t>
      </w:r>
      <w:r>
        <w:rPr>
          <w:rFonts w:eastAsia="Times New Roman"/>
          <w:color w:val="000000"/>
          <w:sz w:val="20"/>
          <w:szCs w:val="20"/>
        </w:rPr>
        <w:t>that we conclude that it is probable that a loss has been incurred and the amount of such loss is reasonably estimable. In addition, if it is considered reasonably possible that an unfavorable settlement of a contingency could exceed any established liabil</w:t>
      </w:r>
      <w:r>
        <w:rPr>
          <w:rFonts w:eastAsia="Times New Roman"/>
          <w:color w:val="000000"/>
          <w:sz w:val="20"/>
          <w:szCs w:val="20"/>
        </w:rPr>
        <w:t xml:space="preserve">ity, we disclose the estimated impact on our liquidity, financial condition, and results of operations, if practicable. Management considers many factors in making these assessments. As the ultimate resolution of contingencies is inherently unpredictable, </w:t>
      </w:r>
      <w:r>
        <w:rPr>
          <w:rFonts w:eastAsia="Times New Roman"/>
          <w:color w:val="000000"/>
          <w:sz w:val="20"/>
          <w:szCs w:val="20"/>
        </w:rPr>
        <w:t xml:space="preserve">these assessments can involve a series of complex judgments about future events including, but not limited to, court rulings, negotiations between affected parties, and governmental actions. As a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256522450"/>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256522450"/>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74</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02" style="width:0;height:1.5pt" o:hralign="center" o:hrstd="t" o:hr="t" fillcolor="#a0a0a0" stroked="f"/>
        </w:pict>
      </w:r>
    </w:p>
    <w:p w:rsidR="00000000" w:rsidRDefault="00BB5C2D">
      <w:pPr>
        <w:divId w:val="275256014"/>
        <w:rPr>
          <w:rFonts w:eastAsia="Times New Roman"/>
        </w:rPr>
      </w:pPr>
    </w:p>
    <w:p w:rsidR="00000000" w:rsidRDefault="00BB5C2D">
      <w:pPr>
        <w:jc w:val="both"/>
        <w:divId w:val="474954390"/>
        <w:rPr>
          <w:rFonts w:eastAsia="Times New Roman"/>
        </w:rPr>
      </w:pPr>
      <w:r>
        <w:rPr>
          <w:rFonts w:eastAsia="Times New Roman"/>
          <w:color w:val="000000"/>
          <w:sz w:val="20"/>
          <w:szCs w:val="20"/>
        </w:rPr>
        <w:t>result, the accounting for loss contingencies relies heavily on management's judgment in developing the related estimates and assumptions.</w:t>
      </w:r>
    </w:p>
    <w:p w:rsidR="00000000" w:rsidRDefault="00BB5C2D">
      <w:pPr>
        <w:ind w:firstLine="360"/>
        <w:jc w:val="both"/>
        <w:divId w:val="876939926"/>
        <w:rPr>
          <w:rFonts w:eastAsia="Times New Roman"/>
        </w:rPr>
      </w:pPr>
      <w:r>
        <w:rPr>
          <w:rFonts w:eastAsia="Times New Roman"/>
          <w:b/>
          <w:bCs/>
          <w:i/>
          <w:iCs/>
          <w:color w:val="000000"/>
          <w:sz w:val="20"/>
          <w:szCs w:val="20"/>
        </w:rPr>
        <w:t>Stock-Based Compensation</w:t>
      </w:r>
    </w:p>
    <w:p w:rsidR="00000000" w:rsidRDefault="00BB5C2D">
      <w:pPr>
        <w:ind w:firstLine="540"/>
        <w:jc w:val="both"/>
        <w:divId w:val="744883047"/>
        <w:rPr>
          <w:rFonts w:eastAsia="Times New Roman"/>
        </w:rPr>
      </w:pPr>
      <w:r>
        <w:rPr>
          <w:rFonts w:eastAsia="Times New Roman"/>
          <w:color w:val="000000"/>
          <w:sz w:val="20"/>
          <w:szCs w:val="20"/>
        </w:rPr>
        <w:t>We expense all stock-based compensation awarded to emp</w:t>
      </w:r>
      <w:r>
        <w:rPr>
          <w:rFonts w:eastAsia="Times New Roman"/>
          <w:color w:val="000000"/>
          <w:sz w:val="20"/>
          <w:szCs w:val="20"/>
        </w:rPr>
        <w:t>loyees and non-employee directors based on the grant date fair value of the awards over the requisite service period, adjusted for forfeitures which are estimated based on an analysis of historical experience and expected future trends.</w:t>
      </w:r>
    </w:p>
    <w:p w:rsidR="00000000" w:rsidRDefault="00BB5C2D">
      <w:pPr>
        <w:ind w:firstLine="360"/>
        <w:jc w:val="both"/>
        <w:divId w:val="426005255"/>
        <w:rPr>
          <w:rFonts w:eastAsia="Times New Roman"/>
        </w:rPr>
      </w:pPr>
      <w:r>
        <w:rPr>
          <w:rFonts w:eastAsia="Times New Roman"/>
          <w:i/>
          <w:iCs/>
          <w:color w:val="000000"/>
          <w:sz w:val="20"/>
          <w:szCs w:val="20"/>
        </w:rPr>
        <w:t>Restricted Stock Units ("RSUs")</w:t>
      </w:r>
    </w:p>
    <w:p w:rsidR="00000000" w:rsidRDefault="00BB5C2D">
      <w:pPr>
        <w:ind w:firstLine="540"/>
        <w:jc w:val="both"/>
        <w:divId w:val="1628899842"/>
        <w:rPr>
          <w:rFonts w:eastAsia="Times New Roman"/>
        </w:rPr>
      </w:pPr>
      <w:r>
        <w:rPr>
          <w:rFonts w:eastAsia="Times New Roman"/>
          <w:color w:val="000000"/>
          <w:sz w:val="20"/>
          <w:szCs w:val="20"/>
        </w:rPr>
        <w:t>We grant service-based RSUs to certain of our senior executives and other employees, as well as to our non-employee directors. In addition, we grant RSUs with performance-based and market-based vesting conditions to such sen</w:t>
      </w:r>
      <w:r>
        <w:rPr>
          <w:rFonts w:eastAsia="Times New Roman"/>
          <w:color w:val="000000"/>
          <w:sz w:val="20"/>
          <w:szCs w:val="20"/>
        </w:rPr>
        <w:t>ior executives and other key employees.</w:t>
      </w:r>
    </w:p>
    <w:p w:rsidR="00000000" w:rsidRDefault="00BB5C2D">
      <w:pPr>
        <w:ind w:firstLine="540"/>
        <w:jc w:val="both"/>
        <w:divId w:val="1773235634"/>
        <w:rPr>
          <w:rFonts w:eastAsia="Times New Roman"/>
        </w:rPr>
      </w:pPr>
      <w:r>
        <w:rPr>
          <w:rFonts w:eastAsia="Times New Roman"/>
          <w:color w:val="000000"/>
          <w:sz w:val="20"/>
          <w:szCs w:val="20"/>
        </w:rPr>
        <w:t>The fair values of our service-based RSU and performance-based RSU awards are measured based on the fair value of our Class A common stock on the date of grant, adjusted to reflect the absence of dividends for any aw</w:t>
      </w:r>
      <w:r>
        <w:rPr>
          <w:rFonts w:eastAsia="Times New Roman"/>
          <w:color w:val="000000"/>
          <w:sz w:val="20"/>
          <w:szCs w:val="20"/>
        </w:rPr>
        <w:t>ards for which dividend equivalent amounts do not accrue while outstanding and unvested. Related compensation expense for performance-based RSUs is recognized over the employees' requisite service period, to the extent that our attainment of performance go</w:t>
      </w:r>
      <w:r>
        <w:rPr>
          <w:rFonts w:eastAsia="Times New Roman"/>
          <w:color w:val="000000"/>
          <w:sz w:val="20"/>
          <w:szCs w:val="20"/>
        </w:rPr>
        <w:t>als (upon which vesting is dependent) is deemed probable, and involves judgment as to expectations surrounding our achievement of certain defined operating performance metrics.</w:t>
      </w:r>
    </w:p>
    <w:p w:rsidR="00000000" w:rsidRDefault="00BB5C2D">
      <w:pPr>
        <w:ind w:firstLine="540"/>
        <w:jc w:val="both"/>
        <w:divId w:val="1569993856"/>
        <w:rPr>
          <w:rFonts w:eastAsia="Times New Roman"/>
        </w:rPr>
      </w:pPr>
      <w:r>
        <w:rPr>
          <w:rFonts w:eastAsia="Times New Roman"/>
          <w:color w:val="000000"/>
          <w:sz w:val="20"/>
          <w:szCs w:val="20"/>
        </w:rPr>
        <w:t>The fair value of our market-based RSU awards, for which vesting is dependent u</w:t>
      </w:r>
      <w:r>
        <w:rPr>
          <w:rFonts w:eastAsia="Times New Roman"/>
          <w:color w:val="000000"/>
          <w:sz w:val="20"/>
          <w:szCs w:val="20"/>
        </w:rPr>
        <w:t>pon total shareholder return ("TSR") of our Class A common stock over a three-year performance period relative to that of a pre-established peer group, is measured on the grant date based on estimated projections of our relative TSR over the performance pe</w:t>
      </w:r>
      <w:r>
        <w:rPr>
          <w:rFonts w:eastAsia="Times New Roman"/>
          <w:color w:val="000000"/>
          <w:sz w:val="20"/>
          <w:szCs w:val="20"/>
        </w:rPr>
        <w:t>riod. These estimates are made using a Monte Carlo simulation, which models multiple stock price paths of our Class A common stock and that of the peer group to evaluate and determine our ultimate expected relative TSR performance ranking. Related compensa</w:t>
      </w:r>
      <w:r>
        <w:rPr>
          <w:rFonts w:eastAsia="Times New Roman"/>
          <w:color w:val="000000"/>
          <w:sz w:val="20"/>
          <w:szCs w:val="20"/>
        </w:rPr>
        <w:t>tion expense, net of estimated forfeitures, is recorded regardless of whether, and the extent to which, the market condition is ultimately satisfied. See Note 18 to the accompanying consolidated financial statements for further discussion.</w:t>
      </w:r>
    </w:p>
    <w:p w:rsidR="00000000" w:rsidRDefault="00BB5C2D">
      <w:pPr>
        <w:ind w:firstLine="360"/>
        <w:jc w:val="both"/>
        <w:divId w:val="459803644"/>
        <w:rPr>
          <w:rFonts w:eastAsia="Times New Roman"/>
        </w:rPr>
      </w:pPr>
      <w:r>
        <w:rPr>
          <w:rFonts w:eastAsia="Times New Roman"/>
          <w:i/>
          <w:iCs/>
          <w:color w:val="000000"/>
          <w:sz w:val="20"/>
          <w:szCs w:val="20"/>
        </w:rPr>
        <w:t>Stock Options</w:t>
      </w:r>
    </w:p>
    <w:p w:rsidR="00000000" w:rsidRDefault="00BB5C2D">
      <w:pPr>
        <w:ind w:firstLine="540"/>
        <w:jc w:val="both"/>
        <w:divId w:val="1531257726"/>
        <w:rPr>
          <w:rFonts w:eastAsia="Times New Roman"/>
        </w:rPr>
      </w:pPr>
      <w:r>
        <w:rPr>
          <w:rFonts w:eastAsia="Times New Roman"/>
          <w:color w:val="000000"/>
          <w:sz w:val="20"/>
          <w:szCs w:val="20"/>
        </w:rPr>
        <w:t>St</w:t>
      </w:r>
      <w:r>
        <w:rPr>
          <w:rFonts w:eastAsia="Times New Roman"/>
          <w:color w:val="000000"/>
          <w:sz w:val="20"/>
          <w:szCs w:val="20"/>
        </w:rPr>
        <w:t xml:space="preserve">ock options have been granted to employees and non-employee directors with exercise prices equal to the fair market value of our Class A common stock on the date of grant. We use the Black-Scholes option-pricing model to estimate the grant date fair value </w:t>
      </w:r>
      <w:r>
        <w:rPr>
          <w:rFonts w:eastAsia="Times New Roman"/>
          <w:color w:val="000000"/>
          <w:sz w:val="20"/>
          <w:szCs w:val="20"/>
        </w:rPr>
        <w:t xml:space="preserve">of stock options, which requires the use of both subjective and objective assumptions. Certain key assumptions involve estimating future uncertain events. The key factors influencing the estimation process include the expected term of the option, expected </w:t>
      </w:r>
      <w:r>
        <w:rPr>
          <w:rFonts w:eastAsia="Times New Roman"/>
          <w:color w:val="000000"/>
          <w:sz w:val="20"/>
          <w:szCs w:val="20"/>
        </w:rPr>
        <w:t>volatility of our stock price, our expected dividend yield, and the risk-free interest rate, among others. Generally, once stock option values are determined, accounting practices do not permit them to be changed, even if the estimates used are different f</w:t>
      </w:r>
      <w:r>
        <w:rPr>
          <w:rFonts w:eastAsia="Times New Roman"/>
          <w:color w:val="000000"/>
          <w:sz w:val="20"/>
          <w:szCs w:val="20"/>
        </w:rPr>
        <w:t xml:space="preserve">rom actual results. </w:t>
      </w:r>
    </w:p>
    <w:p w:rsidR="00000000" w:rsidRDefault="00BB5C2D">
      <w:pPr>
        <w:ind w:firstLine="540"/>
        <w:jc w:val="both"/>
        <w:divId w:val="955988807"/>
        <w:rPr>
          <w:rFonts w:eastAsia="Times New Roman"/>
        </w:rPr>
      </w:pPr>
      <w:r>
        <w:rPr>
          <w:rFonts w:eastAsia="Times New Roman"/>
          <w:color w:val="000000"/>
          <w:sz w:val="20"/>
          <w:szCs w:val="20"/>
        </w:rPr>
        <w:t>No stock options were granted during any of the fiscal years presented. See Note 18 to the accompanying consolidated financial statements for further discussion.</w:t>
      </w:r>
    </w:p>
    <w:p w:rsidR="00000000" w:rsidRDefault="00BB5C2D">
      <w:pPr>
        <w:ind w:firstLine="360"/>
        <w:jc w:val="both"/>
        <w:divId w:val="439303853"/>
        <w:rPr>
          <w:rFonts w:eastAsia="Times New Roman"/>
        </w:rPr>
      </w:pPr>
      <w:r>
        <w:rPr>
          <w:rFonts w:eastAsia="Times New Roman"/>
          <w:i/>
          <w:iCs/>
          <w:color w:val="000000"/>
          <w:sz w:val="20"/>
          <w:szCs w:val="20"/>
        </w:rPr>
        <w:t>Sensitivity</w:t>
      </w:r>
    </w:p>
    <w:p w:rsidR="00000000" w:rsidRDefault="00BB5C2D">
      <w:pPr>
        <w:ind w:firstLine="540"/>
        <w:jc w:val="both"/>
        <w:divId w:val="32311245"/>
        <w:rPr>
          <w:rFonts w:eastAsia="Times New Roman"/>
        </w:rPr>
      </w:pPr>
      <w:r>
        <w:rPr>
          <w:rFonts w:eastAsia="Times New Roman"/>
          <w:color w:val="000000"/>
          <w:sz w:val="20"/>
          <w:szCs w:val="20"/>
        </w:rPr>
        <w:t>The assumptions used in calculating the grant date fair value</w:t>
      </w:r>
      <w:r>
        <w:rPr>
          <w:rFonts w:eastAsia="Times New Roman"/>
          <w:color w:val="000000"/>
          <w:sz w:val="20"/>
          <w:szCs w:val="20"/>
        </w:rPr>
        <w:t>s of our stock-based compensation awards represent our best estimates. In addition, projecting the achievement level of certain performance-based awards, as well as estimating the number of awards expected to be forfeited, requires judgment. If actual resu</w:t>
      </w:r>
      <w:r>
        <w:rPr>
          <w:rFonts w:eastAsia="Times New Roman"/>
          <w:color w:val="000000"/>
          <w:sz w:val="20"/>
          <w:szCs w:val="20"/>
        </w:rPr>
        <w:t>lts or forfeitures differ significantly from our estimates and assumptions, or if assumptions used to estimate the grant date fair value of future stock-based award grants are significantly changed, stock-based compensation expense and, therefore, our resu</w:t>
      </w:r>
      <w:r>
        <w:rPr>
          <w:rFonts w:eastAsia="Times New Roman"/>
          <w:color w:val="000000"/>
          <w:sz w:val="20"/>
          <w:szCs w:val="20"/>
        </w:rPr>
        <w:t>lts of operations could be materially impacted. A hypothetical 10% change in our Fiscal 2022 stock-based compensation expense would have affected our net income by approximately $7 million.</w:t>
      </w:r>
    </w:p>
    <w:p w:rsidR="00000000" w:rsidRDefault="00BB5C2D">
      <w:pPr>
        <w:jc w:val="both"/>
        <w:divId w:val="1514564963"/>
        <w:rPr>
          <w:rFonts w:eastAsia="Times New Roman"/>
        </w:rPr>
      </w:pPr>
      <w:r>
        <w:rPr>
          <w:rFonts w:eastAsia="Times New Roman"/>
          <w:b/>
          <w:bCs/>
          <w:color w:val="000000"/>
          <w:sz w:val="20"/>
          <w:szCs w:val="20"/>
        </w:rPr>
        <w:t>RECENTLY ISSUED ACCOUNTING STANDARDS</w:t>
      </w:r>
    </w:p>
    <w:p w:rsidR="00000000" w:rsidRDefault="00BB5C2D">
      <w:pPr>
        <w:ind w:firstLine="540"/>
        <w:jc w:val="both"/>
        <w:divId w:val="419133523"/>
        <w:rPr>
          <w:rFonts w:eastAsia="Times New Roman"/>
        </w:rPr>
      </w:pPr>
      <w:r>
        <w:rPr>
          <w:rFonts w:eastAsia="Times New Roman"/>
          <w:color w:val="000000"/>
          <w:sz w:val="20"/>
          <w:szCs w:val="20"/>
        </w:rPr>
        <w:t>See Note 4 to the accompanyin</w:t>
      </w:r>
      <w:r>
        <w:rPr>
          <w:rFonts w:eastAsia="Times New Roman"/>
          <w:color w:val="000000"/>
          <w:sz w:val="20"/>
          <w:szCs w:val="20"/>
        </w:rPr>
        <w:t>g consolidated financial statements for a description of certain recently issued accounting standards which have impacted our consolidated financial statements or may impact our consolidated financial statements in future reporting periods.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2106152275"/>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2106152275"/>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75</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03" style="width:0;height:1.5pt" o:hralign="center" o:hrstd="t" o:hr="t" fillcolor="#a0a0a0" stroked="f"/>
        </w:pict>
      </w:r>
    </w:p>
    <w:p w:rsidR="00000000" w:rsidRDefault="00BB5C2D">
      <w:pPr>
        <w:divId w:val="835269961"/>
        <w:rPr>
          <w:rFonts w:eastAsia="Times New Roman"/>
        </w:rPr>
      </w:pPr>
    </w:p>
    <w:p w:rsidR="00000000" w:rsidRDefault="00BB5C2D">
      <w:pPr>
        <w:ind w:hanging="900"/>
        <w:jc w:val="both"/>
        <w:divId w:val="1686981424"/>
        <w:rPr>
          <w:rFonts w:eastAsia="Times New Roman"/>
        </w:rPr>
      </w:pPr>
      <w:r>
        <w:rPr>
          <w:rFonts w:eastAsia="Times New Roman"/>
          <w:b/>
          <w:bCs/>
          <w:color w:val="000000"/>
          <w:sz w:val="20"/>
          <w:szCs w:val="20"/>
        </w:rPr>
        <w:t>Item 7A.</w:t>
      </w:r>
      <w:r>
        <w:rPr>
          <w:rFonts w:eastAsia="Times New Roman"/>
          <w:b/>
          <w:bCs/>
          <w:i/>
          <w:iCs/>
          <w:color w:val="000000"/>
          <w:sz w:val="20"/>
          <w:szCs w:val="20"/>
        </w:rPr>
        <w:t>    Quantitative and Qualitative Disclosures About Market Risk.</w:t>
      </w:r>
    </w:p>
    <w:p w:rsidR="00000000" w:rsidRDefault="00BB5C2D">
      <w:pPr>
        <w:ind w:firstLine="540"/>
        <w:jc w:val="both"/>
        <w:divId w:val="437068082"/>
        <w:rPr>
          <w:rFonts w:eastAsia="Times New Roman"/>
        </w:rPr>
      </w:pPr>
      <w:r>
        <w:rPr>
          <w:rFonts w:eastAsia="Times New Roman"/>
          <w:color w:val="000000"/>
          <w:sz w:val="20"/>
          <w:szCs w:val="20"/>
        </w:rPr>
        <w:t xml:space="preserve">For a discussion of our exposure to market risk, see "Market Risk Management" in Item 7 included elsewhere in this Annual Report on Form 10-K. </w:t>
      </w:r>
    </w:p>
    <w:p w:rsidR="00000000" w:rsidRDefault="00BB5C2D">
      <w:pPr>
        <w:ind w:hanging="900"/>
        <w:divId w:val="436144947"/>
        <w:rPr>
          <w:rFonts w:eastAsia="Times New Roman"/>
        </w:rPr>
      </w:pPr>
      <w:r>
        <w:rPr>
          <w:rFonts w:eastAsia="Times New Roman"/>
          <w:b/>
          <w:bCs/>
          <w:color w:val="000000"/>
          <w:sz w:val="20"/>
          <w:szCs w:val="20"/>
        </w:rPr>
        <w:t>It</w:t>
      </w:r>
      <w:r>
        <w:rPr>
          <w:rFonts w:eastAsia="Times New Roman"/>
          <w:b/>
          <w:bCs/>
          <w:color w:val="000000"/>
          <w:sz w:val="20"/>
          <w:szCs w:val="20"/>
        </w:rPr>
        <w:t>em 8.</w:t>
      </w:r>
      <w:r>
        <w:rPr>
          <w:rFonts w:eastAsia="Times New Roman"/>
          <w:b/>
          <w:bCs/>
          <w:i/>
          <w:iCs/>
          <w:color w:val="000000"/>
          <w:sz w:val="20"/>
          <w:szCs w:val="20"/>
        </w:rPr>
        <w:t>    Financial Statements and Supplementary Data.</w:t>
      </w:r>
    </w:p>
    <w:p w:rsidR="00000000" w:rsidRDefault="00BB5C2D">
      <w:pPr>
        <w:ind w:firstLine="540"/>
        <w:divId w:val="700278708"/>
        <w:rPr>
          <w:rFonts w:eastAsia="Times New Roman"/>
        </w:rPr>
      </w:pPr>
      <w:r>
        <w:rPr>
          <w:rFonts w:eastAsia="Times New Roman"/>
          <w:color w:val="000000"/>
          <w:sz w:val="20"/>
          <w:szCs w:val="20"/>
        </w:rPr>
        <w:t>See the "Index to Consolidated Financial Statements" appearing at the end of this Annual Report on Form 10-K.</w:t>
      </w:r>
    </w:p>
    <w:p w:rsidR="00000000" w:rsidRDefault="00BB5C2D">
      <w:pPr>
        <w:ind w:hanging="900"/>
        <w:divId w:val="2043742217"/>
        <w:rPr>
          <w:rFonts w:eastAsia="Times New Roman"/>
        </w:rPr>
      </w:pPr>
      <w:r>
        <w:rPr>
          <w:rFonts w:eastAsia="Times New Roman"/>
          <w:b/>
          <w:bCs/>
          <w:color w:val="000000"/>
          <w:sz w:val="20"/>
          <w:szCs w:val="20"/>
        </w:rPr>
        <w:t>Item 9.</w:t>
      </w:r>
      <w:r>
        <w:rPr>
          <w:rFonts w:eastAsia="Times New Roman"/>
          <w:b/>
          <w:bCs/>
          <w:i/>
          <w:iCs/>
          <w:color w:val="000000"/>
          <w:sz w:val="20"/>
          <w:szCs w:val="20"/>
        </w:rPr>
        <w:t>    Changes in and Disagreements with Accountants on Accounting and Financial Disclos</w:t>
      </w:r>
      <w:r>
        <w:rPr>
          <w:rFonts w:eastAsia="Times New Roman"/>
          <w:b/>
          <w:bCs/>
          <w:i/>
          <w:iCs/>
          <w:color w:val="000000"/>
          <w:sz w:val="20"/>
          <w:szCs w:val="20"/>
        </w:rPr>
        <w:t>ure.</w:t>
      </w:r>
    </w:p>
    <w:p w:rsidR="00000000" w:rsidRDefault="00BB5C2D">
      <w:pPr>
        <w:ind w:firstLine="540"/>
        <w:divId w:val="959265869"/>
        <w:rPr>
          <w:rFonts w:eastAsia="Times New Roman"/>
        </w:rPr>
      </w:pPr>
      <w:r>
        <w:rPr>
          <w:rFonts w:eastAsia="Times New Roman"/>
          <w:color w:val="000000"/>
          <w:sz w:val="20"/>
          <w:szCs w:val="20"/>
        </w:rPr>
        <w:t>Not applicable.</w:t>
      </w:r>
    </w:p>
    <w:p w:rsidR="00000000" w:rsidRDefault="00BB5C2D">
      <w:pPr>
        <w:jc w:val="both"/>
        <w:divId w:val="1785222143"/>
        <w:rPr>
          <w:rFonts w:eastAsia="Times New Roman"/>
        </w:rPr>
      </w:pPr>
      <w:r>
        <w:rPr>
          <w:rFonts w:eastAsia="Times New Roman"/>
          <w:b/>
          <w:bCs/>
          <w:color w:val="000000"/>
          <w:sz w:val="20"/>
          <w:szCs w:val="20"/>
        </w:rPr>
        <w:t>Item 9A.</w:t>
      </w:r>
      <w:r>
        <w:rPr>
          <w:rFonts w:eastAsia="Times New Roman"/>
          <w:b/>
          <w:bCs/>
          <w:i/>
          <w:iCs/>
          <w:color w:val="000000"/>
          <w:sz w:val="20"/>
          <w:szCs w:val="20"/>
        </w:rPr>
        <w:t>    Controls and Procedures.</w:t>
      </w:r>
    </w:p>
    <w:p w:rsidR="00000000" w:rsidRDefault="00BB5C2D">
      <w:pPr>
        <w:ind w:firstLine="360"/>
        <w:jc w:val="both"/>
        <w:divId w:val="10452821"/>
        <w:rPr>
          <w:rFonts w:eastAsia="Times New Roman"/>
        </w:rPr>
      </w:pPr>
      <w:r>
        <w:rPr>
          <w:rFonts w:eastAsia="Times New Roman"/>
          <w:b/>
          <w:bCs/>
          <w:color w:val="000000"/>
          <w:sz w:val="20"/>
          <w:szCs w:val="20"/>
        </w:rPr>
        <w:t>(a) Evaluation of Disclosure Controls and Procedures</w:t>
      </w:r>
    </w:p>
    <w:p w:rsidR="00000000" w:rsidRDefault="00BB5C2D">
      <w:pPr>
        <w:ind w:firstLine="540"/>
        <w:jc w:val="both"/>
        <w:divId w:val="155072608"/>
        <w:rPr>
          <w:rFonts w:eastAsia="Times New Roman"/>
        </w:rPr>
      </w:pPr>
      <w:r>
        <w:rPr>
          <w:rFonts w:eastAsia="Times New Roman"/>
          <w:color w:val="000000"/>
          <w:sz w:val="20"/>
          <w:szCs w:val="20"/>
        </w:rPr>
        <w:t>Disclosure controls and procedures are the controls and other procedures of an issuer that are designed to provide reasonable assurance that information required to be disclosed by the issuer in the reports that it files or submits under the Securities Exc</w:t>
      </w:r>
      <w:r>
        <w:rPr>
          <w:rFonts w:eastAsia="Times New Roman"/>
          <w:color w:val="000000"/>
          <w:sz w:val="20"/>
          <w:szCs w:val="20"/>
        </w:rPr>
        <w:t>hange Act of 1934 is recorded, processed, summarized, and reported within the time period specified in the Securities and Exchange Commission's rules and forms. Disclosure controls and procedures include, without limitation, controls and procedures designe</w:t>
      </w:r>
      <w:r>
        <w:rPr>
          <w:rFonts w:eastAsia="Times New Roman"/>
          <w:color w:val="000000"/>
          <w:sz w:val="20"/>
          <w:szCs w:val="20"/>
        </w:rPr>
        <w:t xml:space="preserve">d to ensure that material information required to be disclosed by an issuer in the reports that it files or submits under the Securities Exchange Act of 1934 is accumulated and communicated to the issuer's management, including its principal executive and </w:t>
      </w:r>
      <w:r>
        <w:rPr>
          <w:rFonts w:eastAsia="Times New Roman"/>
          <w:color w:val="000000"/>
          <w:sz w:val="20"/>
          <w:szCs w:val="20"/>
        </w:rPr>
        <w:t>principal financial officers, or persons performing similar functions, as appropriate to allow timely decisions regarding required disclosure.</w:t>
      </w:r>
    </w:p>
    <w:p w:rsidR="00000000" w:rsidRDefault="00BB5C2D">
      <w:pPr>
        <w:ind w:firstLine="540"/>
        <w:jc w:val="both"/>
        <w:divId w:val="1274556181"/>
        <w:rPr>
          <w:rFonts w:eastAsia="Times New Roman"/>
        </w:rPr>
      </w:pPr>
      <w:r>
        <w:rPr>
          <w:rFonts w:eastAsia="Times New Roman"/>
          <w:color w:val="000000"/>
          <w:sz w:val="20"/>
          <w:szCs w:val="20"/>
        </w:rPr>
        <w:t>We have evaluated, under the supervision and with the participation of management, including our principal execut</w:t>
      </w:r>
      <w:r>
        <w:rPr>
          <w:rFonts w:eastAsia="Times New Roman"/>
          <w:color w:val="000000"/>
          <w:sz w:val="20"/>
          <w:szCs w:val="20"/>
        </w:rPr>
        <w:t xml:space="preserve">ive and principal financial officers, the effectiveness of our disclosure controls and procedures, as defined in Rules 13a-15(e) and 15d-15(e) of the Securities Exchange Act of 1934, as of the end of the fiscal year covered by this annual report. Based on </w:t>
      </w:r>
      <w:r>
        <w:rPr>
          <w:rFonts w:eastAsia="Times New Roman"/>
          <w:color w:val="000000"/>
          <w:sz w:val="20"/>
          <w:szCs w:val="20"/>
        </w:rPr>
        <w:t>that evaluation, our principal executive and principal financial officers have concluded that the Company's disclosure controls and procedures were effective at the reasonable assurance level, as of the fiscal year-end covered by this Annual Report on Form</w:t>
      </w:r>
      <w:r>
        <w:rPr>
          <w:rFonts w:eastAsia="Times New Roman"/>
          <w:color w:val="000000"/>
          <w:sz w:val="20"/>
          <w:szCs w:val="20"/>
        </w:rPr>
        <w:t> 10-K.</w:t>
      </w:r>
    </w:p>
    <w:p w:rsidR="00000000" w:rsidRDefault="00BB5C2D">
      <w:pPr>
        <w:ind w:firstLine="540"/>
        <w:jc w:val="both"/>
        <w:divId w:val="1318999570"/>
        <w:rPr>
          <w:rFonts w:eastAsia="Times New Roman"/>
        </w:rPr>
      </w:pPr>
      <w:r>
        <w:rPr>
          <w:rFonts w:eastAsia="Times New Roman"/>
          <w:b/>
          <w:bCs/>
          <w:color w:val="000000"/>
          <w:sz w:val="20"/>
          <w:szCs w:val="20"/>
        </w:rPr>
        <w:t>(b) Management's Report on Internal Control Over Financial Reporting</w:t>
      </w:r>
    </w:p>
    <w:p w:rsidR="00000000" w:rsidRDefault="00BB5C2D">
      <w:pPr>
        <w:ind w:firstLine="540"/>
        <w:jc w:val="both"/>
        <w:divId w:val="435952293"/>
        <w:rPr>
          <w:rFonts w:eastAsia="Times New Roman"/>
        </w:rPr>
      </w:pPr>
      <w:r>
        <w:rPr>
          <w:rFonts w:eastAsia="Times New Roman"/>
          <w:color w:val="000000"/>
          <w:sz w:val="20"/>
          <w:szCs w:val="20"/>
        </w:rPr>
        <w:t>Management is responsible for establishing and maintaining adequate internal control over financial reporting, as defined in Securities Exchange Act Rule 13a-15(f). Internal contro</w:t>
      </w:r>
      <w:r>
        <w:rPr>
          <w:rFonts w:eastAsia="Times New Roman"/>
          <w:color w:val="000000"/>
          <w:sz w:val="20"/>
          <w:szCs w:val="20"/>
        </w:rPr>
        <w:t>l over financial reporting is designed to provide reasonable assurance regarding the reliability of financial reporting and preparation of financial statements for external purposes in accordance with U.S. Generally Accepted Accounting Principles. Internal</w:t>
      </w:r>
      <w:r>
        <w:rPr>
          <w:rFonts w:eastAsia="Times New Roman"/>
          <w:color w:val="000000"/>
          <w:sz w:val="20"/>
          <w:szCs w:val="20"/>
        </w:rPr>
        <w:t xml:space="preserve"> control over financial reporting includes maintaining records that in reasonable detail accurately and fairly reflect our transactions; providing reasonable assurance that transactions are recorded as necessary for preparation of our financial statements;</w:t>
      </w:r>
      <w:r>
        <w:rPr>
          <w:rFonts w:eastAsia="Times New Roman"/>
          <w:color w:val="000000"/>
          <w:sz w:val="20"/>
          <w:szCs w:val="20"/>
        </w:rPr>
        <w:t xml:space="preserve"> providing reasonable assurance that receipts and expenditures of the Company's assets are made in accordance with management authorization; and providing reasonable assurance that unauthorized acquisition, use or disposition of the Company's assets that c</w:t>
      </w:r>
      <w:r>
        <w:rPr>
          <w:rFonts w:eastAsia="Times New Roman"/>
          <w:color w:val="000000"/>
          <w:sz w:val="20"/>
          <w:szCs w:val="20"/>
        </w:rPr>
        <w:t>ould have a material effect on our financial statements would be prevented or detected on a timely basis. Because of its inherent limitations, internal control over financial reporting is not intended to provide absolute assurance that a misstatement of ou</w:t>
      </w:r>
      <w:r>
        <w:rPr>
          <w:rFonts w:eastAsia="Times New Roman"/>
          <w:color w:val="000000"/>
          <w:sz w:val="20"/>
          <w:szCs w:val="20"/>
        </w:rPr>
        <w:t>r financial statements would be prevented or detected. Further, the evaluation of the effectiveness of internal control over financial reporting was made as of a specific date, and continued effectiveness in future periods is subject to the risks that cont</w:t>
      </w:r>
      <w:r>
        <w:rPr>
          <w:rFonts w:eastAsia="Times New Roman"/>
          <w:color w:val="000000"/>
          <w:sz w:val="20"/>
          <w:szCs w:val="20"/>
        </w:rPr>
        <w:t>rols may become inadequate because of changes in conditions or that the degree of compliance with the policies and procedures may decline.</w:t>
      </w:r>
    </w:p>
    <w:p w:rsidR="00000000" w:rsidRDefault="00BB5C2D">
      <w:pPr>
        <w:ind w:firstLine="540"/>
        <w:jc w:val="both"/>
        <w:divId w:val="990451499"/>
        <w:rPr>
          <w:rFonts w:eastAsia="Times New Roman"/>
        </w:rPr>
      </w:pPr>
      <w:r>
        <w:rPr>
          <w:rFonts w:eastAsia="Times New Roman"/>
          <w:color w:val="000000"/>
          <w:sz w:val="20"/>
          <w:szCs w:val="20"/>
        </w:rPr>
        <w:t>Under the supervision and with the participation of management, including our principal executive and principal finan</w:t>
      </w:r>
      <w:r>
        <w:rPr>
          <w:rFonts w:eastAsia="Times New Roman"/>
          <w:color w:val="000000"/>
          <w:sz w:val="20"/>
          <w:szCs w:val="20"/>
        </w:rPr>
        <w:t>cial officers, we conducted an evaluation of the effectiveness of our internal control over financial reporting as of the end of the fiscal year covered by this report based on the framework issued by the Committee of Sponsoring Organizations of the Treadw</w:t>
      </w:r>
      <w:r>
        <w:rPr>
          <w:rFonts w:eastAsia="Times New Roman"/>
          <w:color w:val="000000"/>
          <w:sz w:val="20"/>
          <w:szCs w:val="20"/>
        </w:rPr>
        <w:t>ay Commission in Internal Control-Integrated Framework (2013 Framework). Based on this evaluation, management concluded that the Company's internal controls over financial reporting were effective at the reasonable assurance level as of the fiscal year-end</w:t>
      </w:r>
      <w:r>
        <w:rPr>
          <w:rFonts w:eastAsia="Times New Roman"/>
          <w:color w:val="000000"/>
          <w:sz w:val="20"/>
          <w:szCs w:val="20"/>
        </w:rPr>
        <w:t xml:space="preserve"> covered by this Annual Report on Form 10-K.</w:t>
      </w:r>
    </w:p>
    <w:p w:rsidR="00000000" w:rsidRDefault="00BB5C2D">
      <w:pPr>
        <w:ind w:firstLine="540"/>
        <w:jc w:val="both"/>
        <w:divId w:val="1370454494"/>
        <w:rPr>
          <w:rFonts w:eastAsia="Times New Roman"/>
        </w:rPr>
      </w:pPr>
      <w:r>
        <w:rPr>
          <w:rFonts w:eastAsia="Times New Roman"/>
          <w:color w:val="000000"/>
          <w:sz w:val="20"/>
          <w:szCs w:val="20"/>
        </w:rPr>
        <w:t>Ernst &amp; Young LLP, the Company's independent registered public accounting firm, has issued an attestation report on the Company's internal control over financial reporting as included elsewhere herein.</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164857603"/>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164857603"/>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76</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04" style="width:0;height:1.5pt" o:hralign="center" o:hrstd="t" o:hr="t" fillcolor="#a0a0a0" stroked="f"/>
        </w:pict>
      </w:r>
    </w:p>
    <w:p w:rsidR="00000000" w:rsidRDefault="00BB5C2D">
      <w:pPr>
        <w:divId w:val="1480808940"/>
        <w:rPr>
          <w:rFonts w:eastAsia="Times New Roman"/>
        </w:rPr>
      </w:pPr>
    </w:p>
    <w:p w:rsidR="00000000" w:rsidRDefault="00BB5C2D">
      <w:pPr>
        <w:ind w:firstLine="360"/>
        <w:jc w:val="both"/>
        <w:divId w:val="1023282190"/>
        <w:rPr>
          <w:rFonts w:eastAsia="Times New Roman"/>
        </w:rPr>
      </w:pPr>
      <w:r>
        <w:rPr>
          <w:rFonts w:eastAsia="Times New Roman"/>
          <w:b/>
          <w:bCs/>
          <w:color w:val="000000"/>
          <w:sz w:val="20"/>
          <w:szCs w:val="20"/>
        </w:rPr>
        <w:t>(c) Changes in Internal Controls over Financial Reporting</w:t>
      </w:r>
    </w:p>
    <w:p w:rsidR="00000000" w:rsidRDefault="00BB5C2D">
      <w:pPr>
        <w:ind w:firstLine="540"/>
        <w:jc w:val="both"/>
        <w:divId w:val="1910572504"/>
        <w:rPr>
          <w:rFonts w:eastAsia="Times New Roman"/>
        </w:rPr>
      </w:pPr>
      <w:r>
        <w:rPr>
          <w:rFonts w:eastAsia="Times New Roman"/>
          <w:color w:val="000000"/>
          <w:sz w:val="20"/>
          <w:szCs w:val="20"/>
        </w:rPr>
        <w:t>There has been no change in our internal control over financial reporting during the fourth quarter of Fiscal 2022 that has materially affected, or is reasonabl</w:t>
      </w:r>
      <w:r>
        <w:rPr>
          <w:rFonts w:eastAsia="Times New Roman"/>
          <w:color w:val="000000"/>
          <w:sz w:val="20"/>
          <w:szCs w:val="20"/>
        </w:rPr>
        <w:t xml:space="preserve">y likely to materially affect, the Company's internal control over financial reporting. </w:t>
      </w:r>
    </w:p>
    <w:p w:rsidR="00000000" w:rsidRDefault="00BB5C2D">
      <w:pPr>
        <w:ind w:firstLine="540"/>
        <w:jc w:val="both"/>
        <w:divId w:val="903024326"/>
        <w:rPr>
          <w:rFonts w:eastAsia="Times New Roman"/>
        </w:rPr>
      </w:pPr>
      <w:r>
        <w:rPr>
          <w:rFonts w:eastAsia="Times New Roman"/>
          <w:color w:val="000000"/>
          <w:sz w:val="20"/>
          <w:szCs w:val="20"/>
        </w:rPr>
        <w:t>Although there have been no material changes in the Company's internal control over financial reporting, we continue to experience varying degrees of business disruptions related to the COVID-19 pandemic, including periods of temporary closure of our store</w:t>
      </w:r>
      <w:r>
        <w:rPr>
          <w:rFonts w:eastAsia="Times New Roman"/>
          <w:color w:val="000000"/>
          <w:sz w:val="20"/>
          <w:szCs w:val="20"/>
        </w:rPr>
        <w:t xml:space="preserve">s, distribution centers, and corporate facilities, as described within Item 1 — </w:t>
      </w:r>
      <w:r>
        <w:rPr>
          <w:rFonts w:eastAsia="Times New Roman"/>
          <w:i/>
          <w:iCs/>
          <w:color w:val="000000"/>
          <w:sz w:val="20"/>
          <w:szCs w:val="20"/>
        </w:rPr>
        <w:t xml:space="preserve">"Business </w:t>
      </w:r>
      <w:r>
        <w:rPr>
          <w:rFonts w:eastAsia="Times New Roman"/>
          <w:color w:val="000000"/>
          <w:sz w:val="20"/>
          <w:szCs w:val="20"/>
        </w:rPr>
        <w:t xml:space="preserve">— </w:t>
      </w:r>
      <w:r>
        <w:rPr>
          <w:rFonts w:eastAsia="Times New Roman"/>
          <w:i/>
          <w:iCs/>
          <w:color w:val="000000"/>
          <w:sz w:val="20"/>
          <w:szCs w:val="20"/>
        </w:rPr>
        <w:t>Recent Developments,"</w:t>
      </w:r>
      <w:r>
        <w:rPr>
          <w:rFonts w:eastAsia="Times New Roman"/>
          <w:color w:val="000000"/>
          <w:sz w:val="20"/>
          <w:szCs w:val="20"/>
        </w:rPr>
        <w:t xml:space="preserve"> with a significant portion of our corporate employees continuing to work remotely. Additionally, in connection with our Fiscal 2021 Strategic </w:t>
      </w:r>
      <w:r>
        <w:rPr>
          <w:rFonts w:eastAsia="Times New Roman"/>
          <w:color w:val="000000"/>
          <w:sz w:val="20"/>
          <w:szCs w:val="20"/>
        </w:rPr>
        <w:t xml:space="preserve">Realignment Plan, as described within Item 1 — </w:t>
      </w:r>
      <w:r>
        <w:rPr>
          <w:rFonts w:eastAsia="Times New Roman"/>
          <w:i/>
          <w:iCs/>
          <w:color w:val="000000"/>
          <w:sz w:val="20"/>
          <w:szCs w:val="20"/>
        </w:rPr>
        <w:t xml:space="preserve">"Business </w:t>
      </w:r>
      <w:r>
        <w:rPr>
          <w:rFonts w:eastAsia="Times New Roman"/>
          <w:color w:val="000000"/>
          <w:sz w:val="20"/>
          <w:szCs w:val="20"/>
        </w:rPr>
        <w:t xml:space="preserve">— </w:t>
      </w:r>
      <w:r>
        <w:rPr>
          <w:rFonts w:eastAsia="Times New Roman"/>
          <w:i/>
          <w:iCs/>
          <w:color w:val="000000"/>
          <w:sz w:val="20"/>
          <w:szCs w:val="20"/>
        </w:rPr>
        <w:t>Recent Developments,"</w:t>
      </w:r>
      <w:r>
        <w:rPr>
          <w:rFonts w:eastAsia="Times New Roman"/>
          <w:color w:val="000000"/>
          <w:sz w:val="20"/>
          <w:szCs w:val="20"/>
        </w:rPr>
        <w:t xml:space="preserve"> we made a significant reduction to our global workforce during the second half of Fiscal 2021. Despite such cumulative actions, we have not experienced any material changes to</w:t>
      </w:r>
      <w:r>
        <w:rPr>
          <w:rFonts w:eastAsia="Times New Roman"/>
          <w:color w:val="000000"/>
          <w:sz w:val="20"/>
          <w:szCs w:val="20"/>
        </w:rPr>
        <w:t xml:space="preserve"> our internal controls over financial reporting. We will continue to evaluate and monitor the impact of the COVID-19 pandemic and our restructuring activities on our internal controls. See Item 1A — </w:t>
      </w:r>
      <w:r>
        <w:rPr>
          <w:rFonts w:eastAsia="Times New Roman"/>
          <w:i/>
          <w:iCs/>
          <w:color w:val="000000"/>
          <w:sz w:val="20"/>
          <w:szCs w:val="20"/>
        </w:rPr>
        <w:t>"Risk Factors </w:t>
      </w:r>
      <w:r>
        <w:rPr>
          <w:rFonts w:eastAsia="Times New Roman"/>
          <w:color w:val="000000"/>
          <w:sz w:val="20"/>
          <w:szCs w:val="20"/>
        </w:rPr>
        <w:t xml:space="preserve">— </w:t>
      </w:r>
      <w:r>
        <w:rPr>
          <w:rFonts w:eastAsia="Times New Roman"/>
          <w:i/>
          <w:iCs/>
          <w:color w:val="000000"/>
          <w:sz w:val="20"/>
          <w:szCs w:val="20"/>
        </w:rPr>
        <w:t>Risks Related to Macroeconomic Conditions</w:t>
      </w:r>
      <w:r>
        <w:rPr>
          <w:rFonts w:eastAsia="Times New Roman"/>
          <w:i/>
          <w:iCs/>
          <w:color w:val="000000"/>
          <w:sz w:val="20"/>
          <w:szCs w:val="20"/>
        </w:rPr>
        <w:t xml:space="preserve"> — Infectious disease outbreaks, such as the COVID-19 pandemic, could have a material adverse effect on our business"</w:t>
      </w:r>
      <w:r>
        <w:rPr>
          <w:rFonts w:eastAsia="Times New Roman"/>
          <w:color w:val="000000"/>
          <w:sz w:val="20"/>
          <w:szCs w:val="20"/>
        </w:rPr>
        <w:t xml:space="preserve"> and </w:t>
      </w:r>
      <w:r>
        <w:rPr>
          <w:rFonts w:eastAsia="Times New Roman"/>
          <w:i/>
          <w:iCs/>
          <w:color w:val="000000"/>
          <w:sz w:val="20"/>
          <w:szCs w:val="20"/>
        </w:rPr>
        <w:t>"Risk Factors </w:t>
      </w:r>
      <w:r>
        <w:rPr>
          <w:rFonts w:eastAsia="Times New Roman"/>
          <w:color w:val="000000"/>
          <w:sz w:val="20"/>
          <w:szCs w:val="20"/>
        </w:rPr>
        <w:t xml:space="preserve">— </w:t>
      </w:r>
      <w:r>
        <w:rPr>
          <w:rFonts w:eastAsia="Times New Roman"/>
          <w:i/>
          <w:iCs/>
          <w:color w:val="000000"/>
          <w:sz w:val="20"/>
          <w:szCs w:val="20"/>
        </w:rPr>
        <w:t>Risks Related to our Strategic Initiatives and Restructuring Activities — We may not fully realize the expected cost s</w:t>
      </w:r>
      <w:r>
        <w:rPr>
          <w:rFonts w:eastAsia="Times New Roman"/>
          <w:i/>
          <w:iCs/>
          <w:color w:val="000000"/>
          <w:sz w:val="20"/>
          <w:szCs w:val="20"/>
        </w:rPr>
        <w:t xml:space="preserve">avings and/or operating efficiencies from our restructuring plans" </w:t>
      </w:r>
      <w:r>
        <w:rPr>
          <w:rFonts w:eastAsia="Times New Roman"/>
          <w:color w:val="000000"/>
          <w:sz w:val="20"/>
          <w:szCs w:val="20"/>
        </w:rPr>
        <w:t>for additional discussion regarding risks to our business associated with the COVID-19 pandemic and our restructuring plans, respectively.</w:t>
      </w:r>
    </w:p>
    <w:p w:rsidR="00000000" w:rsidRDefault="00BB5C2D">
      <w:pPr>
        <w:ind w:hanging="900"/>
        <w:jc w:val="both"/>
        <w:divId w:val="1259412264"/>
        <w:rPr>
          <w:rFonts w:eastAsia="Times New Roman"/>
        </w:rPr>
      </w:pPr>
      <w:r>
        <w:rPr>
          <w:rFonts w:eastAsia="Times New Roman"/>
          <w:b/>
          <w:bCs/>
          <w:color w:val="000000"/>
          <w:sz w:val="20"/>
          <w:szCs w:val="20"/>
        </w:rPr>
        <w:t>Item 9B.</w:t>
      </w:r>
      <w:r>
        <w:rPr>
          <w:rFonts w:eastAsia="Times New Roman"/>
          <w:b/>
          <w:bCs/>
          <w:i/>
          <w:iCs/>
          <w:color w:val="000000"/>
          <w:sz w:val="20"/>
          <w:szCs w:val="20"/>
        </w:rPr>
        <w:t>    Other Information.</w:t>
      </w:r>
    </w:p>
    <w:p w:rsidR="00000000" w:rsidRDefault="00BB5C2D">
      <w:pPr>
        <w:ind w:firstLine="540"/>
        <w:jc w:val="both"/>
        <w:divId w:val="1687635659"/>
        <w:rPr>
          <w:rFonts w:eastAsia="Times New Roman"/>
        </w:rPr>
      </w:pPr>
      <w:r>
        <w:rPr>
          <w:rFonts w:eastAsia="Times New Roman"/>
          <w:color w:val="000000"/>
          <w:sz w:val="20"/>
          <w:szCs w:val="20"/>
        </w:rPr>
        <w:t>Not applicable.</w:t>
      </w:r>
    </w:p>
    <w:p w:rsidR="00000000" w:rsidRDefault="00BB5C2D">
      <w:pPr>
        <w:ind w:hanging="900"/>
        <w:jc w:val="both"/>
        <w:divId w:val="2030713183"/>
        <w:rPr>
          <w:rFonts w:eastAsia="Times New Roman"/>
        </w:rPr>
      </w:pPr>
      <w:r>
        <w:rPr>
          <w:rFonts w:eastAsia="Times New Roman"/>
          <w:b/>
          <w:bCs/>
          <w:color w:val="000000"/>
          <w:sz w:val="20"/>
          <w:szCs w:val="20"/>
        </w:rPr>
        <w:t>Item 9C.</w:t>
      </w:r>
      <w:r>
        <w:rPr>
          <w:rFonts w:eastAsia="Times New Roman"/>
          <w:b/>
          <w:bCs/>
          <w:i/>
          <w:iCs/>
          <w:color w:val="000000"/>
          <w:sz w:val="20"/>
          <w:szCs w:val="20"/>
        </w:rPr>
        <w:t>    Disclosure Regarding Foreign Jurisdictions that Prevent Inspections</w:t>
      </w:r>
    </w:p>
    <w:p w:rsidR="00000000" w:rsidRDefault="00BB5C2D">
      <w:pPr>
        <w:ind w:firstLine="540"/>
        <w:jc w:val="both"/>
        <w:divId w:val="247010112"/>
        <w:rPr>
          <w:rFonts w:eastAsia="Times New Roman"/>
        </w:rPr>
      </w:pPr>
      <w:r>
        <w:rPr>
          <w:rFonts w:eastAsia="Times New Roman"/>
          <w:color w:val="000000"/>
          <w:sz w:val="20"/>
          <w:szCs w:val="20"/>
        </w:rPr>
        <w:t>Not applicable.</w:t>
      </w:r>
    </w:p>
    <w:p w:rsidR="00000000" w:rsidRDefault="00BB5C2D">
      <w:pPr>
        <w:jc w:val="center"/>
        <w:divId w:val="291402080"/>
        <w:rPr>
          <w:rFonts w:eastAsia="Times New Roman"/>
        </w:rPr>
      </w:pPr>
      <w:r>
        <w:rPr>
          <w:rFonts w:eastAsia="Times New Roman"/>
          <w:b/>
          <w:bCs/>
          <w:color w:val="000000"/>
          <w:sz w:val="20"/>
          <w:szCs w:val="20"/>
        </w:rPr>
        <w:t>PART III</w:t>
      </w:r>
    </w:p>
    <w:p w:rsidR="00000000" w:rsidRDefault="00BB5C2D">
      <w:pPr>
        <w:ind w:hanging="900"/>
        <w:jc w:val="both"/>
        <w:divId w:val="502861856"/>
        <w:rPr>
          <w:rFonts w:eastAsia="Times New Roman"/>
        </w:rPr>
      </w:pPr>
      <w:r>
        <w:rPr>
          <w:rFonts w:eastAsia="Times New Roman"/>
          <w:b/>
          <w:bCs/>
          <w:color w:val="000000"/>
          <w:sz w:val="20"/>
          <w:szCs w:val="20"/>
        </w:rPr>
        <w:t>Item 10.</w:t>
      </w:r>
      <w:r>
        <w:rPr>
          <w:rFonts w:eastAsia="Times New Roman"/>
          <w:b/>
          <w:bCs/>
          <w:i/>
          <w:iCs/>
          <w:color w:val="000000"/>
          <w:sz w:val="20"/>
          <w:szCs w:val="20"/>
        </w:rPr>
        <w:t>    Directors, Executive Officers and Corporate Governance.</w:t>
      </w:r>
    </w:p>
    <w:p w:rsidR="00000000" w:rsidRDefault="00BB5C2D">
      <w:pPr>
        <w:ind w:firstLine="540"/>
        <w:jc w:val="both"/>
        <w:divId w:val="542442659"/>
        <w:rPr>
          <w:rFonts w:eastAsia="Times New Roman"/>
        </w:rPr>
      </w:pPr>
      <w:r>
        <w:rPr>
          <w:rFonts w:eastAsia="Times New Roman"/>
          <w:color w:val="000000"/>
          <w:sz w:val="20"/>
          <w:szCs w:val="20"/>
        </w:rPr>
        <w:t>Information relating to our directors and corporate governance will</w:t>
      </w:r>
      <w:r>
        <w:rPr>
          <w:rFonts w:eastAsia="Times New Roman"/>
          <w:color w:val="000000"/>
          <w:sz w:val="20"/>
          <w:szCs w:val="20"/>
        </w:rPr>
        <w:t xml:space="preserve"> be set forth in the Company's proxy statement for its 2022 annual meeting of stockholders to be filed within 120 days after April 2, 2022 (the "Proxy Statement") and is incorporated by reference herein. Information relating to our executive officers is se</w:t>
      </w:r>
      <w:r>
        <w:rPr>
          <w:rFonts w:eastAsia="Times New Roman"/>
          <w:color w:val="000000"/>
          <w:sz w:val="20"/>
          <w:szCs w:val="20"/>
        </w:rPr>
        <w:t>t forth in Item 1 of this Annual Report on Form 10-K under the caption "</w:t>
      </w:r>
      <w:r>
        <w:rPr>
          <w:rFonts w:eastAsia="Times New Roman"/>
          <w:i/>
          <w:iCs/>
          <w:color w:val="000000"/>
          <w:sz w:val="20"/>
          <w:szCs w:val="20"/>
        </w:rPr>
        <w:t>Information About Our Executive Officers</w:t>
      </w:r>
      <w:r>
        <w:rPr>
          <w:rFonts w:eastAsia="Times New Roman"/>
          <w:color w:val="000000"/>
          <w:sz w:val="20"/>
          <w:szCs w:val="20"/>
        </w:rPr>
        <w:t>."</w:t>
      </w:r>
    </w:p>
    <w:p w:rsidR="00000000" w:rsidRDefault="00BB5C2D">
      <w:pPr>
        <w:ind w:firstLine="540"/>
        <w:jc w:val="both"/>
        <w:divId w:val="1994290444"/>
        <w:rPr>
          <w:rFonts w:eastAsia="Times New Roman"/>
        </w:rPr>
      </w:pPr>
      <w:r>
        <w:rPr>
          <w:rFonts w:eastAsia="Times New Roman"/>
          <w:color w:val="000000"/>
          <w:sz w:val="20"/>
          <w:szCs w:val="20"/>
        </w:rPr>
        <w:t>We have a Code of Ethics for Principal Executive Officers and Senior Financial Officers that covers the Company's principal executive officer</w:t>
      </w:r>
      <w:r>
        <w:rPr>
          <w:rFonts w:eastAsia="Times New Roman"/>
          <w:color w:val="000000"/>
          <w:sz w:val="20"/>
          <w:szCs w:val="20"/>
        </w:rPr>
        <w:t>, principal operating officer, principal financial officer, principal accounting officer, controller, and any person performing similar functions, as applicable. We also have a Code of Business Conduct and Ethics that covers the Company's directors, office</w:t>
      </w:r>
      <w:r>
        <w:rPr>
          <w:rFonts w:eastAsia="Times New Roman"/>
          <w:color w:val="000000"/>
          <w:sz w:val="20"/>
          <w:szCs w:val="20"/>
        </w:rPr>
        <w:t>rs, and employees. You can find our Code of Ethics for Principal Executive Officers and Senior Financial Officers and our Code of Business Conduct and Ethics (collectively, the "Codes") on our website, http://investor.ralphlauren.com. We will post any amen</w:t>
      </w:r>
      <w:r>
        <w:rPr>
          <w:rFonts w:eastAsia="Times New Roman"/>
          <w:color w:val="000000"/>
          <w:sz w:val="20"/>
          <w:szCs w:val="20"/>
        </w:rPr>
        <w:t>dments to the Codes and any waivers that are required to be disclosed by the rules of either the SEC or the NYSE on our website.</w:t>
      </w:r>
    </w:p>
    <w:p w:rsidR="00000000" w:rsidRDefault="00BB5C2D">
      <w:pPr>
        <w:ind w:hanging="900"/>
        <w:divId w:val="1959679144"/>
        <w:rPr>
          <w:rFonts w:eastAsia="Times New Roman"/>
        </w:rPr>
      </w:pPr>
      <w:r>
        <w:rPr>
          <w:rFonts w:eastAsia="Times New Roman"/>
          <w:b/>
          <w:bCs/>
          <w:color w:val="000000"/>
          <w:sz w:val="20"/>
          <w:szCs w:val="20"/>
        </w:rPr>
        <w:t>Item 11.</w:t>
      </w:r>
      <w:r>
        <w:rPr>
          <w:rFonts w:eastAsia="Times New Roman"/>
          <w:b/>
          <w:bCs/>
          <w:i/>
          <w:iCs/>
          <w:color w:val="000000"/>
          <w:sz w:val="20"/>
          <w:szCs w:val="20"/>
        </w:rPr>
        <w:t>    Executive Compensation.</w:t>
      </w:r>
    </w:p>
    <w:p w:rsidR="00000000" w:rsidRDefault="00BB5C2D">
      <w:pPr>
        <w:ind w:firstLine="540"/>
        <w:jc w:val="both"/>
        <w:divId w:val="1318804983"/>
        <w:rPr>
          <w:rFonts w:eastAsia="Times New Roman"/>
        </w:rPr>
      </w:pPr>
      <w:r>
        <w:rPr>
          <w:rFonts w:eastAsia="Times New Roman"/>
          <w:color w:val="000000"/>
          <w:sz w:val="20"/>
          <w:szCs w:val="20"/>
        </w:rPr>
        <w:t xml:space="preserve">Information relating to executive and director compensation will be set forth in the Proxy </w:t>
      </w:r>
      <w:r>
        <w:rPr>
          <w:rFonts w:eastAsia="Times New Roman"/>
          <w:color w:val="000000"/>
          <w:sz w:val="20"/>
          <w:szCs w:val="20"/>
        </w:rPr>
        <w:t>Statement and such information is incorporated by reference herein.</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840389398"/>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840389398"/>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77</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05" style="width:0;height:1.5pt" o:hralign="center" o:hrstd="t" o:hr="t" fillcolor="#a0a0a0" stroked="f"/>
        </w:pict>
      </w:r>
    </w:p>
    <w:p w:rsidR="00000000" w:rsidRDefault="00BB5C2D">
      <w:pPr>
        <w:divId w:val="558369290"/>
        <w:rPr>
          <w:rFonts w:eastAsia="Times New Roman"/>
        </w:rPr>
      </w:pPr>
    </w:p>
    <w:p w:rsidR="00000000" w:rsidRDefault="00BB5C2D">
      <w:pPr>
        <w:ind w:hanging="900"/>
        <w:jc w:val="both"/>
        <w:divId w:val="786120801"/>
        <w:rPr>
          <w:rFonts w:eastAsia="Times New Roman"/>
        </w:rPr>
      </w:pPr>
      <w:r>
        <w:rPr>
          <w:rFonts w:eastAsia="Times New Roman"/>
          <w:b/>
          <w:bCs/>
          <w:color w:val="000000"/>
          <w:sz w:val="20"/>
          <w:szCs w:val="20"/>
        </w:rPr>
        <w:t>Item 12.    </w:t>
      </w:r>
      <w:r>
        <w:rPr>
          <w:rFonts w:eastAsia="Times New Roman"/>
          <w:b/>
          <w:bCs/>
          <w:i/>
          <w:iCs/>
          <w:color w:val="000000"/>
          <w:sz w:val="20"/>
          <w:szCs w:val="20"/>
        </w:rPr>
        <w:t>Security Ownership of Certain Beneficial Owners and Management and Related Stockholder Matters.</w:t>
      </w:r>
    </w:p>
    <w:p w:rsidR="00000000" w:rsidRDefault="00BB5C2D">
      <w:pPr>
        <w:ind w:firstLine="360"/>
        <w:jc w:val="both"/>
        <w:divId w:val="1955745262"/>
        <w:rPr>
          <w:rFonts w:eastAsia="Times New Roman"/>
        </w:rPr>
      </w:pPr>
      <w:r>
        <w:rPr>
          <w:rFonts w:eastAsia="Times New Roman"/>
          <w:b/>
          <w:bCs/>
          <w:color w:val="000000"/>
          <w:sz w:val="20"/>
          <w:szCs w:val="20"/>
        </w:rPr>
        <w:t>Equity Compensation Plan Information</w:t>
      </w:r>
    </w:p>
    <w:p w:rsidR="00000000" w:rsidRDefault="00BB5C2D">
      <w:pPr>
        <w:ind w:firstLine="540"/>
        <w:jc w:val="both"/>
        <w:divId w:val="953486340"/>
        <w:rPr>
          <w:rFonts w:eastAsia="Times New Roman"/>
        </w:rPr>
      </w:pPr>
      <w:r>
        <w:rPr>
          <w:rFonts w:eastAsia="Times New Roman"/>
          <w:color w:val="000000"/>
          <w:sz w:val="20"/>
          <w:szCs w:val="20"/>
        </w:rPr>
        <w:t>The following table sets forth information as of April 2, 2022 regarding compensation plans under which the Company's equity securities are authorized for issuance:</w:t>
      </w:r>
    </w:p>
    <w:tbl>
      <w:tblPr>
        <w:tblW w:w="4773" w:type="pct"/>
        <w:tblCellMar>
          <w:top w:w="15" w:type="dxa"/>
          <w:left w:w="15" w:type="dxa"/>
          <w:bottom w:w="15" w:type="dxa"/>
          <w:right w:w="15" w:type="dxa"/>
        </w:tblCellMar>
        <w:tblLook w:val="04A0" w:firstRow="1" w:lastRow="0" w:firstColumn="1" w:lastColumn="0" w:noHBand="0" w:noVBand="1"/>
      </w:tblPr>
      <w:tblGrid>
        <w:gridCol w:w="38"/>
        <w:gridCol w:w="2126"/>
        <w:gridCol w:w="36"/>
        <w:gridCol w:w="36"/>
        <w:gridCol w:w="36"/>
        <w:gridCol w:w="36"/>
        <w:gridCol w:w="94"/>
        <w:gridCol w:w="1226"/>
        <w:gridCol w:w="36"/>
        <w:gridCol w:w="58"/>
        <w:gridCol w:w="141"/>
        <w:gridCol w:w="36"/>
        <w:gridCol w:w="121"/>
        <w:gridCol w:w="1601"/>
        <w:gridCol w:w="36"/>
        <w:gridCol w:w="37"/>
        <w:gridCol w:w="189"/>
        <w:gridCol w:w="36"/>
        <w:gridCol w:w="89"/>
        <w:gridCol w:w="1623"/>
        <w:gridCol w:w="36"/>
        <w:gridCol w:w="37"/>
        <w:gridCol w:w="189"/>
        <w:gridCol w:w="36"/>
      </w:tblGrid>
      <w:tr w:rsidR="00000000">
        <w:trPr>
          <w:divId w:val="478808726"/>
        </w:trPr>
        <w:tc>
          <w:tcPr>
            <w:tcW w:w="50" w:type="pct"/>
            <w:vAlign w:val="center"/>
            <w:hideMark/>
          </w:tcPr>
          <w:p w:rsidR="00000000" w:rsidRDefault="00BB5C2D">
            <w:pPr>
              <w:ind w:firstLine="540"/>
              <w:jc w:val="both"/>
              <w:rPr>
                <w:rFonts w:eastAsia="Times New Roman"/>
              </w:rPr>
            </w:pPr>
          </w:p>
        </w:tc>
        <w:tc>
          <w:tcPr>
            <w:tcW w:w="18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65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21"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863"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13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91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13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478808726"/>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(b)</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(c)</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r w:rsidR="00000000">
        <w:trPr>
          <w:divId w:val="478808726"/>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b/>
                <w:bCs/>
                <w:color w:val="000000"/>
                <w:sz w:val="16"/>
                <w:szCs w:val="16"/>
              </w:rPr>
              <w:t>Plan Category</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Numbers of</w:t>
            </w:r>
            <w:r>
              <w:rPr>
                <w:rFonts w:eastAsia="Times New Roman"/>
                <w:b/>
                <w:bCs/>
                <w:color w:val="000000"/>
                <w:sz w:val="16"/>
                <w:szCs w:val="16"/>
              </w:rPr>
              <w:br/>
              <w:t>Securities to be</w:t>
            </w:r>
            <w:r>
              <w:rPr>
                <w:rFonts w:eastAsia="Times New Roman"/>
                <w:b/>
                <w:bCs/>
                <w:color w:val="000000"/>
                <w:sz w:val="16"/>
                <w:szCs w:val="16"/>
              </w:rPr>
              <w:br/>
              <w:t>Issued upon</w:t>
            </w:r>
            <w:r>
              <w:rPr>
                <w:rFonts w:eastAsia="Times New Roman"/>
                <w:b/>
                <w:bCs/>
                <w:color w:val="000000"/>
                <w:sz w:val="16"/>
                <w:szCs w:val="16"/>
              </w:rPr>
              <w:br/>
              <w:t>Exercise of</w:t>
            </w:r>
            <w:r>
              <w:rPr>
                <w:rFonts w:eastAsia="Times New Roman"/>
                <w:b/>
                <w:bCs/>
                <w:color w:val="000000"/>
                <w:sz w:val="16"/>
                <w:szCs w:val="16"/>
              </w:rPr>
              <w:br/>
              <w:t>Outstanding</w:t>
            </w:r>
            <w:r>
              <w:rPr>
                <w:rFonts w:eastAsia="Times New Roman"/>
                <w:b/>
                <w:bCs/>
                <w:color w:val="000000"/>
                <w:sz w:val="16"/>
                <w:szCs w:val="16"/>
              </w:rPr>
              <w:br/>
              <w:t>Options, Warrants</w:t>
            </w:r>
            <w:r>
              <w:rPr>
                <w:rFonts w:eastAsia="Times New Roman"/>
                <w:b/>
                <w:bCs/>
                <w:color w:val="000000"/>
                <w:sz w:val="16"/>
                <w:szCs w:val="16"/>
              </w:rPr>
              <w:br/>
              <w:t>and Rights</w:t>
            </w:r>
          </w:p>
        </w:tc>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Weighted-Average</w:t>
            </w:r>
            <w:r>
              <w:rPr>
                <w:rFonts w:eastAsia="Times New Roman"/>
                <w:b/>
                <w:bCs/>
                <w:color w:val="000000"/>
                <w:sz w:val="16"/>
                <w:szCs w:val="16"/>
              </w:rPr>
              <w:br/>
              <w:t>Exercise Price of</w:t>
            </w:r>
            <w:r>
              <w:rPr>
                <w:rFonts w:eastAsia="Times New Roman"/>
                <w:b/>
                <w:bCs/>
                <w:color w:val="000000"/>
                <w:sz w:val="16"/>
                <w:szCs w:val="16"/>
              </w:rPr>
              <w:br/>
              <w:t>Outstanding Options ($)</w:t>
            </w:r>
          </w:p>
        </w:tc>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Number of Securities</w:t>
            </w:r>
            <w:r>
              <w:rPr>
                <w:rFonts w:eastAsia="Times New Roman"/>
                <w:b/>
                <w:bCs/>
                <w:color w:val="000000"/>
                <w:sz w:val="16"/>
                <w:szCs w:val="16"/>
              </w:rPr>
              <w:br/>
              <w:t>Remaining Available for</w:t>
            </w:r>
            <w:r>
              <w:rPr>
                <w:rFonts w:eastAsia="Times New Roman"/>
                <w:b/>
                <w:bCs/>
                <w:color w:val="000000"/>
                <w:sz w:val="16"/>
                <w:szCs w:val="16"/>
              </w:rPr>
              <w:br/>
              <w:t>Future Issuance Under</w:t>
            </w:r>
            <w:r>
              <w:rPr>
                <w:rFonts w:eastAsia="Times New Roman"/>
                <w:b/>
                <w:bCs/>
                <w:color w:val="000000"/>
                <w:sz w:val="16"/>
                <w:szCs w:val="16"/>
              </w:rPr>
              <w:br/>
              <w:t>Equity Compensation</w:t>
            </w:r>
            <w:r>
              <w:rPr>
                <w:rFonts w:eastAsia="Times New Roman"/>
                <w:b/>
                <w:bCs/>
                <w:color w:val="000000"/>
                <w:sz w:val="16"/>
                <w:szCs w:val="16"/>
              </w:rPr>
              <w:br/>
              <w:t>Plans</w:t>
            </w:r>
            <w:r>
              <w:rPr>
                <w:rFonts w:eastAsia="Times New Roman"/>
                <w:b/>
                <w:bCs/>
                <w:color w:val="000000"/>
                <w:sz w:val="16"/>
                <w:szCs w:val="16"/>
              </w:rPr>
              <w:t xml:space="preserve"> (Excluding</w:t>
            </w:r>
            <w:r>
              <w:rPr>
                <w:rFonts w:eastAsia="Times New Roman"/>
                <w:b/>
                <w:bCs/>
                <w:color w:val="000000"/>
                <w:sz w:val="16"/>
                <w:szCs w:val="16"/>
              </w:rPr>
              <w:br/>
              <w:t>Securities Reflected in</w:t>
            </w:r>
            <w:r>
              <w:rPr>
                <w:rFonts w:eastAsia="Times New Roman"/>
                <w:b/>
                <w:bCs/>
                <w:color w:val="000000"/>
                <w:sz w:val="16"/>
                <w:szCs w:val="16"/>
              </w:rPr>
              <w:br/>
              <w:t>Column (a))</w:t>
            </w:r>
          </w:p>
        </w:tc>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r>
      <w:tr w:rsidR="00000000">
        <w:trPr>
          <w:divId w:val="478808726"/>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BB5C2D">
            <w:pPr>
              <w:spacing w:after="100"/>
              <w:ind w:hanging="270"/>
              <w:divId w:val="1883205303"/>
              <w:rPr>
                <w:rFonts w:eastAsia="Times New Roman"/>
              </w:rPr>
            </w:pPr>
            <w:r>
              <w:rPr>
                <w:rFonts w:eastAsia="Times New Roman"/>
                <w:color w:val="000000"/>
                <w:sz w:val="20"/>
                <w:szCs w:val="20"/>
              </w:rPr>
              <w:t>Equity compensation plans approved by security holders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ind w:hanging="27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2,590,648 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BB5C2D">
            <w:pPr>
              <w:spacing w:after="100"/>
              <w:rPr>
                <w:rFonts w:eastAsia="Times New Roman"/>
              </w:rPr>
            </w:pPr>
            <w:r>
              <w:rPr>
                <w:rFonts w:eastAsia="Times New Roman"/>
                <w:b/>
                <w:bCs/>
                <w:color w:val="000000"/>
                <w:sz w:val="14"/>
                <w:szCs w:val="14"/>
              </w:rPr>
              <w:t>(1)</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20"/>
                <w:szCs w:val="20"/>
              </w:rPr>
              <w:t>N/A</w:t>
            </w:r>
          </w:p>
        </w:tc>
        <w:tc>
          <w:tcPr>
            <w:tcW w:w="0" w:type="auto"/>
            <w:gridSpan w:val="3"/>
            <w:shd w:val="clear" w:color="auto" w:fill="CCEEFF"/>
            <w:tcMar>
              <w:top w:w="30" w:type="dxa"/>
              <w:left w:w="20" w:type="dxa"/>
              <w:bottom w:w="30" w:type="dxa"/>
              <w:right w:w="20" w:type="dxa"/>
            </w:tcMar>
            <w:vAlign w:val="center"/>
            <w:hideMark/>
          </w:tcPr>
          <w:p w:rsidR="00000000" w:rsidRDefault="00BB5C2D">
            <w:pPr>
              <w:spacing w:after="100"/>
              <w:rPr>
                <w:rFonts w:eastAsia="Times New Roman"/>
              </w:rPr>
            </w:pPr>
            <w:r>
              <w:rPr>
                <w:rFonts w:eastAsia="Times New Roman"/>
                <w:b/>
                <w:bCs/>
                <w:color w:val="000000"/>
                <w:sz w:val="14"/>
                <w:szCs w:val="14"/>
              </w:rPr>
              <w:t>(2)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3,225,552 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BB5C2D">
            <w:pPr>
              <w:spacing w:after="100"/>
              <w:rPr>
                <w:rFonts w:eastAsia="Times New Roman"/>
              </w:rPr>
            </w:pPr>
            <w:r>
              <w:rPr>
                <w:rFonts w:eastAsia="Times New Roman"/>
                <w:b/>
                <w:bCs/>
                <w:color w:val="000000"/>
                <w:sz w:val="14"/>
                <w:szCs w:val="14"/>
              </w:rPr>
              <w:t>(3)</w:t>
            </w:r>
          </w:p>
        </w:tc>
      </w:tr>
      <w:tr w:rsidR="00000000">
        <w:trPr>
          <w:divId w:val="478808726"/>
        </w:trPr>
        <w:tc>
          <w:tcPr>
            <w:tcW w:w="0" w:type="auto"/>
            <w:gridSpan w:val="3"/>
            <w:shd w:val="clear" w:color="auto" w:fill="FFFFFF"/>
            <w:tcMar>
              <w:top w:w="30" w:type="dxa"/>
              <w:left w:w="20" w:type="dxa"/>
              <w:bottom w:w="30" w:type="dxa"/>
              <w:right w:w="20" w:type="dxa"/>
            </w:tcMar>
            <w:hideMark/>
          </w:tcPr>
          <w:p w:rsidR="00000000" w:rsidRDefault="00BB5C2D">
            <w:pPr>
              <w:spacing w:after="100"/>
              <w:ind w:hanging="270"/>
              <w:divId w:val="182323304"/>
              <w:rPr>
                <w:rFonts w:eastAsia="Times New Roman"/>
              </w:rPr>
            </w:pPr>
            <w:r>
              <w:rPr>
                <w:rFonts w:eastAsia="Times New Roman"/>
                <w:color w:val="000000"/>
                <w:sz w:val="20"/>
                <w:szCs w:val="20"/>
              </w:rPr>
              <w:t>Equity compensation plans not approved by security holders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ind w:hanging="27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  </w:t>
            </w:r>
          </w:p>
        </w:tc>
      </w:tr>
      <w:tr w:rsidR="00000000">
        <w:trPr>
          <w:divId w:val="478808726"/>
        </w:trPr>
        <w:tc>
          <w:tcPr>
            <w:tcW w:w="0" w:type="auto"/>
            <w:gridSpan w:val="3"/>
            <w:shd w:val="clear" w:color="auto" w:fill="CCEEFF"/>
            <w:tcMar>
              <w:top w:w="30" w:type="dxa"/>
              <w:left w:w="20" w:type="dxa"/>
              <w:bottom w:w="30" w:type="dxa"/>
              <w:right w:w="20" w:type="dxa"/>
            </w:tcMar>
            <w:hideMark/>
          </w:tcPr>
          <w:p w:rsidR="00000000" w:rsidRDefault="00BB5C2D">
            <w:pPr>
              <w:spacing w:after="100"/>
              <w:ind w:firstLine="180"/>
              <w:divId w:val="2090033726"/>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ind w:firstLine="18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2,590,648 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  </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3,225,552 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  </w:t>
            </w:r>
          </w:p>
        </w:tc>
      </w:tr>
    </w:tbl>
    <w:p w:rsidR="00000000" w:rsidRDefault="00BB5C2D">
      <w:pPr>
        <w:divId w:val="478808726"/>
        <w:rPr>
          <w:rFonts w:eastAsia="Times New Roman"/>
        </w:rPr>
      </w:pPr>
      <w:r>
        <w:rPr>
          <w:rFonts w:eastAsia="Times New Roman"/>
          <w:color w:val="000000"/>
          <w:sz w:val="20"/>
          <w:szCs w:val="20"/>
        </w:rPr>
        <w:t> </w:t>
      </w:r>
    </w:p>
    <w:tbl>
      <w:tblPr>
        <w:tblW w:w="972" w:type="pct"/>
        <w:tblCellMar>
          <w:top w:w="15" w:type="dxa"/>
          <w:left w:w="15" w:type="dxa"/>
          <w:bottom w:w="15" w:type="dxa"/>
          <w:right w:w="15" w:type="dxa"/>
        </w:tblCellMar>
        <w:tblLook w:val="04A0" w:firstRow="1" w:lastRow="0" w:firstColumn="1" w:lastColumn="0" w:noHBand="0" w:noVBand="1"/>
      </w:tblPr>
      <w:tblGrid>
        <w:gridCol w:w="36"/>
        <w:gridCol w:w="1543"/>
        <w:gridCol w:w="36"/>
      </w:tblGrid>
      <w:tr w:rsidR="00000000">
        <w:trPr>
          <w:divId w:val="1370495609"/>
        </w:trPr>
        <w:tc>
          <w:tcPr>
            <w:tcW w:w="50" w:type="pct"/>
            <w:vAlign w:val="center"/>
            <w:hideMark/>
          </w:tcPr>
          <w:p w:rsidR="00000000" w:rsidRDefault="00BB5C2D">
            <w:pPr>
              <w:rPr>
                <w:rFonts w:eastAsia="Times New Roman"/>
              </w:rPr>
            </w:pPr>
          </w:p>
        </w:tc>
        <w:tc>
          <w:tcPr>
            <w:tcW w:w="494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370495609"/>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r>
    </w:tbl>
    <w:p w:rsidR="00000000" w:rsidRDefault="00BB5C2D">
      <w:pPr>
        <w:ind w:hanging="360"/>
        <w:jc w:val="both"/>
        <w:divId w:val="848101566"/>
        <w:rPr>
          <w:rFonts w:eastAsia="Times New Roman"/>
        </w:rPr>
      </w:pPr>
      <w:r>
        <w:rPr>
          <w:rFonts w:eastAsia="Times New Roman"/>
          <w:b/>
          <w:bCs/>
          <w:color w:val="000000"/>
          <w:sz w:val="12"/>
          <w:szCs w:val="12"/>
        </w:rPr>
        <w:t>(1</w:t>
      </w:r>
      <w:r>
        <w:rPr>
          <w:rFonts w:eastAsia="Times New Roman"/>
          <w:b/>
          <w:bCs/>
          <w:color w:val="000000"/>
          <w:sz w:val="12"/>
          <w:szCs w:val="12"/>
        </w:rPr>
        <w:t>)</w:t>
      </w:r>
      <w:r>
        <w:rPr>
          <w:rFonts w:eastAsia="Times New Roman"/>
          <w:color w:val="000000"/>
          <w:sz w:val="20"/>
          <w:szCs w:val="20"/>
        </w:rPr>
        <w:t>Consists of restricted stock units that are payable solely in shares of Class </w:t>
      </w:r>
      <w:r>
        <w:rPr>
          <w:rFonts w:eastAsia="Times New Roman"/>
          <w:color w:val="000000"/>
          <w:sz w:val="20"/>
          <w:szCs w:val="20"/>
        </w:rPr>
        <w:t>A common stock (including 482,302 service-based restricted stock units that have fully vested but for which the underlying shares have not yet been delivered as of April 2, 2022).</w:t>
      </w:r>
    </w:p>
    <w:p w:rsidR="00000000" w:rsidRDefault="00BB5C2D">
      <w:pPr>
        <w:ind w:hanging="360"/>
        <w:jc w:val="both"/>
        <w:divId w:val="59601024"/>
        <w:rPr>
          <w:rFonts w:eastAsia="Times New Roman"/>
        </w:rPr>
      </w:pPr>
      <w:r>
        <w:rPr>
          <w:rFonts w:eastAsia="Times New Roman"/>
          <w:b/>
          <w:bCs/>
          <w:color w:val="000000"/>
          <w:sz w:val="12"/>
          <w:szCs w:val="12"/>
        </w:rPr>
        <w:t>(2</w:t>
      </w:r>
      <w:r>
        <w:rPr>
          <w:rFonts w:eastAsia="Times New Roman"/>
          <w:b/>
          <w:bCs/>
          <w:color w:val="000000"/>
          <w:sz w:val="12"/>
          <w:szCs w:val="12"/>
        </w:rPr>
        <w:t>)</w:t>
      </w:r>
      <w:r>
        <w:rPr>
          <w:rFonts w:eastAsia="Times New Roman"/>
          <w:color w:val="000000"/>
          <w:sz w:val="20"/>
          <w:szCs w:val="20"/>
        </w:rPr>
        <w:t>Represents the weighted-average exercise price of outstanding stock optio</w:t>
      </w:r>
      <w:r>
        <w:rPr>
          <w:rFonts w:eastAsia="Times New Roman"/>
          <w:color w:val="000000"/>
          <w:sz w:val="20"/>
          <w:szCs w:val="20"/>
        </w:rPr>
        <w:t>ns. No options were outstanding as of April 2, 2022.</w:t>
      </w:r>
    </w:p>
    <w:p w:rsidR="00000000" w:rsidRDefault="00BB5C2D">
      <w:pPr>
        <w:ind w:hanging="360"/>
        <w:jc w:val="both"/>
        <w:rPr>
          <w:rFonts w:eastAsia="Times New Roman"/>
        </w:rPr>
      </w:pPr>
      <w:r>
        <w:rPr>
          <w:rFonts w:eastAsia="Times New Roman"/>
          <w:b/>
          <w:bCs/>
          <w:color w:val="000000"/>
          <w:sz w:val="12"/>
          <w:szCs w:val="12"/>
        </w:rPr>
        <w:t>(3</w:t>
      </w:r>
      <w:r>
        <w:rPr>
          <w:rFonts w:eastAsia="Times New Roman"/>
          <w:b/>
          <w:bCs/>
          <w:color w:val="000000"/>
          <w:sz w:val="12"/>
          <w:szCs w:val="12"/>
        </w:rPr>
        <w:t>)</w:t>
      </w:r>
      <w:r>
        <w:rPr>
          <w:rFonts w:eastAsia="Times New Roman"/>
          <w:color w:val="000000"/>
          <w:sz w:val="20"/>
          <w:szCs w:val="20"/>
        </w:rPr>
        <w:t>All of the securities remaining available for future issuance set forth in column (c) may be in the form of restricted stock units, performance awards, restricted stock, options, stock appreciation ri</w:t>
      </w:r>
      <w:r>
        <w:rPr>
          <w:rFonts w:eastAsia="Times New Roman"/>
          <w:color w:val="000000"/>
          <w:sz w:val="20"/>
          <w:szCs w:val="20"/>
        </w:rPr>
        <w:t>ghts, or other stock-based awards under the Company's 2019 Incentive Plan.</w:t>
      </w:r>
    </w:p>
    <w:p w:rsidR="00000000" w:rsidRDefault="00BB5C2D">
      <w:pPr>
        <w:ind w:firstLine="540"/>
        <w:jc w:val="both"/>
        <w:divId w:val="299262015"/>
        <w:rPr>
          <w:rFonts w:eastAsia="Times New Roman"/>
        </w:rPr>
      </w:pPr>
      <w:r>
        <w:rPr>
          <w:rFonts w:eastAsia="Times New Roman"/>
          <w:color w:val="000000"/>
          <w:sz w:val="20"/>
          <w:szCs w:val="20"/>
        </w:rPr>
        <w:t>Other information relating to security ownership of certain beneficial owners and management will be set forth in the Proxy Statement and such information is incorporated by referen</w:t>
      </w:r>
      <w:r>
        <w:rPr>
          <w:rFonts w:eastAsia="Times New Roman"/>
          <w:color w:val="000000"/>
          <w:sz w:val="20"/>
          <w:szCs w:val="20"/>
        </w:rPr>
        <w:t>ce herein.</w:t>
      </w:r>
    </w:p>
    <w:p w:rsidR="00000000" w:rsidRDefault="00BB5C2D">
      <w:pPr>
        <w:ind w:hanging="900"/>
        <w:jc w:val="both"/>
        <w:divId w:val="1854301467"/>
        <w:rPr>
          <w:rFonts w:eastAsia="Times New Roman"/>
        </w:rPr>
      </w:pPr>
      <w:r>
        <w:rPr>
          <w:rFonts w:eastAsia="Times New Roman"/>
          <w:b/>
          <w:bCs/>
          <w:color w:val="000000"/>
          <w:sz w:val="20"/>
          <w:szCs w:val="20"/>
        </w:rPr>
        <w:t>Item 13.</w:t>
      </w:r>
      <w:r>
        <w:rPr>
          <w:rFonts w:eastAsia="Times New Roman"/>
          <w:b/>
          <w:bCs/>
          <w:i/>
          <w:iCs/>
          <w:color w:val="000000"/>
          <w:sz w:val="20"/>
          <w:szCs w:val="20"/>
        </w:rPr>
        <w:t>    Certain Relationships and Related Transactions, and Director Independence.</w:t>
      </w:r>
    </w:p>
    <w:p w:rsidR="00000000" w:rsidRDefault="00BB5C2D">
      <w:pPr>
        <w:ind w:firstLine="540"/>
        <w:jc w:val="both"/>
        <w:divId w:val="1652707417"/>
        <w:rPr>
          <w:rFonts w:eastAsia="Times New Roman"/>
        </w:rPr>
      </w:pPr>
      <w:r>
        <w:rPr>
          <w:rFonts w:eastAsia="Times New Roman"/>
          <w:color w:val="000000"/>
          <w:sz w:val="20"/>
          <w:szCs w:val="20"/>
        </w:rPr>
        <w:t>The information required to be included by Item 13 of Form </w:t>
      </w:r>
      <w:r>
        <w:rPr>
          <w:rFonts w:eastAsia="Times New Roman"/>
          <w:color w:val="000000"/>
          <w:sz w:val="20"/>
          <w:szCs w:val="20"/>
        </w:rPr>
        <w:t>10-K will be included in the Proxy Statement and such information is incorporated by reference herein.</w:t>
      </w:r>
    </w:p>
    <w:p w:rsidR="00000000" w:rsidRDefault="00BB5C2D">
      <w:pPr>
        <w:ind w:hanging="900"/>
        <w:jc w:val="both"/>
        <w:divId w:val="2078436793"/>
        <w:rPr>
          <w:rFonts w:eastAsia="Times New Roman"/>
        </w:rPr>
      </w:pPr>
      <w:r>
        <w:rPr>
          <w:rFonts w:eastAsia="Times New Roman"/>
          <w:b/>
          <w:bCs/>
          <w:color w:val="000000"/>
          <w:sz w:val="20"/>
          <w:szCs w:val="20"/>
        </w:rPr>
        <w:t>Item 14.</w:t>
      </w:r>
      <w:r>
        <w:rPr>
          <w:rFonts w:eastAsia="Times New Roman"/>
          <w:b/>
          <w:bCs/>
          <w:i/>
          <w:iCs/>
          <w:color w:val="000000"/>
          <w:sz w:val="20"/>
          <w:szCs w:val="20"/>
        </w:rPr>
        <w:t>    Principal Accountant Fees and Services.</w:t>
      </w:r>
    </w:p>
    <w:p w:rsidR="00000000" w:rsidRDefault="00BB5C2D">
      <w:pPr>
        <w:ind w:firstLine="540"/>
        <w:jc w:val="both"/>
        <w:divId w:val="1951547452"/>
        <w:rPr>
          <w:rFonts w:eastAsia="Times New Roman"/>
        </w:rPr>
      </w:pPr>
      <w:r>
        <w:rPr>
          <w:rFonts w:eastAsia="Times New Roman"/>
          <w:color w:val="000000"/>
          <w:sz w:val="20"/>
          <w:szCs w:val="20"/>
        </w:rPr>
        <w:t>The information required to be included by Item 14 of Form 10-K will be included in the Proxy Stateme</w:t>
      </w:r>
      <w:r>
        <w:rPr>
          <w:rFonts w:eastAsia="Times New Roman"/>
          <w:color w:val="000000"/>
          <w:sz w:val="20"/>
          <w:szCs w:val="20"/>
        </w:rPr>
        <w:t>nt and such information is incorporated by reference herein.</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649165260"/>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649165260"/>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78</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06" style="width:0;height:1.5pt" o:hralign="center" o:hrstd="t" o:hr="t" fillcolor="#a0a0a0" stroked="f"/>
        </w:pict>
      </w:r>
    </w:p>
    <w:p w:rsidR="00000000" w:rsidRDefault="00BB5C2D">
      <w:pPr>
        <w:divId w:val="609161780"/>
        <w:rPr>
          <w:rFonts w:eastAsia="Times New Roman"/>
        </w:rPr>
      </w:pPr>
    </w:p>
    <w:p w:rsidR="00000000" w:rsidRDefault="00BB5C2D">
      <w:pPr>
        <w:jc w:val="center"/>
        <w:divId w:val="838152922"/>
        <w:rPr>
          <w:rFonts w:eastAsia="Times New Roman"/>
        </w:rPr>
      </w:pPr>
      <w:r>
        <w:rPr>
          <w:rFonts w:eastAsia="Times New Roman"/>
          <w:b/>
          <w:bCs/>
          <w:color w:val="000000"/>
          <w:sz w:val="20"/>
          <w:szCs w:val="20"/>
        </w:rPr>
        <w:t>PART IV</w:t>
      </w:r>
    </w:p>
    <w:p w:rsidR="00000000" w:rsidRDefault="00BB5C2D">
      <w:pPr>
        <w:ind w:hanging="900"/>
        <w:jc w:val="both"/>
        <w:divId w:val="1586769813"/>
        <w:rPr>
          <w:rFonts w:eastAsia="Times New Roman"/>
        </w:rPr>
      </w:pPr>
      <w:r>
        <w:rPr>
          <w:rFonts w:eastAsia="Times New Roman"/>
          <w:b/>
          <w:bCs/>
          <w:color w:val="000000"/>
          <w:sz w:val="20"/>
          <w:szCs w:val="20"/>
        </w:rPr>
        <w:t>Item 15.    </w:t>
      </w:r>
      <w:r>
        <w:rPr>
          <w:rFonts w:eastAsia="Times New Roman"/>
          <w:b/>
          <w:bCs/>
          <w:i/>
          <w:iCs/>
          <w:color w:val="000000"/>
          <w:sz w:val="20"/>
          <w:szCs w:val="20"/>
        </w:rPr>
        <w:t>Exhibits and Financial Statement Schedules.</w:t>
      </w:r>
    </w:p>
    <w:p w:rsidR="00000000" w:rsidRDefault="00BB5C2D">
      <w:pPr>
        <w:ind w:firstLine="540"/>
        <w:jc w:val="both"/>
        <w:divId w:val="117533156"/>
        <w:rPr>
          <w:rFonts w:eastAsia="Times New Roman"/>
        </w:rPr>
      </w:pPr>
      <w:r>
        <w:rPr>
          <w:rFonts w:eastAsia="Times New Roman"/>
          <w:color w:val="000000"/>
          <w:sz w:val="20"/>
          <w:szCs w:val="20"/>
        </w:rPr>
        <w:t>(a)    1., 2. Financial Statements and Financial Statement Schedules. See index on Page F-1.</w:t>
      </w:r>
    </w:p>
    <w:p w:rsidR="00000000" w:rsidRDefault="00BB5C2D">
      <w:pPr>
        <w:ind w:firstLine="540"/>
        <w:jc w:val="both"/>
        <w:divId w:val="1910530606"/>
        <w:rPr>
          <w:rFonts w:eastAsia="Times New Roman"/>
        </w:rPr>
      </w:pPr>
      <w:r>
        <w:rPr>
          <w:rFonts w:eastAsia="Times New Roman"/>
          <w:color w:val="000000"/>
          <w:sz w:val="20"/>
          <w:szCs w:val="20"/>
        </w:rPr>
        <w:t>3.      Exhibits</w:t>
      </w:r>
    </w:p>
    <w:tbl>
      <w:tblPr>
        <w:tblW w:w="4992" w:type="pct"/>
        <w:tblCellMar>
          <w:top w:w="15" w:type="dxa"/>
          <w:left w:w="15" w:type="dxa"/>
          <w:bottom w:w="15" w:type="dxa"/>
          <w:right w:w="15" w:type="dxa"/>
        </w:tblCellMar>
        <w:tblLook w:val="04A0" w:firstRow="1" w:lastRow="0" w:firstColumn="1" w:lastColumn="0" w:noHBand="0" w:noVBand="1"/>
      </w:tblPr>
      <w:tblGrid>
        <w:gridCol w:w="69"/>
        <w:gridCol w:w="707"/>
        <w:gridCol w:w="36"/>
        <w:gridCol w:w="69"/>
        <w:gridCol w:w="7375"/>
        <w:gridCol w:w="37"/>
      </w:tblGrid>
      <w:tr w:rsidR="00000000">
        <w:trPr>
          <w:divId w:val="796921745"/>
        </w:trPr>
        <w:tc>
          <w:tcPr>
            <w:tcW w:w="50" w:type="pct"/>
            <w:vAlign w:val="center"/>
            <w:hideMark/>
          </w:tcPr>
          <w:p w:rsidR="00000000" w:rsidRDefault="00BB5C2D">
            <w:pPr>
              <w:ind w:firstLine="540"/>
              <w:jc w:val="both"/>
              <w:rPr>
                <w:rFonts w:eastAsia="Times New Roman"/>
              </w:rPr>
            </w:pPr>
          </w:p>
        </w:tc>
        <w:tc>
          <w:tcPr>
            <w:tcW w:w="43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45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796921745"/>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Exhibit</w:t>
            </w:r>
            <w:r>
              <w:rPr>
                <w:rFonts w:eastAsia="Times New Roman"/>
                <w:b/>
                <w:bCs/>
                <w:color w:val="000000"/>
                <w:sz w:val="16"/>
                <w:szCs w:val="16"/>
              </w:rPr>
              <w:br/>
              <w:t>Number</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Description</w:t>
            </w:r>
          </w:p>
        </w:tc>
      </w:tr>
      <w:tr w:rsidR="00000000">
        <w:trPr>
          <w:divId w:val="796921745"/>
        </w:trPr>
        <w:tc>
          <w:tcPr>
            <w:tcW w:w="0" w:type="auto"/>
            <w:gridSpan w:val="3"/>
            <w:tcBorders>
              <w:top w:val="single" w:sz="8" w:space="0" w:color="000000"/>
            </w:tcBorders>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3.1</w:t>
            </w:r>
          </w:p>
        </w:tc>
        <w:tc>
          <w:tcPr>
            <w:tcW w:w="0" w:type="auto"/>
            <w:gridSpan w:val="3"/>
            <w:tcBorders>
              <w:top w:val="single" w:sz="8" w:space="0" w:color="000000"/>
            </w:tcBorders>
            <w:tcMar>
              <w:top w:w="30" w:type="dxa"/>
              <w:left w:w="20" w:type="dxa"/>
              <w:bottom w:w="30" w:type="dxa"/>
              <w:right w:w="20" w:type="dxa"/>
            </w:tcMar>
            <w:hideMark/>
          </w:tcPr>
          <w:p w:rsidR="00000000" w:rsidRDefault="00BB5C2D">
            <w:pPr>
              <w:spacing w:after="100"/>
              <w:jc w:val="both"/>
              <w:rPr>
                <w:rFonts w:eastAsia="Times New Roman"/>
              </w:rPr>
            </w:pPr>
            <w:hyperlink r:id="rId6" w:history="1">
              <w:r>
                <w:rPr>
                  <w:rStyle w:val="a3"/>
                  <w:rFonts w:eastAsia="Times New Roman"/>
                  <w:sz w:val="20"/>
                  <w:szCs w:val="20"/>
                </w:rPr>
                <w:t>Amended and Restated Certificate of Incorporation of the Company (filed as Exhibit 3.1 to the Company's Registration Statement on Form S-1 (File No. 333-24733) (the "S-1"))</w:t>
              </w:r>
            </w:hyperlink>
          </w:p>
        </w:tc>
      </w:tr>
      <w:tr w:rsidR="00000000">
        <w:trPr>
          <w:divId w:val="796921745"/>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3.2</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7" w:history="1">
              <w:r>
                <w:rPr>
                  <w:rStyle w:val="a3"/>
                  <w:rFonts w:eastAsia="Times New Roman"/>
                  <w:sz w:val="20"/>
                  <w:szCs w:val="20"/>
                </w:rPr>
                <w:t>Certificate of Amendment to the Amended and Restated Certificate of Incorporation of the Company (filed as Exhibit 3.1 to the Form 8-K filed August 16, 2</w:t>
              </w:r>
              <w:r>
                <w:rPr>
                  <w:rStyle w:val="a3"/>
                  <w:rFonts w:eastAsia="Times New Roman"/>
                  <w:sz w:val="20"/>
                  <w:szCs w:val="20"/>
                </w:rPr>
                <w:t>011)</w:t>
              </w:r>
            </w:hyperlink>
          </w:p>
        </w:tc>
      </w:tr>
      <w:tr w:rsidR="00000000">
        <w:trPr>
          <w:divId w:val="796921745"/>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3.3</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8" w:history="1">
              <w:r>
                <w:rPr>
                  <w:rStyle w:val="a3"/>
                  <w:rFonts w:eastAsia="Times New Roman"/>
                  <w:sz w:val="20"/>
                  <w:szCs w:val="20"/>
                </w:rPr>
                <w:t>Fourth Amended and Restated By-laws of the Company (filed as Exhibit 3.3 to the Form 10-Q for the quarterly period ended July 1, 2017)</w:t>
              </w:r>
            </w:hyperlink>
          </w:p>
        </w:tc>
      </w:tr>
      <w:tr w:rsidR="00000000">
        <w:trPr>
          <w:divId w:val="796921745"/>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4.1</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9" w:history="1">
              <w:r>
                <w:rPr>
                  <w:rStyle w:val="a3"/>
                  <w:rFonts w:eastAsia="Times New Roman"/>
                  <w:sz w:val="20"/>
                  <w:szCs w:val="20"/>
                </w:rPr>
                <w:t xml:space="preserve">Indenture, dated as of September 26, 2013, by and between the Company and Wells Fargo Bank, National Association (including the form of Note) (filed </w:t>
              </w:r>
              <w:r>
                <w:rPr>
                  <w:rStyle w:val="a3"/>
                  <w:rFonts w:eastAsia="Times New Roman"/>
                  <w:sz w:val="20"/>
                  <w:szCs w:val="20"/>
                </w:rPr>
                <w:t>as Exhibit 4.1 to the Form 8-K filed September 26, 2013)</w:t>
              </w:r>
            </w:hyperlink>
          </w:p>
        </w:tc>
      </w:tr>
      <w:tr w:rsidR="00000000">
        <w:trPr>
          <w:divId w:val="796921745"/>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4.2</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10" w:history="1">
              <w:r>
                <w:rPr>
                  <w:rStyle w:val="a3"/>
                  <w:rFonts w:eastAsia="Times New Roman"/>
                  <w:sz w:val="20"/>
                  <w:szCs w:val="20"/>
                </w:rPr>
                <w:t>Third Supplemental Indenture, dated as of August 9, 2018, by and between Ralph Lauren Corpo</w:t>
              </w:r>
              <w:r>
                <w:rPr>
                  <w:rStyle w:val="a3"/>
                  <w:rFonts w:eastAsia="Times New Roman"/>
                  <w:sz w:val="20"/>
                  <w:szCs w:val="20"/>
                </w:rPr>
                <w:t>ration and Wells Fargo Bank, National Association (filed as Exhibit 4.2 to the Form 8-K filed August 9, 2018)</w:t>
              </w:r>
            </w:hyperlink>
          </w:p>
        </w:tc>
      </w:tr>
      <w:tr w:rsidR="00000000">
        <w:trPr>
          <w:divId w:val="796921745"/>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4.3</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11" w:history="1">
              <w:r>
                <w:rPr>
                  <w:rStyle w:val="a3"/>
                  <w:rFonts w:eastAsia="Times New Roman"/>
                  <w:sz w:val="20"/>
                  <w:szCs w:val="20"/>
                </w:rPr>
                <w:t>Fourth Supplemental Indenture, dated as of June 3, 2020, by and between Ralph Lauren Corporation and Wells Fargo Bank, National Association (filed as Exhi</w:t>
              </w:r>
              <w:r>
                <w:rPr>
                  <w:rStyle w:val="a3"/>
                  <w:rFonts w:eastAsia="Times New Roman"/>
                  <w:sz w:val="20"/>
                  <w:szCs w:val="20"/>
                </w:rPr>
                <w:t>bit 4.2 to the Form 8-K filed June 4, 2020)</w:t>
              </w:r>
            </w:hyperlink>
          </w:p>
        </w:tc>
      </w:tr>
      <w:tr w:rsidR="00000000">
        <w:trPr>
          <w:divId w:val="796921745"/>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4.4</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12" w:history="1">
              <w:r>
                <w:rPr>
                  <w:rStyle w:val="a3"/>
                  <w:rFonts w:eastAsia="Times New Roman"/>
                  <w:sz w:val="20"/>
                  <w:szCs w:val="20"/>
                </w:rPr>
                <w:t>Description of Securities Registered Under Section 12 of the Exchange Act (filed as Exhibit 4.</w:t>
              </w:r>
              <w:r>
                <w:rPr>
                  <w:rStyle w:val="a3"/>
                  <w:rFonts w:eastAsia="Times New Roman"/>
                  <w:sz w:val="20"/>
                  <w:szCs w:val="20"/>
                </w:rPr>
                <w:t>4 to the Form 10-K for the fiscal year ended March 28, 2020 (the "Fiscal 2020 10-K"))</w:t>
              </w:r>
            </w:hyperlink>
          </w:p>
        </w:tc>
      </w:tr>
      <w:tr w:rsidR="00000000">
        <w:trPr>
          <w:divId w:val="796921745"/>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10.1</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13" w:history="1">
              <w:r>
                <w:rPr>
                  <w:rStyle w:val="a3"/>
                  <w:rFonts w:eastAsia="Times New Roman"/>
                  <w:sz w:val="20"/>
                  <w:szCs w:val="20"/>
                </w:rPr>
                <w:t>Registration Rights Agreement dated as of June 9, 1997 by and among Ralp</w:t>
              </w:r>
              <w:r>
                <w:rPr>
                  <w:rStyle w:val="a3"/>
                  <w:rFonts w:eastAsia="Times New Roman"/>
                  <w:sz w:val="20"/>
                  <w:szCs w:val="20"/>
                </w:rPr>
                <w:t>h Lauren, GS Capital Partners, L.P., GS Capital Partner PRL Holding I, L.P., GS Capital Partners PRL Holding II, L.P., Stone Street Fund 1994, L.P., Stone Street 1994 Subsidiary Corp., Bridge Street Fund 1994, L.P., and the Company (filed as Exhibit 10.3 t</w:t>
              </w:r>
              <w:r>
                <w:rPr>
                  <w:rStyle w:val="a3"/>
                  <w:rFonts w:eastAsia="Times New Roman"/>
                  <w:sz w:val="20"/>
                  <w:szCs w:val="20"/>
                </w:rPr>
                <w:t>o the S-1)</w:t>
              </w:r>
            </w:hyperlink>
          </w:p>
        </w:tc>
      </w:tr>
      <w:tr w:rsidR="00000000">
        <w:trPr>
          <w:divId w:val="796921745"/>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10.2</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14" w:history="1">
              <w:r>
                <w:rPr>
                  <w:rStyle w:val="a3"/>
                  <w:rFonts w:eastAsia="Times New Roman"/>
                  <w:sz w:val="20"/>
                  <w:szCs w:val="20"/>
                </w:rPr>
                <w:t>Form of Indemnification Agreement between the Company and its Directors and Executive Officers (filed as Exhibit 10.26 to the S-1)†</w:t>
              </w:r>
            </w:hyperlink>
          </w:p>
        </w:tc>
      </w:tr>
      <w:tr w:rsidR="00000000">
        <w:trPr>
          <w:divId w:val="796921745"/>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10.3</w:t>
            </w:r>
          </w:p>
        </w:tc>
        <w:tc>
          <w:tcPr>
            <w:tcW w:w="0" w:type="auto"/>
            <w:gridSpan w:val="3"/>
            <w:tcMar>
              <w:top w:w="30" w:type="dxa"/>
              <w:left w:w="20" w:type="dxa"/>
              <w:bottom w:w="30" w:type="dxa"/>
              <w:right w:w="20" w:type="dxa"/>
            </w:tcMar>
            <w:vAlign w:val="bottom"/>
            <w:hideMark/>
          </w:tcPr>
          <w:p w:rsidR="00000000" w:rsidRDefault="00BB5C2D">
            <w:pPr>
              <w:spacing w:after="100"/>
              <w:jc w:val="both"/>
              <w:rPr>
                <w:rFonts w:eastAsia="Times New Roman"/>
              </w:rPr>
            </w:pPr>
            <w:hyperlink r:id="rId15" w:history="1">
              <w:r>
                <w:rPr>
                  <w:rStyle w:val="a3"/>
                  <w:rFonts w:eastAsia="Times New Roman"/>
                  <w:sz w:val="20"/>
                  <w:szCs w:val="20"/>
                </w:rPr>
                <w:t>Amended and</w:t>
              </w:r>
              <w:r>
                <w:rPr>
                  <w:rStyle w:val="a3"/>
                  <w:rFonts w:eastAsia="Times New Roman"/>
                  <w:sz w:val="20"/>
                  <w:szCs w:val="20"/>
                </w:rPr>
                <w:t xml:space="preserve"> Restated Employment Agreement, effective as of April 2, 2017, between the Company and Ralph Lauren (filed as Exhibit 10.1 to the Form 8-K filed March 31, 2017)†</w:t>
              </w:r>
            </w:hyperlink>
          </w:p>
        </w:tc>
      </w:tr>
      <w:tr w:rsidR="00000000">
        <w:trPr>
          <w:divId w:val="796921745"/>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10.4</w:t>
            </w:r>
          </w:p>
        </w:tc>
        <w:tc>
          <w:tcPr>
            <w:tcW w:w="0" w:type="auto"/>
            <w:gridSpan w:val="3"/>
            <w:tcMar>
              <w:top w:w="30" w:type="dxa"/>
              <w:left w:w="20" w:type="dxa"/>
              <w:bottom w:w="30" w:type="dxa"/>
              <w:right w:w="20" w:type="dxa"/>
            </w:tcMar>
            <w:vAlign w:val="bottom"/>
            <w:hideMark/>
          </w:tcPr>
          <w:p w:rsidR="00000000" w:rsidRDefault="00BB5C2D">
            <w:pPr>
              <w:spacing w:after="100"/>
              <w:jc w:val="both"/>
              <w:rPr>
                <w:rFonts w:eastAsia="Times New Roman"/>
              </w:rPr>
            </w:pPr>
            <w:hyperlink r:id="rId16" w:history="1">
              <w:r>
                <w:rPr>
                  <w:rStyle w:val="a3"/>
                  <w:rFonts w:eastAsia="Times New Roman"/>
                  <w:sz w:val="20"/>
                  <w:szCs w:val="20"/>
                </w:rPr>
                <w:t>Amendment No. 1 to the Amended and Restated Employment Agreement, dated June 16, 2020, between the Company and Ralph Lauren (filed as Exhibit 10.1 to the Form 10-Q filed August 4, 2020)†</w:t>
              </w:r>
            </w:hyperlink>
          </w:p>
        </w:tc>
      </w:tr>
      <w:tr w:rsidR="00000000">
        <w:trPr>
          <w:divId w:val="796921745"/>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10.5</w:t>
            </w:r>
          </w:p>
        </w:tc>
        <w:tc>
          <w:tcPr>
            <w:tcW w:w="0" w:type="auto"/>
            <w:gridSpan w:val="3"/>
            <w:tcMar>
              <w:top w:w="30" w:type="dxa"/>
              <w:left w:w="20" w:type="dxa"/>
              <w:bottom w:w="30" w:type="dxa"/>
              <w:right w:w="20" w:type="dxa"/>
            </w:tcMar>
            <w:vAlign w:val="bottom"/>
            <w:hideMark/>
          </w:tcPr>
          <w:p w:rsidR="00000000" w:rsidRDefault="00BB5C2D">
            <w:pPr>
              <w:spacing w:after="100"/>
              <w:jc w:val="both"/>
              <w:rPr>
                <w:rFonts w:eastAsia="Times New Roman"/>
              </w:rPr>
            </w:pPr>
            <w:hyperlink r:id="rId17" w:history="1">
              <w:r>
                <w:rPr>
                  <w:rStyle w:val="a3"/>
                  <w:rFonts w:eastAsia="Times New Roman"/>
                  <w:sz w:val="20"/>
                  <w:szCs w:val="20"/>
                </w:rPr>
                <w:t xml:space="preserve">Amendment No.2 to the Amended and Restated Employment Agreement, dated June 16, 2021, between the Company and Ralph Lauren (filed as Exhibit 10.1 to </w:t>
              </w:r>
              <w:r>
                <w:rPr>
                  <w:rStyle w:val="a3"/>
                  <w:rFonts w:eastAsia="Times New Roman"/>
                  <w:sz w:val="20"/>
                  <w:szCs w:val="20"/>
                </w:rPr>
                <w:t>the Company's Form 10-Q filed August 3, 2021)†</w:t>
              </w:r>
            </w:hyperlink>
          </w:p>
        </w:tc>
      </w:tr>
      <w:tr w:rsidR="00000000">
        <w:trPr>
          <w:divId w:val="796921745"/>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10.6</w:t>
            </w:r>
          </w:p>
        </w:tc>
        <w:tc>
          <w:tcPr>
            <w:tcW w:w="0" w:type="auto"/>
            <w:gridSpan w:val="3"/>
            <w:tcMar>
              <w:top w:w="30" w:type="dxa"/>
              <w:left w:w="20" w:type="dxa"/>
              <w:bottom w:w="30" w:type="dxa"/>
              <w:right w:w="20" w:type="dxa"/>
            </w:tcMar>
            <w:vAlign w:val="bottom"/>
            <w:hideMark/>
          </w:tcPr>
          <w:p w:rsidR="00000000" w:rsidRDefault="00BB5C2D">
            <w:pPr>
              <w:spacing w:after="100"/>
              <w:jc w:val="both"/>
              <w:rPr>
                <w:rFonts w:eastAsia="Times New Roman"/>
              </w:rPr>
            </w:pPr>
            <w:hyperlink r:id="rId18" w:history="1">
              <w:r>
                <w:rPr>
                  <w:rStyle w:val="a3"/>
                  <w:rFonts w:eastAsia="Times New Roman"/>
                  <w:sz w:val="20"/>
                  <w:szCs w:val="20"/>
                </w:rPr>
                <w:t>Employment Agreement, dated May 13, 2017, between the Company and Patrice Louvet (filed as Exhib</w:t>
              </w:r>
              <w:r>
                <w:rPr>
                  <w:rStyle w:val="a3"/>
                  <w:rFonts w:eastAsia="Times New Roman"/>
                  <w:sz w:val="20"/>
                  <w:szCs w:val="20"/>
                </w:rPr>
                <w:t>it 10.1 to the Form 8-K filed May 17, 2017)†</w:t>
              </w:r>
            </w:hyperlink>
          </w:p>
        </w:tc>
      </w:tr>
      <w:tr w:rsidR="00000000">
        <w:trPr>
          <w:divId w:val="796921745"/>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10.7</w:t>
            </w:r>
          </w:p>
        </w:tc>
        <w:tc>
          <w:tcPr>
            <w:tcW w:w="0" w:type="auto"/>
            <w:gridSpan w:val="3"/>
            <w:tcMar>
              <w:top w:w="30" w:type="dxa"/>
              <w:left w:w="20" w:type="dxa"/>
              <w:bottom w:w="30" w:type="dxa"/>
              <w:right w:w="20" w:type="dxa"/>
            </w:tcMar>
            <w:vAlign w:val="bottom"/>
            <w:hideMark/>
          </w:tcPr>
          <w:p w:rsidR="00000000" w:rsidRDefault="00BB5C2D">
            <w:pPr>
              <w:spacing w:after="100"/>
              <w:jc w:val="both"/>
              <w:rPr>
                <w:rFonts w:eastAsia="Times New Roman"/>
              </w:rPr>
            </w:pPr>
            <w:hyperlink r:id="rId19" w:history="1">
              <w:r>
                <w:rPr>
                  <w:rStyle w:val="a3"/>
                  <w:rFonts w:eastAsia="Times New Roman"/>
                  <w:sz w:val="20"/>
                  <w:szCs w:val="20"/>
                </w:rPr>
                <w:t>Amendment No. 1 to the Employment Agreement, dated June 30, 2017, between the Company and Patr</w:t>
              </w:r>
              <w:r>
                <w:rPr>
                  <w:rStyle w:val="a3"/>
                  <w:rFonts w:eastAsia="Times New Roman"/>
                  <w:sz w:val="20"/>
                  <w:szCs w:val="20"/>
                </w:rPr>
                <w:t>ice Louvet (filed as Exhibit 10.1 to the Form 10-Q for the quarterly period ended July 1, 2017)†</w:t>
              </w:r>
            </w:hyperlink>
          </w:p>
        </w:tc>
      </w:tr>
      <w:tr w:rsidR="00000000">
        <w:trPr>
          <w:divId w:val="796921745"/>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10.8</w:t>
            </w:r>
          </w:p>
        </w:tc>
        <w:tc>
          <w:tcPr>
            <w:tcW w:w="0" w:type="auto"/>
            <w:gridSpan w:val="3"/>
            <w:tcMar>
              <w:top w:w="30" w:type="dxa"/>
              <w:left w:w="20" w:type="dxa"/>
              <w:bottom w:w="30" w:type="dxa"/>
              <w:right w:w="20" w:type="dxa"/>
            </w:tcMar>
            <w:vAlign w:val="bottom"/>
            <w:hideMark/>
          </w:tcPr>
          <w:p w:rsidR="00000000" w:rsidRDefault="00BB5C2D">
            <w:pPr>
              <w:spacing w:after="100"/>
              <w:jc w:val="both"/>
              <w:rPr>
                <w:rFonts w:eastAsia="Times New Roman"/>
              </w:rPr>
            </w:pPr>
            <w:hyperlink r:id="rId20" w:history="1">
              <w:r>
                <w:rPr>
                  <w:rStyle w:val="a3"/>
                  <w:rFonts w:eastAsia="Times New Roman"/>
                  <w:sz w:val="20"/>
                  <w:szCs w:val="20"/>
                </w:rPr>
                <w:t>Amendment No. 2 to the Employment Agreemen</w:t>
              </w:r>
              <w:r>
                <w:rPr>
                  <w:rStyle w:val="a3"/>
                  <w:rFonts w:eastAsia="Times New Roman"/>
                  <w:sz w:val="20"/>
                  <w:szCs w:val="20"/>
                </w:rPr>
                <w:t>t, dated June 17, 2020, between the Company and Patrice Louvet (filed as Exhibit 10.2 to the Form 10-Q filed August 4, 2020)†</w:t>
              </w:r>
            </w:hyperlink>
          </w:p>
        </w:tc>
      </w:tr>
      <w:tr w:rsidR="00000000">
        <w:trPr>
          <w:divId w:val="796921745"/>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10.9</w:t>
            </w:r>
          </w:p>
        </w:tc>
        <w:tc>
          <w:tcPr>
            <w:tcW w:w="0" w:type="auto"/>
            <w:gridSpan w:val="3"/>
            <w:tcMar>
              <w:top w:w="30" w:type="dxa"/>
              <w:left w:w="20" w:type="dxa"/>
              <w:bottom w:w="30" w:type="dxa"/>
              <w:right w:w="20" w:type="dxa"/>
            </w:tcMar>
            <w:vAlign w:val="bottom"/>
            <w:hideMark/>
          </w:tcPr>
          <w:p w:rsidR="00000000" w:rsidRDefault="00BB5C2D">
            <w:pPr>
              <w:spacing w:after="100"/>
              <w:jc w:val="both"/>
              <w:rPr>
                <w:rFonts w:eastAsia="Times New Roman"/>
              </w:rPr>
            </w:pPr>
            <w:hyperlink r:id="rId21" w:history="1">
              <w:r>
                <w:rPr>
                  <w:rStyle w:val="a3"/>
                  <w:rFonts w:eastAsia="Times New Roman"/>
                  <w:sz w:val="20"/>
                  <w:szCs w:val="20"/>
                </w:rPr>
                <w:t xml:space="preserve">Amendment No.3 to the Employee Agreement, dated July </w:t>
              </w:r>
            </w:hyperlink>
            <w:hyperlink r:id="rId22" w:history="1">
              <w:r>
                <w:rPr>
                  <w:rStyle w:val="a3"/>
                  <w:rFonts w:eastAsia="Times New Roman"/>
                  <w:sz w:val="20"/>
                  <w:szCs w:val="20"/>
                </w:rPr>
                <w:t>2</w:t>
              </w:r>
            </w:hyperlink>
            <w:hyperlink r:id="rId23" w:history="1">
              <w:r>
                <w:rPr>
                  <w:rStyle w:val="a3"/>
                  <w:rFonts w:eastAsia="Times New Roman"/>
                  <w:sz w:val="20"/>
                  <w:szCs w:val="20"/>
                </w:rPr>
                <w:t xml:space="preserve">8, 2021, between the Company and Patrice </w:t>
              </w:r>
              <w:r>
                <w:rPr>
                  <w:rStyle w:val="a3"/>
                  <w:rFonts w:eastAsia="Times New Roman"/>
                  <w:sz w:val="20"/>
                  <w:szCs w:val="20"/>
                </w:rPr>
                <w:t>Louvet (filed as Exhibit 10.2 to the Company's Form 10-Q filed August 3, 2021)†</w:t>
              </w:r>
            </w:hyperlink>
          </w:p>
        </w:tc>
      </w:tr>
      <w:tr w:rsidR="00000000">
        <w:trPr>
          <w:divId w:val="796921745"/>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10.10</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24" w:history="1">
              <w:r>
                <w:rPr>
                  <w:rStyle w:val="a3"/>
                  <w:rFonts w:eastAsia="Times New Roman"/>
                  <w:sz w:val="20"/>
                  <w:szCs w:val="20"/>
                </w:rPr>
                <w:t xml:space="preserve">Amended and Restated Employment Agreement, dated February 28, </w:t>
              </w:r>
              <w:r>
                <w:rPr>
                  <w:rStyle w:val="a3"/>
                  <w:rFonts w:eastAsia="Times New Roman"/>
                  <w:sz w:val="20"/>
                  <w:szCs w:val="20"/>
                </w:rPr>
                <w:t>2019, between the Company and Jane Nielsen (filed as Exhibit 10.1 to the Form 8-K filed March 1, 2019)†</w:t>
              </w:r>
            </w:hyperlink>
          </w:p>
        </w:tc>
      </w:tr>
      <w:tr w:rsidR="00000000">
        <w:trPr>
          <w:divId w:val="796921745"/>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10.11</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25" w:history="1">
              <w:r>
                <w:rPr>
                  <w:rStyle w:val="a3"/>
                  <w:rFonts w:eastAsia="Times New Roman"/>
                  <w:sz w:val="20"/>
                  <w:szCs w:val="20"/>
                </w:rPr>
                <w:t>Amendment No. 1 to the Amended and</w:t>
              </w:r>
              <w:r>
                <w:rPr>
                  <w:rStyle w:val="a3"/>
                  <w:rFonts w:eastAsia="Times New Roman"/>
                  <w:sz w:val="20"/>
                  <w:szCs w:val="20"/>
                </w:rPr>
                <w:t xml:space="preserve"> Restated Employment Agreement, dated June 17, 2020, between the Company and Jane Nielsen (filed as Exhibit 10.3 to the Form 10-Q filed August 4, 2020)†</w:t>
              </w:r>
            </w:hyperlink>
          </w:p>
        </w:tc>
      </w:tr>
      <w:tr w:rsidR="00000000">
        <w:trPr>
          <w:divId w:val="796921745"/>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10.12</w:t>
            </w:r>
          </w:p>
        </w:tc>
        <w:tc>
          <w:tcPr>
            <w:tcW w:w="0" w:type="auto"/>
            <w:gridSpan w:val="3"/>
            <w:tcMar>
              <w:top w:w="30" w:type="dxa"/>
              <w:left w:w="20" w:type="dxa"/>
              <w:bottom w:w="30" w:type="dxa"/>
              <w:right w:w="20" w:type="dxa"/>
            </w:tcMar>
            <w:vAlign w:val="bottom"/>
            <w:hideMark/>
          </w:tcPr>
          <w:p w:rsidR="00000000" w:rsidRDefault="00BB5C2D">
            <w:pPr>
              <w:spacing w:after="100"/>
              <w:jc w:val="both"/>
              <w:rPr>
                <w:rFonts w:eastAsia="Times New Roman"/>
              </w:rPr>
            </w:pPr>
            <w:hyperlink r:id="rId26" w:history="1">
              <w:r>
                <w:rPr>
                  <w:rStyle w:val="a3"/>
                  <w:rFonts w:eastAsia="Times New Roman"/>
                  <w:sz w:val="20"/>
                  <w:szCs w:val="20"/>
                </w:rPr>
                <w:t>Restricted Stock Unit Award Agreement, dated as of June 8, 2004, between the Company and Ralph Lauren (filed as Exhibit 10.15 to the Company's Annual Repor</w:t>
              </w:r>
              <w:r>
                <w:rPr>
                  <w:rStyle w:val="a3"/>
                  <w:rFonts w:eastAsia="Times New Roman"/>
                  <w:sz w:val="20"/>
                  <w:szCs w:val="20"/>
                </w:rPr>
                <w:t>t on Form 10-K for the fiscal year ended April 2, 2005)†</w:t>
              </w:r>
            </w:hyperlink>
          </w:p>
        </w:tc>
      </w:tr>
      <w:tr w:rsidR="00000000">
        <w:trPr>
          <w:divId w:val="796921745"/>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10.13</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27" w:history="1">
              <w:r>
                <w:rPr>
                  <w:rStyle w:val="a3"/>
                  <w:rFonts w:eastAsia="Times New Roman"/>
                  <w:sz w:val="20"/>
                  <w:szCs w:val="20"/>
                </w:rPr>
                <w:t xml:space="preserve">Executive Officer Annual Incentive Plan, as amended as of August 10, 2017 (filed </w:t>
              </w:r>
              <w:r>
                <w:rPr>
                  <w:rStyle w:val="a3"/>
                  <w:rFonts w:eastAsia="Times New Roman"/>
                  <w:sz w:val="20"/>
                  <w:szCs w:val="20"/>
                </w:rPr>
                <w:t>as Exhibit 10.2 to the Form 10-Q for the quarterly period ended July 1, 2017)†</w:t>
              </w:r>
            </w:hyperlink>
          </w:p>
        </w:tc>
      </w:tr>
      <w:tr w:rsidR="00000000">
        <w:trPr>
          <w:divId w:val="796921745"/>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10.14</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28" w:history="1">
              <w:r>
                <w:rPr>
                  <w:rStyle w:val="a3"/>
                  <w:rFonts w:eastAsia="Times New Roman"/>
                  <w:sz w:val="20"/>
                  <w:szCs w:val="20"/>
                </w:rPr>
                <w:t xml:space="preserve">Executive Officer Annual Incentive Plan, as amended as </w:t>
              </w:r>
              <w:r>
                <w:rPr>
                  <w:rStyle w:val="a3"/>
                  <w:rFonts w:eastAsia="Times New Roman"/>
                  <w:sz w:val="20"/>
                  <w:szCs w:val="20"/>
                </w:rPr>
                <w:t>of May 20, 2020 (filed as Exhibit 10.14 to the Fiscal 2020 10-K)†</w:t>
              </w:r>
            </w:hyperlink>
          </w:p>
        </w:tc>
      </w:tr>
      <w:tr w:rsidR="00000000">
        <w:trPr>
          <w:divId w:val="796921745"/>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10.15</w:t>
            </w:r>
          </w:p>
        </w:tc>
        <w:tc>
          <w:tcPr>
            <w:tcW w:w="0" w:type="auto"/>
            <w:gridSpan w:val="3"/>
            <w:tcMar>
              <w:top w:w="30" w:type="dxa"/>
              <w:left w:w="20" w:type="dxa"/>
              <w:bottom w:w="30" w:type="dxa"/>
              <w:right w:w="20" w:type="dxa"/>
            </w:tcMar>
            <w:vAlign w:val="bottom"/>
            <w:hideMark/>
          </w:tcPr>
          <w:p w:rsidR="00000000" w:rsidRDefault="00BB5C2D">
            <w:pPr>
              <w:spacing w:after="100"/>
              <w:jc w:val="both"/>
              <w:rPr>
                <w:rFonts w:eastAsia="Times New Roman"/>
              </w:rPr>
            </w:pPr>
            <w:hyperlink r:id="rId29" w:history="1">
              <w:r>
                <w:rPr>
                  <w:rStyle w:val="a3"/>
                  <w:rFonts w:eastAsia="Times New Roman"/>
                  <w:sz w:val="20"/>
                  <w:szCs w:val="20"/>
                </w:rPr>
                <w:t>1997 Long-Term Stock Incentive Plan, as Amended and Restated as of August</w:t>
              </w:r>
              <w:r>
                <w:rPr>
                  <w:rStyle w:val="a3"/>
                  <w:rFonts w:eastAsia="Times New Roman"/>
                  <w:sz w:val="20"/>
                  <w:szCs w:val="20"/>
                </w:rPr>
                <w:t> 12, 2004 (filed as Exhibit 99.1 to the Form 8-K filed October 4, 2004)†</w:t>
              </w:r>
            </w:hyperlink>
          </w:p>
        </w:tc>
      </w:tr>
      <w:tr w:rsidR="00000000">
        <w:trPr>
          <w:divId w:val="796921745"/>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10.16</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30" w:history="1">
              <w:r>
                <w:rPr>
                  <w:rStyle w:val="a3"/>
                  <w:rFonts w:eastAsia="Times New Roman"/>
                  <w:sz w:val="20"/>
                  <w:szCs w:val="20"/>
                </w:rPr>
                <w:t>Amendment, as of June </w:t>
              </w:r>
              <w:r>
                <w:rPr>
                  <w:rStyle w:val="a3"/>
                  <w:rFonts w:eastAsia="Times New Roman"/>
                  <w:sz w:val="20"/>
                  <w:szCs w:val="20"/>
                </w:rPr>
                <w:t>30, 2006, to the 1997 Long-Term Stock Incentive Plan, as Amended and Restated as of August 12, 2004 (filed as Exhibit 10.4 to the Form 10-Q for the quarterly period ended July 1, 2006)†</w:t>
              </w:r>
            </w:hyperlink>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trPr>
          <w:jc w:val="center"/>
        </w:trPr>
        <w:tc>
          <w:tcPr>
            <w:tcW w:w="50" w:type="pct"/>
            <w:vAlign w:val="center"/>
            <w:hideMark/>
          </w:tcPr>
          <w:p w:rsidR="00000000" w:rsidRDefault="00BB5C2D">
            <w:pPr>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79</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07" style="width:0;height:1.5pt" o:hralign="center" o:hrstd="t" o:hr="t" fillcolor="#a0a0a0" stroked="f"/>
        </w:pict>
      </w:r>
    </w:p>
    <w:p w:rsidR="00000000" w:rsidRDefault="00BB5C2D">
      <w:pPr>
        <w:divId w:val="2136364850"/>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69"/>
        <w:gridCol w:w="707"/>
        <w:gridCol w:w="36"/>
        <w:gridCol w:w="69"/>
        <w:gridCol w:w="7375"/>
        <w:gridCol w:w="37"/>
      </w:tblGrid>
      <w:tr w:rsidR="00000000">
        <w:trPr>
          <w:divId w:val="1763333543"/>
        </w:trPr>
        <w:tc>
          <w:tcPr>
            <w:tcW w:w="50" w:type="pct"/>
            <w:vAlign w:val="center"/>
            <w:hideMark/>
          </w:tcPr>
          <w:p w:rsidR="00000000" w:rsidRDefault="00BB5C2D">
            <w:pPr>
              <w:rPr>
                <w:rFonts w:eastAsia="Times New Roman"/>
              </w:rPr>
            </w:pPr>
          </w:p>
        </w:tc>
        <w:tc>
          <w:tcPr>
            <w:tcW w:w="43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45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763333543"/>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Exhibit</w:t>
            </w:r>
            <w:r>
              <w:rPr>
                <w:rFonts w:eastAsia="Times New Roman"/>
                <w:b/>
                <w:bCs/>
                <w:color w:val="000000"/>
                <w:sz w:val="16"/>
                <w:szCs w:val="16"/>
              </w:rPr>
              <w:br/>
              <w:t>Number</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Description</w:t>
            </w:r>
          </w:p>
        </w:tc>
      </w:tr>
      <w:tr w:rsidR="00000000">
        <w:trPr>
          <w:divId w:val="1763333543"/>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10.17</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31" w:history="1">
              <w:r>
                <w:rPr>
                  <w:rStyle w:val="a3"/>
                  <w:rFonts w:eastAsia="Times New Roman"/>
                  <w:sz w:val="20"/>
                  <w:szCs w:val="20"/>
                </w:rPr>
                <w:t>Amendment No. 2, dated as of May 21, 2009, to the 1997 Long-Term Stock Incentive Plan, as Amended and Restated as of August 12, 2004 (filed as Exhibit 10.2</w:t>
              </w:r>
              <w:r>
                <w:rPr>
                  <w:rStyle w:val="a3"/>
                  <w:rFonts w:eastAsia="Times New Roman"/>
                  <w:sz w:val="20"/>
                  <w:szCs w:val="20"/>
                </w:rPr>
                <w:t>6 to the Company's Annual Report on Form 10-K for the fiscal year ended March 28, 2009)†</w:t>
              </w:r>
            </w:hyperlink>
          </w:p>
        </w:tc>
      </w:tr>
      <w:tr w:rsidR="00000000">
        <w:trPr>
          <w:divId w:val="1763333543"/>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10.18</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32" w:history="1">
              <w:r>
                <w:rPr>
                  <w:rStyle w:val="a3"/>
                  <w:rFonts w:eastAsia="Times New Roman"/>
                  <w:sz w:val="20"/>
                  <w:szCs w:val="20"/>
                </w:rPr>
                <w:t>Amended and Restated 2010 Long-Term Incentive Pla</w:t>
              </w:r>
              <w:r>
                <w:rPr>
                  <w:rStyle w:val="a3"/>
                  <w:rFonts w:eastAsia="Times New Roman"/>
                  <w:sz w:val="20"/>
                  <w:szCs w:val="20"/>
                </w:rPr>
                <w:t>n, amended as of August 11, 2016 (filed as Exhibit 10.4 to the Form 10-Q for the quarterly period ended July 2, 2016)†</w:t>
              </w:r>
            </w:hyperlink>
          </w:p>
        </w:tc>
      </w:tr>
      <w:tr w:rsidR="00000000">
        <w:trPr>
          <w:divId w:val="1763333543"/>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10.19</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33" w:anchor="tx729878_104" w:history="1">
              <w:r>
                <w:rPr>
                  <w:rStyle w:val="a3"/>
                  <w:rFonts w:eastAsia="Times New Roman"/>
                  <w:sz w:val="20"/>
                  <w:szCs w:val="20"/>
                </w:rPr>
                <w:t>2019 Lo</w:t>
              </w:r>
              <w:r>
                <w:rPr>
                  <w:rStyle w:val="a3"/>
                  <w:rFonts w:eastAsia="Times New Roman"/>
                  <w:sz w:val="20"/>
                  <w:szCs w:val="20"/>
                </w:rPr>
                <w:t>ng-Term Stock Incentive Plan (filed as Appendix C to the Company's Definitive Proxy Statement dated June 21, 2019)†</w:t>
              </w:r>
            </w:hyperlink>
          </w:p>
        </w:tc>
      </w:tr>
      <w:tr w:rsidR="00000000">
        <w:trPr>
          <w:divId w:val="1763333543"/>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10.20</w:t>
            </w:r>
          </w:p>
        </w:tc>
        <w:tc>
          <w:tcPr>
            <w:tcW w:w="0" w:type="auto"/>
            <w:gridSpan w:val="3"/>
            <w:tcMar>
              <w:top w:w="30" w:type="dxa"/>
              <w:left w:w="20" w:type="dxa"/>
              <w:bottom w:w="30" w:type="dxa"/>
              <w:right w:w="20" w:type="dxa"/>
            </w:tcMar>
            <w:vAlign w:val="bottom"/>
            <w:hideMark/>
          </w:tcPr>
          <w:p w:rsidR="00000000" w:rsidRDefault="00BB5C2D">
            <w:pPr>
              <w:spacing w:after="100"/>
              <w:jc w:val="both"/>
              <w:rPr>
                <w:rFonts w:eastAsia="Times New Roman"/>
              </w:rPr>
            </w:pPr>
            <w:hyperlink r:id="rId34" w:history="1">
              <w:r>
                <w:rPr>
                  <w:rStyle w:val="a3"/>
                  <w:rFonts w:eastAsia="Times New Roman"/>
                  <w:sz w:val="20"/>
                  <w:szCs w:val="20"/>
                </w:rPr>
                <w:t>Cliff Restricted Performance Share Unit Award Overview containing the standard terms of cliff restricted performance share unit awards under the Ame</w:t>
              </w:r>
              <w:r>
                <w:rPr>
                  <w:rStyle w:val="a3"/>
                  <w:rFonts w:eastAsia="Times New Roman"/>
                  <w:sz w:val="20"/>
                  <w:szCs w:val="20"/>
                </w:rPr>
                <w:t>nded and Restated 2010 Long-Term Stock Incentive Plan (filed as Exhibit 10.25 to the Company's Annual Report on Form 10-K for the fiscal year ended March 29, 2014 (the "Fiscal 2014 10-K"))†</w:t>
              </w:r>
            </w:hyperlink>
          </w:p>
        </w:tc>
      </w:tr>
      <w:tr w:rsidR="00000000">
        <w:trPr>
          <w:divId w:val="1763333543"/>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10.21</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35" w:history="1">
              <w:r>
                <w:rPr>
                  <w:rStyle w:val="a3"/>
                  <w:rFonts w:eastAsia="Times New Roman"/>
                  <w:sz w:val="20"/>
                  <w:szCs w:val="20"/>
                </w:rPr>
                <w:t>Pro-Rata Restricted Performance Share Unit Award Overview containing the standard terms of restricted performance share unit awards under the Amended and Restated 2010 Long-Term Stock Incentive Plan (fil</w:t>
              </w:r>
              <w:r>
                <w:rPr>
                  <w:rStyle w:val="a3"/>
                  <w:rFonts w:eastAsia="Times New Roman"/>
                  <w:sz w:val="20"/>
                  <w:szCs w:val="20"/>
                </w:rPr>
                <w:t>ed as Exhibit 10.26 to the Fiscal 2014 10-K)†</w:t>
              </w:r>
            </w:hyperlink>
          </w:p>
        </w:tc>
      </w:tr>
      <w:tr w:rsidR="00000000">
        <w:trPr>
          <w:divId w:val="1763333543"/>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10.22</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36" w:history="1">
              <w:r>
                <w:rPr>
                  <w:rStyle w:val="a3"/>
                  <w:rFonts w:eastAsia="Times New Roman"/>
                  <w:sz w:val="20"/>
                  <w:szCs w:val="20"/>
                </w:rPr>
                <w:t xml:space="preserve">Stock Option Award Overview containing the standard terms of stock option awards under the Amended and Restated 2010 Long-Term Stock Incentive Plan </w:t>
              </w:r>
              <w:r>
                <w:rPr>
                  <w:rStyle w:val="a3"/>
                  <w:rFonts w:eastAsia="Times New Roman"/>
                  <w:sz w:val="20"/>
                  <w:szCs w:val="20"/>
                </w:rPr>
                <w:t>(filed as Exhibit 10.27 to the Fiscal 2014 10-K)†</w:t>
              </w:r>
            </w:hyperlink>
          </w:p>
        </w:tc>
      </w:tr>
      <w:tr w:rsidR="00000000">
        <w:trPr>
          <w:divId w:val="1763333543"/>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10.23</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37" w:history="1">
              <w:r>
                <w:rPr>
                  <w:rStyle w:val="a3"/>
                  <w:rFonts w:eastAsia="Times New Roman"/>
                  <w:sz w:val="20"/>
                  <w:szCs w:val="20"/>
                </w:rPr>
                <w:t>Cliff Restricted Performance Share Unit with TSR Modifier Award Overview containing the standard terms of cliff restricted performance share unit aw</w:t>
              </w:r>
              <w:r>
                <w:rPr>
                  <w:rStyle w:val="a3"/>
                  <w:rFonts w:eastAsia="Times New Roman"/>
                  <w:sz w:val="20"/>
                  <w:szCs w:val="20"/>
                </w:rPr>
                <w:t>ards under the Amended and Restated 2010 Long-Term Stock Incentive Plan (filed as Exhibit 10.28 to the Fiscal 2014 10-K)†</w:t>
              </w:r>
            </w:hyperlink>
          </w:p>
        </w:tc>
      </w:tr>
      <w:tr w:rsidR="00000000">
        <w:trPr>
          <w:divId w:val="1763333543"/>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10.24</w:t>
            </w:r>
          </w:p>
        </w:tc>
        <w:tc>
          <w:tcPr>
            <w:tcW w:w="0" w:type="auto"/>
            <w:gridSpan w:val="3"/>
            <w:tcMar>
              <w:top w:w="30" w:type="dxa"/>
              <w:left w:w="20" w:type="dxa"/>
              <w:bottom w:w="30" w:type="dxa"/>
              <w:right w:w="20" w:type="dxa"/>
            </w:tcMar>
            <w:vAlign w:val="bottom"/>
            <w:hideMark/>
          </w:tcPr>
          <w:p w:rsidR="00000000" w:rsidRDefault="00BB5C2D">
            <w:pPr>
              <w:spacing w:after="100"/>
              <w:jc w:val="both"/>
              <w:rPr>
                <w:rFonts w:eastAsia="Times New Roman"/>
              </w:rPr>
            </w:pPr>
            <w:hyperlink r:id="rId38" w:history="1">
              <w:r>
                <w:rPr>
                  <w:rStyle w:val="a3"/>
                  <w:rFonts w:eastAsia="Times New Roman"/>
                  <w:sz w:val="20"/>
                  <w:szCs w:val="20"/>
                </w:rPr>
                <w:t>Form of Perform</w:t>
              </w:r>
              <w:r>
                <w:rPr>
                  <w:rStyle w:val="a3"/>
                  <w:rFonts w:eastAsia="Times New Roman"/>
                  <w:sz w:val="20"/>
                  <w:szCs w:val="20"/>
                </w:rPr>
                <w:t>ance Share Unit Award Agreement under the Amended and Restated 2010 Long-Term Stock Incentive Plan (filed as Exhibit 10.38 to the Company's Annual Report on Form 10-K for the fiscal year ended March 28, 2015 (the "Fiscal 2015 10-K"))†</w:t>
              </w:r>
            </w:hyperlink>
          </w:p>
        </w:tc>
      </w:tr>
      <w:tr w:rsidR="00000000">
        <w:trPr>
          <w:divId w:val="1763333543"/>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10.25</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39" w:history="1">
              <w:r>
                <w:rPr>
                  <w:rStyle w:val="a3"/>
                  <w:rFonts w:eastAsia="Times New Roman"/>
                  <w:sz w:val="20"/>
                  <w:szCs w:val="20"/>
                </w:rPr>
                <w:t xml:space="preserve">Form of Performance-Based Restricted Stock Unit Award Agreement under the Amended and Restated 2010 Long-Term Stock Incentive Plan (filed as Exhibit 10.39 to </w:t>
              </w:r>
              <w:r>
                <w:rPr>
                  <w:rStyle w:val="a3"/>
                  <w:rFonts w:eastAsia="Times New Roman"/>
                  <w:sz w:val="20"/>
                  <w:szCs w:val="20"/>
                </w:rPr>
                <w:t>the Fiscal 2015 10-K)†</w:t>
              </w:r>
            </w:hyperlink>
          </w:p>
        </w:tc>
      </w:tr>
      <w:tr w:rsidR="00000000">
        <w:trPr>
          <w:divId w:val="1763333543"/>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10.26</w:t>
            </w:r>
          </w:p>
        </w:tc>
        <w:tc>
          <w:tcPr>
            <w:tcW w:w="0" w:type="auto"/>
            <w:gridSpan w:val="3"/>
            <w:tcMar>
              <w:top w:w="30" w:type="dxa"/>
              <w:left w:w="20" w:type="dxa"/>
              <w:bottom w:w="30" w:type="dxa"/>
              <w:right w:w="20" w:type="dxa"/>
            </w:tcMar>
            <w:vAlign w:val="bottom"/>
            <w:hideMark/>
          </w:tcPr>
          <w:p w:rsidR="00000000" w:rsidRDefault="00BB5C2D">
            <w:pPr>
              <w:spacing w:after="100"/>
              <w:jc w:val="both"/>
              <w:rPr>
                <w:rFonts w:eastAsia="Times New Roman"/>
              </w:rPr>
            </w:pPr>
            <w:hyperlink r:id="rId40" w:history="1">
              <w:r>
                <w:rPr>
                  <w:rStyle w:val="a3"/>
                  <w:rFonts w:eastAsia="Times New Roman"/>
                  <w:sz w:val="20"/>
                  <w:szCs w:val="20"/>
                </w:rPr>
                <w:t>Form of Restricted Stock Unit Award Agreement under the Amended and Restated 2010 Long-Term Stock Incentive Plan (f</w:t>
              </w:r>
              <w:r>
                <w:rPr>
                  <w:rStyle w:val="a3"/>
                  <w:rFonts w:eastAsia="Times New Roman"/>
                  <w:sz w:val="20"/>
                  <w:szCs w:val="20"/>
                </w:rPr>
                <w:t>iled as Exhibit 10.1 to the Form 10-Q for the quarterly period ended June 27, 2015)†</w:t>
              </w:r>
            </w:hyperlink>
          </w:p>
        </w:tc>
      </w:tr>
      <w:tr w:rsidR="00000000">
        <w:trPr>
          <w:divId w:val="1763333543"/>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10.27</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41" w:history="1">
              <w:r>
                <w:rPr>
                  <w:rStyle w:val="a3"/>
                  <w:rFonts w:eastAsia="Times New Roman"/>
                  <w:sz w:val="20"/>
                  <w:szCs w:val="20"/>
                </w:rPr>
                <w:t>Performance Share Unit Award Overview containing the standard terms of performance share unit awards under the Amended and Restated 2010 Long-Term St</w:t>
              </w:r>
              <w:r>
                <w:rPr>
                  <w:rStyle w:val="a3"/>
                  <w:rFonts w:eastAsia="Times New Roman"/>
                  <w:sz w:val="20"/>
                  <w:szCs w:val="20"/>
                </w:rPr>
                <w:t>ock Incentive Plan (filed as Exhibit 10.1 to the Form 10-Q for the quarterly period ended September 30, 2017)†</w:t>
              </w:r>
            </w:hyperlink>
          </w:p>
        </w:tc>
      </w:tr>
      <w:tr w:rsidR="00000000">
        <w:trPr>
          <w:divId w:val="1763333543"/>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10.28</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42" w:history="1">
              <w:r>
                <w:rPr>
                  <w:rStyle w:val="a3"/>
                  <w:rFonts w:eastAsia="Times New Roman"/>
                  <w:sz w:val="20"/>
                  <w:szCs w:val="20"/>
                </w:rPr>
                <w:t>Performance-Based Restricte</w:t>
              </w:r>
              <w:r>
                <w:rPr>
                  <w:rStyle w:val="a3"/>
                  <w:rFonts w:eastAsia="Times New Roman"/>
                  <w:sz w:val="20"/>
                  <w:szCs w:val="20"/>
                </w:rPr>
                <w:t>d Stock Unit - Award Notification containing the standard terms of performance-based restricted stock unit awards under the Amended and Restated 2010 Long-Term Stock Incentive Plan (filed as Exhibit 10.2 to the Form 10-Q for the quarterly period ended Sept</w:t>
              </w:r>
              <w:r>
                <w:rPr>
                  <w:rStyle w:val="a3"/>
                  <w:rFonts w:eastAsia="Times New Roman"/>
                  <w:sz w:val="20"/>
                  <w:szCs w:val="20"/>
                </w:rPr>
                <w:t>ember 30, 2017)†</w:t>
              </w:r>
            </w:hyperlink>
          </w:p>
        </w:tc>
      </w:tr>
      <w:tr w:rsidR="00000000">
        <w:trPr>
          <w:divId w:val="1763333543"/>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10.29</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43" w:history="1">
              <w:r>
                <w:rPr>
                  <w:rStyle w:val="a3"/>
                  <w:rFonts w:eastAsia="Times New Roman"/>
                  <w:sz w:val="20"/>
                  <w:szCs w:val="20"/>
                </w:rPr>
                <w:t>Restricted Stock Unit Overview containing the standard terms of restricted stock unit awards under the Amended and Restated 2010 Long-Term Stock Incentive Plan (filed as Exhibit 10.3 to the Form 10-Q for the quarterly period ended September 30, 2017)†</w:t>
              </w:r>
            </w:hyperlink>
          </w:p>
        </w:tc>
      </w:tr>
      <w:tr w:rsidR="00000000">
        <w:trPr>
          <w:divId w:val="1763333543"/>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w:t>
            </w:r>
            <w:r>
              <w:rPr>
                <w:rFonts w:eastAsia="Times New Roman"/>
                <w:color w:val="000000"/>
                <w:sz w:val="20"/>
                <w:szCs w:val="20"/>
              </w:rPr>
              <w:t>0.30</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44" w:history="1">
              <w:r>
                <w:rPr>
                  <w:rStyle w:val="a3"/>
                  <w:rFonts w:eastAsia="Times New Roman"/>
                  <w:sz w:val="20"/>
                  <w:szCs w:val="20"/>
                </w:rPr>
                <w:t>Performance Share Unit Award Overview containing the standard terms of performance share unit awards under the Amended and Restated 2010 Long-Term Stock Incentive Plan (filed as Exhibit 10.1 to the Form 10-Q for the quarterly period ended December 29, 2018</w:t>
              </w:r>
              <w:r>
                <w:rPr>
                  <w:rStyle w:val="a3"/>
                  <w:rFonts w:eastAsia="Times New Roman"/>
                  <w:sz w:val="20"/>
                  <w:szCs w:val="20"/>
                </w:rPr>
                <w:t>)†</w:t>
              </w:r>
            </w:hyperlink>
          </w:p>
        </w:tc>
      </w:tr>
      <w:tr w:rsidR="00000000">
        <w:trPr>
          <w:divId w:val="1763333543"/>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10.31</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45" w:history="1">
              <w:r>
                <w:rPr>
                  <w:rStyle w:val="a3"/>
                  <w:rFonts w:eastAsia="Times New Roman"/>
                  <w:sz w:val="20"/>
                  <w:szCs w:val="20"/>
                </w:rPr>
                <w:t>Performance-Based Restricted Stock Unit - Award Notification containing the standard terms of performance-based restricted stock unit a</w:t>
              </w:r>
              <w:r>
                <w:rPr>
                  <w:rStyle w:val="a3"/>
                  <w:rFonts w:eastAsia="Times New Roman"/>
                  <w:sz w:val="20"/>
                  <w:szCs w:val="20"/>
                </w:rPr>
                <w:t>wards under the Amended and Restated 2010 Long-Term Stock Incentive Plan (filed as Exhibit 10.2 to the Form 10-Q for the quarterly period ended December 29, 2018)†</w:t>
              </w:r>
            </w:hyperlink>
          </w:p>
        </w:tc>
      </w:tr>
      <w:tr w:rsidR="00000000">
        <w:trPr>
          <w:divId w:val="1763333543"/>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10.32</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46" w:history="1">
              <w:r>
                <w:rPr>
                  <w:rStyle w:val="a3"/>
                  <w:rFonts w:eastAsia="Times New Roman"/>
                  <w:sz w:val="20"/>
                  <w:szCs w:val="20"/>
                </w:rPr>
                <w:t>Restricted Stock Unit Overview containing the standard terms of restricted stock unit awards under the Amended and Restated 2010 Long-Term Stock Incentive Plan (filed as Exhibit 10.3 to the Form 10-Q for the quarterly period Decem</w:t>
              </w:r>
              <w:r>
                <w:rPr>
                  <w:rStyle w:val="a3"/>
                  <w:rFonts w:eastAsia="Times New Roman"/>
                  <w:sz w:val="20"/>
                  <w:szCs w:val="20"/>
                </w:rPr>
                <w:t>ber 29, 2018)†</w:t>
              </w:r>
            </w:hyperlink>
          </w:p>
        </w:tc>
      </w:tr>
      <w:tr w:rsidR="00000000">
        <w:trPr>
          <w:divId w:val="1763333543"/>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10.33</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47" w:history="1">
              <w:r>
                <w:rPr>
                  <w:rStyle w:val="a3"/>
                  <w:rFonts w:eastAsia="Times New Roman"/>
                  <w:sz w:val="20"/>
                  <w:szCs w:val="20"/>
                </w:rPr>
                <w:t xml:space="preserve">Performance Share Unit Award Overview containing the standard terms of performance share unit awards under the Amended and </w:t>
              </w:r>
              <w:r>
                <w:rPr>
                  <w:rStyle w:val="a3"/>
                  <w:rFonts w:eastAsia="Times New Roman"/>
                  <w:sz w:val="20"/>
                  <w:szCs w:val="20"/>
                </w:rPr>
                <w:t>Restated 2010 Long-Term Stock Incentive Plan (filed as Exhibit 10.2 to the Form 10-Q for the quarterly period ended June 29, 2019)†</w:t>
              </w:r>
            </w:hyperlink>
          </w:p>
        </w:tc>
      </w:tr>
      <w:tr w:rsidR="00000000">
        <w:trPr>
          <w:divId w:val="1763333543"/>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10.34</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48" w:history="1">
              <w:r>
                <w:rPr>
                  <w:rStyle w:val="a3"/>
                  <w:rFonts w:eastAsia="Times New Roman"/>
                  <w:sz w:val="20"/>
                  <w:szCs w:val="20"/>
                </w:rPr>
                <w:t>One-time Fiscal 2020 Performance Share Unit - Award Notification containing the standard terms of the one-time Fiscal 2020 performance share unit awa</w:t>
              </w:r>
              <w:r>
                <w:rPr>
                  <w:rStyle w:val="a3"/>
                  <w:rFonts w:eastAsia="Times New Roman"/>
                  <w:sz w:val="20"/>
                  <w:szCs w:val="20"/>
                </w:rPr>
                <w:t>rds under the Amended and Restated 2010 Long-Term Stock Incentive Plan (filed as Exhibit 10.3 to the Form 10-Q for the quarterly period ended June 29, 2019)†</w:t>
              </w:r>
            </w:hyperlink>
          </w:p>
        </w:tc>
      </w:tr>
      <w:tr w:rsidR="00000000">
        <w:trPr>
          <w:divId w:val="1763333543"/>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10.35</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49" w:history="1">
              <w:r>
                <w:rPr>
                  <w:rStyle w:val="a3"/>
                  <w:rFonts w:eastAsia="Times New Roman"/>
                  <w:sz w:val="20"/>
                  <w:szCs w:val="20"/>
                </w:rPr>
                <w:t xml:space="preserve">Restricted Stock Unit Overview containing the standard terms of restricted stock unit awards under the Amended and Restated 2010 Long-Term Stock Incentive Plan (filed as Exhibit 10.4 to the Form 10-Q for the quarterly period ended June </w:t>
              </w:r>
              <w:r>
                <w:rPr>
                  <w:rStyle w:val="a3"/>
                  <w:rFonts w:eastAsia="Times New Roman"/>
                  <w:sz w:val="20"/>
                  <w:szCs w:val="20"/>
                </w:rPr>
                <w:t>29, 2019)†</w:t>
              </w:r>
            </w:hyperlink>
          </w:p>
        </w:tc>
      </w:tr>
      <w:tr w:rsidR="00000000">
        <w:trPr>
          <w:divId w:val="1763333543"/>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10.36</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50" w:history="1">
              <w:r>
                <w:rPr>
                  <w:rStyle w:val="a3"/>
                  <w:rFonts w:eastAsia="Times New Roman"/>
                  <w:sz w:val="20"/>
                  <w:szCs w:val="20"/>
                </w:rPr>
                <w:t>Performance Share Unit Award Overview containing the standard terms of performance share unit awards under the 2019 Long-Term S</w:t>
              </w:r>
              <w:r>
                <w:rPr>
                  <w:rStyle w:val="a3"/>
                  <w:rFonts w:eastAsia="Times New Roman"/>
                  <w:sz w:val="20"/>
                  <w:szCs w:val="20"/>
                </w:rPr>
                <w:t>tock Incentive Plan (filed as Exhibit 10.2 to the Form 10-Q for the quarterly period ended September 28, 2019)†</w:t>
              </w:r>
            </w:hyperlink>
          </w:p>
        </w:tc>
      </w:tr>
      <w:tr w:rsidR="00000000">
        <w:trPr>
          <w:divId w:val="1763333543"/>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10.37</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51" w:history="1">
              <w:r>
                <w:rPr>
                  <w:rStyle w:val="a3"/>
                  <w:rFonts w:eastAsia="Times New Roman"/>
                  <w:sz w:val="20"/>
                  <w:szCs w:val="20"/>
                </w:rPr>
                <w:t>Form of Performance-Based Restricted Stock Unit Award Notification under the 2019 Long-Term Stock Incentive Plan (filed as Exhibit 10.3 to the Form 1</w:t>
              </w:r>
              <w:r>
                <w:rPr>
                  <w:rStyle w:val="a3"/>
                  <w:rFonts w:eastAsia="Times New Roman"/>
                  <w:sz w:val="20"/>
                  <w:szCs w:val="20"/>
                </w:rPr>
                <w:t>0-Q for the quarterly period ended September 28, 2019)†</w:t>
              </w:r>
            </w:hyperlink>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trPr>
          <w:jc w:val="center"/>
        </w:trPr>
        <w:tc>
          <w:tcPr>
            <w:tcW w:w="50" w:type="pct"/>
            <w:vAlign w:val="center"/>
            <w:hideMark/>
          </w:tcPr>
          <w:p w:rsidR="00000000" w:rsidRDefault="00BB5C2D">
            <w:pPr>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80</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08" style="width:0;height:1.5pt" o:hralign="center" o:hrstd="t" o:hr="t" fillcolor="#a0a0a0" stroked="f"/>
        </w:pict>
      </w:r>
    </w:p>
    <w:p w:rsidR="00000000" w:rsidRDefault="00BB5C2D">
      <w:pPr>
        <w:divId w:val="598756468"/>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90"/>
        <w:gridCol w:w="782"/>
        <w:gridCol w:w="36"/>
        <w:gridCol w:w="40"/>
        <w:gridCol w:w="7306"/>
        <w:gridCol w:w="39"/>
      </w:tblGrid>
      <w:tr w:rsidR="00000000">
        <w:trPr>
          <w:divId w:val="244387576"/>
        </w:trPr>
        <w:tc>
          <w:tcPr>
            <w:tcW w:w="50" w:type="pct"/>
            <w:vAlign w:val="center"/>
            <w:hideMark/>
          </w:tcPr>
          <w:p w:rsidR="00000000" w:rsidRDefault="00BB5C2D">
            <w:pPr>
              <w:rPr>
                <w:rFonts w:eastAsia="Times New Roman"/>
              </w:rPr>
            </w:pPr>
          </w:p>
        </w:tc>
        <w:tc>
          <w:tcPr>
            <w:tcW w:w="43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45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244387576"/>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Exhibit</w:t>
            </w:r>
            <w:r>
              <w:rPr>
                <w:rFonts w:eastAsia="Times New Roman"/>
                <w:b/>
                <w:bCs/>
                <w:color w:val="000000"/>
                <w:sz w:val="16"/>
                <w:szCs w:val="16"/>
              </w:rPr>
              <w:br/>
              <w:t>Number</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Description</w:t>
            </w:r>
          </w:p>
        </w:tc>
      </w:tr>
      <w:tr w:rsidR="00000000">
        <w:trPr>
          <w:divId w:val="244387576"/>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10.38</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52" w:history="1">
              <w:r>
                <w:rPr>
                  <w:rStyle w:val="a3"/>
                  <w:rFonts w:eastAsia="Times New Roman"/>
                  <w:sz w:val="20"/>
                  <w:szCs w:val="20"/>
                </w:rPr>
                <w:t xml:space="preserve">Restricted Stock Unit Overview containing the standard terms of restricted stock unit awards under the 2019 Long-Term Stock Incentive Plan (filed as </w:t>
              </w:r>
              <w:r>
                <w:rPr>
                  <w:rStyle w:val="a3"/>
                  <w:rFonts w:eastAsia="Times New Roman"/>
                  <w:sz w:val="20"/>
                  <w:szCs w:val="20"/>
                </w:rPr>
                <w:t>Exhibit 10.4 to the Form 10-Q for the quarterly period ended September 28, 2019)†</w:t>
              </w:r>
            </w:hyperlink>
          </w:p>
        </w:tc>
      </w:tr>
      <w:tr w:rsidR="00000000">
        <w:trPr>
          <w:divId w:val="244387576"/>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10.39*</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53" w:history="1">
              <w:r>
                <w:rPr>
                  <w:rStyle w:val="a3"/>
                  <w:rFonts w:eastAsia="Times New Roman"/>
                  <w:sz w:val="20"/>
                  <w:szCs w:val="20"/>
                </w:rPr>
                <w:t>Form of Non-Employee Director Restricted Stock Unit Award Agreement under the 2019 Long-Term Stock Incentive Plan †</w:t>
              </w:r>
            </w:hyperlink>
          </w:p>
        </w:tc>
      </w:tr>
      <w:tr w:rsidR="00000000">
        <w:trPr>
          <w:divId w:val="244387576"/>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10.40</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54" w:history="1">
              <w:r>
                <w:rPr>
                  <w:rStyle w:val="a3"/>
                  <w:rFonts w:eastAsia="Times New Roman"/>
                  <w:sz w:val="20"/>
                  <w:szCs w:val="20"/>
                </w:rPr>
                <w:t>Form of Cliff Restrict</w:t>
              </w:r>
              <w:r>
                <w:rPr>
                  <w:rStyle w:val="a3"/>
                  <w:rFonts w:eastAsia="Times New Roman"/>
                  <w:sz w:val="20"/>
                  <w:szCs w:val="20"/>
                </w:rPr>
                <w:t>ed Stock Award Agreement under the 2019 Long-Term Stock Incentive Plan (filed as Exhibit 10.2 to the Form 10-Q filed November 5, 2020)†</w:t>
              </w:r>
            </w:hyperlink>
          </w:p>
        </w:tc>
      </w:tr>
      <w:tr w:rsidR="00000000">
        <w:trPr>
          <w:divId w:val="244387576"/>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10.41</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55" w:history="1">
              <w:r>
                <w:rPr>
                  <w:rStyle w:val="a3"/>
                  <w:rFonts w:eastAsia="Times New Roman"/>
                  <w:sz w:val="20"/>
                  <w:szCs w:val="20"/>
                </w:rPr>
                <w:t>Fo</w:t>
              </w:r>
              <w:r>
                <w:rPr>
                  <w:rStyle w:val="a3"/>
                  <w:rFonts w:eastAsia="Times New Roman"/>
                  <w:sz w:val="20"/>
                  <w:szCs w:val="20"/>
                </w:rPr>
                <w:t>rm of Pro-Rata Restricted Stock Unit Award Agreement under the 2019 Long-Term Stock Incentive Plan (filed as Exhibit 10.3 to the Form 10-Q filed November 5, 2020)†</w:t>
              </w:r>
            </w:hyperlink>
          </w:p>
        </w:tc>
      </w:tr>
      <w:tr w:rsidR="00000000">
        <w:trPr>
          <w:divId w:val="244387576"/>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10.42</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56" w:history="1">
              <w:r>
                <w:rPr>
                  <w:rStyle w:val="a3"/>
                  <w:rFonts w:eastAsia="Times New Roman"/>
                  <w:sz w:val="20"/>
                  <w:szCs w:val="20"/>
                </w:rPr>
                <w:t>Amended and Restated Polo Ralph Lauren Supplemental Executive Retirement Plan (filed as Exhibit 10.1 to the Company's Form 10-Q for the quarterly period ended December 31, 2005)†</w:t>
              </w:r>
            </w:hyperlink>
          </w:p>
        </w:tc>
      </w:tr>
      <w:tr w:rsidR="00000000">
        <w:trPr>
          <w:divId w:val="244387576"/>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10.43</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57" w:history="1">
              <w:r>
                <w:rPr>
                  <w:rStyle w:val="a3"/>
                  <w:rFonts w:eastAsia="Times New Roman"/>
                  <w:sz w:val="20"/>
                  <w:szCs w:val="20"/>
                </w:rPr>
                <w:t>Form of Restricted Stock Unit Award Agreement under the 2019 Long-Term Stock Incentive Plan (filed as Exhibit 10.1 to the Company's Form 10-Q Filed N</w:t>
              </w:r>
              <w:r>
                <w:rPr>
                  <w:rStyle w:val="a3"/>
                  <w:rFonts w:eastAsia="Times New Roman"/>
                  <w:sz w:val="20"/>
                  <w:szCs w:val="20"/>
                </w:rPr>
                <w:t>ovember 3, 2021)†</w:t>
              </w:r>
            </w:hyperlink>
          </w:p>
        </w:tc>
      </w:tr>
      <w:tr w:rsidR="00000000">
        <w:trPr>
          <w:divId w:val="244387576"/>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10.44</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58" w:history="1">
              <w:r>
                <w:rPr>
                  <w:rStyle w:val="a3"/>
                  <w:rFonts w:eastAsia="Times New Roman"/>
                  <w:sz w:val="20"/>
                  <w:szCs w:val="20"/>
                </w:rPr>
                <w:t>Form of Performance Share Unit Award- PSU Operating Profit Margin Agreement under the 2019 Long-Term Stock Incentive Pla</w:t>
              </w:r>
              <w:r>
                <w:rPr>
                  <w:rStyle w:val="a3"/>
                  <w:rFonts w:eastAsia="Times New Roman"/>
                  <w:sz w:val="20"/>
                  <w:szCs w:val="20"/>
                </w:rPr>
                <w:t>n (filed as Exhibit 10.2 to the Company's Form 10-Q filed November 3, 2021)†</w:t>
              </w:r>
            </w:hyperlink>
          </w:p>
        </w:tc>
      </w:tr>
      <w:tr w:rsidR="00000000">
        <w:trPr>
          <w:divId w:val="244387576"/>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10.45</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59" w:history="1">
              <w:r>
                <w:rPr>
                  <w:rStyle w:val="a3"/>
                  <w:rFonts w:eastAsia="Times New Roman"/>
                  <w:sz w:val="20"/>
                  <w:szCs w:val="20"/>
                </w:rPr>
                <w:t>Form of Performance Share Unit Award- TSR Agreement under the</w:t>
              </w:r>
              <w:r>
                <w:rPr>
                  <w:rStyle w:val="a3"/>
                  <w:rFonts w:eastAsia="Times New Roman"/>
                  <w:sz w:val="20"/>
                  <w:szCs w:val="20"/>
                </w:rPr>
                <w:t xml:space="preserve"> 2019 Long-Term Stock Incentive Plan (filed as Exhibit 10.3 to the Company's Form 10-Q filed November 3, 2021)†</w:t>
              </w:r>
            </w:hyperlink>
          </w:p>
        </w:tc>
      </w:tr>
      <w:tr w:rsidR="00000000">
        <w:trPr>
          <w:divId w:val="244387576"/>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10.46</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60" w:history="1">
              <w:r>
                <w:rPr>
                  <w:rStyle w:val="a3"/>
                  <w:rFonts w:eastAsia="Times New Roman"/>
                  <w:sz w:val="20"/>
                  <w:szCs w:val="20"/>
                </w:rPr>
                <w:t>Credit Agreement, dated as of August 12, 2019 and as amended by the First Amendment, dated as of May 26, 2020, among the Company, RL Finance B.V.</w:t>
              </w:r>
              <w:r>
                <w:rPr>
                  <w:rStyle w:val="a3"/>
                  <w:rFonts w:eastAsia="Times New Roman"/>
                  <w:sz w:val="20"/>
                  <w:szCs w:val="20"/>
                </w:rPr>
                <w:t>, Ralph Lauren Europe Sàrl, and Ralph Lauren Asia Pacific Limited as the borrowers, the lenders party thereto, Bank of America, N.A., as syndication agent, Wells Fargo Bank, N.A., HSBC Bank USA, N.A., ING Bank N.V., Dublin Branch, and Deutsche Bank Securit</w:t>
              </w:r>
              <w:r>
                <w:rPr>
                  <w:rStyle w:val="a3"/>
                  <w:rFonts w:eastAsia="Times New Roman"/>
                  <w:sz w:val="20"/>
                  <w:szCs w:val="20"/>
                </w:rPr>
                <w:t>ies Inc., as co-documentation agents, and JPMorgan Chase Bank, N.A., as administrative agent (filed as Exhibit 10.41 to the Fiscal 2020 10-K)</w:t>
              </w:r>
            </w:hyperlink>
          </w:p>
        </w:tc>
      </w:tr>
      <w:tr w:rsidR="00000000">
        <w:trPr>
          <w:divId w:val="244387576"/>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10.47</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61" w:history="1">
              <w:r>
                <w:rPr>
                  <w:rStyle w:val="a3"/>
                  <w:rFonts w:eastAsia="Times New Roman"/>
                  <w:sz w:val="20"/>
                  <w:szCs w:val="20"/>
                </w:rPr>
                <w:t xml:space="preserve">Credit Agreement, dated as of August 12, 2019 and as amended by the </w:t>
              </w:r>
            </w:hyperlink>
            <w:hyperlink r:id="rId62" w:history="1">
              <w:r>
                <w:rPr>
                  <w:rStyle w:val="a3"/>
                  <w:rFonts w:eastAsia="Times New Roman"/>
                  <w:sz w:val="20"/>
                  <w:szCs w:val="20"/>
                </w:rPr>
                <w:t>Second</w:t>
              </w:r>
            </w:hyperlink>
            <w:hyperlink r:id="rId63" w:history="1">
              <w:r>
                <w:rPr>
                  <w:rStyle w:val="a3"/>
                  <w:rFonts w:eastAsia="Times New Roman"/>
                  <w:sz w:val="20"/>
                  <w:szCs w:val="20"/>
                </w:rPr>
                <w:t xml:space="preserve"> Amendment, dated as of </w:t>
              </w:r>
            </w:hyperlink>
            <w:hyperlink r:id="rId64" w:history="1">
              <w:r>
                <w:rPr>
                  <w:rStyle w:val="a3"/>
                  <w:rFonts w:eastAsia="Times New Roman"/>
                  <w:sz w:val="20"/>
                  <w:szCs w:val="20"/>
                </w:rPr>
                <w:t>January 3,</w:t>
              </w:r>
            </w:hyperlink>
            <w:hyperlink r:id="rId65" w:history="1">
              <w:r>
                <w:rPr>
                  <w:rStyle w:val="a3"/>
                  <w:rFonts w:eastAsia="Times New Roman"/>
                  <w:sz w:val="20"/>
                  <w:szCs w:val="20"/>
                </w:rPr>
                <w:t xml:space="preserve"> </w:t>
              </w:r>
            </w:hyperlink>
            <w:hyperlink r:id="rId66" w:history="1">
              <w:r>
                <w:rPr>
                  <w:rStyle w:val="a3"/>
                  <w:rFonts w:eastAsia="Times New Roman"/>
                  <w:sz w:val="20"/>
                  <w:szCs w:val="20"/>
                </w:rPr>
                <w:t>202</w:t>
              </w:r>
            </w:hyperlink>
            <w:hyperlink r:id="rId67" w:history="1">
              <w:r>
                <w:rPr>
                  <w:rStyle w:val="a3"/>
                  <w:rFonts w:eastAsia="Times New Roman"/>
                  <w:sz w:val="20"/>
                  <w:szCs w:val="20"/>
                </w:rPr>
                <w:t>2</w:t>
              </w:r>
            </w:hyperlink>
            <w:hyperlink r:id="rId68" w:history="1">
              <w:r>
                <w:rPr>
                  <w:rStyle w:val="a3"/>
                  <w:rFonts w:eastAsia="Times New Roman"/>
                  <w:sz w:val="20"/>
                  <w:szCs w:val="20"/>
                </w:rPr>
                <w:t>, among the Company,</w:t>
              </w:r>
            </w:hyperlink>
            <w:hyperlink r:id="rId69" w:history="1">
              <w:r>
                <w:rPr>
                  <w:rStyle w:val="a3"/>
                  <w:rFonts w:eastAsia="Times New Roman"/>
                  <w:sz w:val="20"/>
                  <w:szCs w:val="20"/>
                </w:rPr>
                <w:t xml:space="preserve"> RL Finance B.V.</w:t>
              </w:r>
            </w:hyperlink>
            <w:hyperlink r:id="rId70" w:history="1">
              <w:r>
                <w:rPr>
                  <w:rStyle w:val="a3"/>
                  <w:rFonts w:eastAsia="Times New Roman"/>
                  <w:sz w:val="20"/>
                  <w:szCs w:val="20"/>
                </w:rPr>
                <w:t>,</w:t>
              </w:r>
            </w:hyperlink>
            <w:hyperlink r:id="rId71" w:history="1">
              <w:r>
                <w:rPr>
                  <w:rStyle w:val="a3"/>
                  <w:rFonts w:eastAsia="Times New Roman"/>
                  <w:sz w:val="20"/>
                  <w:szCs w:val="20"/>
                </w:rPr>
                <w:t xml:space="preserve"> </w:t>
              </w:r>
            </w:hyperlink>
            <w:hyperlink r:id="rId72" w:history="1">
              <w:r>
                <w:rPr>
                  <w:rStyle w:val="a3"/>
                  <w:rFonts w:eastAsia="Times New Roman"/>
                  <w:sz w:val="20"/>
                  <w:szCs w:val="20"/>
                </w:rPr>
                <w:t>Ralph Lauren Europe Sàrl,</w:t>
              </w:r>
            </w:hyperlink>
            <w:hyperlink r:id="rId73" w:history="1">
              <w:r>
                <w:rPr>
                  <w:rStyle w:val="a3"/>
                  <w:rFonts w:eastAsia="Times New Roman"/>
                  <w:sz w:val="20"/>
                  <w:szCs w:val="20"/>
                </w:rPr>
                <w:t xml:space="preserve"> and Ralph Lauren Asia Pacific Limited as the borrowers, the lenders party thereto, Bank of America, N.A., as syndication agent, Wells Fargo Bank, N.A., HSBC Bank USA, N.A., ING Bank N.V., Dublin Branch, and Deu</w:t>
              </w:r>
              <w:r>
                <w:rPr>
                  <w:rStyle w:val="a3"/>
                  <w:rFonts w:eastAsia="Times New Roman"/>
                  <w:sz w:val="20"/>
                  <w:szCs w:val="20"/>
                </w:rPr>
                <w:t>tsche Bank Securities Inc., as co-documentation agents, and JPMorgan Chase Bank, N.A., as administrative agent (filed as Exhibit 10.</w:t>
              </w:r>
            </w:hyperlink>
            <w:hyperlink r:id="rId74" w:history="1">
              <w:r>
                <w:rPr>
                  <w:rStyle w:val="a3"/>
                  <w:rFonts w:eastAsia="Times New Roman"/>
                  <w:sz w:val="20"/>
                  <w:szCs w:val="20"/>
                </w:rPr>
                <w:t xml:space="preserve">1 to the </w:t>
              </w:r>
            </w:hyperlink>
            <w:hyperlink r:id="rId75" w:history="1">
              <w:r>
                <w:rPr>
                  <w:rStyle w:val="a3"/>
                  <w:rFonts w:eastAsia="Times New Roman"/>
                  <w:sz w:val="20"/>
                  <w:szCs w:val="20"/>
                </w:rPr>
                <w:t>Company's Form 10-Q filed February 3, 2</w:t>
              </w:r>
            </w:hyperlink>
            <w:hyperlink r:id="rId76" w:history="1">
              <w:r>
                <w:rPr>
                  <w:rStyle w:val="a3"/>
                  <w:rFonts w:eastAsia="Times New Roman"/>
                  <w:sz w:val="20"/>
                  <w:szCs w:val="20"/>
                </w:rPr>
                <w:t>022</w:t>
              </w:r>
            </w:hyperlink>
            <w:hyperlink r:id="rId77" w:history="1">
              <w:r>
                <w:rPr>
                  <w:rStyle w:val="a3"/>
                  <w:rFonts w:eastAsia="Times New Roman"/>
                  <w:sz w:val="20"/>
                  <w:szCs w:val="20"/>
                </w:rPr>
                <w:t>)</w:t>
              </w:r>
            </w:hyperlink>
          </w:p>
        </w:tc>
      </w:tr>
      <w:tr w:rsidR="00000000">
        <w:trPr>
          <w:divId w:val="244387576"/>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10.48*</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78" w:history="1">
              <w:r>
                <w:rPr>
                  <w:rStyle w:val="a3"/>
                  <w:rFonts w:eastAsia="Times New Roman"/>
                  <w:sz w:val="20"/>
                  <w:szCs w:val="20"/>
                </w:rPr>
                <w:t>Credit Agreement, dated as of August 12, 2019 and as amended by the Third Amendment, dated as of Marc</w:t>
              </w:r>
              <w:r>
                <w:rPr>
                  <w:rStyle w:val="a3"/>
                  <w:rFonts w:eastAsia="Times New Roman"/>
                  <w:sz w:val="20"/>
                  <w:szCs w:val="20"/>
                </w:rPr>
                <w:t xml:space="preserve">h 18, 2022, among the Company, RL Finance B.V., Ralph Lauren Europe Sàrl, and Ralph Lauren Asia Pacific Limited as the borrowers, the lenders party thereto, Bank of America, N.A., as syndication agent, Wells Fargo Bank, N.A., HSBC Bank USA, N.A., ING Bank </w:t>
              </w:r>
              <w:r>
                <w:rPr>
                  <w:rStyle w:val="a3"/>
                  <w:rFonts w:eastAsia="Times New Roman"/>
                  <w:sz w:val="20"/>
                  <w:szCs w:val="20"/>
                </w:rPr>
                <w:t>N.V., Dublin Branch, and Deutsche Bank Securities Inc., as co-documentation agents, and JPMorgan Chase Bank, N.A., as administrative agent</w:t>
              </w:r>
            </w:hyperlink>
          </w:p>
        </w:tc>
      </w:tr>
      <w:tr w:rsidR="00000000">
        <w:trPr>
          <w:divId w:val="244387576"/>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14.1</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79" w:history="1">
              <w:r>
                <w:rPr>
                  <w:rStyle w:val="a3"/>
                  <w:rFonts w:eastAsia="Times New Roman"/>
                  <w:sz w:val="20"/>
                  <w:szCs w:val="20"/>
                </w:rPr>
                <w:t>Code of</w:t>
              </w:r>
              <w:r>
                <w:rPr>
                  <w:rStyle w:val="a3"/>
                  <w:rFonts w:eastAsia="Times New Roman"/>
                  <w:sz w:val="20"/>
                  <w:szCs w:val="20"/>
                </w:rPr>
                <w:t xml:space="preserve"> Ethics for Principal Executive Officers and Senior Financial Officers (filed as Exhibit 14.1 to the Company's Annual Report on Form 10-K for the fiscal year ended March 29, 2003 and available, as amended, on the Company's Internet site)</w:t>
              </w:r>
            </w:hyperlink>
          </w:p>
        </w:tc>
      </w:tr>
      <w:tr w:rsidR="00000000">
        <w:trPr>
          <w:divId w:val="244387576"/>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14.2</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80" w:history="1">
              <w:r>
                <w:rPr>
                  <w:rStyle w:val="a3"/>
                  <w:rFonts w:eastAsia="Times New Roman"/>
                  <w:sz w:val="20"/>
                  <w:szCs w:val="20"/>
                </w:rPr>
                <w:t>Code of Business Conduct and Ethics of the Company (filed as Exhibit 14.1 to the Form 10-Q for the quarterly period ended June 27, 2015 and available</w:t>
              </w:r>
              <w:r>
                <w:rPr>
                  <w:rStyle w:val="a3"/>
                  <w:rFonts w:eastAsia="Times New Roman"/>
                  <w:sz w:val="20"/>
                  <w:szCs w:val="20"/>
                </w:rPr>
                <w:t>, as amended, on the Company's Internet site)</w:t>
              </w:r>
            </w:hyperlink>
          </w:p>
        </w:tc>
      </w:tr>
      <w:tr w:rsidR="00000000">
        <w:trPr>
          <w:divId w:val="244387576"/>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21.1*</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81" w:history="1">
              <w:r>
                <w:rPr>
                  <w:rStyle w:val="a3"/>
                  <w:rFonts w:eastAsia="Times New Roman"/>
                  <w:sz w:val="20"/>
                  <w:szCs w:val="20"/>
                </w:rPr>
                <w:t>List of Subsidiaries of the Company</w:t>
              </w:r>
            </w:hyperlink>
          </w:p>
        </w:tc>
      </w:tr>
      <w:tr w:rsidR="00000000">
        <w:trPr>
          <w:divId w:val="244387576"/>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23.1*</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82" w:history="1">
              <w:r>
                <w:rPr>
                  <w:rStyle w:val="a3"/>
                  <w:rFonts w:eastAsia="Times New Roman"/>
                  <w:sz w:val="20"/>
                  <w:szCs w:val="20"/>
                </w:rPr>
                <w:t>Consent of Ernst &amp; Young LLP</w:t>
              </w:r>
            </w:hyperlink>
          </w:p>
        </w:tc>
      </w:tr>
      <w:tr w:rsidR="00000000">
        <w:trPr>
          <w:divId w:val="244387576"/>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31.1*</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83" w:history="1">
              <w:r>
                <w:rPr>
                  <w:rStyle w:val="a3"/>
                  <w:rFonts w:eastAsia="Times New Roman"/>
                  <w:sz w:val="20"/>
                  <w:szCs w:val="20"/>
                </w:rPr>
                <w:t>Certification of Principal Executive Officer pursuant to 17 CFR 240.13a-14(a)</w:t>
              </w:r>
            </w:hyperlink>
          </w:p>
        </w:tc>
      </w:tr>
      <w:tr w:rsidR="00000000">
        <w:trPr>
          <w:divId w:val="244387576"/>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31.2*</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84" w:history="1">
              <w:r>
                <w:rPr>
                  <w:rStyle w:val="a3"/>
                  <w:rFonts w:eastAsia="Times New Roman"/>
                  <w:sz w:val="20"/>
                  <w:szCs w:val="20"/>
                </w:rPr>
                <w:t>Certification of Principal Financial Officer pursuant to 17 CFR 240.13a-14(a)</w:t>
              </w:r>
            </w:hyperlink>
          </w:p>
        </w:tc>
      </w:tr>
      <w:tr w:rsidR="00000000">
        <w:trPr>
          <w:divId w:val="244387576"/>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32.1</w:t>
            </w: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85" w:history="1">
              <w:r>
                <w:rPr>
                  <w:rStyle w:val="a3"/>
                  <w:rFonts w:eastAsia="Times New Roman"/>
                  <w:sz w:val="20"/>
                  <w:szCs w:val="20"/>
                </w:rPr>
                <w:t>Certification of Principal Executive Officer pursuant to 18 U.S.C. Section 1350, as adopted pursuant to Section 906 of the Sarbanes-Oxley Act of 2002</w:t>
              </w:r>
            </w:hyperlink>
          </w:p>
        </w:tc>
      </w:tr>
      <w:tr w:rsidR="00000000">
        <w:trPr>
          <w:divId w:val="244387576"/>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32.2*</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hyperlink r:id="rId86" w:history="1">
              <w:r>
                <w:rPr>
                  <w:rStyle w:val="a3"/>
                  <w:rFonts w:eastAsia="Times New Roman"/>
                  <w:sz w:val="20"/>
                  <w:szCs w:val="20"/>
                </w:rPr>
                <w:t>Certifica</w:t>
              </w:r>
              <w:r>
                <w:rPr>
                  <w:rStyle w:val="a3"/>
                  <w:rFonts w:eastAsia="Times New Roman"/>
                  <w:sz w:val="20"/>
                  <w:szCs w:val="20"/>
                </w:rPr>
                <w:t>tion of Principal Financial Officer pursuant to 18 U.S.C. Section 1350, as adopted pursuant to Section 906 of the Sarbanes-Oxley Act of 2002</w:t>
              </w:r>
            </w:hyperlink>
          </w:p>
        </w:tc>
      </w:tr>
      <w:tr w:rsidR="00000000">
        <w:trPr>
          <w:divId w:val="244387576"/>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101.INS*</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r>
              <w:rPr>
                <w:rFonts w:eastAsia="Times New Roman"/>
                <w:color w:val="000000"/>
                <w:sz w:val="20"/>
                <w:szCs w:val="20"/>
              </w:rPr>
              <w:t>XBRL Instance Document - the instance document does not appear in the Interactive Data File because its XBRL tags are embedded within the Inline XBRL document.</w:t>
            </w:r>
          </w:p>
        </w:tc>
      </w:tr>
      <w:tr w:rsidR="00000000">
        <w:trPr>
          <w:divId w:val="244387576"/>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101.SCH*</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r>
              <w:rPr>
                <w:rFonts w:eastAsia="Times New Roman"/>
                <w:color w:val="000000"/>
                <w:sz w:val="20"/>
                <w:szCs w:val="20"/>
              </w:rPr>
              <w:t>XBRL Taxonomy Extension Schema Document.</w:t>
            </w:r>
          </w:p>
        </w:tc>
      </w:tr>
      <w:tr w:rsidR="00000000">
        <w:trPr>
          <w:divId w:val="244387576"/>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101.CAL*</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r>
              <w:rPr>
                <w:rFonts w:eastAsia="Times New Roman"/>
                <w:color w:val="000000"/>
                <w:sz w:val="20"/>
                <w:szCs w:val="20"/>
              </w:rPr>
              <w:t>XBRL Taxonomy Extension Calculation Linkbase Document.</w:t>
            </w:r>
          </w:p>
        </w:tc>
      </w:tr>
      <w:tr w:rsidR="00000000">
        <w:trPr>
          <w:divId w:val="244387576"/>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101.DEF*</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r>
              <w:rPr>
                <w:rFonts w:eastAsia="Times New Roman"/>
                <w:color w:val="000000"/>
                <w:sz w:val="20"/>
                <w:szCs w:val="20"/>
              </w:rPr>
              <w:t>XBRL Taxonomy Extension Definition Linkbase Document.</w:t>
            </w:r>
          </w:p>
        </w:tc>
      </w:tr>
      <w:tr w:rsidR="00000000">
        <w:trPr>
          <w:divId w:val="244387576"/>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101.LAB*</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r>
              <w:rPr>
                <w:rFonts w:eastAsia="Times New Roman"/>
                <w:color w:val="000000"/>
                <w:sz w:val="20"/>
                <w:szCs w:val="20"/>
              </w:rPr>
              <w:t>XBRL Taxonomy Extension Label Linkbase Document.</w:t>
            </w:r>
          </w:p>
        </w:tc>
      </w:tr>
      <w:tr w:rsidR="00000000">
        <w:trPr>
          <w:divId w:val="244387576"/>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101.PRE*</w:t>
            </w:r>
          </w:p>
        </w:tc>
        <w:tc>
          <w:tcPr>
            <w:tcW w:w="0" w:type="auto"/>
            <w:gridSpan w:val="3"/>
            <w:tcMar>
              <w:top w:w="30" w:type="dxa"/>
              <w:left w:w="20" w:type="dxa"/>
              <w:bottom w:w="30" w:type="dxa"/>
              <w:right w:w="20" w:type="dxa"/>
            </w:tcMar>
            <w:hideMark/>
          </w:tcPr>
          <w:p w:rsidR="00000000" w:rsidRDefault="00BB5C2D">
            <w:pPr>
              <w:spacing w:after="100"/>
              <w:jc w:val="both"/>
              <w:rPr>
                <w:rFonts w:eastAsia="Times New Roman"/>
              </w:rPr>
            </w:pPr>
            <w:r>
              <w:rPr>
                <w:rFonts w:eastAsia="Times New Roman"/>
                <w:color w:val="000000"/>
                <w:sz w:val="20"/>
                <w:szCs w:val="20"/>
              </w:rPr>
              <w:t>XBRL Taxonomy Extension Presentation Linkbase Document.</w:t>
            </w: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trPr>
          <w:jc w:val="center"/>
        </w:trPr>
        <w:tc>
          <w:tcPr>
            <w:tcW w:w="50" w:type="pct"/>
            <w:vAlign w:val="center"/>
            <w:hideMark/>
          </w:tcPr>
          <w:p w:rsidR="00000000" w:rsidRDefault="00BB5C2D">
            <w:pPr>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81</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09" style="width:0;height:1.5pt" o:hralign="center" o:hrstd="t" o:hr="t" fillcolor="#a0a0a0" stroked="f"/>
        </w:pict>
      </w:r>
    </w:p>
    <w:p w:rsidR="00000000" w:rsidRDefault="00BB5C2D">
      <w:pPr>
        <w:divId w:val="356196179"/>
        <w:rPr>
          <w:rFonts w:eastAsia="Times New Roman"/>
        </w:rPr>
      </w:pPr>
    </w:p>
    <w:p w:rsidR="00000000" w:rsidRDefault="00BB5C2D">
      <w:pPr>
        <w:jc w:val="both"/>
        <w:divId w:val="1052928273"/>
        <w:rPr>
          <w:rFonts w:eastAsia="Times New Roman"/>
        </w:rPr>
      </w:pPr>
      <w:r>
        <w:rPr>
          <w:rFonts w:eastAsia="Times New Roman"/>
          <w:color w:val="000000"/>
          <w:sz w:val="20"/>
          <w:szCs w:val="20"/>
        </w:rPr>
        <w:t>Exhibits 32.1 and 32.2 shall not be deemed "filed" for purposes of Section 18 of the Securities Exchange Act of 1934, or otherwise subject to the liability of that Section. Such exhibits shall not be deemed incorporate</w:t>
      </w:r>
      <w:r>
        <w:rPr>
          <w:rFonts w:eastAsia="Times New Roman"/>
          <w:color w:val="000000"/>
          <w:sz w:val="20"/>
          <w:szCs w:val="20"/>
        </w:rPr>
        <w:t>d by reference into any filing under the Securities Act of 1933 or Securities Exchange Act of 1934.</w:t>
      </w:r>
    </w:p>
    <w:tbl>
      <w:tblPr>
        <w:tblW w:w="972" w:type="pct"/>
        <w:tblCellMar>
          <w:top w:w="15" w:type="dxa"/>
          <w:left w:w="15" w:type="dxa"/>
          <w:bottom w:w="15" w:type="dxa"/>
          <w:right w:w="15" w:type="dxa"/>
        </w:tblCellMar>
        <w:tblLook w:val="04A0" w:firstRow="1" w:lastRow="0" w:firstColumn="1" w:lastColumn="0" w:noHBand="0" w:noVBand="1"/>
      </w:tblPr>
      <w:tblGrid>
        <w:gridCol w:w="36"/>
        <w:gridCol w:w="1543"/>
        <w:gridCol w:w="36"/>
      </w:tblGrid>
      <w:tr w:rsidR="00000000">
        <w:trPr>
          <w:divId w:val="1325065"/>
        </w:trPr>
        <w:tc>
          <w:tcPr>
            <w:tcW w:w="50" w:type="pct"/>
            <w:vAlign w:val="center"/>
            <w:hideMark/>
          </w:tcPr>
          <w:p w:rsidR="00000000" w:rsidRDefault="00BB5C2D">
            <w:pPr>
              <w:jc w:val="both"/>
              <w:rPr>
                <w:rFonts w:eastAsia="Times New Roman"/>
              </w:rPr>
            </w:pPr>
          </w:p>
        </w:tc>
        <w:tc>
          <w:tcPr>
            <w:tcW w:w="494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325065"/>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235"/>
        <w:gridCol w:w="144"/>
        <w:gridCol w:w="144"/>
        <w:gridCol w:w="7872"/>
        <w:gridCol w:w="144"/>
      </w:tblGrid>
      <w:tr w:rsidR="00000000">
        <w:tc>
          <w:tcPr>
            <w:tcW w:w="50" w:type="pct"/>
            <w:vAlign w:val="center"/>
            <w:hideMark/>
          </w:tcPr>
          <w:p w:rsidR="00000000" w:rsidRDefault="00BB5C2D">
            <w:pPr>
              <w:rPr>
                <w:rFonts w:eastAsia="Times New Roman"/>
              </w:rPr>
            </w:pPr>
          </w:p>
        </w:tc>
        <w:tc>
          <w:tcPr>
            <w:tcW w:w="14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74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Filed herewith.</w:t>
            </w:r>
          </w:p>
        </w:tc>
      </w:tr>
      <w:tr w:rsidR="00000000">
        <w:tc>
          <w:tcPr>
            <w:tcW w:w="0" w:type="auto"/>
            <w:gridSpan w:val="3"/>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Management contract or compensatory plan or arrangement.</w:t>
            </w:r>
          </w:p>
        </w:tc>
      </w:tr>
    </w:tbl>
    <w:p w:rsidR="00000000" w:rsidRDefault="00BB5C2D">
      <w:pPr>
        <w:ind w:hanging="900"/>
        <w:divId w:val="1349404057"/>
        <w:rPr>
          <w:rFonts w:eastAsia="Times New Roman"/>
        </w:rPr>
      </w:pPr>
      <w:r>
        <w:rPr>
          <w:rFonts w:eastAsia="Times New Roman"/>
          <w:b/>
          <w:bCs/>
          <w:color w:val="000000"/>
          <w:sz w:val="20"/>
          <w:szCs w:val="20"/>
        </w:rPr>
        <w:t>Item 16.    </w:t>
      </w:r>
      <w:r>
        <w:rPr>
          <w:rFonts w:eastAsia="Times New Roman"/>
          <w:b/>
          <w:bCs/>
          <w:i/>
          <w:iCs/>
          <w:color w:val="000000"/>
          <w:sz w:val="20"/>
          <w:szCs w:val="20"/>
        </w:rPr>
        <w:t>Form 10-K Summary.</w:t>
      </w:r>
    </w:p>
    <w:p w:rsidR="00000000" w:rsidRDefault="00BB5C2D">
      <w:pPr>
        <w:ind w:firstLine="540"/>
        <w:jc w:val="both"/>
        <w:divId w:val="749887237"/>
        <w:rPr>
          <w:rFonts w:eastAsia="Times New Roman"/>
        </w:rPr>
      </w:pPr>
      <w:r>
        <w:rPr>
          <w:rFonts w:eastAsia="Times New Roman"/>
          <w:color w:val="000000"/>
          <w:sz w:val="20"/>
          <w:szCs w:val="20"/>
        </w:rPr>
        <w:t>None.</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942999785"/>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942999785"/>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82</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10" style="width:0;height:1.5pt" o:hralign="center" o:hrstd="t" o:hr="t" fillcolor="#a0a0a0" stroked="f"/>
        </w:pict>
      </w:r>
    </w:p>
    <w:p w:rsidR="00000000" w:rsidRDefault="00BB5C2D">
      <w:pPr>
        <w:divId w:val="272370441"/>
        <w:rPr>
          <w:rFonts w:eastAsia="Times New Roman"/>
        </w:rPr>
      </w:pPr>
    </w:p>
    <w:p w:rsidR="00000000" w:rsidRDefault="00BB5C2D">
      <w:pPr>
        <w:jc w:val="center"/>
        <w:divId w:val="1861234554"/>
        <w:rPr>
          <w:rFonts w:eastAsia="Times New Roman"/>
        </w:rPr>
      </w:pPr>
      <w:r>
        <w:rPr>
          <w:rFonts w:eastAsia="Times New Roman"/>
          <w:b/>
          <w:bCs/>
          <w:color w:val="000000"/>
          <w:sz w:val="20"/>
          <w:szCs w:val="20"/>
        </w:rPr>
        <w:t>SIGNATURES</w:t>
      </w:r>
    </w:p>
    <w:p w:rsidR="00000000" w:rsidRDefault="00BB5C2D">
      <w:pPr>
        <w:ind w:firstLine="540"/>
        <w:jc w:val="both"/>
        <w:divId w:val="1818641438"/>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w:t>
      </w:r>
    </w:p>
    <w:p w:rsidR="00000000" w:rsidRDefault="00BB5C2D">
      <w:pPr>
        <w:ind w:firstLine="495"/>
        <w:divId w:val="1602880916"/>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69"/>
        <w:gridCol w:w="3587"/>
        <w:gridCol w:w="36"/>
        <w:gridCol w:w="81"/>
        <w:gridCol w:w="240"/>
        <w:gridCol w:w="36"/>
        <w:gridCol w:w="50"/>
        <w:gridCol w:w="4157"/>
        <w:gridCol w:w="37"/>
      </w:tblGrid>
      <w:tr w:rsidR="00000000">
        <w:trPr>
          <w:divId w:val="99765712"/>
        </w:trPr>
        <w:tc>
          <w:tcPr>
            <w:tcW w:w="50" w:type="pct"/>
            <w:vAlign w:val="center"/>
            <w:hideMark/>
          </w:tcPr>
          <w:p w:rsidR="00000000" w:rsidRDefault="00BB5C2D">
            <w:pPr>
              <w:ind w:firstLine="495"/>
              <w:rPr>
                <w:rFonts w:eastAsia="Times New Roman"/>
              </w:rPr>
            </w:pPr>
          </w:p>
        </w:tc>
        <w:tc>
          <w:tcPr>
            <w:tcW w:w="217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251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99765712"/>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20"/>
                <w:szCs w:val="20"/>
              </w:rPr>
              <w:t> </w:t>
            </w: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RALPH LAUREN CORPORATION</w:t>
            </w:r>
          </w:p>
        </w:tc>
      </w:tr>
      <w:tr w:rsidR="00000000">
        <w:trPr>
          <w:divId w:val="99765712"/>
          <w:trHeight w:val="300"/>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99765712"/>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w:t>
            </w:r>
            <w:r>
              <w:rPr>
                <w:rFonts w:eastAsia="Times New Roman"/>
                <w:color w:val="000000"/>
                <w:sz w:val="16"/>
                <w:szCs w:val="16"/>
              </w:rPr>
              <w:t>S</w:t>
            </w:r>
            <w:r>
              <w:rPr>
                <w:rFonts w:eastAsia="Times New Roman"/>
                <w:color w:val="000000"/>
                <w:sz w:val="20"/>
                <w:szCs w:val="20"/>
              </w:rPr>
              <w:t>/    JANE HAMILTON NIELSEN     </w:t>
            </w:r>
          </w:p>
        </w:tc>
      </w:tr>
      <w:tr w:rsidR="00000000">
        <w:trPr>
          <w:divId w:val="99765712"/>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Jane Hamilton Nielsen</w:t>
            </w:r>
          </w:p>
        </w:tc>
      </w:tr>
      <w:tr w:rsidR="00000000">
        <w:trPr>
          <w:divId w:val="99765712"/>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i/>
                <w:iCs/>
                <w:color w:val="000000"/>
                <w:sz w:val="20"/>
                <w:szCs w:val="20"/>
              </w:rPr>
              <w:t>Chief Operating Officer and Chief Financial Officer</w:t>
            </w:r>
          </w:p>
        </w:tc>
      </w:tr>
      <w:tr w:rsidR="00000000">
        <w:trPr>
          <w:divId w:val="99765712"/>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i/>
                <w:iCs/>
                <w:color w:val="000000"/>
                <w:sz w:val="20"/>
                <w:szCs w:val="20"/>
              </w:rPr>
              <w:t>(Principal Financial and Accounting Officer)</w:t>
            </w:r>
          </w:p>
        </w:tc>
      </w:tr>
      <w:tr w:rsidR="00000000">
        <w:trPr>
          <w:divId w:val="99765712"/>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Date: May 24, 2022</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r>
    </w:tbl>
    <w:p w:rsidR="00000000" w:rsidRDefault="00BB5C2D">
      <w:pPr>
        <w:jc w:val="center"/>
        <w:rPr>
          <w:rFonts w:eastAsia="Times New Roman"/>
        </w:rPr>
      </w:pPr>
    </w:p>
    <w:p w:rsidR="00000000" w:rsidRDefault="00BB5C2D">
      <w:pPr>
        <w:ind w:firstLine="540"/>
        <w:jc w:val="both"/>
        <w:divId w:val="1368263943"/>
        <w:rPr>
          <w:rFonts w:eastAsia="Times New Roman"/>
        </w:rPr>
      </w:pPr>
      <w:r>
        <w:rPr>
          <w:rFonts w:eastAsia="Times New Roman"/>
          <w:color w:val="000000"/>
          <w:sz w:val="20"/>
          <w:szCs w:val="20"/>
        </w:rPr>
        <w:t>Pursuant to the requirements of the Securities Exchange Act of 1934, this report has been signed below by the following persons on behalf of the registrant and in the capacities and on the dates indicated:</w:t>
      </w:r>
    </w:p>
    <w:tbl>
      <w:tblPr>
        <w:tblW w:w="4978" w:type="pct"/>
        <w:tblCellMar>
          <w:top w:w="15" w:type="dxa"/>
          <w:left w:w="15" w:type="dxa"/>
          <w:bottom w:w="15" w:type="dxa"/>
          <w:right w:w="15" w:type="dxa"/>
        </w:tblCellMar>
        <w:tblLook w:val="04A0" w:firstRow="1" w:lastRow="0" w:firstColumn="1" w:lastColumn="0" w:noHBand="0" w:noVBand="1"/>
      </w:tblPr>
      <w:tblGrid>
        <w:gridCol w:w="58"/>
        <w:gridCol w:w="2714"/>
        <w:gridCol w:w="38"/>
        <w:gridCol w:w="36"/>
        <w:gridCol w:w="116"/>
        <w:gridCol w:w="36"/>
        <w:gridCol w:w="58"/>
        <w:gridCol w:w="3393"/>
        <w:gridCol w:w="37"/>
        <w:gridCol w:w="36"/>
        <w:gridCol w:w="116"/>
        <w:gridCol w:w="36"/>
        <w:gridCol w:w="58"/>
        <w:gridCol w:w="1501"/>
        <w:gridCol w:w="36"/>
      </w:tblGrid>
      <w:tr w:rsidR="00000000">
        <w:trPr>
          <w:divId w:val="1288779918"/>
        </w:trPr>
        <w:tc>
          <w:tcPr>
            <w:tcW w:w="50" w:type="pct"/>
            <w:vAlign w:val="center"/>
            <w:hideMark/>
          </w:tcPr>
          <w:p w:rsidR="00000000" w:rsidRDefault="00BB5C2D">
            <w:pPr>
              <w:ind w:firstLine="540"/>
              <w:jc w:val="both"/>
              <w:rPr>
                <w:rFonts w:eastAsia="Times New Roman"/>
              </w:rPr>
            </w:pPr>
          </w:p>
        </w:tc>
        <w:tc>
          <w:tcPr>
            <w:tcW w:w="165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8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206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8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921"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288779918"/>
        </w:trPr>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b/>
                <w:bCs/>
                <w:color w:val="000000"/>
                <w:sz w:val="20"/>
                <w:szCs w:val="20"/>
                <w:u w:val="single"/>
              </w:rPr>
              <w:t>Signature</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BB5C2D">
            <w:pPr>
              <w:spacing w:after="100"/>
              <w:jc w:val="center"/>
              <w:rPr>
                <w:rFonts w:eastAsia="Times New Roman"/>
              </w:rPr>
            </w:pPr>
            <w:r>
              <w:rPr>
                <w:rFonts w:eastAsia="Times New Roman"/>
                <w:b/>
                <w:bCs/>
                <w:color w:val="000000"/>
                <w:sz w:val="20"/>
                <w:szCs w:val="20"/>
                <w:u w:val="single"/>
              </w:rPr>
              <w:t>Title</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b/>
                <w:bCs/>
                <w:color w:val="000000"/>
                <w:sz w:val="20"/>
                <w:szCs w:val="20"/>
                <w:u w:val="single"/>
              </w:rPr>
              <w:t>Date</w:t>
            </w:r>
          </w:p>
        </w:tc>
      </w:tr>
      <w:tr w:rsidR="00000000">
        <w:trPr>
          <w:divId w:val="1288779918"/>
          <w:trHeight w:val="240"/>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288779918"/>
          <w:trHeight w:val="300"/>
        </w:trPr>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w:t>
            </w:r>
            <w:r>
              <w:rPr>
                <w:rFonts w:eastAsia="Times New Roman"/>
                <w:color w:val="000000"/>
                <w:sz w:val="14"/>
                <w:szCs w:val="14"/>
              </w:rPr>
              <w:t>S</w:t>
            </w:r>
            <w:r>
              <w:rPr>
                <w:rFonts w:eastAsia="Times New Roman"/>
                <w:color w:val="000000"/>
                <w:sz w:val="20"/>
                <w:szCs w:val="20"/>
              </w:rPr>
              <w:t>/    RALPH LAUREN</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Executive Chairman, Chief Creative Officer, and Director</w:t>
            </w:r>
          </w:p>
        </w:tc>
        <w:tc>
          <w:tcPr>
            <w:tcW w:w="0" w:type="auto"/>
            <w:gridSpan w:val="3"/>
            <w:vMerge w:val="restart"/>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May 24, 2022</w:t>
            </w:r>
          </w:p>
        </w:tc>
      </w:tr>
      <w:tr w:rsidR="00000000">
        <w:trPr>
          <w:divId w:val="1288779918"/>
          <w:trHeight w:val="30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divId w:val="1365909850"/>
              <w:rPr>
                <w:rFonts w:eastAsia="Times New Roman"/>
              </w:rPr>
            </w:pPr>
            <w:r>
              <w:rPr>
                <w:rFonts w:eastAsia="Times New Roman"/>
                <w:color w:val="000000"/>
                <w:sz w:val="20"/>
                <w:szCs w:val="20"/>
              </w:rPr>
              <w:t>Ralph Lauren</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vMerge/>
            <w:vAlign w:val="center"/>
            <w:hideMark/>
          </w:tcPr>
          <w:p w:rsidR="00000000" w:rsidRDefault="00BB5C2D">
            <w:pPr>
              <w:spacing w:after="100"/>
              <w:rPr>
                <w:rFonts w:eastAsia="Times New Roman"/>
              </w:rPr>
            </w:pPr>
          </w:p>
        </w:tc>
        <w:tc>
          <w:tcPr>
            <w:tcW w:w="0" w:type="auto"/>
            <w:gridSpan w:val="3"/>
            <w:vMerge/>
            <w:vAlign w:val="center"/>
            <w:hideMark/>
          </w:tcPr>
          <w:p w:rsidR="00000000" w:rsidRDefault="00BB5C2D">
            <w:pPr>
              <w:spacing w:after="100"/>
              <w:rPr>
                <w:rFonts w:eastAsia="Times New Roman"/>
              </w:rPr>
            </w:pPr>
          </w:p>
        </w:tc>
        <w:tc>
          <w:tcPr>
            <w:tcW w:w="0" w:type="auto"/>
            <w:gridSpan w:val="3"/>
            <w:vMerge/>
            <w:vAlign w:val="center"/>
            <w:hideMark/>
          </w:tcPr>
          <w:p w:rsidR="00000000" w:rsidRDefault="00BB5C2D">
            <w:pPr>
              <w:spacing w:after="100"/>
              <w:rPr>
                <w:rFonts w:eastAsia="Times New Roman"/>
              </w:rPr>
            </w:pPr>
          </w:p>
        </w:tc>
      </w:tr>
      <w:tr w:rsidR="00000000">
        <w:trPr>
          <w:divId w:val="1288779918"/>
          <w:trHeight w:val="240"/>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288779918"/>
          <w:trHeight w:val="300"/>
        </w:trPr>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w:t>
            </w:r>
            <w:r>
              <w:rPr>
                <w:rFonts w:eastAsia="Times New Roman"/>
                <w:color w:val="000000"/>
                <w:sz w:val="14"/>
                <w:szCs w:val="14"/>
              </w:rPr>
              <w:t>S</w:t>
            </w:r>
            <w:r>
              <w:rPr>
                <w:rFonts w:eastAsia="Times New Roman"/>
                <w:color w:val="000000"/>
                <w:sz w:val="20"/>
                <w:szCs w:val="20"/>
              </w:rPr>
              <w:t>/    PATRICE LOUVET</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President, Chief Executive Officer, and Director (Principal Executive Officer)</w:t>
            </w:r>
          </w:p>
        </w:tc>
        <w:tc>
          <w:tcPr>
            <w:tcW w:w="0" w:type="auto"/>
            <w:gridSpan w:val="3"/>
            <w:vMerge w:val="restart"/>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May 24, 2022</w:t>
            </w:r>
          </w:p>
        </w:tc>
      </w:tr>
      <w:tr w:rsidR="00000000">
        <w:trPr>
          <w:divId w:val="1288779918"/>
          <w:trHeight w:val="30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divId w:val="2087148387"/>
              <w:rPr>
                <w:rFonts w:eastAsia="Times New Roman"/>
              </w:rPr>
            </w:pPr>
            <w:r>
              <w:rPr>
                <w:rFonts w:eastAsia="Times New Roman"/>
                <w:color w:val="000000"/>
                <w:sz w:val="20"/>
                <w:szCs w:val="20"/>
              </w:rPr>
              <w:t>Patrice Louvet</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vMerge/>
            <w:vAlign w:val="center"/>
            <w:hideMark/>
          </w:tcPr>
          <w:p w:rsidR="00000000" w:rsidRDefault="00BB5C2D">
            <w:pPr>
              <w:spacing w:after="100"/>
              <w:rPr>
                <w:rFonts w:eastAsia="Times New Roman"/>
              </w:rPr>
            </w:pPr>
          </w:p>
        </w:tc>
        <w:tc>
          <w:tcPr>
            <w:tcW w:w="0" w:type="auto"/>
            <w:gridSpan w:val="3"/>
            <w:vMerge/>
            <w:vAlign w:val="center"/>
            <w:hideMark/>
          </w:tcPr>
          <w:p w:rsidR="00000000" w:rsidRDefault="00BB5C2D">
            <w:pPr>
              <w:spacing w:after="100"/>
              <w:rPr>
                <w:rFonts w:eastAsia="Times New Roman"/>
              </w:rPr>
            </w:pPr>
          </w:p>
        </w:tc>
        <w:tc>
          <w:tcPr>
            <w:tcW w:w="0" w:type="auto"/>
            <w:gridSpan w:val="3"/>
            <w:vMerge/>
            <w:vAlign w:val="center"/>
            <w:hideMark/>
          </w:tcPr>
          <w:p w:rsidR="00000000" w:rsidRDefault="00BB5C2D">
            <w:pPr>
              <w:spacing w:after="100"/>
              <w:rPr>
                <w:rFonts w:eastAsia="Times New Roman"/>
              </w:rPr>
            </w:pPr>
          </w:p>
        </w:tc>
      </w:tr>
      <w:tr w:rsidR="00000000">
        <w:trPr>
          <w:divId w:val="1288779918"/>
          <w:trHeight w:val="240"/>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288779918"/>
          <w:trHeight w:val="300"/>
        </w:trPr>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w:t>
            </w:r>
            <w:r>
              <w:rPr>
                <w:rFonts w:eastAsia="Times New Roman"/>
                <w:color w:val="000000"/>
                <w:sz w:val="14"/>
                <w:szCs w:val="14"/>
              </w:rPr>
              <w:t>S</w:t>
            </w:r>
            <w:r>
              <w:rPr>
                <w:rFonts w:eastAsia="Times New Roman"/>
                <w:color w:val="000000"/>
                <w:sz w:val="20"/>
                <w:szCs w:val="20"/>
              </w:rPr>
              <w:t>/    JANE HAMILTON NIELSEN</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Chief Operating Officer and Chief Financial Officer (Principal Financial and Accounting Officer)</w:t>
            </w:r>
          </w:p>
        </w:tc>
        <w:tc>
          <w:tcPr>
            <w:tcW w:w="0" w:type="auto"/>
            <w:gridSpan w:val="3"/>
            <w:vMerge w:val="restart"/>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May 24, 2022</w:t>
            </w:r>
          </w:p>
        </w:tc>
      </w:tr>
      <w:tr w:rsidR="00000000">
        <w:trPr>
          <w:divId w:val="1288779918"/>
          <w:trHeight w:val="30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divId w:val="428165313"/>
              <w:rPr>
                <w:rFonts w:eastAsia="Times New Roman"/>
              </w:rPr>
            </w:pPr>
            <w:r>
              <w:rPr>
                <w:rFonts w:eastAsia="Times New Roman"/>
                <w:color w:val="000000"/>
                <w:sz w:val="20"/>
                <w:szCs w:val="20"/>
              </w:rPr>
              <w:t>Jane Hamilton Nielsen</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vMerge/>
            <w:vAlign w:val="center"/>
            <w:hideMark/>
          </w:tcPr>
          <w:p w:rsidR="00000000" w:rsidRDefault="00BB5C2D">
            <w:pPr>
              <w:spacing w:after="100"/>
              <w:rPr>
                <w:rFonts w:eastAsia="Times New Roman"/>
              </w:rPr>
            </w:pPr>
          </w:p>
        </w:tc>
        <w:tc>
          <w:tcPr>
            <w:tcW w:w="0" w:type="auto"/>
            <w:gridSpan w:val="3"/>
            <w:vMerge/>
            <w:vAlign w:val="center"/>
            <w:hideMark/>
          </w:tcPr>
          <w:p w:rsidR="00000000" w:rsidRDefault="00BB5C2D">
            <w:pPr>
              <w:spacing w:after="100"/>
              <w:rPr>
                <w:rFonts w:eastAsia="Times New Roman"/>
              </w:rPr>
            </w:pPr>
          </w:p>
        </w:tc>
        <w:tc>
          <w:tcPr>
            <w:tcW w:w="0" w:type="auto"/>
            <w:gridSpan w:val="3"/>
            <w:vMerge/>
            <w:vAlign w:val="center"/>
            <w:hideMark/>
          </w:tcPr>
          <w:p w:rsidR="00000000" w:rsidRDefault="00BB5C2D">
            <w:pPr>
              <w:spacing w:after="100"/>
              <w:rPr>
                <w:rFonts w:eastAsia="Times New Roman"/>
              </w:rPr>
            </w:pPr>
          </w:p>
        </w:tc>
      </w:tr>
      <w:tr w:rsidR="00000000">
        <w:trPr>
          <w:divId w:val="1288779918"/>
          <w:trHeight w:val="240"/>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288779918"/>
          <w:trHeight w:val="300"/>
        </w:trPr>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/s/    DAVID LAUREN</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Vice Chairman, Chief Branding and Innovation Officer, Strategic Advisor to the CEO, and Director</w:t>
            </w:r>
          </w:p>
        </w:tc>
        <w:tc>
          <w:tcPr>
            <w:tcW w:w="0" w:type="auto"/>
            <w:gridSpan w:val="3"/>
            <w:vMerge w:val="restart"/>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May 24, 2022</w:t>
            </w:r>
          </w:p>
        </w:tc>
      </w:tr>
      <w:tr w:rsidR="00000000">
        <w:trPr>
          <w:divId w:val="1288779918"/>
          <w:trHeight w:val="30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David Lauren</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vMerge/>
            <w:vAlign w:val="center"/>
            <w:hideMark/>
          </w:tcPr>
          <w:p w:rsidR="00000000" w:rsidRDefault="00BB5C2D">
            <w:pPr>
              <w:spacing w:after="100"/>
              <w:rPr>
                <w:rFonts w:eastAsia="Times New Roman"/>
              </w:rPr>
            </w:pPr>
          </w:p>
        </w:tc>
        <w:tc>
          <w:tcPr>
            <w:tcW w:w="0" w:type="auto"/>
            <w:gridSpan w:val="3"/>
            <w:vMerge/>
            <w:vAlign w:val="center"/>
            <w:hideMark/>
          </w:tcPr>
          <w:p w:rsidR="00000000" w:rsidRDefault="00BB5C2D">
            <w:pPr>
              <w:spacing w:after="100"/>
              <w:rPr>
                <w:rFonts w:eastAsia="Times New Roman"/>
              </w:rPr>
            </w:pPr>
          </w:p>
        </w:tc>
        <w:tc>
          <w:tcPr>
            <w:tcW w:w="0" w:type="auto"/>
            <w:gridSpan w:val="3"/>
            <w:vMerge/>
            <w:vAlign w:val="center"/>
            <w:hideMark/>
          </w:tcPr>
          <w:p w:rsidR="00000000" w:rsidRDefault="00BB5C2D">
            <w:pPr>
              <w:spacing w:after="100"/>
              <w:rPr>
                <w:rFonts w:eastAsia="Times New Roman"/>
              </w:rPr>
            </w:pPr>
          </w:p>
        </w:tc>
      </w:tr>
      <w:tr w:rsidR="00000000">
        <w:trPr>
          <w:divId w:val="1288779918"/>
          <w:trHeight w:val="240"/>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288779918"/>
          <w:trHeight w:val="300"/>
        </w:trPr>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w:t>
            </w:r>
            <w:r>
              <w:rPr>
                <w:rFonts w:eastAsia="Times New Roman"/>
                <w:color w:val="000000"/>
                <w:sz w:val="14"/>
                <w:szCs w:val="14"/>
              </w:rPr>
              <w:t>S</w:t>
            </w:r>
            <w:r>
              <w:rPr>
                <w:rFonts w:eastAsia="Times New Roman"/>
                <w:color w:val="000000"/>
                <w:sz w:val="20"/>
                <w:szCs w:val="20"/>
              </w:rPr>
              <w:t>/    ANGELA AHRENDTS</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Director</w:t>
            </w:r>
          </w:p>
        </w:tc>
        <w:tc>
          <w:tcPr>
            <w:tcW w:w="0" w:type="auto"/>
            <w:gridSpan w:val="3"/>
            <w:vMerge w:val="restart"/>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May 24, 2022</w:t>
            </w:r>
          </w:p>
        </w:tc>
      </w:tr>
      <w:tr w:rsidR="00000000">
        <w:trPr>
          <w:divId w:val="1288779918"/>
          <w:trHeight w:val="30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Angela Ahrendts</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vMerge/>
            <w:vAlign w:val="center"/>
            <w:hideMark/>
          </w:tcPr>
          <w:p w:rsidR="00000000" w:rsidRDefault="00BB5C2D">
            <w:pPr>
              <w:spacing w:after="100"/>
              <w:rPr>
                <w:rFonts w:eastAsia="Times New Roman"/>
              </w:rPr>
            </w:pPr>
          </w:p>
        </w:tc>
        <w:tc>
          <w:tcPr>
            <w:tcW w:w="0" w:type="auto"/>
            <w:gridSpan w:val="3"/>
            <w:vMerge/>
            <w:vAlign w:val="center"/>
            <w:hideMark/>
          </w:tcPr>
          <w:p w:rsidR="00000000" w:rsidRDefault="00BB5C2D">
            <w:pPr>
              <w:spacing w:after="100"/>
              <w:rPr>
                <w:rFonts w:eastAsia="Times New Roman"/>
              </w:rPr>
            </w:pPr>
          </w:p>
        </w:tc>
        <w:tc>
          <w:tcPr>
            <w:tcW w:w="0" w:type="auto"/>
            <w:gridSpan w:val="3"/>
            <w:vMerge/>
            <w:vAlign w:val="center"/>
            <w:hideMark/>
          </w:tcPr>
          <w:p w:rsidR="00000000" w:rsidRDefault="00BB5C2D">
            <w:pPr>
              <w:spacing w:after="100"/>
              <w:rPr>
                <w:rFonts w:eastAsia="Times New Roman"/>
              </w:rPr>
            </w:pPr>
          </w:p>
        </w:tc>
      </w:tr>
      <w:tr w:rsidR="00000000">
        <w:trPr>
          <w:divId w:val="1288779918"/>
          <w:trHeight w:val="240"/>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288779918"/>
          <w:trHeight w:val="300"/>
        </w:trPr>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w:t>
            </w:r>
            <w:r>
              <w:rPr>
                <w:rFonts w:eastAsia="Times New Roman"/>
                <w:color w:val="000000"/>
                <w:sz w:val="14"/>
                <w:szCs w:val="14"/>
              </w:rPr>
              <w:t>S</w:t>
            </w:r>
            <w:r>
              <w:rPr>
                <w:rFonts w:eastAsia="Times New Roman"/>
                <w:color w:val="000000"/>
                <w:sz w:val="20"/>
                <w:szCs w:val="20"/>
              </w:rPr>
              <w:t>/    JOHN R. ALCHIN</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Director</w:t>
            </w:r>
          </w:p>
        </w:tc>
        <w:tc>
          <w:tcPr>
            <w:tcW w:w="0" w:type="auto"/>
            <w:gridSpan w:val="3"/>
            <w:vMerge w:val="restart"/>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May 24, 2022</w:t>
            </w:r>
          </w:p>
        </w:tc>
      </w:tr>
      <w:tr w:rsidR="00000000">
        <w:trPr>
          <w:divId w:val="1288779918"/>
          <w:trHeight w:val="30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John R. Alchin</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vMerge/>
            <w:vAlign w:val="center"/>
            <w:hideMark/>
          </w:tcPr>
          <w:p w:rsidR="00000000" w:rsidRDefault="00BB5C2D">
            <w:pPr>
              <w:spacing w:after="100"/>
              <w:rPr>
                <w:rFonts w:eastAsia="Times New Roman"/>
              </w:rPr>
            </w:pPr>
          </w:p>
        </w:tc>
        <w:tc>
          <w:tcPr>
            <w:tcW w:w="0" w:type="auto"/>
            <w:gridSpan w:val="3"/>
            <w:vMerge/>
            <w:vAlign w:val="center"/>
            <w:hideMark/>
          </w:tcPr>
          <w:p w:rsidR="00000000" w:rsidRDefault="00BB5C2D">
            <w:pPr>
              <w:spacing w:after="100"/>
              <w:rPr>
                <w:rFonts w:eastAsia="Times New Roman"/>
              </w:rPr>
            </w:pPr>
          </w:p>
        </w:tc>
        <w:tc>
          <w:tcPr>
            <w:tcW w:w="0" w:type="auto"/>
            <w:gridSpan w:val="3"/>
            <w:vMerge/>
            <w:vAlign w:val="center"/>
            <w:hideMark/>
          </w:tcPr>
          <w:p w:rsidR="00000000" w:rsidRDefault="00BB5C2D">
            <w:pPr>
              <w:spacing w:after="100"/>
              <w:rPr>
                <w:rFonts w:eastAsia="Times New Roman"/>
              </w:rPr>
            </w:pPr>
          </w:p>
        </w:tc>
      </w:tr>
      <w:tr w:rsidR="00000000">
        <w:trPr>
          <w:divId w:val="1288779918"/>
          <w:trHeight w:val="240"/>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288779918"/>
          <w:trHeight w:val="300"/>
        </w:trPr>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w:t>
            </w:r>
            <w:r>
              <w:rPr>
                <w:rFonts w:eastAsia="Times New Roman"/>
                <w:color w:val="000000"/>
                <w:sz w:val="14"/>
                <w:szCs w:val="14"/>
              </w:rPr>
              <w:t>S</w:t>
            </w:r>
            <w:r>
              <w:rPr>
                <w:rFonts w:eastAsia="Times New Roman"/>
                <w:color w:val="000000"/>
                <w:sz w:val="20"/>
                <w:szCs w:val="20"/>
              </w:rPr>
              <w:t>/    FRANK A. BENNACK, JR.</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Director</w:t>
            </w:r>
          </w:p>
        </w:tc>
        <w:tc>
          <w:tcPr>
            <w:tcW w:w="0" w:type="auto"/>
            <w:gridSpan w:val="3"/>
            <w:vMerge w:val="restart"/>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May 24, 2022</w:t>
            </w:r>
          </w:p>
        </w:tc>
      </w:tr>
      <w:tr w:rsidR="00000000">
        <w:trPr>
          <w:divId w:val="1288779918"/>
          <w:trHeight w:val="30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Frank A. Bennack, Jr.</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vMerge/>
            <w:vAlign w:val="center"/>
            <w:hideMark/>
          </w:tcPr>
          <w:p w:rsidR="00000000" w:rsidRDefault="00BB5C2D">
            <w:pPr>
              <w:spacing w:after="100"/>
              <w:rPr>
                <w:rFonts w:eastAsia="Times New Roman"/>
              </w:rPr>
            </w:pPr>
          </w:p>
        </w:tc>
        <w:tc>
          <w:tcPr>
            <w:tcW w:w="0" w:type="auto"/>
            <w:gridSpan w:val="3"/>
            <w:vMerge/>
            <w:vAlign w:val="center"/>
            <w:hideMark/>
          </w:tcPr>
          <w:p w:rsidR="00000000" w:rsidRDefault="00BB5C2D">
            <w:pPr>
              <w:spacing w:after="100"/>
              <w:rPr>
                <w:rFonts w:eastAsia="Times New Roman"/>
              </w:rPr>
            </w:pPr>
          </w:p>
        </w:tc>
        <w:tc>
          <w:tcPr>
            <w:tcW w:w="0" w:type="auto"/>
            <w:gridSpan w:val="3"/>
            <w:vMerge/>
            <w:vAlign w:val="center"/>
            <w:hideMark/>
          </w:tcPr>
          <w:p w:rsidR="00000000" w:rsidRDefault="00BB5C2D">
            <w:pPr>
              <w:spacing w:after="100"/>
              <w:rPr>
                <w:rFonts w:eastAsia="Times New Roman"/>
              </w:rPr>
            </w:pPr>
          </w:p>
        </w:tc>
      </w:tr>
      <w:tr w:rsidR="00000000">
        <w:trPr>
          <w:divId w:val="1288779918"/>
          <w:trHeight w:val="240"/>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288779918"/>
          <w:trHeight w:val="300"/>
        </w:trPr>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/s/    </w:t>
            </w:r>
            <w:r>
              <w:rPr>
                <w:rFonts w:eastAsia="Times New Roman"/>
                <w:color w:val="000000"/>
                <w:sz w:val="20"/>
                <w:szCs w:val="20"/>
              </w:rPr>
              <w:t>LINDA FINDLEY</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Director</w:t>
            </w:r>
          </w:p>
        </w:tc>
        <w:tc>
          <w:tcPr>
            <w:tcW w:w="0" w:type="auto"/>
            <w:gridSpan w:val="3"/>
            <w:vMerge w:val="restart"/>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May 24, 2022</w:t>
            </w:r>
          </w:p>
        </w:tc>
      </w:tr>
      <w:tr w:rsidR="00000000">
        <w:trPr>
          <w:divId w:val="1288779918"/>
          <w:trHeight w:val="30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Linda Findley</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vMerge/>
            <w:vAlign w:val="center"/>
            <w:hideMark/>
          </w:tcPr>
          <w:p w:rsidR="00000000" w:rsidRDefault="00BB5C2D">
            <w:pPr>
              <w:spacing w:after="100"/>
              <w:rPr>
                <w:rFonts w:eastAsia="Times New Roman"/>
              </w:rPr>
            </w:pPr>
          </w:p>
        </w:tc>
        <w:tc>
          <w:tcPr>
            <w:tcW w:w="0" w:type="auto"/>
            <w:gridSpan w:val="3"/>
            <w:vMerge/>
            <w:vAlign w:val="center"/>
            <w:hideMark/>
          </w:tcPr>
          <w:p w:rsidR="00000000" w:rsidRDefault="00BB5C2D">
            <w:pPr>
              <w:spacing w:after="100"/>
              <w:rPr>
                <w:rFonts w:eastAsia="Times New Roman"/>
              </w:rPr>
            </w:pPr>
          </w:p>
        </w:tc>
        <w:tc>
          <w:tcPr>
            <w:tcW w:w="0" w:type="auto"/>
            <w:gridSpan w:val="3"/>
            <w:vMerge/>
            <w:vAlign w:val="center"/>
            <w:hideMark/>
          </w:tcPr>
          <w:p w:rsidR="00000000" w:rsidRDefault="00BB5C2D">
            <w:pPr>
              <w:spacing w:after="100"/>
              <w:rPr>
                <w:rFonts w:eastAsia="Times New Roman"/>
              </w:rPr>
            </w:pPr>
          </w:p>
        </w:tc>
      </w:tr>
      <w:tr w:rsidR="00000000">
        <w:trPr>
          <w:divId w:val="1288779918"/>
          <w:trHeight w:val="300"/>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288779918"/>
          <w:trHeight w:val="300"/>
        </w:trPr>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/s/    MICHAEL A. GEORGE</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May 24, 2022</w:t>
            </w:r>
          </w:p>
        </w:tc>
      </w:tr>
      <w:tr w:rsidR="00000000">
        <w:trPr>
          <w:divId w:val="1288779918"/>
          <w:trHeight w:val="30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Michael A. George</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vMerge/>
            <w:vAlign w:val="center"/>
            <w:hideMark/>
          </w:tcPr>
          <w:p w:rsidR="00000000" w:rsidRDefault="00BB5C2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vMerge/>
            <w:vAlign w:val="center"/>
            <w:hideMark/>
          </w:tcPr>
          <w:p w:rsidR="00000000" w:rsidRDefault="00BB5C2D">
            <w:pPr>
              <w:spacing w:after="100"/>
              <w:rPr>
                <w:rFonts w:eastAsia="Times New Roman"/>
              </w:rPr>
            </w:pPr>
          </w:p>
        </w:tc>
      </w:tr>
      <w:tr w:rsidR="00000000">
        <w:trPr>
          <w:divId w:val="1288779918"/>
          <w:trHeight w:val="300"/>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288779918"/>
          <w:trHeight w:val="300"/>
        </w:trPr>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w:t>
            </w:r>
            <w:r>
              <w:rPr>
                <w:rFonts w:eastAsia="Times New Roman"/>
                <w:color w:val="000000"/>
                <w:sz w:val="14"/>
                <w:szCs w:val="14"/>
              </w:rPr>
              <w:t>S</w:t>
            </w:r>
            <w:r>
              <w:rPr>
                <w:rFonts w:eastAsia="Times New Roman"/>
                <w:color w:val="000000"/>
                <w:sz w:val="20"/>
                <w:szCs w:val="20"/>
              </w:rPr>
              <w:t>/    VALERIE JARRETT</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May 24, 2022</w:t>
            </w:r>
          </w:p>
        </w:tc>
      </w:tr>
      <w:tr w:rsidR="00000000">
        <w:trPr>
          <w:divId w:val="1288779918"/>
          <w:trHeight w:val="30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Valerie Jarrett</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vMerge/>
            <w:vAlign w:val="center"/>
            <w:hideMark/>
          </w:tcPr>
          <w:p w:rsidR="00000000" w:rsidRDefault="00BB5C2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vMerge/>
            <w:vAlign w:val="center"/>
            <w:hideMark/>
          </w:tcPr>
          <w:p w:rsidR="00000000" w:rsidRDefault="00BB5C2D">
            <w:pPr>
              <w:spacing w:after="100"/>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trPr>
          <w:jc w:val="center"/>
        </w:trPr>
        <w:tc>
          <w:tcPr>
            <w:tcW w:w="50" w:type="pct"/>
            <w:vAlign w:val="center"/>
            <w:hideMark/>
          </w:tcPr>
          <w:p w:rsidR="00000000" w:rsidRDefault="00BB5C2D">
            <w:pPr>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83</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11" style="width:0;height:1.5pt" o:hralign="center" o:hrstd="t" o:hr="t" fillcolor="#a0a0a0" stroked="f"/>
        </w:pict>
      </w:r>
    </w:p>
    <w:p w:rsidR="00000000" w:rsidRDefault="00BB5C2D">
      <w:pPr>
        <w:divId w:val="1402871979"/>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58"/>
        <w:gridCol w:w="2714"/>
        <w:gridCol w:w="36"/>
        <w:gridCol w:w="36"/>
        <w:gridCol w:w="116"/>
        <w:gridCol w:w="36"/>
        <w:gridCol w:w="58"/>
        <w:gridCol w:w="3394"/>
        <w:gridCol w:w="36"/>
        <w:gridCol w:w="36"/>
        <w:gridCol w:w="117"/>
        <w:gridCol w:w="36"/>
        <w:gridCol w:w="59"/>
        <w:gridCol w:w="1501"/>
        <w:gridCol w:w="36"/>
      </w:tblGrid>
      <w:tr w:rsidR="00000000">
        <w:trPr>
          <w:divId w:val="1874423490"/>
        </w:trPr>
        <w:tc>
          <w:tcPr>
            <w:tcW w:w="50" w:type="pct"/>
            <w:vAlign w:val="center"/>
            <w:hideMark/>
          </w:tcPr>
          <w:p w:rsidR="00000000" w:rsidRDefault="00BB5C2D">
            <w:pPr>
              <w:rPr>
                <w:rFonts w:eastAsia="Times New Roman"/>
              </w:rPr>
            </w:pPr>
          </w:p>
        </w:tc>
        <w:tc>
          <w:tcPr>
            <w:tcW w:w="165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8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206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8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921"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874423490"/>
        </w:trPr>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20"/>
                <w:szCs w:val="20"/>
                <w:u w:val="single"/>
              </w:rPr>
              <w:t>Signature</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20"/>
                <w:szCs w:val="20"/>
                <w:u w:val="single"/>
              </w:rPr>
              <w:t>Title</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20"/>
                <w:szCs w:val="20"/>
                <w:u w:val="single"/>
              </w:rPr>
              <w:t>Date</w:t>
            </w:r>
          </w:p>
        </w:tc>
      </w:tr>
      <w:tr w:rsidR="00000000">
        <w:trPr>
          <w:divId w:val="1874423490"/>
          <w:trHeight w:val="240"/>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874423490"/>
          <w:trHeight w:val="300"/>
        </w:trPr>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w:t>
            </w:r>
            <w:r>
              <w:rPr>
                <w:rFonts w:eastAsia="Times New Roman"/>
                <w:color w:val="000000"/>
                <w:sz w:val="14"/>
                <w:szCs w:val="14"/>
              </w:rPr>
              <w:t>S</w:t>
            </w:r>
            <w:r>
              <w:rPr>
                <w:rFonts w:eastAsia="Times New Roman"/>
                <w:color w:val="000000"/>
                <w:sz w:val="20"/>
                <w:szCs w:val="20"/>
              </w:rPr>
              <w:t>/    HUBERT JOLY</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Director</w:t>
            </w:r>
          </w:p>
        </w:tc>
        <w:tc>
          <w:tcPr>
            <w:tcW w:w="0" w:type="auto"/>
            <w:gridSpan w:val="3"/>
            <w:vMerge w:val="restart"/>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May 24, 2022</w:t>
            </w:r>
          </w:p>
        </w:tc>
      </w:tr>
      <w:tr w:rsidR="00000000">
        <w:trPr>
          <w:divId w:val="1874423490"/>
          <w:trHeight w:val="30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Hubert Joly</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vMerge/>
            <w:vAlign w:val="center"/>
            <w:hideMark/>
          </w:tcPr>
          <w:p w:rsidR="00000000" w:rsidRDefault="00BB5C2D">
            <w:pPr>
              <w:spacing w:after="100"/>
              <w:rPr>
                <w:rFonts w:eastAsia="Times New Roman"/>
              </w:rPr>
            </w:pPr>
          </w:p>
        </w:tc>
        <w:tc>
          <w:tcPr>
            <w:tcW w:w="0" w:type="auto"/>
            <w:gridSpan w:val="3"/>
            <w:vMerge/>
            <w:vAlign w:val="center"/>
            <w:hideMark/>
          </w:tcPr>
          <w:p w:rsidR="00000000" w:rsidRDefault="00BB5C2D">
            <w:pPr>
              <w:spacing w:after="100"/>
              <w:rPr>
                <w:rFonts w:eastAsia="Times New Roman"/>
              </w:rPr>
            </w:pPr>
          </w:p>
        </w:tc>
        <w:tc>
          <w:tcPr>
            <w:tcW w:w="0" w:type="auto"/>
            <w:gridSpan w:val="3"/>
            <w:vMerge/>
            <w:vAlign w:val="center"/>
            <w:hideMark/>
          </w:tcPr>
          <w:p w:rsidR="00000000" w:rsidRDefault="00BB5C2D">
            <w:pPr>
              <w:spacing w:after="100"/>
              <w:rPr>
                <w:rFonts w:eastAsia="Times New Roman"/>
              </w:rPr>
            </w:pPr>
          </w:p>
        </w:tc>
      </w:tr>
      <w:tr w:rsidR="00000000">
        <w:trPr>
          <w:divId w:val="1874423490"/>
          <w:trHeight w:val="240"/>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874423490"/>
          <w:trHeight w:val="300"/>
        </w:trPr>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w:t>
            </w:r>
            <w:r>
              <w:rPr>
                <w:rFonts w:eastAsia="Times New Roman"/>
                <w:color w:val="000000"/>
                <w:sz w:val="14"/>
                <w:szCs w:val="14"/>
              </w:rPr>
              <w:t>S</w:t>
            </w:r>
            <w:r>
              <w:rPr>
                <w:rFonts w:eastAsia="Times New Roman"/>
                <w:color w:val="000000"/>
                <w:sz w:val="20"/>
                <w:szCs w:val="20"/>
              </w:rPr>
              <w:t>/    JUDITH MCHALE</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Director</w:t>
            </w:r>
          </w:p>
        </w:tc>
        <w:tc>
          <w:tcPr>
            <w:tcW w:w="0" w:type="auto"/>
            <w:gridSpan w:val="3"/>
            <w:vMerge w:val="restart"/>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May 24, 2022</w:t>
            </w:r>
          </w:p>
        </w:tc>
      </w:tr>
      <w:tr w:rsidR="00000000">
        <w:trPr>
          <w:divId w:val="1874423490"/>
          <w:trHeight w:val="30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Judith McHale</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vMerge/>
            <w:vAlign w:val="center"/>
            <w:hideMark/>
          </w:tcPr>
          <w:p w:rsidR="00000000" w:rsidRDefault="00BB5C2D">
            <w:pPr>
              <w:spacing w:after="100"/>
              <w:rPr>
                <w:rFonts w:eastAsia="Times New Roman"/>
              </w:rPr>
            </w:pPr>
          </w:p>
        </w:tc>
        <w:tc>
          <w:tcPr>
            <w:tcW w:w="0" w:type="auto"/>
            <w:gridSpan w:val="3"/>
            <w:vMerge/>
            <w:vAlign w:val="center"/>
            <w:hideMark/>
          </w:tcPr>
          <w:p w:rsidR="00000000" w:rsidRDefault="00BB5C2D">
            <w:pPr>
              <w:spacing w:after="100"/>
              <w:rPr>
                <w:rFonts w:eastAsia="Times New Roman"/>
              </w:rPr>
            </w:pPr>
          </w:p>
        </w:tc>
        <w:tc>
          <w:tcPr>
            <w:tcW w:w="0" w:type="auto"/>
            <w:gridSpan w:val="3"/>
            <w:vMerge/>
            <w:vAlign w:val="center"/>
            <w:hideMark/>
          </w:tcPr>
          <w:p w:rsidR="00000000" w:rsidRDefault="00BB5C2D">
            <w:pPr>
              <w:spacing w:after="100"/>
              <w:rPr>
                <w:rFonts w:eastAsia="Times New Roman"/>
              </w:rPr>
            </w:pPr>
          </w:p>
        </w:tc>
      </w:tr>
      <w:tr w:rsidR="00000000">
        <w:trPr>
          <w:divId w:val="1874423490"/>
          <w:trHeight w:val="240"/>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874423490"/>
          <w:trHeight w:val="300"/>
        </w:trPr>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w:t>
            </w:r>
            <w:r>
              <w:rPr>
                <w:rFonts w:eastAsia="Times New Roman"/>
                <w:color w:val="000000"/>
                <w:sz w:val="14"/>
                <w:szCs w:val="14"/>
              </w:rPr>
              <w:t>S</w:t>
            </w:r>
            <w:r>
              <w:rPr>
                <w:rFonts w:eastAsia="Times New Roman"/>
                <w:color w:val="000000"/>
                <w:sz w:val="20"/>
                <w:szCs w:val="20"/>
              </w:rPr>
              <w:t>/    DARREN WALKER</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20"/>
                <w:szCs w:val="20"/>
              </w:rPr>
              <w:t>Director</w:t>
            </w:r>
          </w:p>
        </w:tc>
        <w:tc>
          <w:tcPr>
            <w:tcW w:w="0" w:type="auto"/>
            <w:gridSpan w:val="3"/>
            <w:vMerge w:val="restart"/>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color w:val="000000"/>
                <w:sz w:val="20"/>
                <w:szCs w:val="20"/>
              </w:rPr>
              <w:t>May 24, 2022</w:t>
            </w:r>
          </w:p>
        </w:tc>
      </w:tr>
      <w:tr w:rsidR="00000000">
        <w:trPr>
          <w:divId w:val="1874423490"/>
          <w:trHeight w:val="30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Darren Walker</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vMerge/>
            <w:vAlign w:val="center"/>
            <w:hideMark/>
          </w:tcPr>
          <w:p w:rsidR="00000000" w:rsidRDefault="00BB5C2D">
            <w:pPr>
              <w:spacing w:after="100"/>
              <w:rPr>
                <w:rFonts w:eastAsia="Times New Roman"/>
              </w:rPr>
            </w:pPr>
          </w:p>
        </w:tc>
        <w:tc>
          <w:tcPr>
            <w:tcW w:w="0" w:type="auto"/>
            <w:gridSpan w:val="3"/>
            <w:vMerge/>
            <w:vAlign w:val="center"/>
            <w:hideMark/>
          </w:tcPr>
          <w:p w:rsidR="00000000" w:rsidRDefault="00BB5C2D">
            <w:pPr>
              <w:spacing w:after="100"/>
              <w:rPr>
                <w:rFonts w:eastAsia="Times New Roman"/>
              </w:rPr>
            </w:pPr>
          </w:p>
        </w:tc>
        <w:tc>
          <w:tcPr>
            <w:tcW w:w="0" w:type="auto"/>
            <w:gridSpan w:val="3"/>
            <w:vMerge/>
            <w:vAlign w:val="center"/>
            <w:hideMark/>
          </w:tcPr>
          <w:p w:rsidR="00000000" w:rsidRDefault="00BB5C2D">
            <w:pPr>
              <w:spacing w:after="100"/>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trPr>
          <w:jc w:val="center"/>
        </w:trPr>
        <w:tc>
          <w:tcPr>
            <w:tcW w:w="50" w:type="pct"/>
            <w:vAlign w:val="center"/>
            <w:hideMark/>
          </w:tcPr>
          <w:p w:rsidR="00000000" w:rsidRDefault="00BB5C2D">
            <w:pPr>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84</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12" style="width:0;height:1.5pt" o:hralign="center" o:hrstd="t" o:hr="t" fillcolor="#a0a0a0" stroked="f"/>
        </w:pict>
      </w:r>
    </w:p>
    <w:p w:rsidR="00000000" w:rsidRDefault="00BB5C2D">
      <w:pPr>
        <w:divId w:val="1586920855"/>
        <w:rPr>
          <w:rFonts w:eastAsia="Times New Roman"/>
        </w:rPr>
      </w:pPr>
    </w:p>
    <w:p w:rsidR="00000000" w:rsidRDefault="00BB5C2D">
      <w:pPr>
        <w:jc w:val="center"/>
        <w:rPr>
          <w:rFonts w:eastAsia="Times New Roman"/>
        </w:rPr>
      </w:pPr>
      <w:r>
        <w:rPr>
          <w:rFonts w:eastAsia="Times New Roman"/>
          <w:b/>
          <w:bCs/>
          <w:color w:val="000000"/>
          <w:sz w:val="20"/>
          <w:szCs w:val="20"/>
        </w:rPr>
        <w:t>RALPH LAUREN CORPORATION</w:t>
      </w:r>
    </w:p>
    <w:p w:rsidR="00000000" w:rsidRDefault="00BB5C2D">
      <w:pPr>
        <w:jc w:val="center"/>
        <w:divId w:val="973363278"/>
        <w:rPr>
          <w:rFonts w:eastAsia="Times New Roman"/>
        </w:rPr>
      </w:pPr>
      <w:r>
        <w:rPr>
          <w:rFonts w:eastAsia="Times New Roman"/>
          <w:b/>
          <w:bCs/>
          <w:color w:val="000000"/>
          <w:sz w:val="20"/>
          <w:szCs w:val="20"/>
        </w:rPr>
        <w:t>INDEX TO CONSOLIDATED FINANCIAL STATEMENTS</w:t>
      </w:r>
    </w:p>
    <w:p w:rsidR="00000000" w:rsidRDefault="00BB5C2D">
      <w:pPr>
        <w:jc w:val="center"/>
        <w:rPr>
          <w:rFonts w:eastAsia="Times New Roman"/>
        </w:rPr>
      </w:pPr>
      <w:r>
        <w:rPr>
          <w:rFonts w:eastAsia="Times New Roman"/>
          <w:color w:val="000000"/>
          <w:sz w:val="18"/>
          <w:szCs w:val="18"/>
        </w:rPr>
        <w:t> </w:t>
      </w:r>
    </w:p>
    <w:tbl>
      <w:tblPr>
        <w:tblW w:w="4992" w:type="pct"/>
        <w:jc w:val="center"/>
        <w:tblCellMar>
          <w:top w:w="15" w:type="dxa"/>
          <w:left w:w="15" w:type="dxa"/>
          <w:bottom w:w="15" w:type="dxa"/>
          <w:right w:w="15" w:type="dxa"/>
        </w:tblCellMar>
        <w:tblLook w:val="04A0" w:firstRow="1" w:lastRow="0" w:firstColumn="1" w:lastColumn="0" w:noHBand="0" w:noVBand="1"/>
      </w:tblPr>
      <w:tblGrid>
        <w:gridCol w:w="68"/>
        <w:gridCol w:w="718"/>
        <w:gridCol w:w="38"/>
        <w:gridCol w:w="69"/>
        <w:gridCol w:w="6149"/>
        <w:gridCol w:w="37"/>
        <w:gridCol w:w="69"/>
        <w:gridCol w:w="1109"/>
        <w:gridCol w:w="36"/>
      </w:tblGrid>
      <w:tr w:rsidR="00000000">
        <w:trPr>
          <w:jc w:val="center"/>
        </w:trPr>
        <w:tc>
          <w:tcPr>
            <w:tcW w:w="50" w:type="pct"/>
            <w:vAlign w:val="center"/>
            <w:hideMark/>
          </w:tcPr>
          <w:p w:rsidR="00000000" w:rsidRDefault="00BB5C2D">
            <w:pPr>
              <w:jc w:val="center"/>
              <w:rPr>
                <w:rFonts w:eastAsia="Times New Roman"/>
              </w:rPr>
            </w:pPr>
          </w:p>
        </w:tc>
        <w:tc>
          <w:tcPr>
            <w:tcW w:w="44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371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67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jc w:val="center"/>
        </w:trPr>
        <w:tc>
          <w:tcPr>
            <w:tcW w:w="0" w:type="auto"/>
            <w:gridSpan w:val="6"/>
            <w:tcMar>
              <w:top w:w="30" w:type="dxa"/>
              <w:left w:w="20" w:type="dxa"/>
              <w:bottom w:w="30" w:type="dxa"/>
              <w:right w:w="20" w:type="dxa"/>
            </w:tcMar>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Page</w:t>
            </w:r>
          </w:p>
        </w:tc>
      </w:tr>
      <w:tr w:rsidR="00000000">
        <w:trPr>
          <w:jc w:val="center"/>
        </w:trPr>
        <w:tc>
          <w:tcPr>
            <w:tcW w:w="0" w:type="auto"/>
            <w:gridSpan w:val="6"/>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Consolidated Financial Statements: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rPr>
            </w:pPr>
          </w:p>
        </w:tc>
      </w:tr>
      <w:tr w:rsidR="00000000">
        <w:trPr>
          <w:jc w:val="center"/>
        </w:trPr>
        <w:tc>
          <w:tcPr>
            <w:tcW w:w="0" w:type="auto"/>
            <w:gridSpan w:val="6"/>
            <w:tcMar>
              <w:top w:w="30" w:type="dxa"/>
              <w:left w:w="20" w:type="dxa"/>
              <w:bottom w:w="30" w:type="dxa"/>
              <w:right w:w="20" w:type="dxa"/>
            </w:tcMar>
            <w:vAlign w:val="bottom"/>
            <w:hideMark/>
          </w:tcPr>
          <w:p w:rsidR="00000000" w:rsidRDefault="00BB5C2D">
            <w:pPr>
              <w:spacing w:after="100"/>
              <w:divId w:val="1012343619"/>
              <w:rPr>
                <w:rFonts w:eastAsia="Times New Roman"/>
              </w:rPr>
            </w:pPr>
            <w:hyperlink w:anchor="i500ae552570a41b3bd85adecd06bbcd8_175" w:history="1">
              <w:r>
                <w:rPr>
                  <w:rStyle w:val="a3"/>
                  <w:rFonts w:eastAsia="Times New Roman"/>
                  <w:sz w:val="20"/>
                  <w:szCs w:val="20"/>
                </w:rPr>
                <w:t>Consolidated Balance Sheets</w:t>
              </w:r>
            </w:hyperlink>
          </w:p>
        </w:tc>
        <w:tc>
          <w:tcPr>
            <w:tcW w:w="0" w:type="auto"/>
            <w:gridSpan w:val="3"/>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FF"/>
                <w:sz w:val="20"/>
                <w:szCs w:val="20"/>
                <w:u w:val="single"/>
              </w:rPr>
              <w:t>F-</w:t>
            </w:r>
            <w:hyperlink w:anchor="i500ae552570a41b3bd85adecd06bbcd8_175" w:history="1">
              <w:r>
                <w:rPr>
                  <w:rStyle w:val="a3"/>
                  <w:rFonts w:eastAsia="Times New Roman"/>
                  <w:sz w:val="20"/>
                  <w:szCs w:val="20"/>
                </w:rPr>
                <w:t>2</w:t>
              </w:r>
            </w:hyperlink>
          </w:p>
        </w:tc>
      </w:tr>
      <w:tr w:rsidR="00000000">
        <w:trPr>
          <w:jc w:val="center"/>
        </w:trPr>
        <w:tc>
          <w:tcPr>
            <w:tcW w:w="0" w:type="auto"/>
            <w:gridSpan w:val="6"/>
            <w:tcMar>
              <w:top w:w="30" w:type="dxa"/>
              <w:left w:w="20" w:type="dxa"/>
              <w:bottom w:w="30" w:type="dxa"/>
              <w:right w:w="20" w:type="dxa"/>
            </w:tcMar>
            <w:vAlign w:val="bottom"/>
            <w:hideMark/>
          </w:tcPr>
          <w:p w:rsidR="00000000" w:rsidRDefault="00BB5C2D">
            <w:pPr>
              <w:spacing w:after="100"/>
              <w:divId w:val="1168207313"/>
              <w:rPr>
                <w:rFonts w:eastAsia="Times New Roman"/>
              </w:rPr>
            </w:pPr>
            <w:hyperlink w:anchor="i500ae552570a41b3bd85adecd06bbcd8_178" w:history="1">
              <w:r>
                <w:rPr>
                  <w:rStyle w:val="a3"/>
                  <w:rFonts w:eastAsia="Times New Roman"/>
                  <w:sz w:val="20"/>
                  <w:szCs w:val="20"/>
                </w:rPr>
                <w:t>Consolidated Statements of Operation</w:t>
              </w:r>
              <w:r>
                <w:rPr>
                  <w:rStyle w:val="a3"/>
                  <w:rFonts w:eastAsia="Times New Roman"/>
                  <w:sz w:val="20"/>
                  <w:szCs w:val="20"/>
                </w:rPr>
                <w:t>s</w:t>
              </w:r>
            </w:hyperlink>
          </w:p>
        </w:tc>
        <w:tc>
          <w:tcPr>
            <w:tcW w:w="0" w:type="auto"/>
            <w:gridSpan w:val="3"/>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FF"/>
                <w:sz w:val="20"/>
                <w:szCs w:val="20"/>
                <w:u w:val="single"/>
              </w:rPr>
              <w:t>F-</w:t>
            </w:r>
            <w:hyperlink w:anchor="i500ae552570a41b3bd85adecd06bbcd8_178" w:history="1">
              <w:r>
                <w:rPr>
                  <w:rStyle w:val="a3"/>
                  <w:rFonts w:eastAsia="Times New Roman"/>
                  <w:sz w:val="20"/>
                  <w:szCs w:val="20"/>
                </w:rPr>
                <w:t>3</w:t>
              </w:r>
            </w:hyperlink>
          </w:p>
        </w:tc>
      </w:tr>
      <w:tr w:rsidR="00000000">
        <w:trPr>
          <w:jc w:val="center"/>
        </w:trPr>
        <w:tc>
          <w:tcPr>
            <w:tcW w:w="0" w:type="auto"/>
            <w:gridSpan w:val="6"/>
            <w:tcMar>
              <w:top w:w="30" w:type="dxa"/>
              <w:left w:w="20" w:type="dxa"/>
              <w:bottom w:w="30" w:type="dxa"/>
              <w:right w:w="20" w:type="dxa"/>
            </w:tcMar>
            <w:vAlign w:val="bottom"/>
            <w:hideMark/>
          </w:tcPr>
          <w:p w:rsidR="00000000" w:rsidRDefault="00BB5C2D">
            <w:pPr>
              <w:spacing w:after="100"/>
              <w:divId w:val="496269817"/>
              <w:rPr>
                <w:rFonts w:eastAsia="Times New Roman"/>
              </w:rPr>
            </w:pPr>
            <w:hyperlink w:anchor="i500ae552570a41b3bd85adecd06bbcd8_184" w:history="1">
              <w:r>
                <w:rPr>
                  <w:rStyle w:val="a3"/>
                  <w:rFonts w:eastAsia="Times New Roman"/>
                  <w:sz w:val="20"/>
                  <w:szCs w:val="20"/>
                </w:rPr>
                <w:t>Consolidated Statements of Comprehensive Income (Loss)</w:t>
              </w:r>
            </w:hyperlink>
          </w:p>
        </w:tc>
        <w:tc>
          <w:tcPr>
            <w:tcW w:w="0" w:type="auto"/>
            <w:gridSpan w:val="3"/>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FF"/>
                <w:sz w:val="20"/>
                <w:szCs w:val="20"/>
                <w:u w:val="single"/>
              </w:rPr>
              <w:t>F-</w:t>
            </w:r>
            <w:hyperlink w:anchor="i500ae552570a41b3bd85adecd06bbcd8_184" w:history="1">
              <w:r>
                <w:rPr>
                  <w:rStyle w:val="a3"/>
                  <w:rFonts w:eastAsia="Times New Roman"/>
                  <w:sz w:val="20"/>
                  <w:szCs w:val="20"/>
                </w:rPr>
                <w:t>4</w:t>
              </w:r>
            </w:hyperlink>
          </w:p>
        </w:tc>
      </w:tr>
      <w:tr w:rsidR="00000000">
        <w:trPr>
          <w:jc w:val="center"/>
        </w:trPr>
        <w:tc>
          <w:tcPr>
            <w:tcW w:w="0" w:type="auto"/>
            <w:gridSpan w:val="6"/>
            <w:tcMar>
              <w:top w:w="30" w:type="dxa"/>
              <w:left w:w="20" w:type="dxa"/>
              <w:bottom w:w="30" w:type="dxa"/>
              <w:right w:w="20" w:type="dxa"/>
            </w:tcMar>
            <w:vAlign w:val="bottom"/>
            <w:hideMark/>
          </w:tcPr>
          <w:p w:rsidR="00000000" w:rsidRDefault="00BB5C2D">
            <w:pPr>
              <w:spacing w:after="100"/>
              <w:divId w:val="1759055479"/>
              <w:rPr>
                <w:rFonts w:eastAsia="Times New Roman"/>
              </w:rPr>
            </w:pPr>
            <w:hyperlink w:anchor="i500ae552570a41b3bd85adecd06bbcd8_187" w:history="1">
              <w:r>
                <w:rPr>
                  <w:rStyle w:val="a3"/>
                  <w:rFonts w:eastAsia="Times New Roman"/>
                  <w:sz w:val="20"/>
                  <w:szCs w:val="20"/>
                </w:rPr>
                <w:t>Consolidated Statements of Cash Flows</w:t>
              </w:r>
            </w:hyperlink>
          </w:p>
        </w:tc>
        <w:tc>
          <w:tcPr>
            <w:tcW w:w="0" w:type="auto"/>
            <w:gridSpan w:val="3"/>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FF"/>
                <w:sz w:val="20"/>
                <w:szCs w:val="20"/>
                <w:u w:val="single"/>
              </w:rPr>
              <w:t>F-</w:t>
            </w:r>
            <w:hyperlink w:anchor="i500ae552570a41b3bd85adecd06bbcd8_187" w:history="1">
              <w:r>
                <w:rPr>
                  <w:rStyle w:val="a3"/>
                  <w:rFonts w:eastAsia="Times New Roman"/>
                  <w:sz w:val="20"/>
                  <w:szCs w:val="20"/>
                </w:rPr>
                <w:t>5</w:t>
              </w:r>
            </w:hyperlink>
          </w:p>
        </w:tc>
      </w:tr>
      <w:tr w:rsidR="00000000">
        <w:trPr>
          <w:jc w:val="center"/>
        </w:trPr>
        <w:tc>
          <w:tcPr>
            <w:tcW w:w="0" w:type="auto"/>
            <w:gridSpan w:val="6"/>
            <w:tcMar>
              <w:top w:w="30" w:type="dxa"/>
              <w:left w:w="20" w:type="dxa"/>
              <w:bottom w:w="30" w:type="dxa"/>
              <w:right w:w="20" w:type="dxa"/>
            </w:tcMar>
            <w:vAlign w:val="bottom"/>
            <w:hideMark/>
          </w:tcPr>
          <w:p w:rsidR="00000000" w:rsidRDefault="00BB5C2D">
            <w:pPr>
              <w:spacing w:after="100"/>
              <w:divId w:val="1932736779"/>
              <w:rPr>
                <w:rFonts w:eastAsia="Times New Roman"/>
              </w:rPr>
            </w:pPr>
            <w:hyperlink w:anchor="i500ae552570a41b3bd85adecd06bbcd8_190" w:history="1">
              <w:r>
                <w:rPr>
                  <w:rStyle w:val="a3"/>
                  <w:rFonts w:eastAsia="Times New Roman"/>
                  <w:sz w:val="20"/>
                  <w:szCs w:val="20"/>
                </w:rPr>
                <w:t>Consolidated Statements of Equity</w:t>
              </w:r>
            </w:hyperlink>
          </w:p>
        </w:tc>
        <w:tc>
          <w:tcPr>
            <w:tcW w:w="0" w:type="auto"/>
            <w:gridSpan w:val="3"/>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FF"/>
                <w:sz w:val="20"/>
                <w:szCs w:val="20"/>
                <w:u w:val="single"/>
              </w:rPr>
              <w:t>F-</w:t>
            </w:r>
            <w:hyperlink w:anchor="i500ae552570a41b3bd85adecd06bbcd8_190" w:history="1">
              <w:r>
                <w:rPr>
                  <w:rStyle w:val="a3"/>
                  <w:rFonts w:eastAsia="Times New Roman"/>
                  <w:sz w:val="20"/>
                  <w:szCs w:val="20"/>
                </w:rPr>
                <w:t>6</w:t>
              </w:r>
            </w:hyperlink>
          </w:p>
        </w:tc>
      </w:tr>
      <w:tr w:rsidR="00000000">
        <w:trPr>
          <w:jc w:val="center"/>
        </w:trPr>
        <w:tc>
          <w:tcPr>
            <w:tcW w:w="0" w:type="auto"/>
            <w:gridSpan w:val="6"/>
            <w:tcMar>
              <w:top w:w="30" w:type="dxa"/>
              <w:left w:w="20" w:type="dxa"/>
              <w:bottom w:w="30" w:type="dxa"/>
              <w:right w:w="20" w:type="dxa"/>
            </w:tcMar>
            <w:vAlign w:val="bottom"/>
            <w:hideMark/>
          </w:tcPr>
          <w:p w:rsidR="00000000" w:rsidRDefault="00BB5C2D">
            <w:pPr>
              <w:spacing w:after="100"/>
              <w:divId w:val="1951164422"/>
              <w:rPr>
                <w:rFonts w:eastAsia="Times New Roman"/>
              </w:rPr>
            </w:pPr>
            <w:hyperlink w:anchor="i500ae552570a41b3bd85adecd06bbcd8_196" w:history="1">
              <w:r>
                <w:rPr>
                  <w:rStyle w:val="a3"/>
                  <w:rFonts w:eastAsia="Times New Roman"/>
                  <w:sz w:val="20"/>
                  <w:szCs w:val="20"/>
                </w:rPr>
                <w:t>Notes to Consolidated Financial Statements</w:t>
              </w:r>
            </w:hyperlink>
          </w:p>
        </w:tc>
        <w:tc>
          <w:tcPr>
            <w:tcW w:w="0" w:type="auto"/>
            <w:gridSpan w:val="3"/>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FF"/>
                <w:sz w:val="20"/>
                <w:szCs w:val="20"/>
                <w:u w:val="single"/>
              </w:rPr>
              <w:t>F-</w:t>
            </w:r>
            <w:hyperlink w:anchor="i500ae552570a41b3bd85adecd06bbcd8_196" w:history="1">
              <w:r>
                <w:rPr>
                  <w:rStyle w:val="a3"/>
                  <w:rFonts w:eastAsia="Times New Roman"/>
                  <w:sz w:val="20"/>
                  <w:szCs w:val="20"/>
                </w:rPr>
                <w:t>7</w:t>
              </w:r>
            </w:hyperlink>
          </w:p>
        </w:tc>
      </w:tr>
      <w:tr w:rsidR="00000000">
        <w:trPr>
          <w:jc w:val="center"/>
        </w:trPr>
        <w:tc>
          <w:tcPr>
            <w:tcW w:w="0" w:type="auto"/>
            <w:gridSpan w:val="6"/>
            <w:tcMar>
              <w:top w:w="30" w:type="dxa"/>
              <w:left w:w="20" w:type="dxa"/>
              <w:bottom w:w="30" w:type="dxa"/>
              <w:right w:w="20" w:type="dxa"/>
            </w:tcMar>
            <w:vAlign w:val="bottom"/>
            <w:hideMark/>
          </w:tcPr>
          <w:p w:rsidR="00000000" w:rsidRDefault="00BB5C2D">
            <w:pPr>
              <w:spacing w:after="100"/>
              <w:divId w:val="1542597924"/>
              <w:rPr>
                <w:rFonts w:eastAsia="Times New Roman"/>
              </w:rPr>
            </w:pPr>
            <w:hyperlink w:anchor="i500ae552570a41b3bd85adecd06bbcd8_265" w:history="1">
              <w:r>
                <w:rPr>
                  <w:rStyle w:val="a3"/>
                  <w:rFonts w:eastAsia="Times New Roman"/>
                  <w:sz w:val="20"/>
                  <w:szCs w:val="20"/>
                </w:rPr>
                <w:t>Management's Report o</w:t>
              </w:r>
              <w:r>
                <w:rPr>
                  <w:rStyle w:val="a3"/>
                  <w:rFonts w:eastAsia="Times New Roman"/>
                  <w:sz w:val="20"/>
                  <w:szCs w:val="20"/>
                </w:rPr>
                <w:t>n Responsibility For Financial Statements</w:t>
              </w:r>
            </w:hyperlink>
          </w:p>
        </w:tc>
        <w:tc>
          <w:tcPr>
            <w:tcW w:w="0" w:type="auto"/>
            <w:gridSpan w:val="3"/>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FF"/>
                <w:sz w:val="20"/>
                <w:szCs w:val="20"/>
                <w:u w:val="single"/>
              </w:rPr>
              <w:t>F-</w:t>
            </w:r>
            <w:hyperlink w:anchor="i500ae552570a41b3bd85adecd06bbcd8_265" w:history="1">
              <w:r>
                <w:rPr>
                  <w:rStyle w:val="a3"/>
                  <w:rFonts w:eastAsia="Times New Roman"/>
                  <w:sz w:val="20"/>
                  <w:szCs w:val="20"/>
                </w:rPr>
                <w:t>56</w:t>
              </w:r>
            </w:hyperlink>
          </w:p>
        </w:tc>
      </w:tr>
      <w:tr w:rsidR="00000000">
        <w:trPr>
          <w:jc w:val="center"/>
        </w:trPr>
        <w:tc>
          <w:tcPr>
            <w:tcW w:w="0" w:type="auto"/>
            <w:gridSpan w:val="6"/>
            <w:tcMar>
              <w:top w:w="30" w:type="dxa"/>
              <w:left w:w="20" w:type="dxa"/>
              <w:bottom w:w="30" w:type="dxa"/>
              <w:right w:w="20" w:type="dxa"/>
            </w:tcMar>
            <w:vAlign w:val="bottom"/>
            <w:hideMark/>
          </w:tcPr>
          <w:p w:rsidR="00000000" w:rsidRDefault="00BB5C2D">
            <w:pPr>
              <w:spacing w:after="100"/>
              <w:divId w:val="1512644299"/>
              <w:rPr>
                <w:rFonts w:eastAsia="Times New Roman"/>
              </w:rPr>
            </w:pPr>
            <w:hyperlink w:anchor="i500ae552570a41b3bd85adecd06bbcd8_268" w:history="1">
              <w:r>
                <w:rPr>
                  <w:rStyle w:val="a3"/>
                  <w:rFonts w:eastAsia="Times New Roman"/>
                  <w:sz w:val="20"/>
                  <w:szCs w:val="20"/>
                </w:rPr>
                <w:t>Reports of Independent Registered Public Accounting Firm</w:t>
              </w:r>
            </w:hyperlink>
            <w:hyperlink w:anchor="i500ae552570a41b3bd85adecd06bbcd8_268" w:history="1">
              <w:r>
                <w:rPr>
                  <w:rStyle w:val="a3"/>
                  <w:rFonts w:eastAsia="Times New Roman"/>
                  <w:sz w:val="20"/>
                  <w:szCs w:val="20"/>
                  <w:shd w:val="clear" w:color="auto" w:fill="FFFFFF"/>
                </w:rPr>
                <w:t xml:space="preserve"> </w:t>
              </w:r>
            </w:hyperlink>
            <w:r>
              <w:rPr>
                <w:rFonts w:eastAsia="Times New Roman"/>
                <w:color w:val="000000"/>
                <w:sz w:val="20"/>
                <w:szCs w:val="20"/>
                <w:shd w:val="clear" w:color="auto" w:fill="FFFFFF"/>
              </w:rPr>
              <w:t>(PCAOB ID: 42)</w:t>
            </w:r>
          </w:p>
        </w:tc>
        <w:tc>
          <w:tcPr>
            <w:tcW w:w="0" w:type="auto"/>
            <w:gridSpan w:val="3"/>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FF"/>
                <w:sz w:val="20"/>
                <w:szCs w:val="20"/>
                <w:u w:val="single"/>
              </w:rPr>
              <w:t>F-</w:t>
            </w:r>
            <w:hyperlink w:anchor="i500ae552570a41b3bd85adecd06bbcd8_268" w:history="1">
              <w:r>
                <w:rPr>
                  <w:rStyle w:val="a3"/>
                  <w:rFonts w:eastAsia="Times New Roman"/>
                  <w:sz w:val="20"/>
                  <w:szCs w:val="20"/>
                </w:rPr>
                <w:t>57</w:t>
              </w:r>
            </w:hyperlink>
          </w:p>
        </w:tc>
      </w:tr>
      <w:tr w:rsidR="00000000">
        <w:trPr>
          <w:jc w:val="center"/>
        </w:trPr>
        <w:tc>
          <w:tcPr>
            <w:tcW w:w="0" w:type="auto"/>
            <w:gridSpan w:val="3"/>
            <w:vAlign w:val="center"/>
            <w:hideMark/>
          </w:tcPr>
          <w:p w:rsidR="00000000" w:rsidRDefault="00BB5C2D">
            <w:pPr>
              <w:spacing w:after="100"/>
              <w:jc w:val="right"/>
              <w:rPr>
                <w:rFonts w:eastAsia="Times New Roman"/>
              </w:rPr>
            </w:pPr>
          </w:p>
        </w:tc>
        <w:tc>
          <w:tcPr>
            <w:tcW w:w="0" w:type="auto"/>
            <w:gridSpan w:val="3"/>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r>
      <w:tr w:rsidR="00000000">
        <w:trPr>
          <w:jc w:val="center"/>
        </w:trPr>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r>
      <w:tr w:rsidR="00000000">
        <w:trPr>
          <w:jc w:val="center"/>
        </w:trPr>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r>
    </w:tbl>
    <w:p w:rsidR="00000000" w:rsidRDefault="00BB5C2D">
      <w:pPr>
        <w:divId w:val="94984539"/>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85619048"/>
          <w:jc w:val="center"/>
        </w:trPr>
        <w:tc>
          <w:tcPr>
            <w:tcW w:w="50" w:type="pct"/>
            <w:vAlign w:val="center"/>
            <w:hideMark/>
          </w:tcPr>
          <w:p w:rsidR="00000000" w:rsidRDefault="00BB5C2D">
            <w:pPr>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85619048"/>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F-1</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13" style="width:0;height:1.5pt" o:hralign="center" o:hrstd="t" o:hr="t" fillcolor="#a0a0a0" stroked="f"/>
        </w:pict>
      </w:r>
    </w:p>
    <w:p w:rsidR="00000000" w:rsidRDefault="00BB5C2D">
      <w:pPr>
        <w:divId w:val="1640646760"/>
        <w:rPr>
          <w:rFonts w:eastAsia="Times New Roman"/>
        </w:rPr>
      </w:pPr>
    </w:p>
    <w:p w:rsidR="00000000" w:rsidRDefault="00BB5C2D">
      <w:pPr>
        <w:jc w:val="center"/>
        <w:rPr>
          <w:rFonts w:eastAsia="Times New Roman"/>
        </w:rPr>
      </w:pPr>
      <w:r>
        <w:rPr>
          <w:rFonts w:eastAsia="Times New Roman"/>
          <w:b/>
          <w:bCs/>
          <w:color w:val="000000"/>
          <w:sz w:val="20"/>
          <w:szCs w:val="20"/>
        </w:rPr>
        <w:t>RALPH LAUREN CORPORATION</w:t>
      </w:r>
    </w:p>
    <w:p w:rsidR="00000000" w:rsidRDefault="00BB5C2D">
      <w:pPr>
        <w:jc w:val="center"/>
        <w:divId w:val="1686980712"/>
        <w:rPr>
          <w:rFonts w:eastAsia="Times New Roman"/>
        </w:rPr>
      </w:pPr>
      <w:r>
        <w:rPr>
          <w:rFonts w:eastAsia="Times New Roman"/>
          <w:b/>
          <w:bCs/>
          <w:color w:val="000000"/>
          <w:sz w:val="20"/>
          <w:szCs w:val="20"/>
        </w:rPr>
        <w:t>CONSOLIDATED BALANCE SHEETS</w:t>
      </w:r>
    </w:p>
    <w:p w:rsidR="00000000" w:rsidRDefault="00BB5C2D">
      <w:pPr>
        <w:jc w:val="center"/>
        <w:rPr>
          <w:rFonts w:eastAsia="Times New Roman"/>
        </w:rPr>
      </w:pPr>
      <w:r>
        <w:rPr>
          <w:rFonts w:eastAsia="Times New Roman"/>
          <w:color w:val="000000"/>
          <w:sz w:val="18"/>
          <w:szCs w:val="18"/>
        </w:rPr>
        <w:t> </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5594"/>
        <w:gridCol w:w="39"/>
        <w:gridCol w:w="36"/>
        <w:gridCol w:w="36"/>
        <w:gridCol w:w="36"/>
        <w:gridCol w:w="120"/>
        <w:gridCol w:w="1040"/>
        <w:gridCol w:w="36"/>
        <w:gridCol w:w="36"/>
        <w:gridCol w:w="36"/>
        <w:gridCol w:w="36"/>
        <w:gridCol w:w="120"/>
        <w:gridCol w:w="1040"/>
        <w:gridCol w:w="36"/>
      </w:tblGrid>
      <w:tr w:rsidR="00000000">
        <w:trPr>
          <w:jc w:val="center"/>
        </w:trPr>
        <w:tc>
          <w:tcPr>
            <w:tcW w:w="50" w:type="pct"/>
            <w:vAlign w:val="center"/>
            <w:hideMark/>
          </w:tcPr>
          <w:p w:rsidR="00000000" w:rsidRDefault="00BB5C2D">
            <w:pPr>
              <w:jc w:val="center"/>
              <w:rPr>
                <w:rFonts w:eastAsia="Times New Roman"/>
              </w:rPr>
            </w:pPr>
          </w:p>
        </w:tc>
        <w:tc>
          <w:tcPr>
            <w:tcW w:w="340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67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67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r>
      <w:tr w:rsidR="00000000">
        <w:trPr>
          <w:jc w:val="center"/>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jc w:val="center"/>
        </w:trPr>
        <w:tc>
          <w:tcPr>
            <w:tcW w:w="0" w:type="auto"/>
            <w:gridSpan w:val="15"/>
            <w:shd w:val="clear" w:color="auto" w:fill="CCEEFF"/>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20"/>
                <w:szCs w:val="20"/>
              </w:rPr>
              <w:t>ASSETS</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b/>
                <w:bCs/>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1,863.8 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2,579.0 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Short-term investments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734.6 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197.5 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divId w:val="1761102313"/>
              <w:rPr>
                <w:rFonts w:eastAsia="Times New Roman"/>
              </w:rPr>
            </w:pPr>
            <w:r>
              <w:rPr>
                <w:rFonts w:eastAsia="Times New Roman"/>
                <w:color w:val="000000"/>
                <w:sz w:val="20"/>
                <w:szCs w:val="20"/>
              </w:rPr>
              <w:t>Accounts receivable, net of allowances of $214.7 million and $213.8 million</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405.4 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451.5 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Inventories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977.3 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759.0 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Income tax receivable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63.7 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54.4 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Prepaid expenses and other current assets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172.5 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166.6 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divId w:val="2112777226"/>
              <w:rPr>
                <w:rFonts w:eastAsia="Times New Roman"/>
              </w:rPr>
            </w:pPr>
            <w:r>
              <w:rPr>
                <w:rFonts w:eastAsia="Times New Roman"/>
                <w:b/>
                <w:bCs/>
                <w:color w:val="000000"/>
                <w:sz w:val="20"/>
                <w:szCs w:val="20"/>
              </w:rPr>
              <w:t>Total current assets</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4,217.3 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4,208.0 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Property and equipment, net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969.5 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1,014.0 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Operating lease right-of-use assets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1,111.3 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1,239.5 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Deferred tax assets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303.8 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283.9 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Goodwill</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908.7 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934.6 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Intangible assets, net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102.9 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121.1 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Other non-current assets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111.2 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86.4 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divId w:val="1468666152"/>
              <w:rPr>
                <w:rFonts w:eastAsia="Times New Roman"/>
              </w:rPr>
            </w:pPr>
            <w:r>
              <w:rPr>
                <w:rFonts w:eastAsia="Times New Roman"/>
                <w:b/>
                <w:bCs/>
                <w:color w:val="000000"/>
                <w:sz w:val="20"/>
                <w:szCs w:val="20"/>
              </w:rPr>
              <w:t>Total assets</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7,724.7 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7,887.5 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jc w:val="center"/>
        </w:trPr>
        <w:tc>
          <w:tcPr>
            <w:tcW w:w="0" w:type="auto"/>
            <w:gridSpan w:val="15"/>
            <w:shd w:val="clear" w:color="auto" w:fill="CCEEFF"/>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20"/>
                <w:szCs w:val="20"/>
              </w:rPr>
              <w:t>LIABILITIES AND EQUITY</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b/>
                <w:bCs/>
                <w:color w:val="000000"/>
                <w:sz w:val="20"/>
                <w:szCs w:val="20"/>
              </w:rPr>
              <w:t>Current liabilities: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jc w:val="center"/>
        </w:trPr>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Current portion of long-term debt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499.8 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Accounts payable</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448.7 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355.9 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Current income tax payable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53.8 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50.6 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Current operating lease liabilities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262.0 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302.9 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Accrued expenses and other current liabilities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991.4 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875.4 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divId w:val="1085539362"/>
              <w:rPr>
                <w:rFonts w:eastAsia="Times New Roman"/>
              </w:rPr>
            </w:pPr>
            <w:r>
              <w:rPr>
                <w:rFonts w:eastAsia="Times New Roman"/>
                <w:b/>
                <w:bCs/>
                <w:color w:val="000000"/>
                <w:sz w:val="20"/>
                <w:szCs w:val="20"/>
              </w:rPr>
              <w:t>Total current liabilities</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2,255.7 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1,584.8 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Long-term debt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1,136.5 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1,632.9 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Long-term finance lease liabilities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341.6 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370.5 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Long-term operating lease liabilities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1,132.2 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1,294.5 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Non-current income tax payable</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98.9 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118.7 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Non-current liability for unrecognized tax benefits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91.9 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91.4 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Other non-current liabilities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131.9 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190.3 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Commitments and contingencies (Note 15)</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divId w:val="316880714"/>
              <w:rPr>
                <w:rFonts w:eastAsia="Times New Roman"/>
              </w:rPr>
            </w:pPr>
            <w:r>
              <w:rPr>
                <w:rFonts w:eastAsia="Times New Roman"/>
                <w:b/>
                <w:bCs/>
                <w:color w:val="000000"/>
                <w:sz w:val="20"/>
                <w:szCs w:val="20"/>
              </w:rPr>
              <w:t>Total liabilities</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5,188.7 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5,283.1 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b/>
                <w:bCs/>
                <w:color w:val="000000"/>
                <w:sz w:val="20"/>
                <w:szCs w:val="20"/>
              </w:rPr>
              <w:t>Equity:</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ind w:hanging="180"/>
              <w:divId w:val="783157181"/>
              <w:rPr>
                <w:rFonts w:eastAsia="Times New Roman"/>
              </w:rPr>
            </w:pPr>
            <w:r>
              <w:rPr>
                <w:rFonts w:eastAsia="Times New Roman"/>
                <w:color w:val="000000"/>
                <w:sz w:val="20"/>
                <w:szCs w:val="20"/>
              </w:rPr>
              <w:t>Class A common stock, par value $.01 per share; 106.9 million and 106.1 million shares issued; 45.0 million and 48.3 million shares outstanding</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ind w:hanging="180"/>
              <w:divId w:val="1620914280"/>
              <w:rPr>
                <w:rFonts w:eastAsia="Times New Roman"/>
              </w:rPr>
            </w:pPr>
            <w:r>
              <w:rPr>
                <w:rFonts w:eastAsia="Times New Roman"/>
                <w:color w:val="000000"/>
                <w:sz w:val="20"/>
                <w:szCs w:val="20"/>
              </w:rPr>
              <w:t xml:space="preserve">Class B common stock, par value $.01 per share; 24.9 </w:t>
            </w:r>
            <w:r>
              <w:rPr>
                <w:rFonts w:eastAsia="Times New Roman"/>
                <w:color w:val="000000"/>
                <w:sz w:val="20"/>
                <w:szCs w:val="20"/>
              </w:rPr>
              <w:t>million shares issued and outstanding</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ind w:hanging="18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0.3 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0.3 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Additional paid-in-capital</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2,748.8 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2,667.1 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Retained earnings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6,274.9 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5,872.9 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divId w:val="434328596"/>
              <w:rPr>
                <w:rFonts w:eastAsia="Times New Roman"/>
              </w:rPr>
            </w:pPr>
            <w:r>
              <w:rPr>
                <w:rFonts w:eastAsia="Times New Roman"/>
                <w:color w:val="000000"/>
                <w:sz w:val="20"/>
                <w:szCs w:val="20"/>
              </w:rPr>
              <w:t>Treasury stock, Class A, at cost; 61.9 million and 57.8 million shares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w:t>
            </w:r>
            <w:r>
              <w:rPr>
                <w:rFonts w:eastAsia="Times New Roman"/>
                <w:color w:val="000000"/>
                <w:sz w:val="20"/>
                <w:szCs w:val="20"/>
              </w:rPr>
              <w:t>6,308.7)</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(5,816.1)</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Accumulated other comprehensive loss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(180.3)</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(120.8)</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divId w:val="758016046"/>
              <w:rPr>
                <w:rFonts w:eastAsia="Times New Roman"/>
              </w:rPr>
            </w:pPr>
            <w:r>
              <w:rPr>
                <w:rFonts w:eastAsia="Times New Roman"/>
                <w:b/>
                <w:bCs/>
                <w:color w:val="000000"/>
                <w:sz w:val="20"/>
                <w:szCs w:val="20"/>
              </w:rPr>
              <w:t>Total equity</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2,536.0 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2,604.4 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divId w:val="1610623929"/>
              <w:rPr>
                <w:rFonts w:eastAsia="Times New Roman"/>
              </w:rPr>
            </w:pPr>
            <w:r>
              <w:rPr>
                <w:rFonts w:eastAsia="Times New Roman"/>
                <w:b/>
                <w:bCs/>
                <w:color w:val="000000"/>
                <w:sz w:val="20"/>
                <w:szCs w:val="20"/>
              </w:rPr>
              <w:t>Total liabilities and equity</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7,724.7 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7,887.5 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bl>
    <w:p w:rsidR="00000000" w:rsidRDefault="00BB5C2D">
      <w:pPr>
        <w:jc w:val="center"/>
        <w:divId w:val="468859539"/>
        <w:rPr>
          <w:rFonts w:eastAsia="Times New Roman"/>
        </w:rPr>
      </w:pPr>
      <w:r>
        <w:rPr>
          <w:rFonts w:eastAsia="Times New Roman"/>
          <w:color w:val="000000"/>
          <w:sz w:val="20"/>
          <w:szCs w:val="20"/>
        </w:rPr>
        <w:t>S</w:t>
      </w:r>
      <w:r>
        <w:rPr>
          <w:rFonts w:eastAsia="Times New Roman"/>
          <w:color w:val="000000"/>
          <w:sz w:val="20"/>
          <w:szCs w:val="20"/>
        </w:rPr>
        <w:t>ee accompanying notes.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218396469"/>
          <w:jc w:val="center"/>
        </w:trPr>
        <w:tc>
          <w:tcPr>
            <w:tcW w:w="50" w:type="pct"/>
            <w:vAlign w:val="center"/>
            <w:hideMark/>
          </w:tcPr>
          <w:p w:rsidR="00000000" w:rsidRDefault="00BB5C2D">
            <w:pPr>
              <w:jc w:val="center"/>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218396469"/>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F-2</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14" style="width:0;height:1.5pt" o:hralign="center" o:hrstd="t" o:hr="t" fillcolor="#a0a0a0" stroked="f"/>
        </w:pict>
      </w:r>
    </w:p>
    <w:p w:rsidR="00000000" w:rsidRDefault="00BB5C2D">
      <w:pPr>
        <w:divId w:val="830752514"/>
        <w:rPr>
          <w:rFonts w:eastAsia="Times New Roman"/>
        </w:rPr>
      </w:pPr>
    </w:p>
    <w:p w:rsidR="00000000" w:rsidRDefault="00BB5C2D">
      <w:pPr>
        <w:jc w:val="center"/>
        <w:rPr>
          <w:rFonts w:eastAsia="Times New Roman"/>
        </w:rPr>
      </w:pPr>
      <w:r>
        <w:rPr>
          <w:rFonts w:eastAsia="Times New Roman"/>
          <w:b/>
          <w:bCs/>
          <w:color w:val="000000"/>
          <w:sz w:val="20"/>
          <w:szCs w:val="20"/>
        </w:rPr>
        <w:t>RALPH LAUREN CORPORATION</w:t>
      </w:r>
    </w:p>
    <w:p w:rsidR="00000000" w:rsidRDefault="00BB5C2D">
      <w:pPr>
        <w:jc w:val="center"/>
        <w:divId w:val="1586526874"/>
        <w:rPr>
          <w:rFonts w:eastAsia="Times New Roman"/>
        </w:rPr>
      </w:pPr>
      <w:r>
        <w:rPr>
          <w:rFonts w:eastAsia="Times New Roman"/>
          <w:b/>
          <w:bCs/>
          <w:color w:val="000000"/>
          <w:sz w:val="20"/>
          <w:szCs w:val="20"/>
        </w:rPr>
        <w:t>CONSOLIDATED STATEMENTS OF OPERATIONS</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4314"/>
        <w:gridCol w:w="37"/>
        <w:gridCol w:w="36"/>
        <w:gridCol w:w="36"/>
        <w:gridCol w:w="36"/>
        <w:gridCol w:w="120"/>
        <w:gridCol w:w="1032"/>
        <w:gridCol w:w="36"/>
        <w:gridCol w:w="36"/>
        <w:gridCol w:w="36"/>
        <w:gridCol w:w="36"/>
        <w:gridCol w:w="120"/>
        <w:gridCol w:w="1034"/>
        <w:gridCol w:w="36"/>
        <w:gridCol w:w="36"/>
        <w:gridCol w:w="36"/>
        <w:gridCol w:w="36"/>
        <w:gridCol w:w="120"/>
        <w:gridCol w:w="1034"/>
        <w:gridCol w:w="36"/>
      </w:tblGrid>
      <w:tr w:rsidR="00000000">
        <w:trPr>
          <w:divId w:val="292639524"/>
          <w:jc w:val="center"/>
        </w:trPr>
        <w:tc>
          <w:tcPr>
            <w:tcW w:w="50" w:type="pct"/>
            <w:vAlign w:val="center"/>
            <w:hideMark/>
          </w:tcPr>
          <w:p w:rsidR="00000000" w:rsidRDefault="00BB5C2D">
            <w:pPr>
              <w:jc w:val="center"/>
              <w:rPr>
                <w:rFonts w:eastAsia="Times New Roman"/>
              </w:rPr>
            </w:pPr>
          </w:p>
        </w:tc>
        <w:tc>
          <w:tcPr>
            <w:tcW w:w="263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67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67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67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292639524"/>
          <w:jc w:val="center"/>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Years Ended</w:t>
            </w:r>
          </w:p>
        </w:tc>
      </w:tr>
      <w:tr w:rsidR="00000000">
        <w:trPr>
          <w:divId w:val="292639524"/>
          <w:jc w:val="center"/>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r>
      <w:tr w:rsidR="00000000">
        <w:trPr>
          <w:divId w:val="292639524"/>
          <w:jc w:val="center"/>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 except per share data)</w:t>
            </w:r>
          </w:p>
        </w:tc>
      </w:tr>
      <w:tr w:rsidR="00000000">
        <w:trPr>
          <w:divId w:val="292639524"/>
          <w:jc w:val="center"/>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divId w:val="375278466"/>
              <w:rPr>
                <w:rFonts w:eastAsia="Times New Roman"/>
              </w:rPr>
            </w:pPr>
            <w:r>
              <w:rPr>
                <w:rFonts w:eastAsia="Times New Roman"/>
                <w:b/>
                <w:bCs/>
                <w:color w:val="000000"/>
                <w:sz w:val="20"/>
                <w:szCs w:val="20"/>
              </w:rPr>
              <w:t>Net revenues</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6,218.5 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4,400.8 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6,159.8 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92639524"/>
          <w:jc w:val="center"/>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divId w:val="1459294959"/>
              <w:rPr>
                <w:rFonts w:eastAsia="Times New Roman"/>
              </w:rPr>
            </w:pPr>
            <w:r>
              <w:rPr>
                <w:rFonts w:eastAsia="Times New Roman"/>
                <w:color w:val="000000"/>
                <w:sz w:val="20"/>
                <w:szCs w:val="20"/>
              </w:rPr>
              <w:t>Cost of goods sold</w:t>
            </w:r>
            <w:r>
              <w:rPr>
                <w:rFonts w:eastAsia="Times New Roman"/>
                <w:b/>
                <w:bCs/>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(2,071.0)</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(1,539.4)</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(2,506.5)</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92639524"/>
          <w:jc w:val="center"/>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divId w:val="1921402092"/>
              <w:rPr>
                <w:rFonts w:eastAsia="Times New Roman"/>
              </w:rPr>
            </w:pPr>
            <w:r>
              <w:rPr>
                <w:rFonts w:eastAsia="Times New Roman"/>
                <w:b/>
                <w:bCs/>
                <w:color w:val="000000"/>
                <w:sz w:val="20"/>
                <w:szCs w:val="20"/>
              </w:rPr>
              <w:t>Gross profit</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4,147.5 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2,861.4 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3,653.3 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92639524"/>
          <w:jc w:val="center"/>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 xml:space="preserve">Selling, general, and administrative expenses </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(3,305.6)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(2,638.5)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(3,237.5)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92639524"/>
          <w:jc w:val="center"/>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Impairment of assets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(21.3)</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(96.0)</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(31.6)</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92639524"/>
          <w:jc w:val="center"/>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Restructuring and other charges, net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(22.2)</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(170.5)</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(67.2)</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92639524"/>
          <w:jc w:val="center"/>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divId w:val="1040082903"/>
              <w:rPr>
                <w:rFonts w:eastAsia="Times New Roman"/>
              </w:rPr>
            </w:pPr>
            <w:r>
              <w:rPr>
                <w:rFonts w:eastAsia="Times New Roman"/>
                <w:b/>
                <w:bCs/>
                <w:color w:val="000000"/>
                <w:sz w:val="20"/>
                <w:szCs w:val="20"/>
              </w:rPr>
              <w:t>Total other operating expenses, net</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(3,349.1)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(2,905.0)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(3,336.3)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92639524"/>
          <w:jc w:val="center"/>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divId w:val="1187869307"/>
              <w:rPr>
                <w:rFonts w:eastAsia="Times New Roman"/>
              </w:rPr>
            </w:pPr>
            <w:r>
              <w:rPr>
                <w:rFonts w:eastAsia="Times New Roman"/>
                <w:b/>
                <w:bCs/>
                <w:color w:val="000000"/>
                <w:sz w:val="20"/>
                <w:szCs w:val="20"/>
              </w:rPr>
              <w:t>Operating income (loss)</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798.4 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(43.6)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317.0 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92639524"/>
          <w:jc w:val="center"/>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Interest expense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(54.0)</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(48.5)</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(17.6)</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92639524"/>
          <w:jc w:val="center"/>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Interest income</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9.7 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34.4 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92639524"/>
          <w:jc w:val="center"/>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Other income (expense), net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(7.4)</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92639524"/>
          <w:jc w:val="center"/>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divId w:val="1962612485"/>
              <w:rPr>
                <w:rFonts w:eastAsia="Times New Roman"/>
              </w:rPr>
            </w:pPr>
            <w:r>
              <w:rPr>
                <w:rFonts w:eastAsia="Times New Roman"/>
                <w:b/>
                <w:bCs/>
                <w:color w:val="000000"/>
                <w:sz w:val="20"/>
                <w:szCs w:val="20"/>
              </w:rPr>
              <w:t>Income (loss) before income taxes</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754.6 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(74.8)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326.4 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92639524"/>
          <w:jc w:val="center"/>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Income tax benefit (provision)</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(154.5)</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(46.3)</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57.9 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92639524"/>
          <w:jc w:val="center"/>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divId w:val="502088318"/>
              <w:rPr>
                <w:rFonts w:eastAsia="Times New Roman"/>
              </w:rPr>
            </w:pPr>
            <w:r>
              <w:rPr>
                <w:rFonts w:eastAsia="Times New Roman"/>
                <w:b/>
                <w:bCs/>
                <w:color w:val="000000"/>
                <w:sz w:val="20"/>
                <w:szCs w:val="20"/>
              </w:rPr>
              <w:t>Net income (loss)</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600.1 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(121.1)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384.3 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92639524"/>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292639524"/>
          <w:jc w:val="center"/>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b/>
                <w:bCs/>
                <w:color w:val="000000"/>
                <w:sz w:val="20"/>
                <w:szCs w:val="20"/>
              </w:rPr>
              <w:t>Net income (loss) per common share:</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292639524"/>
          <w:jc w:val="center"/>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Basic</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8.22 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(1.65)</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5.07 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92639524"/>
          <w:jc w:val="center"/>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Diluted</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8.07 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(1.65)</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4.98 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92639524"/>
          <w:jc w:val="center"/>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b/>
                <w:bCs/>
                <w:color w:val="000000"/>
                <w:sz w:val="20"/>
                <w:szCs w:val="20"/>
              </w:rPr>
              <w:t>Weighted-average common shares outstanding:</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292639524"/>
          <w:jc w:val="center"/>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Basic</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73.0 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73.5 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75.8 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92639524"/>
          <w:jc w:val="center"/>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Diluted</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74.3 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73.5 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77.2 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92639524"/>
          <w:jc w:val="center"/>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Dividends declared per share</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2.75 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2.75 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bl>
    <w:p w:rsidR="00000000" w:rsidRDefault="00BB5C2D">
      <w:pPr>
        <w:jc w:val="center"/>
        <w:divId w:val="920412010"/>
        <w:rPr>
          <w:rFonts w:eastAsia="Times New Roman"/>
        </w:rPr>
      </w:pPr>
      <w:r>
        <w:rPr>
          <w:rFonts w:eastAsia="Times New Roman"/>
          <w:color w:val="000000"/>
          <w:sz w:val="20"/>
          <w:szCs w:val="20"/>
        </w:rPr>
        <w:t>See accompanying notes.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500511792"/>
          <w:jc w:val="center"/>
        </w:trPr>
        <w:tc>
          <w:tcPr>
            <w:tcW w:w="50" w:type="pct"/>
            <w:vAlign w:val="center"/>
            <w:hideMark/>
          </w:tcPr>
          <w:p w:rsidR="00000000" w:rsidRDefault="00BB5C2D">
            <w:pPr>
              <w:jc w:val="center"/>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500511792"/>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F-3</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15" style="width:0;height:1.5pt" o:hralign="center" o:hrstd="t" o:hr="t" fillcolor="#a0a0a0" stroked="f"/>
        </w:pict>
      </w:r>
    </w:p>
    <w:p w:rsidR="00000000" w:rsidRDefault="00BB5C2D">
      <w:pPr>
        <w:divId w:val="434908598"/>
        <w:rPr>
          <w:rFonts w:eastAsia="Times New Roman"/>
        </w:rPr>
      </w:pPr>
    </w:p>
    <w:p w:rsidR="00000000" w:rsidRDefault="00BB5C2D">
      <w:pPr>
        <w:jc w:val="center"/>
        <w:rPr>
          <w:rFonts w:eastAsia="Times New Roman"/>
        </w:rPr>
      </w:pPr>
      <w:r>
        <w:rPr>
          <w:rFonts w:eastAsia="Times New Roman"/>
          <w:b/>
          <w:bCs/>
          <w:color w:val="000000"/>
          <w:sz w:val="20"/>
          <w:szCs w:val="20"/>
        </w:rPr>
        <w:t>RALPH LAUREN CORPORATION</w:t>
      </w:r>
    </w:p>
    <w:p w:rsidR="00000000" w:rsidRDefault="00BB5C2D">
      <w:pPr>
        <w:jc w:val="center"/>
        <w:divId w:val="1115176081"/>
        <w:rPr>
          <w:rFonts w:eastAsia="Times New Roman"/>
        </w:rPr>
      </w:pPr>
      <w:r>
        <w:rPr>
          <w:rFonts w:eastAsia="Times New Roman"/>
          <w:b/>
          <w:bCs/>
          <w:color w:val="000000"/>
          <w:sz w:val="20"/>
          <w:szCs w:val="20"/>
        </w:rPr>
        <w:t>CONSOLIDATED STATEMENTS OF COMPREHENSIVE INCOME (LOSS)</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5044"/>
        <w:gridCol w:w="37"/>
        <w:gridCol w:w="36"/>
        <w:gridCol w:w="36"/>
        <w:gridCol w:w="36"/>
        <w:gridCol w:w="120"/>
        <w:gridCol w:w="790"/>
        <w:gridCol w:w="36"/>
        <w:gridCol w:w="36"/>
        <w:gridCol w:w="36"/>
        <w:gridCol w:w="36"/>
        <w:gridCol w:w="120"/>
        <w:gridCol w:w="790"/>
        <w:gridCol w:w="36"/>
        <w:gridCol w:w="36"/>
        <w:gridCol w:w="36"/>
        <w:gridCol w:w="36"/>
        <w:gridCol w:w="120"/>
        <w:gridCol w:w="790"/>
        <w:gridCol w:w="36"/>
      </w:tblGrid>
      <w:tr w:rsidR="00000000">
        <w:trPr>
          <w:divId w:val="263853437"/>
          <w:jc w:val="center"/>
        </w:trPr>
        <w:tc>
          <w:tcPr>
            <w:tcW w:w="50" w:type="pct"/>
            <w:vAlign w:val="center"/>
            <w:hideMark/>
          </w:tcPr>
          <w:p w:rsidR="00000000" w:rsidRDefault="00BB5C2D">
            <w:pPr>
              <w:jc w:val="center"/>
              <w:rPr>
                <w:rFonts w:eastAsia="Times New Roman"/>
              </w:rPr>
            </w:pPr>
          </w:p>
        </w:tc>
        <w:tc>
          <w:tcPr>
            <w:tcW w:w="307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31"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31"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31"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263853437"/>
          <w:jc w:val="center"/>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Years Ended</w:t>
            </w:r>
          </w:p>
        </w:tc>
      </w:tr>
      <w:tr w:rsidR="00000000">
        <w:trPr>
          <w:divId w:val="263853437"/>
          <w:jc w:val="center"/>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r>
      <w:tr w:rsidR="00000000">
        <w:trPr>
          <w:divId w:val="263853437"/>
          <w:jc w:val="center"/>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263853437"/>
          <w:jc w:val="center"/>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divId w:val="569270209"/>
              <w:rPr>
                <w:rFonts w:eastAsia="Times New Roman"/>
              </w:rPr>
            </w:pPr>
            <w:r>
              <w:rPr>
                <w:rFonts w:eastAsia="Times New Roman"/>
                <w:b/>
                <w:bCs/>
                <w:color w:val="000000"/>
                <w:sz w:val="20"/>
                <w:szCs w:val="20"/>
              </w:rPr>
              <w:t>Net income (loss)</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600.1 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(121.1)</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384.3 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63853437"/>
          <w:jc w:val="center"/>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b/>
                <w:bCs/>
                <w:color w:val="000000"/>
                <w:sz w:val="20"/>
                <w:szCs w:val="20"/>
              </w:rPr>
              <w:t>Other comprehensive income (loss), net of tax:</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263853437"/>
          <w:jc w:val="center"/>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Foreign currency translation gains (losses)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(66.5)</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(11.9)</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63853437"/>
          <w:jc w:val="center"/>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Net gains (losses) on cash flow hedges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(13.4)</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(2.2)</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63853437"/>
          <w:jc w:val="center"/>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ind w:hanging="180"/>
              <w:divId w:val="441077147"/>
              <w:rPr>
                <w:rFonts w:eastAsia="Times New Roman"/>
              </w:rPr>
            </w:pPr>
            <w:r>
              <w:rPr>
                <w:rFonts w:eastAsia="Times New Roman"/>
                <w:color w:val="000000"/>
                <w:sz w:val="20"/>
                <w:szCs w:val="20"/>
              </w:rPr>
              <w:t>Net gains (losses) on defined benefit plans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ind w:hanging="18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(0.7)</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63853437"/>
          <w:jc w:val="center"/>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divId w:val="1606964843"/>
              <w:rPr>
                <w:rFonts w:eastAsia="Times New Roman"/>
              </w:rPr>
            </w:pPr>
            <w:r>
              <w:rPr>
                <w:rFonts w:eastAsia="Times New Roman"/>
                <w:b/>
                <w:bCs/>
                <w:color w:val="000000"/>
                <w:sz w:val="20"/>
                <w:szCs w:val="20"/>
              </w:rPr>
              <w:t>Other comprehensive loss, net of tax</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(59.5)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(14.8)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63853437"/>
          <w:jc w:val="center"/>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divId w:val="1760105295"/>
              <w:rPr>
                <w:rFonts w:eastAsia="Times New Roman"/>
              </w:rPr>
            </w:pPr>
            <w:r>
              <w:rPr>
                <w:rFonts w:eastAsia="Times New Roman"/>
                <w:b/>
                <w:bCs/>
                <w:color w:val="000000"/>
                <w:sz w:val="20"/>
                <w:szCs w:val="20"/>
              </w:rPr>
              <w:t>Total comprehensive income (loss)</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540.6 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(123.7)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369.5 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bl>
    <w:p w:rsidR="00000000" w:rsidRDefault="00BB5C2D">
      <w:pPr>
        <w:jc w:val="center"/>
        <w:divId w:val="1982927000"/>
        <w:rPr>
          <w:rFonts w:eastAsia="Times New Roman"/>
        </w:rPr>
      </w:pPr>
      <w:r>
        <w:rPr>
          <w:rFonts w:eastAsia="Times New Roman"/>
          <w:color w:val="000000"/>
          <w:sz w:val="20"/>
          <w:szCs w:val="20"/>
        </w:rPr>
        <w:t>See accompanying notes.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716196285"/>
          <w:jc w:val="center"/>
        </w:trPr>
        <w:tc>
          <w:tcPr>
            <w:tcW w:w="50" w:type="pct"/>
            <w:vAlign w:val="center"/>
            <w:hideMark/>
          </w:tcPr>
          <w:p w:rsidR="00000000" w:rsidRDefault="00BB5C2D">
            <w:pPr>
              <w:jc w:val="center"/>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716196285"/>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F-4</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16" style="width:0;height:1.5pt" o:hralign="center" o:hrstd="t" o:hr="t" fillcolor="#a0a0a0" stroked="f"/>
        </w:pict>
      </w:r>
    </w:p>
    <w:p w:rsidR="00000000" w:rsidRDefault="00BB5C2D">
      <w:pPr>
        <w:divId w:val="588468757"/>
        <w:rPr>
          <w:rFonts w:eastAsia="Times New Roman"/>
        </w:rPr>
      </w:pPr>
    </w:p>
    <w:p w:rsidR="00000000" w:rsidRDefault="00BB5C2D">
      <w:pPr>
        <w:jc w:val="center"/>
        <w:rPr>
          <w:rFonts w:eastAsia="Times New Roman"/>
        </w:rPr>
      </w:pPr>
      <w:r>
        <w:rPr>
          <w:rFonts w:eastAsia="Times New Roman"/>
          <w:b/>
          <w:bCs/>
          <w:color w:val="000000"/>
          <w:sz w:val="20"/>
          <w:szCs w:val="20"/>
        </w:rPr>
        <w:t>RALPH LAUREN CORPORATION</w:t>
      </w:r>
    </w:p>
    <w:p w:rsidR="00000000" w:rsidRDefault="00BB5C2D">
      <w:pPr>
        <w:jc w:val="center"/>
        <w:divId w:val="1621647585"/>
        <w:rPr>
          <w:rFonts w:eastAsia="Times New Roman"/>
        </w:rPr>
      </w:pPr>
      <w:r>
        <w:rPr>
          <w:rFonts w:eastAsia="Times New Roman"/>
          <w:b/>
          <w:bCs/>
          <w:color w:val="000000"/>
          <w:sz w:val="20"/>
          <w:szCs w:val="20"/>
        </w:rPr>
        <w:t>CONSOLIDATED STATEMENTS OF CASH FLOWS</w:t>
      </w:r>
    </w:p>
    <w:tbl>
      <w:tblPr>
        <w:tblW w:w="4978" w:type="pct"/>
        <w:jc w:val="center"/>
        <w:tblCellMar>
          <w:top w:w="15" w:type="dxa"/>
          <w:left w:w="15" w:type="dxa"/>
          <w:bottom w:w="15" w:type="dxa"/>
          <w:right w:w="15" w:type="dxa"/>
        </w:tblCellMar>
        <w:tblLook w:val="04A0" w:firstRow="1" w:lastRow="0" w:firstColumn="1" w:lastColumn="0" w:noHBand="0" w:noVBand="1"/>
      </w:tblPr>
      <w:tblGrid>
        <w:gridCol w:w="40"/>
        <w:gridCol w:w="5289"/>
        <w:gridCol w:w="39"/>
        <w:gridCol w:w="36"/>
        <w:gridCol w:w="36"/>
        <w:gridCol w:w="36"/>
        <w:gridCol w:w="115"/>
        <w:gridCol w:w="707"/>
        <w:gridCol w:w="36"/>
        <w:gridCol w:w="36"/>
        <w:gridCol w:w="36"/>
        <w:gridCol w:w="36"/>
        <w:gridCol w:w="115"/>
        <w:gridCol w:w="707"/>
        <w:gridCol w:w="36"/>
        <w:gridCol w:w="36"/>
        <w:gridCol w:w="36"/>
        <w:gridCol w:w="36"/>
        <w:gridCol w:w="115"/>
        <w:gridCol w:w="710"/>
        <w:gridCol w:w="36"/>
      </w:tblGrid>
      <w:tr w:rsidR="00000000">
        <w:trPr>
          <w:divId w:val="271474004"/>
          <w:jc w:val="center"/>
        </w:trPr>
        <w:tc>
          <w:tcPr>
            <w:tcW w:w="50" w:type="pct"/>
            <w:vAlign w:val="center"/>
            <w:hideMark/>
          </w:tcPr>
          <w:p w:rsidR="00000000" w:rsidRDefault="00BB5C2D">
            <w:pPr>
              <w:jc w:val="center"/>
              <w:rPr>
                <w:rFonts w:eastAsia="Times New Roman"/>
              </w:rPr>
            </w:pPr>
          </w:p>
        </w:tc>
        <w:tc>
          <w:tcPr>
            <w:tcW w:w="32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8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8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81"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271474004"/>
          <w:jc w:val="center"/>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9"/>
                <w:szCs w:val="19"/>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Years Ended</w:t>
            </w:r>
          </w:p>
        </w:tc>
      </w:tr>
      <w:tr w:rsidR="00000000">
        <w:trPr>
          <w:divId w:val="271474004"/>
          <w:jc w:val="center"/>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9"/>
                <w:szCs w:val="19"/>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r>
      <w:tr w:rsidR="00000000">
        <w:trPr>
          <w:divId w:val="271474004"/>
          <w:jc w:val="center"/>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271474004"/>
          <w:jc w:val="center"/>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b/>
                <w:bCs/>
                <w:color w:val="000000"/>
                <w:sz w:val="19"/>
                <w:szCs w:val="19"/>
              </w:rPr>
              <w:t>Cash flows from operating activities: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271474004"/>
          <w:jc w:val="center"/>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9"/>
                <w:szCs w:val="19"/>
              </w:rPr>
              <w:t>Net income (loss)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9"/>
                <w:szCs w:val="19"/>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600.1 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9"/>
                <w:szCs w:val="19"/>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(121.1)</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9"/>
                <w:szCs w:val="19"/>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384.3 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71474004"/>
          <w:jc w:val="center"/>
        </w:trPr>
        <w:tc>
          <w:tcPr>
            <w:tcW w:w="0" w:type="auto"/>
            <w:gridSpan w:val="3"/>
            <w:shd w:val="clear" w:color="auto" w:fill="CCEEFF"/>
            <w:tcMar>
              <w:top w:w="30" w:type="dxa"/>
              <w:left w:w="200" w:type="dxa"/>
              <w:bottom w:w="30" w:type="dxa"/>
              <w:right w:w="20" w:type="dxa"/>
            </w:tcMar>
            <w:hideMark/>
          </w:tcPr>
          <w:p w:rsidR="00000000" w:rsidRDefault="00BB5C2D">
            <w:pPr>
              <w:spacing w:after="100"/>
              <w:ind w:hanging="180"/>
              <w:rPr>
                <w:rFonts w:eastAsia="Times New Roman"/>
              </w:rPr>
            </w:pPr>
            <w:r>
              <w:rPr>
                <w:rFonts w:eastAsia="Times New Roman"/>
                <w:color w:val="000000"/>
                <w:sz w:val="19"/>
                <w:szCs w:val="19"/>
              </w:rPr>
              <w:t>Adjustments to reconcile net income (loss)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271474004"/>
          <w:jc w:val="center"/>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19"/>
                <w:szCs w:val="19"/>
              </w:rPr>
              <w:t>Depreciation and amortization expense</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229.7 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247.6 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269.5 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71474004"/>
          <w:jc w:val="center"/>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19"/>
                <w:szCs w:val="19"/>
              </w:rPr>
              <w:t>Deferred income tax expense (benefit)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(46.1)</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35.6 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(168.8)</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71474004"/>
          <w:jc w:val="center"/>
        </w:trPr>
        <w:tc>
          <w:tcPr>
            <w:tcW w:w="0" w:type="auto"/>
            <w:gridSpan w:val="3"/>
            <w:vAlign w:val="center"/>
            <w:hideMark/>
          </w:tcPr>
          <w:p w:rsidR="00000000" w:rsidRDefault="00BB5C2D">
            <w:pPr>
              <w:spacing w:after="100"/>
              <w:jc w:val="right"/>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r>
      <w:tr w:rsidR="00000000">
        <w:trPr>
          <w:divId w:val="271474004"/>
          <w:jc w:val="center"/>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19"/>
                <w:szCs w:val="19"/>
              </w:rPr>
              <w:t>Non-cash stock-based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81.7 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72.7 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100.6 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71474004"/>
          <w:jc w:val="center"/>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19"/>
                <w:szCs w:val="19"/>
              </w:rPr>
              <w:t>Non-cash impairment of assets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21.3 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96.0 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38.7 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71474004"/>
          <w:jc w:val="center"/>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19"/>
                <w:szCs w:val="19"/>
              </w:rPr>
              <w:t>Bad debt expense (reversals)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(2.2)</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(27.6)</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58.7 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71474004"/>
          <w:jc w:val="center"/>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19"/>
                <w:szCs w:val="19"/>
              </w:rPr>
              <w:t>Other non-cash charges (benefits)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1.0 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1.8 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(2.3)</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71474004"/>
          <w:jc w:val="center"/>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19"/>
                <w:szCs w:val="19"/>
              </w:rPr>
              <w:t>Changes in operating assets and liabilities: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271474004"/>
          <w:jc w:val="center"/>
        </w:trPr>
        <w:tc>
          <w:tcPr>
            <w:tcW w:w="0" w:type="auto"/>
            <w:gridSpan w:val="3"/>
            <w:shd w:val="clear" w:color="auto" w:fill="CCEEFF"/>
            <w:tcMar>
              <w:top w:w="30" w:type="dxa"/>
              <w:left w:w="380" w:type="dxa"/>
              <w:bottom w:w="30" w:type="dxa"/>
              <w:right w:w="20" w:type="dxa"/>
            </w:tcMar>
            <w:vAlign w:val="bottom"/>
            <w:hideMark/>
          </w:tcPr>
          <w:p w:rsidR="00000000" w:rsidRDefault="00BB5C2D">
            <w:pPr>
              <w:spacing w:after="100"/>
              <w:rPr>
                <w:rFonts w:eastAsia="Times New Roman"/>
              </w:rPr>
            </w:pPr>
            <w:r>
              <w:rPr>
                <w:rFonts w:eastAsia="Times New Roman"/>
                <w:color w:val="000000"/>
                <w:sz w:val="19"/>
                <w:szCs w:val="19"/>
              </w:rPr>
              <w:t>Accounts receivable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32.4 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(143.0)</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57.6 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71474004"/>
          <w:jc w:val="center"/>
        </w:trPr>
        <w:tc>
          <w:tcPr>
            <w:tcW w:w="0" w:type="auto"/>
            <w:gridSpan w:val="3"/>
            <w:shd w:val="clear" w:color="auto" w:fill="FFFFFF"/>
            <w:tcMar>
              <w:top w:w="30" w:type="dxa"/>
              <w:left w:w="380" w:type="dxa"/>
              <w:bottom w:w="30" w:type="dxa"/>
              <w:right w:w="20" w:type="dxa"/>
            </w:tcMar>
            <w:vAlign w:val="bottom"/>
            <w:hideMark/>
          </w:tcPr>
          <w:p w:rsidR="00000000" w:rsidRDefault="00BB5C2D">
            <w:pPr>
              <w:spacing w:after="100"/>
              <w:rPr>
                <w:rFonts w:eastAsia="Times New Roman"/>
              </w:rPr>
            </w:pPr>
            <w:r>
              <w:rPr>
                <w:rFonts w:eastAsia="Times New Roman"/>
                <w:color w:val="000000"/>
                <w:sz w:val="19"/>
                <w:szCs w:val="19"/>
              </w:rPr>
              <w:t>Inventories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(269.3)</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3.7 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72.3 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71474004"/>
          <w:jc w:val="center"/>
        </w:trPr>
        <w:tc>
          <w:tcPr>
            <w:tcW w:w="0" w:type="auto"/>
            <w:gridSpan w:val="3"/>
            <w:shd w:val="clear" w:color="auto" w:fill="CCEEFF"/>
            <w:tcMar>
              <w:top w:w="30" w:type="dxa"/>
              <w:left w:w="380" w:type="dxa"/>
              <w:bottom w:w="30" w:type="dxa"/>
              <w:right w:w="20" w:type="dxa"/>
            </w:tcMar>
            <w:vAlign w:val="bottom"/>
            <w:hideMark/>
          </w:tcPr>
          <w:p w:rsidR="00000000" w:rsidRDefault="00BB5C2D">
            <w:pPr>
              <w:spacing w:after="100"/>
              <w:rPr>
                <w:rFonts w:eastAsia="Times New Roman"/>
              </w:rPr>
            </w:pPr>
            <w:r>
              <w:rPr>
                <w:rFonts w:eastAsia="Times New Roman"/>
                <w:color w:val="000000"/>
                <w:sz w:val="19"/>
                <w:szCs w:val="19"/>
              </w:rPr>
              <w:t>Prepaid expenses and other current assets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(28.3)</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5.2 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58.2 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71474004"/>
          <w:jc w:val="center"/>
        </w:trPr>
        <w:tc>
          <w:tcPr>
            <w:tcW w:w="0" w:type="auto"/>
            <w:gridSpan w:val="3"/>
            <w:shd w:val="clear" w:color="auto" w:fill="FFFFFF"/>
            <w:tcMar>
              <w:top w:w="30" w:type="dxa"/>
              <w:left w:w="380" w:type="dxa"/>
              <w:bottom w:w="30" w:type="dxa"/>
              <w:right w:w="20" w:type="dxa"/>
            </w:tcMar>
            <w:vAlign w:val="bottom"/>
            <w:hideMark/>
          </w:tcPr>
          <w:p w:rsidR="00000000" w:rsidRDefault="00BB5C2D">
            <w:pPr>
              <w:spacing w:after="100"/>
              <w:rPr>
                <w:rFonts w:eastAsia="Times New Roman"/>
              </w:rPr>
            </w:pPr>
            <w:r>
              <w:rPr>
                <w:rFonts w:eastAsia="Times New Roman"/>
                <w:color w:val="000000"/>
                <w:sz w:val="19"/>
                <w:szCs w:val="19"/>
              </w:rPr>
              <w:t>Accounts payable and accrued liabilities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194.6 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293.6 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(64.3)</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71474004"/>
          <w:jc w:val="center"/>
        </w:trPr>
        <w:tc>
          <w:tcPr>
            <w:tcW w:w="0" w:type="auto"/>
            <w:gridSpan w:val="3"/>
            <w:shd w:val="clear" w:color="auto" w:fill="CCEEFF"/>
            <w:tcMar>
              <w:top w:w="30" w:type="dxa"/>
              <w:left w:w="380" w:type="dxa"/>
              <w:bottom w:w="30" w:type="dxa"/>
              <w:right w:w="20" w:type="dxa"/>
            </w:tcMar>
            <w:vAlign w:val="bottom"/>
            <w:hideMark/>
          </w:tcPr>
          <w:p w:rsidR="00000000" w:rsidRDefault="00BB5C2D">
            <w:pPr>
              <w:spacing w:after="100"/>
              <w:rPr>
                <w:rFonts w:eastAsia="Times New Roman"/>
              </w:rPr>
            </w:pPr>
            <w:r>
              <w:rPr>
                <w:rFonts w:eastAsia="Times New Roman"/>
                <w:color w:val="000000"/>
                <w:sz w:val="19"/>
                <w:szCs w:val="19"/>
              </w:rPr>
              <w:t>Income tax receivables and payables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(62.3)</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(37.8)</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(42.5)</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71474004"/>
          <w:jc w:val="center"/>
        </w:trPr>
        <w:tc>
          <w:tcPr>
            <w:tcW w:w="0" w:type="auto"/>
            <w:gridSpan w:val="3"/>
            <w:vAlign w:val="center"/>
            <w:hideMark/>
          </w:tcPr>
          <w:p w:rsidR="00000000" w:rsidRDefault="00BB5C2D">
            <w:pPr>
              <w:spacing w:after="100"/>
              <w:jc w:val="right"/>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r>
      <w:tr w:rsidR="00000000">
        <w:trPr>
          <w:divId w:val="271474004"/>
          <w:jc w:val="center"/>
        </w:trPr>
        <w:tc>
          <w:tcPr>
            <w:tcW w:w="0" w:type="auto"/>
            <w:gridSpan w:val="3"/>
            <w:shd w:val="clear" w:color="auto" w:fill="FFFFFF"/>
            <w:tcMar>
              <w:top w:w="30" w:type="dxa"/>
              <w:left w:w="380" w:type="dxa"/>
              <w:bottom w:w="30" w:type="dxa"/>
              <w:right w:w="20" w:type="dxa"/>
            </w:tcMar>
            <w:vAlign w:val="bottom"/>
            <w:hideMark/>
          </w:tcPr>
          <w:p w:rsidR="00000000" w:rsidRDefault="00BB5C2D">
            <w:pPr>
              <w:spacing w:after="100"/>
              <w:rPr>
                <w:rFonts w:eastAsia="Times New Roman"/>
              </w:rPr>
            </w:pPr>
            <w:r>
              <w:rPr>
                <w:rFonts w:eastAsia="Times New Roman"/>
                <w:color w:val="000000"/>
                <w:sz w:val="19"/>
                <w:szCs w:val="19"/>
              </w:rPr>
              <w:t>Operating lease right-of-use assets and liabilities, net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(61.6)</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(30.2)</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(37.5)</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71474004"/>
          <w:jc w:val="center"/>
        </w:trPr>
        <w:tc>
          <w:tcPr>
            <w:tcW w:w="0" w:type="auto"/>
            <w:gridSpan w:val="3"/>
            <w:shd w:val="clear" w:color="auto" w:fill="CCEEFF"/>
            <w:tcMar>
              <w:top w:w="30" w:type="dxa"/>
              <w:left w:w="380" w:type="dxa"/>
              <w:bottom w:w="30" w:type="dxa"/>
              <w:right w:w="20" w:type="dxa"/>
            </w:tcMar>
            <w:vAlign w:val="bottom"/>
            <w:hideMark/>
          </w:tcPr>
          <w:p w:rsidR="00000000" w:rsidRDefault="00BB5C2D">
            <w:pPr>
              <w:spacing w:after="100"/>
              <w:rPr>
                <w:rFonts w:eastAsia="Times New Roman"/>
              </w:rPr>
            </w:pPr>
            <w:r>
              <w:rPr>
                <w:rFonts w:eastAsia="Times New Roman"/>
                <w:color w:val="000000"/>
                <w:sz w:val="19"/>
                <w:szCs w:val="19"/>
              </w:rPr>
              <w:t>Other balance sheet changes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24.9 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(15.6)</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30.1 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71474004"/>
          <w:jc w:val="center"/>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divId w:val="1075205077"/>
              <w:rPr>
                <w:rFonts w:eastAsia="Times New Roman"/>
              </w:rPr>
            </w:pPr>
            <w:r>
              <w:rPr>
                <w:rFonts w:eastAsia="Times New Roman"/>
                <w:b/>
                <w:bCs/>
                <w:color w:val="000000"/>
                <w:sz w:val="19"/>
                <w:szCs w:val="19"/>
              </w:rPr>
              <w:t>Net cash provided by operating activities</w:t>
            </w:r>
            <w:r>
              <w:rPr>
                <w:rFonts w:eastAsia="Times New Roman"/>
                <w:color w:val="000000"/>
                <w:sz w:val="19"/>
                <w:szCs w:val="19"/>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715.9 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380.9 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754.6 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71474004"/>
          <w:jc w:val="center"/>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b/>
                <w:bCs/>
                <w:color w:val="000000"/>
                <w:sz w:val="19"/>
                <w:szCs w:val="19"/>
              </w:rPr>
              <w:t>Cash flows from investing activities: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271474004"/>
          <w:jc w:val="center"/>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19"/>
                <w:szCs w:val="19"/>
              </w:rPr>
              <w:t>Capital expenditures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(166.9)</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(107.8)</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(270.3)</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71474004"/>
          <w:jc w:val="center"/>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19"/>
                <w:szCs w:val="19"/>
              </w:rPr>
              <w:t>Purchases of investments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(1,510.6)</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(704.6)</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(1,289.7)</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71474004"/>
          <w:jc w:val="center"/>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19"/>
                <w:szCs w:val="19"/>
              </w:rPr>
              <w:t>Proceeds from sales and maturities of investments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964.6 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1,007.2 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2,240.4 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71474004"/>
          <w:jc w:val="center"/>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ind w:hanging="180"/>
              <w:divId w:val="1122309777"/>
              <w:rPr>
                <w:rFonts w:eastAsia="Times New Roman"/>
              </w:rPr>
            </w:pPr>
            <w:r>
              <w:rPr>
                <w:rFonts w:eastAsia="Times New Roman"/>
                <w:color w:val="000000"/>
                <w:sz w:val="19"/>
                <w:szCs w:val="19"/>
              </w:rPr>
              <w:t>Proceeds from sale of property</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ind w:hanging="18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20.8 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71474004"/>
          <w:jc w:val="center"/>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ind w:hanging="180"/>
              <w:divId w:val="1465461393"/>
              <w:rPr>
                <w:rFonts w:eastAsia="Times New Roman"/>
              </w:rPr>
            </w:pPr>
            <w:r>
              <w:rPr>
                <w:rFonts w:eastAsia="Times New Roman"/>
                <w:color w:val="000000"/>
                <w:sz w:val="19"/>
                <w:szCs w:val="19"/>
              </w:rPr>
              <w:t>Settlement of net investment hedges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3.7 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71474004"/>
          <w:jc w:val="center"/>
        </w:trPr>
        <w:tc>
          <w:tcPr>
            <w:tcW w:w="0" w:type="auto"/>
            <w:gridSpan w:val="3"/>
            <w:shd w:val="clear" w:color="auto" w:fill="CCEEFF"/>
            <w:tcMar>
              <w:top w:w="30" w:type="dxa"/>
              <w:left w:w="335" w:type="dxa"/>
              <w:bottom w:w="30" w:type="dxa"/>
              <w:right w:w="20" w:type="dxa"/>
            </w:tcMar>
            <w:vAlign w:val="bottom"/>
            <w:hideMark/>
          </w:tcPr>
          <w:p w:rsidR="00000000" w:rsidRDefault="00BB5C2D">
            <w:pPr>
              <w:spacing w:after="100"/>
              <w:ind w:hanging="180"/>
              <w:rPr>
                <w:rFonts w:eastAsia="Times New Roman"/>
              </w:rPr>
            </w:pPr>
            <w:r>
              <w:rPr>
                <w:rFonts w:eastAsia="Times New Roman"/>
                <w:color w:val="000000"/>
                <w:sz w:val="19"/>
                <w:szCs w:val="19"/>
              </w:rPr>
              <w:t>Other investing activities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ind w:hanging="18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(5.0)</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(3.5)</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0.9 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71474004"/>
          <w:jc w:val="center"/>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divId w:val="402719093"/>
              <w:rPr>
                <w:rFonts w:eastAsia="Times New Roman"/>
              </w:rPr>
            </w:pPr>
            <w:r>
              <w:rPr>
                <w:rFonts w:eastAsia="Times New Roman"/>
                <w:b/>
                <w:bCs/>
                <w:color w:val="000000"/>
                <w:sz w:val="19"/>
                <w:szCs w:val="19"/>
              </w:rPr>
              <w:t>Net cash provided by (used in) investing activities</w:t>
            </w:r>
            <w:r>
              <w:rPr>
                <w:rFonts w:eastAsia="Times New Roman"/>
                <w:color w:val="000000"/>
                <w:sz w:val="19"/>
                <w:szCs w:val="19"/>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(717.9)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195.0 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702.1 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71474004"/>
          <w:jc w:val="center"/>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b/>
                <w:bCs/>
                <w:color w:val="000000"/>
                <w:sz w:val="19"/>
                <w:szCs w:val="19"/>
              </w:rPr>
              <w:t>Cash flows from financing activities: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271474004"/>
          <w:jc w:val="center"/>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19"/>
                <w:szCs w:val="19"/>
              </w:rPr>
              <w:t>Proceeds from credit facility borrowings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475.0 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71474004"/>
          <w:jc w:val="center"/>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19"/>
                <w:szCs w:val="19"/>
              </w:rPr>
              <w:t>Repayments of credit facility borrowings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(475.0)</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71474004"/>
          <w:jc w:val="center"/>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19"/>
                <w:szCs w:val="19"/>
              </w:rPr>
              <w:t>Proceeds from the issuance of long-term debt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1,241.9 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71474004"/>
          <w:jc w:val="center"/>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19"/>
                <w:szCs w:val="19"/>
              </w:rPr>
              <w:t>Repayments of long-term debt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(300.0)</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71474004"/>
          <w:jc w:val="center"/>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19"/>
                <w:szCs w:val="19"/>
              </w:rPr>
              <w:t>Payments of finance lease obligations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(23.1)</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(13.9)</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(13.6)</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71474004"/>
          <w:jc w:val="center"/>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19"/>
                <w:szCs w:val="19"/>
              </w:rPr>
              <w:t>Payments of dividends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(150.0)</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(49.8)</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(203.9)</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71474004"/>
          <w:jc w:val="center"/>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ind w:hanging="180"/>
              <w:divId w:val="1645353186"/>
              <w:rPr>
                <w:rFonts w:eastAsia="Times New Roman"/>
              </w:rPr>
            </w:pPr>
            <w:r>
              <w:rPr>
                <w:rFonts w:eastAsia="Times New Roman"/>
                <w:color w:val="000000"/>
                <w:sz w:val="19"/>
                <w:szCs w:val="19"/>
              </w:rPr>
              <w:t>Repurchases of common stock, including shares surrendered for tax withholdings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(492.6)</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(37.7)</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(694.8)</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71474004"/>
          <w:jc w:val="center"/>
        </w:trPr>
        <w:tc>
          <w:tcPr>
            <w:tcW w:w="0" w:type="auto"/>
            <w:gridSpan w:val="3"/>
            <w:vAlign w:val="center"/>
            <w:hideMark/>
          </w:tcPr>
          <w:p w:rsidR="00000000" w:rsidRDefault="00BB5C2D">
            <w:pPr>
              <w:spacing w:after="100"/>
              <w:jc w:val="right"/>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r>
      <w:tr w:rsidR="00000000">
        <w:trPr>
          <w:divId w:val="271474004"/>
          <w:jc w:val="center"/>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19"/>
                <w:szCs w:val="19"/>
              </w:rPr>
              <w:t>Other financing activities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(8.7)</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(0.9)</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71474004"/>
          <w:jc w:val="center"/>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divId w:val="382289613"/>
              <w:rPr>
                <w:rFonts w:eastAsia="Times New Roman"/>
              </w:rPr>
            </w:pPr>
            <w:r>
              <w:rPr>
                <w:rFonts w:eastAsia="Times New Roman"/>
                <w:b/>
                <w:bCs/>
                <w:color w:val="000000"/>
                <w:sz w:val="19"/>
                <w:szCs w:val="19"/>
              </w:rPr>
              <w:t>Net cash provided by (used in) financing activities</w:t>
            </w:r>
            <w:r>
              <w:rPr>
                <w:rFonts w:eastAsia="Times New Roman"/>
                <w:color w:val="000000"/>
                <w:sz w:val="19"/>
                <w:szCs w:val="19"/>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(665.7)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356.8 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(438.2)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71474004"/>
          <w:jc w:val="center"/>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9"/>
                <w:szCs w:val="19"/>
              </w:rPr>
              <w:t>Effect of exchange rate changes on cash, cash equivalents, and restricted cash</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(48.3)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25.5 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(15.2)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71474004"/>
          <w:jc w:val="center"/>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9"/>
                <w:szCs w:val="19"/>
              </w:rPr>
              <w:t>Net increase (decrease) in cash, cash equivalents, and restricted cash</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(716.0)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958.2 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1,003.3 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71474004"/>
          <w:jc w:val="center"/>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9"/>
                <w:szCs w:val="19"/>
              </w:rPr>
              <w:t>Cash, cash equivalents, and restricted cash at beginning of period</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2,588.0 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1,629.8 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626.5 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71474004"/>
          <w:jc w:val="center"/>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9"/>
                <w:szCs w:val="19"/>
              </w:rPr>
              <w:t>Cash, cash equivalents, and restricted cash at end of period</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9"/>
                <w:szCs w:val="19"/>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1,872.0 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9"/>
                <w:szCs w:val="19"/>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2,588.0 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9"/>
                <w:szCs w:val="19"/>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9"/>
                <w:szCs w:val="19"/>
              </w:rPr>
              <w:t>1,629.8 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bl>
    <w:p w:rsidR="00000000" w:rsidRDefault="00BB5C2D">
      <w:pPr>
        <w:jc w:val="center"/>
        <w:divId w:val="361439130"/>
        <w:rPr>
          <w:rFonts w:eastAsia="Times New Roman"/>
        </w:rPr>
      </w:pPr>
      <w:r>
        <w:rPr>
          <w:rFonts w:eastAsia="Times New Roman"/>
          <w:color w:val="000000"/>
          <w:sz w:val="20"/>
          <w:szCs w:val="20"/>
        </w:rPr>
        <w:t>See accompanying notes.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972207615"/>
          <w:jc w:val="center"/>
        </w:trPr>
        <w:tc>
          <w:tcPr>
            <w:tcW w:w="50" w:type="pct"/>
            <w:vAlign w:val="center"/>
            <w:hideMark/>
          </w:tcPr>
          <w:p w:rsidR="00000000" w:rsidRDefault="00BB5C2D">
            <w:pPr>
              <w:jc w:val="center"/>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972207615"/>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F-5</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17" style="width:0;height:1.5pt" o:hralign="center" o:hrstd="t" o:hr="t" fillcolor="#a0a0a0" stroked="f"/>
        </w:pict>
      </w:r>
    </w:p>
    <w:p w:rsidR="00000000" w:rsidRDefault="00BB5C2D">
      <w:pPr>
        <w:divId w:val="2071884453"/>
        <w:rPr>
          <w:rFonts w:eastAsia="Times New Roman"/>
        </w:rPr>
      </w:pPr>
    </w:p>
    <w:p w:rsidR="00000000" w:rsidRDefault="00BB5C2D">
      <w:pPr>
        <w:jc w:val="center"/>
        <w:rPr>
          <w:rFonts w:eastAsia="Times New Roman"/>
        </w:rPr>
      </w:pPr>
      <w:r>
        <w:rPr>
          <w:rFonts w:eastAsia="Times New Roman"/>
          <w:b/>
          <w:bCs/>
          <w:color w:val="000000"/>
          <w:sz w:val="20"/>
          <w:szCs w:val="20"/>
        </w:rPr>
        <w:t>RALPH LAUREN CORPORATION</w:t>
      </w:r>
    </w:p>
    <w:p w:rsidR="00000000" w:rsidRDefault="00BB5C2D">
      <w:pPr>
        <w:jc w:val="center"/>
        <w:divId w:val="1260143579"/>
        <w:rPr>
          <w:rFonts w:eastAsia="Times New Roman"/>
        </w:rPr>
      </w:pPr>
      <w:r>
        <w:rPr>
          <w:rFonts w:eastAsia="Times New Roman"/>
          <w:b/>
          <w:bCs/>
          <w:color w:val="000000"/>
          <w:sz w:val="20"/>
          <w:szCs w:val="20"/>
        </w:rPr>
        <w:t>CONSOLIDATED STATEMENTS OF EQUITY</w:t>
      </w:r>
    </w:p>
    <w:tbl>
      <w:tblPr>
        <w:tblW w:w="4970" w:type="pct"/>
        <w:jc w:val="center"/>
        <w:tblCellMar>
          <w:top w:w="15" w:type="dxa"/>
          <w:left w:w="15" w:type="dxa"/>
          <w:bottom w:w="15" w:type="dxa"/>
          <w:right w:w="15" w:type="dxa"/>
        </w:tblCellMar>
        <w:tblLook w:val="04A0" w:firstRow="1" w:lastRow="0" w:firstColumn="1" w:lastColumn="0" w:noHBand="0" w:noVBand="1"/>
      </w:tblPr>
      <w:tblGrid>
        <w:gridCol w:w="40"/>
        <w:gridCol w:w="104"/>
        <w:gridCol w:w="1596"/>
        <w:gridCol w:w="144"/>
        <w:gridCol w:w="453"/>
        <w:gridCol w:w="39"/>
        <w:gridCol w:w="36"/>
        <w:gridCol w:w="36"/>
        <w:gridCol w:w="36"/>
        <w:gridCol w:w="81"/>
        <w:gridCol w:w="385"/>
        <w:gridCol w:w="37"/>
        <w:gridCol w:w="37"/>
        <w:gridCol w:w="37"/>
        <w:gridCol w:w="36"/>
        <w:gridCol w:w="101"/>
        <w:gridCol w:w="470"/>
        <w:gridCol w:w="36"/>
        <w:gridCol w:w="36"/>
        <w:gridCol w:w="36"/>
        <w:gridCol w:w="36"/>
        <w:gridCol w:w="101"/>
        <w:gridCol w:w="626"/>
        <w:gridCol w:w="36"/>
        <w:gridCol w:w="36"/>
        <w:gridCol w:w="36"/>
        <w:gridCol w:w="36"/>
        <w:gridCol w:w="100"/>
        <w:gridCol w:w="520"/>
        <w:gridCol w:w="36"/>
        <w:gridCol w:w="36"/>
        <w:gridCol w:w="36"/>
        <w:gridCol w:w="36"/>
        <w:gridCol w:w="79"/>
        <w:gridCol w:w="388"/>
        <w:gridCol w:w="36"/>
        <w:gridCol w:w="36"/>
        <w:gridCol w:w="36"/>
        <w:gridCol w:w="36"/>
        <w:gridCol w:w="100"/>
        <w:gridCol w:w="587"/>
        <w:gridCol w:w="36"/>
        <w:gridCol w:w="36"/>
        <w:gridCol w:w="36"/>
        <w:gridCol w:w="36"/>
        <w:gridCol w:w="100"/>
        <w:gridCol w:w="467"/>
        <w:gridCol w:w="36"/>
        <w:gridCol w:w="36"/>
        <w:gridCol w:w="36"/>
        <w:gridCol w:w="36"/>
        <w:gridCol w:w="100"/>
        <w:gridCol w:w="520"/>
        <w:gridCol w:w="36"/>
      </w:tblGrid>
      <w:tr w:rsidR="00000000">
        <w:trPr>
          <w:divId w:val="1393118914"/>
          <w:jc w:val="center"/>
        </w:trPr>
        <w:tc>
          <w:tcPr>
            <w:tcW w:w="50" w:type="pct"/>
            <w:vAlign w:val="center"/>
            <w:hideMark/>
          </w:tcPr>
          <w:p w:rsidR="00000000" w:rsidRDefault="00BB5C2D">
            <w:pPr>
              <w:jc w:val="center"/>
              <w:rPr>
                <w:rFonts w:eastAsia="Times New Roman"/>
              </w:rPr>
            </w:pPr>
          </w:p>
        </w:tc>
        <w:tc>
          <w:tcPr>
            <w:tcW w:w="1864" w:type="pct"/>
            <w:gridSpan w:val="4"/>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23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26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34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32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24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32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261"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32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393118914"/>
          <w:jc w:val="center"/>
        </w:trPr>
        <w:tc>
          <w:tcPr>
            <w:tcW w:w="0" w:type="auto"/>
            <w:gridSpan w:val="6"/>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r>
      <w:tr w:rsidR="00000000">
        <w:trPr>
          <w:divId w:val="1393118914"/>
          <w:jc w:val="center"/>
        </w:trPr>
        <w:tc>
          <w:tcPr>
            <w:tcW w:w="0" w:type="auto"/>
            <w:gridSpan w:val="6"/>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r>
      <w:tr w:rsidR="00000000">
        <w:trPr>
          <w:divId w:val="1393118914"/>
          <w:jc w:val="center"/>
        </w:trPr>
        <w:tc>
          <w:tcPr>
            <w:tcW w:w="0" w:type="auto"/>
            <w:gridSpan w:val="6"/>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r>
      <w:tr w:rsidR="00000000">
        <w:trPr>
          <w:divId w:val="1393118914"/>
          <w:jc w:val="center"/>
        </w:trPr>
        <w:tc>
          <w:tcPr>
            <w:tcW w:w="0" w:type="auto"/>
            <w:gridSpan w:val="6"/>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5"/>
                <w:szCs w:val="15"/>
              </w:rPr>
              <w:t>Additional</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5"/>
                <w:szCs w:val="15"/>
              </w:rPr>
              <w:t xml:space="preserve">Treasury Stock </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393118914"/>
          <w:jc w:val="center"/>
        </w:trPr>
        <w:tc>
          <w:tcPr>
            <w:tcW w:w="0" w:type="auto"/>
            <w:gridSpan w:val="6"/>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5"/>
                <w:szCs w:val="15"/>
              </w:rPr>
              <w:t>Common Stoc</w:t>
            </w:r>
            <w:r>
              <w:rPr>
                <w:rFonts w:eastAsia="Times New Roman"/>
                <w:b/>
                <w:bCs/>
                <w:color w:val="000000"/>
                <w:sz w:val="15"/>
                <w:szCs w:val="15"/>
              </w:rPr>
              <w:t>k</w:t>
            </w:r>
            <w:r>
              <w:rPr>
                <w:rFonts w:eastAsia="Times New Roman"/>
                <w:b/>
                <w:bCs/>
                <w:color w:val="000000"/>
                <w:sz w:val="10"/>
                <w:szCs w:val="10"/>
              </w:rPr>
              <w:t>(a</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5"/>
                <w:szCs w:val="15"/>
              </w:rPr>
              <w:t>Paid-in</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5"/>
                <w:szCs w:val="15"/>
              </w:rPr>
              <w:t>Retained</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5"/>
                <w:szCs w:val="15"/>
              </w:rPr>
              <w:t>at Cost</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5"/>
                <w:szCs w:val="15"/>
              </w:rPr>
              <w:t>Total</w:t>
            </w:r>
          </w:p>
        </w:tc>
      </w:tr>
      <w:tr w:rsidR="00000000">
        <w:trPr>
          <w:divId w:val="1393118914"/>
          <w:jc w:val="center"/>
        </w:trPr>
        <w:tc>
          <w:tcPr>
            <w:tcW w:w="0" w:type="auto"/>
            <w:gridSpan w:val="6"/>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5"/>
                <w:szCs w:val="15"/>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5"/>
                <w:szCs w:val="15"/>
              </w:rPr>
              <w:t>Amount</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5"/>
                <w:szCs w:val="15"/>
              </w:rPr>
              <w:t>Capital</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5"/>
                <w:szCs w:val="15"/>
              </w:rPr>
              <w:t>Earnings</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5"/>
                <w:szCs w:val="15"/>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5"/>
                <w:szCs w:val="15"/>
              </w:rPr>
              <w:t>Amount</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5"/>
                <w:szCs w:val="15"/>
              </w:rPr>
              <w:t>AOC</w:t>
            </w:r>
            <w:r>
              <w:rPr>
                <w:rFonts w:eastAsia="Times New Roman"/>
                <w:b/>
                <w:bCs/>
                <w:color w:val="000000"/>
                <w:sz w:val="15"/>
                <w:szCs w:val="15"/>
              </w:rPr>
              <w:t>I</w:t>
            </w:r>
            <w:r>
              <w:rPr>
                <w:rFonts w:eastAsia="Times New Roman"/>
                <w:b/>
                <w:bCs/>
                <w:color w:val="000000"/>
                <w:sz w:val="10"/>
                <w:szCs w:val="10"/>
              </w:rPr>
              <w:t>(b</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5"/>
                <w:szCs w:val="15"/>
              </w:rPr>
              <w:t>Equity</w:t>
            </w:r>
          </w:p>
        </w:tc>
      </w:tr>
      <w:tr w:rsidR="00000000">
        <w:trPr>
          <w:divId w:val="1393118914"/>
          <w:jc w:val="center"/>
        </w:trPr>
        <w:tc>
          <w:tcPr>
            <w:tcW w:w="0" w:type="auto"/>
            <w:gridSpan w:val="6"/>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45"/>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5"/>
                <w:szCs w:val="15"/>
              </w:rPr>
              <w:t>(millions)</w:t>
            </w:r>
          </w:p>
        </w:tc>
      </w:tr>
      <w:tr w:rsidR="00BB5C2D">
        <w:trPr>
          <w:divId w:val="1393118914"/>
          <w:jc w:val="center"/>
        </w:trPr>
        <w:tc>
          <w:tcPr>
            <w:tcW w:w="0" w:type="auto"/>
            <w:gridSpan w:val="6"/>
            <w:shd w:val="clear" w:color="auto" w:fill="CCEEFF"/>
            <w:tcMar>
              <w:top w:w="30" w:type="dxa"/>
              <w:left w:w="20" w:type="dxa"/>
              <w:bottom w:w="30" w:type="dxa"/>
              <w:right w:w="20" w:type="dxa"/>
            </w:tcMar>
            <w:vAlign w:val="bottom"/>
            <w:hideMark/>
          </w:tcPr>
          <w:p w:rsidR="00000000" w:rsidRDefault="00BB5C2D">
            <w:pPr>
              <w:spacing w:after="100"/>
              <w:divId w:val="954603874"/>
              <w:rPr>
                <w:rFonts w:eastAsia="Times New Roman"/>
              </w:rPr>
            </w:pPr>
            <w:r>
              <w:rPr>
                <w:rFonts w:eastAsia="Times New Roman"/>
                <w:b/>
                <w:bCs/>
                <w:color w:val="000000"/>
                <w:sz w:val="18"/>
                <w:szCs w:val="18"/>
              </w:rPr>
              <w:t>Balance at March 30, 2019</w:t>
            </w:r>
            <w:r>
              <w:rPr>
                <w:rFonts w:eastAsia="Times New Roman"/>
                <w:color w:val="000000"/>
                <w:sz w:val="18"/>
                <w:szCs w:val="18"/>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128.8 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2,493.8 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5,979.1 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50.7 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(5,083.6)</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w:t>
            </w:r>
            <w:r>
              <w:rPr>
                <w:rFonts w:eastAsia="Times New Roman"/>
                <w:color w:val="000000"/>
                <w:sz w:val="16"/>
                <w:szCs w:val="16"/>
              </w:rPr>
              <w:t>103.4)</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3,287.2 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93118914"/>
          <w:jc w:val="center"/>
        </w:trPr>
        <w:tc>
          <w:tcPr>
            <w:tcW w:w="0" w:type="auto"/>
            <w:gridSpan w:val="6"/>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Comprehensive income:</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393118914"/>
          <w:jc w:val="center"/>
        </w:trPr>
        <w:tc>
          <w:tcPr>
            <w:tcW w:w="0" w:type="auto"/>
            <w:gridSpan w:val="6"/>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Net income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384.3 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393118914"/>
          <w:jc w:val="center"/>
        </w:trPr>
        <w:tc>
          <w:tcPr>
            <w:tcW w:w="0" w:type="auto"/>
            <w:gridSpan w:val="6"/>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Other comprehensive loss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(14.8)</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393118914"/>
          <w:jc w:val="center"/>
        </w:trPr>
        <w:tc>
          <w:tcPr>
            <w:tcW w:w="0" w:type="auto"/>
            <w:gridSpan w:val="6"/>
            <w:shd w:val="clear" w:color="auto" w:fill="CCEEFF"/>
            <w:tcMar>
              <w:top w:w="30" w:type="dxa"/>
              <w:left w:w="245"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Total comprehensive income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369.5 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93118914"/>
          <w:jc w:val="center"/>
        </w:trPr>
        <w:tc>
          <w:tcPr>
            <w:tcW w:w="0" w:type="auto"/>
            <w:gridSpan w:val="6"/>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Dividends declared</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(204.9)</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(204.9)</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93118914"/>
          <w:jc w:val="center"/>
        </w:trPr>
        <w:tc>
          <w:tcPr>
            <w:tcW w:w="0" w:type="auto"/>
            <w:gridSpan w:val="6"/>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Repurchases of common stock</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6.6 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(694.8)</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w:t>
            </w:r>
            <w:r>
              <w:rPr>
                <w:rFonts w:eastAsia="Times New Roman"/>
                <w:color w:val="000000"/>
                <w:sz w:val="16"/>
                <w:szCs w:val="16"/>
              </w:rPr>
              <w:t>694.8)</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93118914"/>
          <w:jc w:val="center"/>
        </w:trPr>
        <w:tc>
          <w:tcPr>
            <w:tcW w:w="0" w:type="auto"/>
            <w:gridSpan w:val="6"/>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Stock-based compensation</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100.6 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100.6 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93118914"/>
          <w:jc w:val="center"/>
        </w:trPr>
        <w:tc>
          <w:tcPr>
            <w:tcW w:w="0" w:type="auto"/>
            <w:gridSpan w:val="6"/>
            <w:shd w:val="clear" w:color="auto" w:fill="CCEEFF"/>
            <w:tcMar>
              <w:top w:w="30" w:type="dxa"/>
              <w:left w:w="20" w:type="dxa"/>
              <w:bottom w:w="30" w:type="dxa"/>
              <w:right w:w="20" w:type="dxa"/>
            </w:tcMar>
            <w:vAlign w:val="bottom"/>
            <w:hideMark/>
          </w:tcPr>
          <w:p w:rsidR="00000000" w:rsidRDefault="00BB5C2D">
            <w:pPr>
              <w:spacing w:after="100"/>
              <w:divId w:val="1323196134"/>
              <w:rPr>
                <w:rFonts w:eastAsia="Times New Roman"/>
              </w:rPr>
            </w:pPr>
            <w:r>
              <w:rPr>
                <w:rFonts w:eastAsia="Times New Roman"/>
                <w:color w:val="000000"/>
                <w:sz w:val="18"/>
                <w:szCs w:val="18"/>
              </w:rPr>
              <w:t xml:space="preserve">Shares issued pursuant to stock-based </w:t>
            </w:r>
          </w:p>
          <w:p w:rsidR="00000000" w:rsidRDefault="00BB5C2D">
            <w:pPr>
              <w:spacing w:after="100"/>
              <w:divId w:val="1262491084"/>
              <w:rPr>
                <w:rFonts w:eastAsia="Times New Roman"/>
              </w:rPr>
            </w:pPr>
            <w:r>
              <w:rPr>
                <w:rFonts w:eastAsia="Times New Roman"/>
                <w:color w:val="000000"/>
                <w:sz w:val="18"/>
                <w:szCs w:val="18"/>
              </w:rPr>
              <w:t>compensation plans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93118914"/>
          <w:jc w:val="center"/>
        </w:trPr>
        <w:tc>
          <w:tcPr>
            <w:tcW w:w="0" w:type="auto"/>
            <w:gridSpan w:val="6"/>
            <w:shd w:val="clear" w:color="auto" w:fill="FFFFFF"/>
            <w:tcMar>
              <w:top w:w="30" w:type="dxa"/>
              <w:left w:w="290" w:type="dxa"/>
              <w:bottom w:w="30" w:type="dxa"/>
              <w:right w:w="20" w:type="dxa"/>
            </w:tcMar>
            <w:vAlign w:val="bottom"/>
            <w:hideMark/>
          </w:tcPr>
          <w:p w:rsidR="00000000" w:rsidRDefault="00BB5C2D">
            <w:pPr>
              <w:spacing w:after="100"/>
              <w:ind w:hanging="270"/>
              <w:rPr>
                <w:rFonts w:eastAsia="Times New Roman"/>
              </w:rPr>
            </w:pPr>
            <w:r>
              <w:rPr>
                <w:rFonts w:eastAsia="Times New Roman"/>
                <w:color w:val="000000"/>
                <w:sz w:val="18"/>
                <w:szCs w:val="18"/>
              </w:rPr>
              <w:t>Cumulative adjustment from adoption of new accounting standards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ind w:hanging="27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(164.5)</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(164.5)</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BB5C2D">
        <w:trPr>
          <w:divId w:val="1393118914"/>
          <w:jc w:val="center"/>
        </w:trPr>
        <w:tc>
          <w:tcPr>
            <w:tcW w:w="0" w:type="auto"/>
            <w:gridSpan w:val="6"/>
            <w:shd w:val="clear" w:color="auto" w:fill="CCEEFF"/>
            <w:tcMar>
              <w:top w:w="30" w:type="dxa"/>
              <w:left w:w="20" w:type="dxa"/>
              <w:bottom w:w="30" w:type="dxa"/>
              <w:right w:w="20" w:type="dxa"/>
            </w:tcMar>
            <w:vAlign w:val="bottom"/>
            <w:hideMark/>
          </w:tcPr>
          <w:p w:rsidR="00000000" w:rsidRDefault="00BB5C2D">
            <w:pPr>
              <w:spacing w:after="100"/>
              <w:divId w:val="1099063707"/>
              <w:rPr>
                <w:rFonts w:eastAsia="Times New Roman"/>
              </w:rPr>
            </w:pPr>
            <w:r>
              <w:rPr>
                <w:rFonts w:eastAsia="Times New Roman"/>
                <w:b/>
                <w:bCs/>
                <w:color w:val="000000"/>
                <w:sz w:val="18"/>
                <w:szCs w:val="18"/>
              </w:rPr>
              <w:t>Balance at March 28, 2020</w:t>
            </w:r>
            <w:r>
              <w:rPr>
                <w:rFonts w:eastAsia="Times New Roman"/>
                <w:color w:val="000000"/>
                <w:sz w:val="18"/>
                <w:szCs w:val="18"/>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129.8 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2,594.4 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5,994.0 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57.3 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(5,778.4)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(118.2)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2,693.1 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93118914"/>
          <w:jc w:val="center"/>
        </w:trPr>
        <w:tc>
          <w:tcPr>
            <w:tcW w:w="0" w:type="auto"/>
            <w:gridSpan w:val="6"/>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Comprehensive loss: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393118914"/>
          <w:jc w:val="center"/>
        </w:trPr>
        <w:tc>
          <w:tcPr>
            <w:tcW w:w="0" w:type="auto"/>
            <w:gridSpan w:val="6"/>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 xml:space="preserve">Net loss </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(121.1)</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393118914"/>
          <w:jc w:val="center"/>
        </w:trPr>
        <w:tc>
          <w:tcPr>
            <w:tcW w:w="0" w:type="auto"/>
            <w:gridSpan w:val="6"/>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Other comprehensive loss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(2.6)</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393118914"/>
          <w:jc w:val="center"/>
        </w:trPr>
        <w:tc>
          <w:tcPr>
            <w:tcW w:w="0" w:type="auto"/>
            <w:gridSpan w:val="6"/>
            <w:shd w:val="clear" w:color="auto" w:fill="CCEEFF"/>
            <w:tcMar>
              <w:top w:w="30" w:type="dxa"/>
              <w:left w:w="245"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 xml:space="preserve">Total comprehensive loss </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(123.7)</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93118914"/>
          <w:jc w:val="center"/>
        </w:trPr>
        <w:tc>
          <w:tcPr>
            <w:tcW w:w="0" w:type="auto"/>
            <w:gridSpan w:val="6"/>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Dividends declared</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93118914"/>
          <w:jc w:val="center"/>
        </w:trPr>
        <w:tc>
          <w:tcPr>
            <w:tcW w:w="0" w:type="auto"/>
            <w:gridSpan w:val="6"/>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Repurchases of common stock</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0.5 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(37.7)</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(37.7)</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93118914"/>
          <w:jc w:val="center"/>
        </w:trPr>
        <w:tc>
          <w:tcPr>
            <w:tcW w:w="0" w:type="auto"/>
            <w:gridSpan w:val="6"/>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Stock-based compensation</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72.7 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72.7 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93118914"/>
          <w:jc w:val="center"/>
        </w:trPr>
        <w:tc>
          <w:tcPr>
            <w:tcW w:w="0" w:type="auto"/>
            <w:gridSpan w:val="6"/>
            <w:shd w:val="clear" w:color="auto" w:fill="CCEEFF"/>
            <w:tcMar>
              <w:top w:w="30" w:type="dxa"/>
              <w:left w:w="20" w:type="dxa"/>
              <w:bottom w:w="30" w:type="dxa"/>
              <w:right w:w="20" w:type="dxa"/>
            </w:tcMar>
            <w:vAlign w:val="bottom"/>
            <w:hideMark/>
          </w:tcPr>
          <w:p w:rsidR="00000000" w:rsidRDefault="00BB5C2D">
            <w:pPr>
              <w:spacing w:after="100"/>
              <w:divId w:val="727803665"/>
              <w:rPr>
                <w:rFonts w:eastAsia="Times New Roman"/>
              </w:rPr>
            </w:pPr>
            <w:r>
              <w:rPr>
                <w:rFonts w:eastAsia="Times New Roman"/>
                <w:color w:val="000000"/>
                <w:sz w:val="18"/>
                <w:szCs w:val="18"/>
              </w:rPr>
              <w:t xml:space="preserve">Shares issued pursuant to stock-based </w:t>
            </w:r>
          </w:p>
          <w:p w:rsidR="00000000" w:rsidRDefault="00BB5C2D">
            <w:pPr>
              <w:spacing w:after="100"/>
              <w:divId w:val="549153279"/>
              <w:rPr>
                <w:rFonts w:eastAsia="Times New Roman"/>
              </w:rPr>
            </w:pPr>
            <w:r>
              <w:rPr>
                <w:rFonts w:eastAsia="Times New Roman"/>
                <w:color w:val="000000"/>
                <w:sz w:val="18"/>
                <w:szCs w:val="18"/>
              </w:rPr>
              <w:t>compensation plans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1.2 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BB5C2D">
        <w:trPr>
          <w:divId w:val="1393118914"/>
          <w:jc w:val="center"/>
        </w:trPr>
        <w:tc>
          <w:tcPr>
            <w:tcW w:w="0" w:type="auto"/>
            <w:gridSpan w:val="6"/>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b/>
                <w:bCs/>
                <w:color w:val="000000"/>
                <w:sz w:val="18"/>
                <w:szCs w:val="18"/>
              </w:rPr>
              <w:t xml:space="preserve">Balance at March 27, 2021 </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131.0 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2,667.1 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5,872.9 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57.8 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(5,816.1)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(120.8)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2,604.4 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93118914"/>
          <w:jc w:val="center"/>
        </w:trPr>
        <w:tc>
          <w:tcPr>
            <w:tcW w:w="0" w:type="auto"/>
            <w:gridSpan w:val="6"/>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Comprehensive income: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393118914"/>
          <w:jc w:val="center"/>
        </w:trPr>
        <w:tc>
          <w:tcPr>
            <w:tcW w:w="0" w:type="auto"/>
            <w:gridSpan w:val="6"/>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Net income</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600.1 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393118914"/>
          <w:jc w:val="center"/>
        </w:trPr>
        <w:tc>
          <w:tcPr>
            <w:tcW w:w="0" w:type="auto"/>
            <w:gridSpan w:val="6"/>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Other comprehensive loss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(59.5)</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393118914"/>
          <w:jc w:val="center"/>
        </w:trPr>
        <w:tc>
          <w:tcPr>
            <w:tcW w:w="0" w:type="auto"/>
            <w:gridSpan w:val="6"/>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 xml:space="preserve">     Total comprehensive income </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540.6 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93118914"/>
          <w:jc w:val="center"/>
        </w:trPr>
        <w:tc>
          <w:tcPr>
            <w:tcW w:w="0" w:type="auto"/>
            <w:gridSpan w:val="6"/>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Dividends declared</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(198.1)</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(198.1)</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93118914"/>
          <w:jc w:val="center"/>
        </w:trPr>
        <w:tc>
          <w:tcPr>
            <w:tcW w:w="0" w:type="auto"/>
            <w:gridSpan w:val="6"/>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Repurchases of common stock</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4.1 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(492.6)</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(492.6)</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93118914"/>
          <w:jc w:val="center"/>
        </w:trPr>
        <w:tc>
          <w:tcPr>
            <w:tcW w:w="0" w:type="auto"/>
            <w:gridSpan w:val="6"/>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Stock-based compensation</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81.7 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81.7 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93118914"/>
          <w:jc w:val="center"/>
        </w:trPr>
        <w:tc>
          <w:tcPr>
            <w:tcW w:w="0" w:type="auto"/>
            <w:gridSpan w:val="6"/>
            <w:shd w:val="clear" w:color="auto" w:fill="FFFFFF"/>
            <w:tcMar>
              <w:top w:w="30" w:type="dxa"/>
              <w:left w:w="20" w:type="dxa"/>
              <w:bottom w:w="30" w:type="dxa"/>
              <w:right w:w="20" w:type="dxa"/>
            </w:tcMar>
            <w:vAlign w:val="bottom"/>
            <w:hideMark/>
          </w:tcPr>
          <w:p w:rsidR="00000000" w:rsidRDefault="00BB5C2D">
            <w:pPr>
              <w:spacing w:after="100"/>
              <w:divId w:val="18893347"/>
              <w:rPr>
                <w:rFonts w:eastAsia="Times New Roman"/>
              </w:rPr>
            </w:pPr>
            <w:r>
              <w:rPr>
                <w:rFonts w:eastAsia="Times New Roman"/>
                <w:color w:val="000000"/>
                <w:sz w:val="18"/>
                <w:szCs w:val="18"/>
              </w:rPr>
              <w:t xml:space="preserve">Shares issued pursuant to stock-based </w:t>
            </w:r>
          </w:p>
          <w:p w:rsidR="00000000" w:rsidRDefault="00BB5C2D">
            <w:pPr>
              <w:spacing w:after="100"/>
              <w:divId w:val="1219976925"/>
              <w:rPr>
                <w:rFonts w:eastAsia="Times New Roman"/>
              </w:rPr>
            </w:pPr>
            <w:r>
              <w:rPr>
                <w:rFonts w:eastAsia="Times New Roman"/>
                <w:color w:val="000000"/>
                <w:sz w:val="18"/>
                <w:szCs w:val="18"/>
              </w:rPr>
              <w:t>compensation plans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0.8 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BB5C2D">
        <w:trPr>
          <w:divId w:val="1393118914"/>
          <w:jc w:val="center"/>
        </w:trPr>
        <w:tc>
          <w:tcPr>
            <w:tcW w:w="0" w:type="auto"/>
            <w:gridSpan w:val="6"/>
            <w:shd w:val="clear" w:color="auto" w:fill="CCEEFF"/>
            <w:tcMar>
              <w:top w:w="30" w:type="dxa"/>
              <w:left w:w="20" w:type="dxa"/>
              <w:bottom w:w="30" w:type="dxa"/>
              <w:right w:w="20" w:type="dxa"/>
            </w:tcMar>
            <w:vAlign w:val="bottom"/>
            <w:hideMark/>
          </w:tcPr>
          <w:p w:rsidR="00000000" w:rsidRDefault="00BB5C2D">
            <w:pPr>
              <w:spacing w:after="100"/>
              <w:divId w:val="1907452138"/>
              <w:rPr>
                <w:rFonts w:eastAsia="Times New Roman"/>
              </w:rPr>
            </w:pPr>
            <w:r>
              <w:rPr>
                <w:rFonts w:eastAsia="Times New Roman"/>
                <w:b/>
                <w:bCs/>
                <w:color w:val="000000"/>
                <w:sz w:val="18"/>
                <w:szCs w:val="18"/>
              </w:rPr>
              <w:t>Balance at April 2, 2022</w:t>
            </w:r>
            <w:r>
              <w:rPr>
                <w:rFonts w:eastAsia="Times New Roman"/>
                <w:color w:val="000000"/>
                <w:sz w:val="18"/>
                <w:szCs w:val="18"/>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131.8 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2,748.8 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6,274.9 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61.9 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(6,308.7)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(180.3)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2,536.0 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blPrEx>
          <w:tblW w:w="972" w:type="pct"/>
          <w:jc w:val="left"/>
        </w:tblPrEx>
        <w:trPr>
          <w:gridAfter w:val="50"/>
        </w:trPr>
        <w:tc>
          <w:tcPr>
            <w:tcW w:w="50" w:type="pct"/>
            <w:gridSpan w:val="2"/>
            <w:vAlign w:val="center"/>
            <w:hideMark/>
          </w:tcPr>
          <w:p w:rsidR="00000000" w:rsidRDefault="00BB5C2D">
            <w:pPr>
              <w:jc w:val="center"/>
              <w:rPr>
                <w:rFonts w:eastAsia="Times New Roman"/>
              </w:rPr>
            </w:pPr>
          </w:p>
        </w:tc>
        <w:tc>
          <w:tcPr>
            <w:tcW w:w="494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blPrEx>
          <w:tblW w:w="972" w:type="pct"/>
          <w:jc w:val="left"/>
        </w:tblPrEx>
        <w:trPr>
          <w:gridAfter w:val="50"/>
          <w:trHeight w:val="60"/>
        </w:trPr>
        <w:tc>
          <w:tcPr>
            <w:tcW w:w="0" w:type="auto"/>
            <w:gridSpan w:val="4"/>
            <w:tcBorders>
              <w:bottom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r>
    </w:tbl>
    <w:p w:rsidR="00000000" w:rsidRDefault="00BB5C2D">
      <w:pPr>
        <w:ind w:hanging="540"/>
        <w:jc w:val="both"/>
        <w:divId w:val="723677581"/>
        <w:rPr>
          <w:rFonts w:eastAsia="Times New Roman"/>
        </w:rPr>
      </w:pPr>
      <w:r>
        <w:rPr>
          <w:rFonts w:eastAsia="Times New Roman"/>
          <w:b/>
          <w:bCs/>
          <w:color w:val="000000"/>
          <w:sz w:val="12"/>
          <w:szCs w:val="12"/>
        </w:rPr>
        <w:t>(a</w:t>
      </w:r>
      <w:r>
        <w:rPr>
          <w:rFonts w:eastAsia="Times New Roman"/>
          <w:b/>
          <w:bCs/>
          <w:color w:val="000000"/>
          <w:sz w:val="12"/>
          <w:szCs w:val="12"/>
        </w:rPr>
        <w:t>)</w:t>
      </w:r>
      <w:r>
        <w:rPr>
          <w:rFonts w:eastAsia="Times New Roman"/>
          <w:color w:val="000000"/>
          <w:sz w:val="18"/>
          <w:szCs w:val="18"/>
        </w:rPr>
        <w:t xml:space="preserve">Includes Class A and Class B common stock. In Fiscal 2020, 1.0 </w:t>
      </w:r>
      <w:r>
        <w:rPr>
          <w:rFonts w:eastAsia="Times New Roman"/>
          <w:color w:val="000000"/>
          <w:sz w:val="18"/>
          <w:szCs w:val="18"/>
        </w:rPr>
        <w:t>million shares of Class B common stock were converted into an equal number of shares of Class A common stock pursuant to the terms of the Class B common stock (see Note 16).</w:t>
      </w:r>
    </w:p>
    <w:p w:rsidR="00000000" w:rsidRDefault="00BB5C2D">
      <w:pPr>
        <w:ind w:hanging="540"/>
        <w:jc w:val="both"/>
        <w:divId w:val="1359702416"/>
        <w:rPr>
          <w:rFonts w:eastAsia="Times New Roman"/>
        </w:rPr>
      </w:pPr>
      <w:r>
        <w:rPr>
          <w:rFonts w:eastAsia="Times New Roman"/>
          <w:b/>
          <w:bCs/>
          <w:color w:val="000000"/>
          <w:sz w:val="12"/>
          <w:szCs w:val="12"/>
        </w:rPr>
        <w:t>(b</w:t>
      </w:r>
      <w:r>
        <w:rPr>
          <w:rFonts w:eastAsia="Times New Roman"/>
          <w:b/>
          <w:bCs/>
          <w:color w:val="000000"/>
          <w:sz w:val="12"/>
          <w:szCs w:val="12"/>
        </w:rPr>
        <w:t>)</w:t>
      </w:r>
      <w:r>
        <w:rPr>
          <w:rFonts w:eastAsia="Times New Roman"/>
          <w:color w:val="000000"/>
          <w:sz w:val="18"/>
          <w:szCs w:val="18"/>
        </w:rPr>
        <w:t>Accumulated other comprehensive income (loss).</w:t>
      </w:r>
    </w:p>
    <w:p w:rsidR="00000000" w:rsidRDefault="00BB5C2D">
      <w:pPr>
        <w:jc w:val="both"/>
        <w:divId w:val="1692535480"/>
        <w:rPr>
          <w:rFonts w:eastAsia="Times New Roman"/>
        </w:rPr>
      </w:pPr>
    </w:p>
    <w:p w:rsidR="00000000" w:rsidRDefault="00BB5C2D">
      <w:pPr>
        <w:jc w:val="center"/>
        <w:divId w:val="847258723"/>
        <w:rPr>
          <w:rFonts w:eastAsia="Times New Roman"/>
        </w:rPr>
      </w:pPr>
      <w:r>
        <w:rPr>
          <w:rFonts w:eastAsia="Times New Roman"/>
          <w:color w:val="000000"/>
          <w:sz w:val="18"/>
          <w:szCs w:val="18"/>
        </w:rPr>
        <w:t>See accompanying notes.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833788285"/>
          <w:jc w:val="center"/>
        </w:trPr>
        <w:tc>
          <w:tcPr>
            <w:tcW w:w="50" w:type="pct"/>
            <w:vAlign w:val="center"/>
            <w:hideMark/>
          </w:tcPr>
          <w:p w:rsidR="00000000" w:rsidRDefault="00BB5C2D">
            <w:pPr>
              <w:jc w:val="center"/>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833788285"/>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F-6</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18" style="width:0;height:1.5pt" o:hralign="center" o:hrstd="t" o:hr="t" fillcolor="#a0a0a0" stroked="f"/>
        </w:pict>
      </w:r>
    </w:p>
    <w:p w:rsidR="00000000" w:rsidRDefault="00BB5C2D">
      <w:pPr>
        <w:divId w:val="337774382"/>
        <w:rPr>
          <w:rFonts w:eastAsia="Times New Roman"/>
        </w:rPr>
      </w:pPr>
    </w:p>
    <w:p w:rsidR="00000000" w:rsidRDefault="00BB5C2D">
      <w:pPr>
        <w:jc w:val="center"/>
        <w:divId w:val="566846592"/>
        <w:rPr>
          <w:rFonts w:eastAsia="Times New Roman"/>
        </w:rPr>
      </w:pPr>
      <w:r>
        <w:rPr>
          <w:rFonts w:eastAsia="Times New Roman"/>
          <w:b/>
          <w:bCs/>
          <w:color w:val="000000"/>
          <w:sz w:val="20"/>
          <w:szCs w:val="20"/>
        </w:rPr>
        <w:t>RALPH LAUREN CORPORATION</w:t>
      </w:r>
    </w:p>
    <w:p w:rsidR="00000000" w:rsidRDefault="00BB5C2D">
      <w:pPr>
        <w:jc w:val="center"/>
        <w:divId w:val="603615017"/>
        <w:rPr>
          <w:rFonts w:eastAsia="Times New Roman"/>
        </w:rPr>
      </w:pPr>
      <w:r>
        <w:rPr>
          <w:rFonts w:eastAsia="Times New Roman"/>
          <w:b/>
          <w:bCs/>
          <w:color w:val="000000"/>
          <w:sz w:val="20"/>
          <w:szCs w:val="20"/>
        </w:rPr>
        <w:t>NOTES TO CONSOLIDATED FINANCIAL STATEMENTS</w:t>
      </w:r>
    </w:p>
    <w:p w:rsidR="00000000" w:rsidRDefault="00BB5C2D">
      <w:pPr>
        <w:ind w:hanging="450"/>
        <w:divId w:val="480582816"/>
        <w:rPr>
          <w:rFonts w:eastAsia="Times New Roman"/>
        </w:rPr>
      </w:pPr>
      <w:r>
        <w:rPr>
          <w:rFonts w:eastAsia="Times New Roman"/>
          <w:b/>
          <w:bCs/>
          <w:color w:val="000000"/>
          <w:sz w:val="20"/>
          <w:szCs w:val="20"/>
        </w:rPr>
        <w:t>1.    Description of Business</w:t>
      </w:r>
    </w:p>
    <w:p w:rsidR="00000000" w:rsidRDefault="00BB5C2D">
      <w:pPr>
        <w:ind w:firstLine="540"/>
        <w:jc w:val="both"/>
        <w:divId w:val="1156652198"/>
        <w:rPr>
          <w:rFonts w:eastAsia="Times New Roman"/>
        </w:rPr>
      </w:pPr>
      <w:r>
        <w:rPr>
          <w:rFonts w:eastAsia="Times New Roman"/>
          <w:color w:val="000000"/>
          <w:sz w:val="20"/>
          <w:szCs w:val="20"/>
        </w:rPr>
        <w:t>Ralph Lauren Corporation ("RLC") is a global leader in the design, marketing, and distribution of premium lifestyle prod</w:t>
      </w:r>
      <w:r>
        <w:rPr>
          <w:rFonts w:eastAsia="Times New Roman"/>
          <w:color w:val="000000"/>
          <w:sz w:val="20"/>
          <w:szCs w:val="20"/>
        </w:rPr>
        <w:t>ucts, including apparel, footwear, accessories, home furnishings, fragrances, and hospitality. RLC's long-standing reputation and distinctive image have been developed across a wide range of products, brands, distribution channels, and international market</w:t>
      </w:r>
      <w:r>
        <w:rPr>
          <w:rFonts w:eastAsia="Times New Roman"/>
          <w:color w:val="000000"/>
          <w:sz w:val="20"/>
          <w:szCs w:val="20"/>
        </w:rPr>
        <w:t>s. RLC's brand names include Ralph Lauren, Ralph Lauren Collection, Ralph Lauren Purple Label, Polo Ralph Lauren, Double RL, Lauren Ralph Lauren, Polo Ralph Lauren Children, and Chaps, among others. RLC and its subsidiaries are collectively referred to her</w:t>
      </w:r>
      <w:r>
        <w:rPr>
          <w:rFonts w:eastAsia="Times New Roman"/>
          <w:color w:val="000000"/>
          <w:sz w:val="20"/>
          <w:szCs w:val="20"/>
        </w:rPr>
        <w:t>ein as the "Company," "we," "us," "our," and "ourselves," unless the context indicates otherwise.</w:t>
      </w:r>
    </w:p>
    <w:p w:rsidR="00000000" w:rsidRDefault="00BB5C2D">
      <w:pPr>
        <w:ind w:firstLine="540"/>
        <w:jc w:val="both"/>
        <w:divId w:val="477960662"/>
        <w:rPr>
          <w:rFonts w:eastAsia="Times New Roman"/>
        </w:rPr>
      </w:pPr>
      <w:r>
        <w:rPr>
          <w:rFonts w:eastAsia="Times New Roman"/>
          <w:color w:val="000000"/>
          <w:sz w:val="20"/>
          <w:szCs w:val="20"/>
        </w:rPr>
        <w:t>The Company diversifies its business by geography (North America, Europe, and Asia, among other regions) and channel of distribution (retail, wholesale, and l</w:t>
      </w:r>
      <w:r>
        <w:rPr>
          <w:rFonts w:eastAsia="Times New Roman"/>
          <w:color w:val="000000"/>
          <w:sz w:val="20"/>
          <w:szCs w:val="20"/>
        </w:rPr>
        <w:t>icensing). This allows the Company to maintain a dynamic balance as its operating results do not depend solely on the performance of any single geographic area or channel of distribution. The Company sells directly to consumers through its integrated retai</w:t>
      </w:r>
      <w:r>
        <w:rPr>
          <w:rFonts w:eastAsia="Times New Roman"/>
          <w:color w:val="000000"/>
          <w:sz w:val="20"/>
          <w:szCs w:val="20"/>
        </w:rPr>
        <w:t>l channel, which includes its retail stores, concession-based shop-within-shops, and digital commerce operations around the world. The Company's wholesale sales are made principally to major department stores, specialty stores, and third-party digital part</w:t>
      </w:r>
      <w:r>
        <w:rPr>
          <w:rFonts w:eastAsia="Times New Roman"/>
          <w:color w:val="000000"/>
          <w:sz w:val="20"/>
          <w:szCs w:val="20"/>
        </w:rPr>
        <w:t>ners around the world, as well as to certain third-party-owned stores to which the Company has licensed the right to operate in defined geographic territories using its trademarks. In addition, the Company licenses to third parties for specified periods th</w:t>
      </w:r>
      <w:r>
        <w:rPr>
          <w:rFonts w:eastAsia="Times New Roman"/>
          <w:color w:val="000000"/>
          <w:sz w:val="20"/>
          <w:szCs w:val="20"/>
        </w:rPr>
        <w:t>e right to access its various trademarks in connection with the licensees' manufacture and sale of designated products, such as certain apparel, eyewear, fragrances, and home furnishings.</w:t>
      </w:r>
    </w:p>
    <w:p w:rsidR="00000000" w:rsidRDefault="00BB5C2D">
      <w:pPr>
        <w:ind w:firstLine="540"/>
        <w:jc w:val="both"/>
        <w:divId w:val="1203635461"/>
        <w:rPr>
          <w:rFonts w:eastAsia="Times New Roman"/>
        </w:rPr>
      </w:pPr>
      <w:r>
        <w:rPr>
          <w:rFonts w:eastAsia="Times New Roman"/>
          <w:color w:val="000000"/>
          <w:sz w:val="20"/>
          <w:szCs w:val="20"/>
        </w:rPr>
        <w:t>The Company organizes its business into the following three reportab</w:t>
      </w:r>
      <w:r>
        <w:rPr>
          <w:rFonts w:eastAsia="Times New Roman"/>
          <w:color w:val="000000"/>
          <w:sz w:val="20"/>
          <w:szCs w:val="20"/>
        </w:rPr>
        <w:t>le segments: North America, Europe, and Asia. In addition to these reportable segments, the Company also has other non-reportable segments. See Note 20 for further discussion of the Company's segment reporting structure.</w:t>
      </w:r>
    </w:p>
    <w:p w:rsidR="00000000" w:rsidRDefault="00BB5C2D">
      <w:pPr>
        <w:ind w:hanging="540"/>
        <w:divId w:val="632902032"/>
        <w:rPr>
          <w:rFonts w:eastAsia="Times New Roman"/>
        </w:rPr>
      </w:pPr>
      <w:r>
        <w:rPr>
          <w:rFonts w:eastAsia="Times New Roman"/>
          <w:b/>
          <w:bCs/>
          <w:color w:val="000000"/>
          <w:sz w:val="20"/>
          <w:szCs w:val="20"/>
        </w:rPr>
        <w:t>2.    Basis of Presentation</w:t>
      </w:r>
    </w:p>
    <w:p w:rsidR="00000000" w:rsidRDefault="00BB5C2D">
      <w:pPr>
        <w:ind w:firstLine="360"/>
        <w:jc w:val="both"/>
        <w:divId w:val="749305193"/>
        <w:rPr>
          <w:rFonts w:eastAsia="Times New Roman"/>
        </w:rPr>
      </w:pPr>
      <w:r>
        <w:rPr>
          <w:rFonts w:eastAsia="Times New Roman"/>
          <w:b/>
          <w:bCs/>
          <w:i/>
          <w:iCs/>
          <w:color w:val="000000"/>
          <w:sz w:val="20"/>
          <w:szCs w:val="20"/>
        </w:rPr>
        <w:t>Basis o</w:t>
      </w:r>
      <w:r>
        <w:rPr>
          <w:rFonts w:eastAsia="Times New Roman"/>
          <w:b/>
          <w:bCs/>
          <w:i/>
          <w:iCs/>
          <w:color w:val="000000"/>
          <w:sz w:val="20"/>
          <w:szCs w:val="20"/>
        </w:rPr>
        <w:t>f Consolidation</w:t>
      </w:r>
    </w:p>
    <w:p w:rsidR="00000000" w:rsidRDefault="00BB5C2D">
      <w:pPr>
        <w:ind w:firstLine="540"/>
        <w:jc w:val="both"/>
        <w:divId w:val="1097676762"/>
        <w:rPr>
          <w:rFonts w:eastAsia="Times New Roman"/>
        </w:rPr>
      </w:pPr>
      <w:r>
        <w:rPr>
          <w:rFonts w:eastAsia="Times New Roman"/>
          <w:color w:val="000000"/>
          <w:sz w:val="20"/>
          <w:szCs w:val="20"/>
        </w:rPr>
        <w:t>These consolidated financial statements have been prepared in accordance with accounting principles generally accepted in the U.S. ("U.S. GAAP") and present the consolidated financial position, income (loss), comprehensive income (loss), an</w:t>
      </w:r>
      <w:r>
        <w:rPr>
          <w:rFonts w:eastAsia="Times New Roman"/>
          <w:color w:val="000000"/>
          <w:sz w:val="20"/>
          <w:szCs w:val="20"/>
        </w:rPr>
        <w:t xml:space="preserve">d cash flows of the Company, including all entities in which the Company has a controlling financial interest and is determined to be the primary beneficiary. All significant intercompany balances and transactions have been eliminated in consolidation. </w:t>
      </w:r>
    </w:p>
    <w:p w:rsidR="00000000" w:rsidRDefault="00BB5C2D">
      <w:pPr>
        <w:ind w:firstLine="540"/>
        <w:jc w:val="both"/>
        <w:divId w:val="1030646630"/>
        <w:rPr>
          <w:rFonts w:eastAsia="Times New Roman"/>
        </w:rPr>
      </w:pPr>
      <w:r>
        <w:rPr>
          <w:rFonts w:eastAsia="Times New Roman"/>
          <w:color w:val="000000"/>
          <w:sz w:val="20"/>
          <w:szCs w:val="20"/>
        </w:rPr>
        <w:t>Ad</w:t>
      </w:r>
      <w:r>
        <w:rPr>
          <w:rFonts w:eastAsia="Times New Roman"/>
          <w:color w:val="000000"/>
          <w:sz w:val="20"/>
          <w:szCs w:val="20"/>
        </w:rPr>
        <w:t xml:space="preserve">ditionally, as discussed in Note 9, the Company completed the sale of its Club Monaco business at the end of its first quarter of Fiscal 2022 (as defined below) on June 26, 2021. As a result, assets and liabilities related to the Club Monaco business were </w:t>
      </w:r>
      <w:r>
        <w:rPr>
          <w:rFonts w:eastAsia="Times New Roman"/>
          <w:color w:val="000000"/>
          <w:sz w:val="20"/>
          <w:szCs w:val="20"/>
        </w:rPr>
        <w:t xml:space="preserve">deconsolidated from the consolidated statement of financial position effective June 26, 2021, with Club Monaco's operating results included in the consolidated statements of income (loss), comprehensive income (loss), and cash flows through the end of the </w:t>
      </w:r>
      <w:r>
        <w:rPr>
          <w:rFonts w:eastAsia="Times New Roman"/>
          <w:color w:val="000000"/>
          <w:sz w:val="20"/>
          <w:szCs w:val="20"/>
        </w:rPr>
        <w:t>first quarter of Fiscal 2022. Prior year financial statements were not affected.</w:t>
      </w:r>
    </w:p>
    <w:p w:rsidR="00000000" w:rsidRDefault="00BB5C2D">
      <w:pPr>
        <w:ind w:firstLine="360"/>
        <w:jc w:val="both"/>
        <w:divId w:val="1501189180"/>
        <w:rPr>
          <w:rFonts w:eastAsia="Times New Roman"/>
        </w:rPr>
      </w:pPr>
      <w:r>
        <w:rPr>
          <w:rFonts w:eastAsia="Times New Roman"/>
          <w:b/>
          <w:bCs/>
          <w:i/>
          <w:iCs/>
          <w:color w:val="000000"/>
          <w:sz w:val="20"/>
          <w:szCs w:val="20"/>
        </w:rPr>
        <w:t>Fiscal Year</w:t>
      </w:r>
    </w:p>
    <w:p w:rsidR="00000000" w:rsidRDefault="00BB5C2D">
      <w:pPr>
        <w:ind w:firstLine="540"/>
        <w:jc w:val="both"/>
        <w:divId w:val="457647903"/>
        <w:rPr>
          <w:rFonts w:eastAsia="Times New Roman"/>
        </w:rPr>
      </w:pPr>
      <w:r>
        <w:rPr>
          <w:rFonts w:eastAsia="Times New Roman"/>
          <w:color w:val="000000"/>
          <w:sz w:val="20"/>
          <w:szCs w:val="20"/>
        </w:rPr>
        <w:t>The Company utilizes a 52-53 week fiscal year ending on the Saturday immediately before or after March 31. As such, fiscal year 2022 ended on April 2, 2022 and was</w:t>
      </w:r>
      <w:r>
        <w:rPr>
          <w:rFonts w:eastAsia="Times New Roman"/>
          <w:color w:val="000000"/>
          <w:sz w:val="20"/>
          <w:szCs w:val="20"/>
        </w:rPr>
        <w:t xml:space="preserve"> a 53-week period ("Fiscal 2022"); fiscal year 2021 ended on March 27, 2021 and was a 52-week period ("Fiscal 2021"); fiscal year 2020 ended on March 28, 2020 and was a 52-week period ("Fiscal 2020"); and fiscal year 2023 will end on April 1, 2023 and will</w:t>
      </w:r>
      <w:r>
        <w:rPr>
          <w:rFonts w:eastAsia="Times New Roman"/>
          <w:color w:val="000000"/>
          <w:sz w:val="20"/>
          <w:szCs w:val="20"/>
        </w:rPr>
        <w:t xml:space="preserve"> be a 52-week period ("Fiscal 2023").</w:t>
      </w:r>
    </w:p>
    <w:p w:rsidR="00000000" w:rsidRDefault="00BB5C2D">
      <w:pPr>
        <w:ind w:firstLine="360"/>
        <w:jc w:val="both"/>
        <w:divId w:val="1446921705"/>
        <w:rPr>
          <w:rFonts w:eastAsia="Times New Roman"/>
        </w:rPr>
      </w:pPr>
      <w:r>
        <w:rPr>
          <w:rFonts w:eastAsia="Times New Roman"/>
          <w:b/>
          <w:bCs/>
          <w:i/>
          <w:iCs/>
          <w:color w:val="000000"/>
          <w:sz w:val="20"/>
          <w:szCs w:val="20"/>
        </w:rPr>
        <w:t>Use of Estimates</w:t>
      </w:r>
    </w:p>
    <w:p w:rsidR="00000000" w:rsidRDefault="00BB5C2D">
      <w:pPr>
        <w:ind w:firstLine="540"/>
        <w:jc w:val="both"/>
        <w:divId w:val="356194915"/>
        <w:rPr>
          <w:rFonts w:eastAsia="Times New Roman"/>
        </w:rPr>
      </w:pPr>
      <w:r>
        <w:rPr>
          <w:rFonts w:eastAsia="Times New Roman"/>
          <w:color w:val="000000"/>
          <w:sz w:val="20"/>
          <w:szCs w:val="20"/>
        </w:rPr>
        <w:t>The preparation of financial statements in conformity with U.S. </w:t>
      </w:r>
      <w:r>
        <w:rPr>
          <w:rFonts w:eastAsia="Times New Roman"/>
          <w:color w:val="000000"/>
          <w:sz w:val="20"/>
          <w:szCs w:val="20"/>
        </w:rPr>
        <w:t>GAAP requires management to make certain estimates and assumptions that affect the amounts reported in the financial statements and notes thereto. Actual results could differ materially from those estimates.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208028335"/>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208028335"/>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F-7</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19" style="width:0;height:1.5pt" o:hralign="center" o:hrstd="t" o:hr="t" fillcolor="#a0a0a0" stroked="f"/>
        </w:pict>
      </w:r>
    </w:p>
    <w:p w:rsidR="00000000" w:rsidRDefault="00BB5C2D">
      <w:pPr>
        <w:jc w:val="center"/>
        <w:divId w:val="1202858738"/>
        <w:rPr>
          <w:rFonts w:eastAsia="Times New Roman"/>
        </w:rPr>
      </w:pPr>
    </w:p>
    <w:p w:rsidR="00000000" w:rsidRDefault="00BB5C2D">
      <w:pPr>
        <w:jc w:val="center"/>
        <w:divId w:val="1202858738"/>
        <w:rPr>
          <w:rFonts w:eastAsia="Times New Roman"/>
        </w:rPr>
      </w:pPr>
      <w:r>
        <w:rPr>
          <w:rFonts w:eastAsia="Times New Roman"/>
          <w:b/>
          <w:bCs/>
          <w:color w:val="000000"/>
          <w:sz w:val="20"/>
          <w:szCs w:val="20"/>
        </w:rPr>
        <w:t>RALPH LAUREN CORPORATION</w:t>
      </w:r>
    </w:p>
    <w:p w:rsidR="00000000" w:rsidRDefault="00BB5C2D">
      <w:pPr>
        <w:jc w:val="center"/>
        <w:divId w:val="620846886"/>
        <w:rPr>
          <w:rFonts w:eastAsia="Times New Roman"/>
        </w:rPr>
      </w:pPr>
      <w:r>
        <w:rPr>
          <w:rFonts w:eastAsia="Times New Roman"/>
          <w:b/>
          <w:bCs/>
          <w:color w:val="000000"/>
          <w:sz w:val="20"/>
          <w:szCs w:val="20"/>
        </w:rPr>
        <w:t>NOTES TO CONSOLIDATED FINANCIAL STATEMENTS (Continued)</w:t>
      </w:r>
    </w:p>
    <w:p w:rsidR="00000000" w:rsidRDefault="00BB5C2D">
      <w:pPr>
        <w:ind w:firstLine="540"/>
        <w:jc w:val="both"/>
        <w:divId w:val="232547299"/>
        <w:rPr>
          <w:rFonts w:eastAsia="Times New Roman"/>
        </w:rPr>
      </w:pPr>
      <w:r>
        <w:rPr>
          <w:rFonts w:eastAsia="Times New Roman"/>
          <w:color w:val="000000"/>
          <w:sz w:val="20"/>
          <w:szCs w:val="20"/>
        </w:rPr>
        <w:t>Significant estimates inherent in the preparation of the consolidated financial statements include reserves for bad debt, customer returns</w:t>
      </w:r>
      <w:r>
        <w:rPr>
          <w:rFonts w:eastAsia="Times New Roman"/>
          <w:color w:val="000000"/>
          <w:sz w:val="20"/>
          <w:szCs w:val="20"/>
        </w:rPr>
        <w:t>, discounts, end-of-season markdowns, operational chargebacks, and certain cooperative advertising allowances; the realizability of inventory; reserves for litigation and other contingencies; useful lives and impairments of long-lived tangible and intangib</w:t>
      </w:r>
      <w:r>
        <w:rPr>
          <w:rFonts w:eastAsia="Times New Roman"/>
          <w:color w:val="000000"/>
          <w:sz w:val="20"/>
          <w:szCs w:val="20"/>
        </w:rPr>
        <w:t>le assets; fair value measurements; accounting for income taxes and related uncertain tax positions; valuation of stock-based compensation awards and related forfeiture rates; and reserves for restructuring activity, among others.</w:t>
      </w:r>
    </w:p>
    <w:p w:rsidR="00000000" w:rsidRDefault="00BB5C2D">
      <w:pPr>
        <w:ind w:firstLine="360"/>
        <w:jc w:val="both"/>
        <w:divId w:val="702748084"/>
        <w:rPr>
          <w:rFonts w:eastAsia="Times New Roman"/>
        </w:rPr>
      </w:pPr>
      <w:r>
        <w:rPr>
          <w:rFonts w:eastAsia="Times New Roman"/>
          <w:b/>
          <w:bCs/>
          <w:i/>
          <w:iCs/>
          <w:color w:val="000000"/>
          <w:sz w:val="20"/>
          <w:szCs w:val="20"/>
        </w:rPr>
        <w:t>Reclassifications</w:t>
      </w:r>
    </w:p>
    <w:p w:rsidR="00000000" w:rsidRDefault="00BB5C2D">
      <w:pPr>
        <w:ind w:firstLine="540"/>
        <w:jc w:val="both"/>
        <w:divId w:val="577254563"/>
        <w:rPr>
          <w:rFonts w:eastAsia="Times New Roman"/>
        </w:rPr>
      </w:pPr>
      <w:r>
        <w:rPr>
          <w:rFonts w:eastAsia="Times New Roman"/>
          <w:color w:val="000000"/>
          <w:sz w:val="20"/>
          <w:szCs w:val="20"/>
        </w:rPr>
        <w:t>Certain</w:t>
      </w:r>
      <w:r>
        <w:rPr>
          <w:rFonts w:eastAsia="Times New Roman"/>
          <w:color w:val="000000"/>
          <w:sz w:val="20"/>
          <w:szCs w:val="20"/>
        </w:rPr>
        <w:t xml:space="preserve"> reclassifications have been made to the prior periods' financial information in order to conform to the current period's presentation.</w:t>
      </w:r>
    </w:p>
    <w:p w:rsidR="00000000" w:rsidRDefault="00BB5C2D">
      <w:pPr>
        <w:ind w:firstLine="360"/>
        <w:jc w:val="both"/>
        <w:divId w:val="1901404092"/>
        <w:rPr>
          <w:rFonts w:eastAsia="Times New Roman"/>
        </w:rPr>
      </w:pPr>
      <w:r>
        <w:rPr>
          <w:rFonts w:eastAsia="Times New Roman"/>
          <w:b/>
          <w:bCs/>
          <w:i/>
          <w:iCs/>
          <w:color w:val="000000"/>
          <w:sz w:val="20"/>
          <w:szCs w:val="20"/>
        </w:rPr>
        <w:t>COVID-19 Pandemic</w:t>
      </w:r>
    </w:p>
    <w:p w:rsidR="00000000" w:rsidRDefault="00BB5C2D">
      <w:pPr>
        <w:ind w:firstLine="540"/>
        <w:jc w:val="both"/>
        <w:divId w:val="2144883769"/>
        <w:rPr>
          <w:rFonts w:eastAsia="Times New Roman"/>
        </w:rPr>
      </w:pPr>
      <w:r>
        <w:rPr>
          <w:rFonts w:eastAsia="Times New Roman"/>
          <w:color w:val="000000"/>
          <w:sz w:val="20"/>
          <w:szCs w:val="20"/>
        </w:rPr>
        <w:t>Beginning in the fourth quarter of the Company's Fiscal 2020, a novel strain of coronavirus commonly r</w:t>
      </w:r>
      <w:r>
        <w:rPr>
          <w:rFonts w:eastAsia="Times New Roman"/>
          <w:color w:val="000000"/>
          <w:sz w:val="20"/>
          <w:szCs w:val="20"/>
        </w:rPr>
        <w:t>eferred to as COVID-19 emerged and spread rapidly across the globe, including throughout all major geographies in which the Company operates, resulting in adverse economic conditions and business disruptions, as well as significant volatility in global fin</w:t>
      </w:r>
      <w:r>
        <w:rPr>
          <w:rFonts w:eastAsia="Times New Roman"/>
          <w:color w:val="000000"/>
          <w:sz w:val="20"/>
          <w:szCs w:val="20"/>
        </w:rPr>
        <w:t>ancial markets. Since then, governments worldwide have periodically imposed varying degrees of preventative and protective actions, such as temporary travel bans, forced business closures, and stay-at-home orders, all in an effort to reduce the spread of t</w:t>
      </w:r>
      <w:r>
        <w:rPr>
          <w:rFonts w:eastAsia="Times New Roman"/>
          <w:color w:val="000000"/>
          <w:sz w:val="20"/>
          <w:szCs w:val="20"/>
        </w:rPr>
        <w:t xml:space="preserve">he virus. Such factors, among others, have resulted in a significant decline in retail traffic, tourism, and consumer spending on discretionary items. Additionally, companies across a wide array of industries have implemented various initiatives to reduce </w:t>
      </w:r>
      <w:r>
        <w:rPr>
          <w:rFonts w:eastAsia="Times New Roman"/>
          <w:color w:val="000000"/>
          <w:sz w:val="20"/>
          <w:szCs w:val="20"/>
        </w:rPr>
        <w:t>operating expenses and preserve cash balances during the pandemic, including work furloughs, reduced pay, and severance actions, which could lower consumers' disposable income levels or willingness to purchase discretionary items. Such government restricti</w:t>
      </w:r>
      <w:r>
        <w:rPr>
          <w:rFonts w:eastAsia="Times New Roman"/>
          <w:color w:val="000000"/>
          <w:sz w:val="20"/>
          <w:szCs w:val="20"/>
        </w:rPr>
        <w:t xml:space="preserve">ons, company initiatives, and other macroeconomic impacts resulting from the pandemic could continue to adversely affect consumer behavior, spending levels, and/or shopping preferences, such as willingness to congregate in indoor shopping centers or other </w:t>
      </w:r>
      <w:r>
        <w:rPr>
          <w:rFonts w:eastAsia="Times New Roman"/>
          <w:color w:val="000000"/>
          <w:sz w:val="20"/>
          <w:szCs w:val="20"/>
        </w:rPr>
        <w:t>populated locations.</w:t>
      </w:r>
    </w:p>
    <w:p w:rsidR="00000000" w:rsidRDefault="00BB5C2D">
      <w:pPr>
        <w:ind w:firstLine="540"/>
        <w:jc w:val="both"/>
        <w:divId w:val="898828886"/>
        <w:rPr>
          <w:rFonts w:eastAsia="Times New Roman"/>
        </w:rPr>
      </w:pPr>
      <w:r>
        <w:rPr>
          <w:rFonts w:eastAsia="Times New Roman"/>
          <w:color w:val="000000"/>
          <w:sz w:val="20"/>
          <w:szCs w:val="20"/>
        </w:rPr>
        <w:t xml:space="preserve">As a result of the COVID-19 pandemic, the Company has experienced varying degrees of business disruptions and periods of closure of its stores, distribution centers, and corporate facilities, as have the Company's wholesale customers, </w:t>
      </w:r>
      <w:r>
        <w:rPr>
          <w:rFonts w:eastAsia="Times New Roman"/>
          <w:color w:val="000000"/>
          <w:sz w:val="20"/>
          <w:szCs w:val="20"/>
        </w:rPr>
        <w:t xml:space="preserve">licensing partners, suppliers, and vendors. During the first quarter of Fiscal 2021 at the peak of the pandemic, the majority of the Company's stores in key markets were closed for an average of 8 to 10 weeks due to government-mandated lockdowns and other </w:t>
      </w:r>
      <w:r>
        <w:rPr>
          <w:rFonts w:eastAsia="Times New Roman"/>
          <w:color w:val="000000"/>
          <w:sz w:val="20"/>
          <w:szCs w:val="20"/>
        </w:rPr>
        <w:t>restrictions, resulting in significant adverse impacts to its operating results. Resurgences and outbreaks in certain parts of the world resulted in further business disruptions periodically throughout Fiscal 2021, most notably in Europe where a significan</w:t>
      </w:r>
      <w:r>
        <w:rPr>
          <w:rFonts w:eastAsia="Times New Roman"/>
          <w:color w:val="000000"/>
          <w:sz w:val="20"/>
          <w:szCs w:val="20"/>
        </w:rPr>
        <w:t>t number of the Company's stores were closed for approximately two to three months during the second half of Fiscal 2021, including during the holiday period, due to government-mandated lockdowns and other restrictions. Such disruptions continued throughou</w:t>
      </w:r>
      <w:r>
        <w:rPr>
          <w:rFonts w:eastAsia="Times New Roman"/>
          <w:color w:val="000000"/>
          <w:sz w:val="20"/>
          <w:szCs w:val="20"/>
        </w:rPr>
        <w:t>t Fiscal 2022 in certain regions, although to a lesser extent than the comparable prior year fiscal period. Further, throughout the course of the pandemic, the majority of the Company's stores that were able to remain open have periodically been subject to</w:t>
      </w:r>
      <w:r>
        <w:rPr>
          <w:rFonts w:eastAsia="Times New Roman"/>
          <w:color w:val="000000"/>
          <w:sz w:val="20"/>
          <w:szCs w:val="20"/>
        </w:rPr>
        <w:t xml:space="preserve"> limited operating hours and/or customer capacity levels in accordance with local health guidelines, with traffic remaining challenged. However, the Company's digital commerce operations have grown significantly from pre-pandemic levels, due in part to our</w:t>
      </w:r>
      <w:r>
        <w:rPr>
          <w:rFonts w:eastAsia="Times New Roman"/>
          <w:color w:val="000000"/>
          <w:sz w:val="20"/>
          <w:szCs w:val="20"/>
        </w:rPr>
        <w:t xml:space="preserve"> investments and enhanced capabilities, as well as changes in consumer shopping preferences. The Company's wholesale and licensing businesses have experienced similar impacts, particularly in North America and Europe.</w:t>
      </w:r>
    </w:p>
    <w:p w:rsidR="00000000" w:rsidRDefault="00BB5C2D">
      <w:pPr>
        <w:ind w:firstLine="540"/>
        <w:jc w:val="both"/>
        <w:divId w:val="44763357"/>
        <w:rPr>
          <w:rFonts w:eastAsia="Times New Roman"/>
        </w:rPr>
      </w:pPr>
      <w:r>
        <w:rPr>
          <w:rFonts w:eastAsia="Times New Roman"/>
          <w:color w:val="000000"/>
          <w:sz w:val="20"/>
          <w:szCs w:val="20"/>
        </w:rPr>
        <w:t>The COVID-19 pandemic also continues t</w:t>
      </w:r>
      <w:r>
        <w:rPr>
          <w:rFonts w:eastAsia="Times New Roman"/>
          <w:color w:val="000000"/>
          <w:sz w:val="20"/>
          <w:szCs w:val="20"/>
        </w:rPr>
        <w:t>o adversely impact the Company's distribution, logistic, and sourcing partners, including temporary factory closures, labor shortages, vessel, container and other transportation shortages, and port congestion. Such disruptions have reduced the availability</w:t>
      </w:r>
      <w:r>
        <w:rPr>
          <w:rFonts w:eastAsia="Times New Roman"/>
          <w:color w:val="000000"/>
          <w:sz w:val="20"/>
          <w:szCs w:val="20"/>
        </w:rPr>
        <w:t xml:space="preserve"> of inventory, delayed timing of inventory receipts, and resulted in increased costs for the both the purchase and transportation of such inventory.</w:t>
      </w:r>
    </w:p>
    <w:p w:rsidR="00000000" w:rsidRDefault="00BB5C2D">
      <w:pPr>
        <w:ind w:firstLine="540"/>
        <w:jc w:val="both"/>
        <w:divId w:val="511263883"/>
        <w:rPr>
          <w:rFonts w:eastAsia="Times New Roman"/>
        </w:rPr>
      </w:pPr>
      <w:r>
        <w:rPr>
          <w:rFonts w:eastAsia="Times New Roman"/>
          <w:color w:val="000000"/>
          <w:sz w:val="20"/>
          <w:szCs w:val="20"/>
        </w:rPr>
        <w:t xml:space="preserve">Throughout the course of the pandemic, the Company's priority has been to ensure the safety and well-being </w:t>
      </w:r>
      <w:r>
        <w:rPr>
          <w:rFonts w:eastAsia="Times New Roman"/>
          <w:color w:val="000000"/>
          <w:sz w:val="20"/>
          <w:szCs w:val="20"/>
        </w:rPr>
        <w:t>of its employees, customers, and the communities in which it operates around the world. The Company continues to consider the guidance of local governments and global health organizations and has implemented new health and safety protocols in its stores, d</w:t>
      </w:r>
      <w:r>
        <w:rPr>
          <w:rFonts w:eastAsia="Times New Roman"/>
          <w:color w:val="000000"/>
          <w:sz w:val="20"/>
          <w:szCs w:val="20"/>
        </w:rPr>
        <w:t>istribution centers, and corporate facilities. The Company also took various preemptive actions in the prior fiscal year to preserve cash and strengthen its liquidity position, as described in the Fiscal 2021 10-K. Such actions included, but were not limit</w:t>
      </w:r>
      <w:r>
        <w:rPr>
          <w:rFonts w:eastAsia="Times New Roman"/>
          <w:color w:val="000000"/>
          <w:sz w:val="20"/>
          <w:szCs w:val="20"/>
        </w:rPr>
        <w:t>ed to, issuing $1.250 billion of unsecured senior notes, temporarily suspending the Company's quarterly cash dividend and common stock repurchase programs, temporarily reducing the base compensation of its executives and senior management team, and tempora</w:t>
      </w:r>
      <w:r>
        <w:rPr>
          <w:rFonts w:eastAsia="Times New Roman"/>
          <w:color w:val="000000"/>
          <w:sz w:val="20"/>
          <w:szCs w:val="20"/>
        </w:rPr>
        <w:t>rily furloughing or reducing work hours for a significant portion of its employees.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949387180"/>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949387180"/>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F-8</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20" style="width:0;height:1.5pt" o:hralign="center" o:hrstd="t" o:hr="t" fillcolor="#a0a0a0" stroked="f"/>
        </w:pict>
      </w:r>
    </w:p>
    <w:p w:rsidR="00000000" w:rsidRDefault="00BB5C2D">
      <w:pPr>
        <w:jc w:val="center"/>
        <w:divId w:val="359210824"/>
        <w:rPr>
          <w:rFonts w:eastAsia="Times New Roman"/>
        </w:rPr>
      </w:pPr>
    </w:p>
    <w:p w:rsidR="00000000" w:rsidRDefault="00BB5C2D">
      <w:pPr>
        <w:jc w:val="center"/>
        <w:divId w:val="359210824"/>
        <w:rPr>
          <w:rFonts w:eastAsia="Times New Roman"/>
        </w:rPr>
      </w:pPr>
      <w:r>
        <w:rPr>
          <w:rFonts w:eastAsia="Times New Roman"/>
          <w:b/>
          <w:bCs/>
          <w:color w:val="000000"/>
          <w:sz w:val="20"/>
          <w:szCs w:val="20"/>
        </w:rPr>
        <w:t>RALPH LAUREN CORPORATION</w:t>
      </w:r>
    </w:p>
    <w:p w:rsidR="00000000" w:rsidRDefault="00BB5C2D">
      <w:pPr>
        <w:jc w:val="center"/>
        <w:divId w:val="1671786885"/>
        <w:rPr>
          <w:rFonts w:eastAsia="Times New Roman"/>
        </w:rPr>
      </w:pPr>
      <w:r>
        <w:rPr>
          <w:rFonts w:eastAsia="Times New Roman"/>
          <w:b/>
          <w:bCs/>
          <w:color w:val="000000"/>
          <w:sz w:val="20"/>
          <w:szCs w:val="20"/>
        </w:rPr>
        <w:t>NOTES TO CONSOLIDATED FINANCIAL STATEMENTS (Continued)</w:t>
      </w:r>
    </w:p>
    <w:p w:rsidR="00000000" w:rsidRDefault="00BB5C2D">
      <w:pPr>
        <w:ind w:firstLine="540"/>
        <w:jc w:val="both"/>
        <w:divId w:val="255484596"/>
        <w:rPr>
          <w:rFonts w:eastAsia="Times New Roman"/>
        </w:rPr>
      </w:pPr>
      <w:r>
        <w:rPr>
          <w:rFonts w:eastAsia="Times New Roman"/>
          <w:color w:val="000000"/>
          <w:sz w:val="20"/>
          <w:szCs w:val="20"/>
        </w:rPr>
        <w:t>Despite the introduction of COVID-19 vaccines and improvements in the global economy as a whole during Fiscal 2022, the pandemic remains v</w:t>
      </w:r>
      <w:r>
        <w:rPr>
          <w:rFonts w:eastAsia="Times New Roman"/>
          <w:color w:val="000000"/>
          <w:sz w:val="20"/>
          <w:szCs w:val="20"/>
        </w:rPr>
        <w:t>olatile and continues to evolve, including the emergence of variants of the virus, such as the Delta and Omicron variants, which has and could continue to adversely affect consumer sentiment and confidence. Accordingly, the Company cannot predict for how l</w:t>
      </w:r>
      <w:r>
        <w:rPr>
          <w:rFonts w:eastAsia="Times New Roman"/>
          <w:color w:val="000000"/>
          <w:sz w:val="20"/>
          <w:szCs w:val="20"/>
        </w:rPr>
        <w:t>ong and to what extent the pandemic will continue to impact its business operations or the overall global economy. The Company will continue to assess its operations location-by-location, considering the guidance of local governments and global health orga</w:t>
      </w:r>
      <w:r>
        <w:rPr>
          <w:rFonts w:eastAsia="Times New Roman"/>
          <w:color w:val="000000"/>
          <w:sz w:val="20"/>
          <w:szCs w:val="20"/>
        </w:rPr>
        <w:t xml:space="preserve">nizations. </w:t>
      </w:r>
    </w:p>
    <w:p w:rsidR="00000000" w:rsidRDefault="00BB5C2D">
      <w:pPr>
        <w:ind w:hanging="540"/>
        <w:divId w:val="700014335"/>
        <w:rPr>
          <w:rFonts w:eastAsia="Times New Roman"/>
        </w:rPr>
      </w:pPr>
      <w:r>
        <w:rPr>
          <w:rFonts w:eastAsia="Times New Roman"/>
          <w:b/>
          <w:bCs/>
          <w:color w:val="000000"/>
          <w:sz w:val="20"/>
          <w:szCs w:val="20"/>
        </w:rPr>
        <w:t>3.    Summary of Significant Accounting Policies</w:t>
      </w:r>
    </w:p>
    <w:p w:rsidR="00000000" w:rsidRDefault="00BB5C2D">
      <w:pPr>
        <w:ind w:firstLine="360"/>
        <w:jc w:val="both"/>
        <w:divId w:val="1874340931"/>
        <w:rPr>
          <w:rFonts w:eastAsia="Times New Roman"/>
        </w:rPr>
      </w:pPr>
      <w:r>
        <w:rPr>
          <w:rFonts w:eastAsia="Times New Roman"/>
          <w:b/>
          <w:bCs/>
          <w:i/>
          <w:iCs/>
          <w:color w:val="000000"/>
          <w:sz w:val="20"/>
          <w:szCs w:val="20"/>
        </w:rPr>
        <w:t>Revenue Recognition</w:t>
      </w:r>
    </w:p>
    <w:p w:rsidR="00000000" w:rsidRDefault="00BB5C2D">
      <w:pPr>
        <w:ind w:firstLine="540"/>
        <w:jc w:val="both"/>
        <w:divId w:val="764304110"/>
        <w:rPr>
          <w:rFonts w:eastAsia="Times New Roman"/>
        </w:rPr>
      </w:pPr>
      <w:r>
        <w:rPr>
          <w:rFonts w:eastAsia="Times New Roman"/>
          <w:color w:val="000000"/>
          <w:sz w:val="20"/>
          <w:szCs w:val="20"/>
        </w:rPr>
        <w:t>The Company recognizes revenue across all channels of the business when it satisfies its performance obligations by transferring control of promised products or services to its customers, which occurs either at a point in time or over time, depending on wh</w:t>
      </w:r>
      <w:r>
        <w:rPr>
          <w:rFonts w:eastAsia="Times New Roman"/>
          <w:color w:val="000000"/>
          <w:sz w:val="20"/>
          <w:szCs w:val="20"/>
        </w:rPr>
        <w:t>en the customer obtains the ability to direct the use of and obtain substantially all of the remaining benefits from the products or services. The amount of revenue recognized considers terms of sale that create variability in the amount of consideration t</w:t>
      </w:r>
      <w:r>
        <w:rPr>
          <w:rFonts w:eastAsia="Times New Roman"/>
          <w:color w:val="000000"/>
          <w:sz w:val="20"/>
          <w:szCs w:val="20"/>
        </w:rPr>
        <w:t>hat the Company ultimately expects to be entitled to in exchange for the products or services, and is subject to an overall constraint that a significant revenue reversal will not occur in future periods. Sales and other related taxes collected from custom</w:t>
      </w:r>
      <w:r>
        <w:rPr>
          <w:rFonts w:eastAsia="Times New Roman"/>
          <w:color w:val="000000"/>
          <w:sz w:val="20"/>
          <w:szCs w:val="20"/>
        </w:rPr>
        <w:t>ers and remitted to government authorities are excluded from revenue.</w:t>
      </w:r>
    </w:p>
    <w:p w:rsidR="00000000" w:rsidRDefault="00BB5C2D">
      <w:pPr>
        <w:ind w:firstLine="540"/>
        <w:jc w:val="both"/>
        <w:divId w:val="311638220"/>
        <w:rPr>
          <w:rFonts w:eastAsia="Times New Roman"/>
        </w:rPr>
      </w:pPr>
      <w:r>
        <w:rPr>
          <w:rFonts w:eastAsia="Times New Roman"/>
          <w:color w:val="000000"/>
          <w:sz w:val="20"/>
          <w:szCs w:val="20"/>
        </w:rPr>
        <w:t>Revenue from the Company's retail business is recognized when the customer takes physical possession of the products, which occurs either at the point of sale for merchandise purchased a</w:t>
      </w:r>
      <w:r>
        <w:rPr>
          <w:rFonts w:eastAsia="Times New Roman"/>
          <w:color w:val="000000"/>
          <w:sz w:val="20"/>
          <w:szCs w:val="20"/>
        </w:rPr>
        <w:t>t the Company's own retail stores and shop-within-shop locations, or upon receipt of shipment for merchandise ordered through direct-to-consumer digital commerce sites. Such revenues are recorded net of estimated returns based on historical trends. Payment</w:t>
      </w:r>
      <w:r>
        <w:rPr>
          <w:rFonts w:eastAsia="Times New Roman"/>
          <w:color w:val="000000"/>
          <w:sz w:val="20"/>
          <w:szCs w:val="20"/>
        </w:rPr>
        <w:t xml:space="preserve"> is due at the point of sale. </w:t>
      </w:r>
    </w:p>
    <w:p w:rsidR="00000000" w:rsidRDefault="00BB5C2D">
      <w:pPr>
        <w:ind w:firstLine="540"/>
        <w:jc w:val="both"/>
        <w:divId w:val="319502848"/>
        <w:rPr>
          <w:rFonts w:eastAsia="Times New Roman"/>
        </w:rPr>
      </w:pPr>
      <w:r>
        <w:rPr>
          <w:rFonts w:eastAsia="Times New Roman"/>
          <w:color w:val="000000"/>
          <w:sz w:val="20"/>
          <w:szCs w:val="20"/>
        </w:rPr>
        <w:t>Gift cards purchased by customers are recorded as a liability until they are redeemed for products sold by the Company's retail business, at which point revenue is recognized. The Company also estimates and recognizes revenue</w:t>
      </w:r>
      <w:r>
        <w:rPr>
          <w:rFonts w:eastAsia="Times New Roman"/>
          <w:color w:val="000000"/>
          <w:sz w:val="20"/>
          <w:szCs w:val="20"/>
        </w:rPr>
        <w:t xml:space="preserve"> for gift card balances not expected to ever be redeemed (referred to as "breakage") to the extent that it does not have a legal obligation to remit the value of such unredeemed gift cards to the relevant jurisdiction as unclaimed or abandoned property. Su</w:t>
      </w:r>
      <w:r>
        <w:rPr>
          <w:rFonts w:eastAsia="Times New Roman"/>
          <w:color w:val="000000"/>
          <w:sz w:val="20"/>
          <w:szCs w:val="20"/>
        </w:rPr>
        <w:t>ch estimates are based upon historical redemption trends, with breakage income recognized in proportion to the pattern of actual customer redemptions.</w:t>
      </w:r>
    </w:p>
    <w:p w:rsidR="00000000" w:rsidRDefault="00BB5C2D">
      <w:pPr>
        <w:ind w:firstLine="540"/>
        <w:jc w:val="both"/>
        <w:divId w:val="992486047"/>
        <w:rPr>
          <w:rFonts w:eastAsia="Times New Roman"/>
        </w:rPr>
      </w:pPr>
      <w:r>
        <w:rPr>
          <w:rFonts w:eastAsia="Times New Roman"/>
          <w:color w:val="000000"/>
          <w:sz w:val="20"/>
          <w:szCs w:val="20"/>
        </w:rPr>
        <w:t>Revenue from the Company's wholesale business is generally recognized upon shipment of products, at which</w:t>
      </w:r>
      <w:r>
        <w:rPr>
          <w:rFonts w:eastAsia="Times New Roman"/>
          <w:color w:val="000000"/>
          <w:sz w:val="20"/>
          <w:szCs w:val="20"/>
        </w:rPr>
        <w:t xml:space="preserve"> point title passes and risk of loss is transferred to the customer. In certain arrangements where the Company retains the risk of loss during shipment, revenue is recognized upon receipt of products by the customer. Wholesale revenue is recorded net of es</w:t>
      </w:r>
      <w:r>
        <w:rPr>
          <w:rFonts w:eastAsia="Times New Roman"/>
          <w:color w:val="000000"/>
          <w:sz w:val="20"/>
          <w:szCs w:val="20"/>
        </w:rPr>
        <w:t>timates of returns, discounts, end-of-season markdowns, operational chargebacks, and certain cooperative advertising allowances. Returns and allowances require pre-approval from management and discounts are based on trade terms. Estimates for end-of-season</w:t>
      </w:r>
      <w:r>
        <w:rPr>
          <w:rFonts w:eastAsia="Times New Roman"/>
          <w:color w:val="000000"/>
          <w:sz w:val="20"/>
          <w:szCs w:val="20"/>
        </w:rPr>
        <w:t xml:space="preserve"> markdown reserves are based on historical trends, actual and forecasted seasonal results, an evaluation of current economic and market conditions, retailer performance, and, in certain cases, contractual terms. Estimates for operational chargebacks are ba</w:t>
      </w:r>
      <w:r>
        <w:rPr>
          <w:rFonts w:eastAsia="Times New Roman"/>
          <w:color w:val="000000"/>
          <w:sz w:val="20"/>
          <w:szCs w:val="20"/>
        </w:rPr>
        <w:t>sed on actual customer notifications of order fulfillment discrepancies and historical trends. The Company reviews and refines these estimates on at least a quarterly basis. The Company's historical estimates of these amounts have not differed materially f</w:t>
      </w:r>
      <w:r>
        <w:rPr>
          <w:rFonts w:eastAsia="Times New Roman"/>
          <w:color w:val="000000"/>
          <w:sz w:val="20"/>
          <w:szCs w:val="20"/>
        </w:rPr>
        <w:t>rom actual results.</w:t>
      </w:r>
    </w:p>
    <w:p w:rsidR="00000000" w:rsidRDefault="00BB5C2D">
      <w:pPr>
        <w:ind w:firstLine="540"/>
        <w:jc w:val="both"/>
        <w:divId w:val="817579072"/>
        <w:rPr>
          <w:rFonts w:eastAsia="Times New Roman"/>
        </w:rPr>
      </w:pPr>
      <w:r>
        <w:rPr>
          <w:rFonts w:eastAsia="Times New Roman"/>
          <w:color w:val="000000"/>
          <w:sz w:val="20"/>
          <w:szCs w:val="20"/>
        </w:rPr>
        <w:t>Revenue from the Company's licensing arrangements is recognized over time during the period that licensees are provided access to the Company's trademarks (i.e., symbolic intellectual property) and benefit from such access through their own sales of licens</w:t>
      </w:r>
      <w:r>
        <w:rPr>
          <w:rFonts w:eastAsia="Times New Roman"/>
          <w:color w:val="000000"/>
          <w:sz w:val="20"/>
          <w:szCs w:val="20"/>
        </w:rPr>
        <w:t>ed products. These arrangements require licensees to pay a sales-based royalty, which for most arrangements, may be subject to a contractually-guaranteed minimum royalty amount. Payments are generally due quarterly and, depending on time of receipt, may be</w:t>
      </w:r>
      <w:r>
        <w:rPr>
          <w:rFonts w:eastAsia="Times New Roman"/>
          <w:color w:val="000000"/>
          <w:sz w:val="20"/>
          <w:szCs w:val="20"/>
        </w:rPr>
        <w:t xml:space="preserve"> recorded as a liability until recognized as revenue. The Company recognizes revenue for sales-based royalty arrangements (including those for which the royalty exceeds any contractually-guaranteed minimum royalty amount) as licensed products are sold by t</w:t>
      </w:r>
      <w:r>
        <w:rPr>
          <w:rFonts w:eastAsia="Times New Roman"/>
          <w:color w:val="000000"/>
          <w:sz w:val="20"/>
          <w:szCs w:val="20"/>
        </w:rPr>
        <w:t xml:space="preserve">he licensee. If a sales-based royalty is not ultimately expected to exceed a contractually-guaranteed minimum royalty amount, the minimum is generally recognized as revenue ratably over the respective contractual period. This sales-based output measure of </w:t>
      </w:r>
      <w:r>
        <w:rPr>
          <w:rFonts w:eastAsia="Times New Roman"/>
          <w:color w:val="000000"/>
          <w:sz w:val="20"/>
          <w:szCs w:val="20"/>
        </w:rPr>
        <w:t>progress and pattern of recognition best represents the value transferred to the licensee over the term of the arrangement, as well as the amount of consideration that the Company is entitled to receive in exchange for providing access to its trademarks. A</w:t>
      </w:r>
      <w:r>
        <w:rPr>
          <w:rFonts w:eastAsia="Times New Roman"/>
          <w:color w:val="000000"/>
          <w:sz w:val="20"/>
          <w:szCs w:val="20"/>
        </w:rPr>
        <w:t>s of April 2, 2022, contractually-guaranteed minimum royalty amounts expected to be recognized as revenue during future periods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131290516"/>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131290516"/>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F-9</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21" style="width:0;height:1.5pt" o:hralign="center" o:hrstd="t" o:hr="t" fillcolor="#a0a0a0" stroked="f"/>
        </w:pict>
      </w:r>
    </w:p>
    <w:p w:rsidR="00000000" w:rsidRDefault="00BB5C2D">
      <w:pPr>
        <w:jc w:val="center"/>
        <w:divId w:val="2035837838"/>
        <w:rPr>
          <w:rFonts w:eastAsia="Times New Roman"/>
        </w:rPr>
      </w:pPr>
    </w:p>
    <w:p w:rsidR="00000000" w:rsidRDefault="00BB5C2D">
      <w:pPr>
        <w:jc w:val="center"/>
        <w:divId w:val="2035837838"/>
        <w:rPr>
          <w:rFonts w:eastAsia="Times New Roman"/>
        </w:rPr>
      </w:pPr>
      <w:r>
        <w:rPr>
          <w:rFonts w:eastAsia="Times New Roman"/>
          <w:b/>
          <w:bCs/>
          <w:color w:val="000000"/>
          <w:sz w:val="20"/>
          <w:szCs w:val="20"/>
        </w:rPr>
        <w:t>RALPH LAUREN CORPORATION</w:t>
      </w:r>
    </w:p>
    <w:p w:rsidR="00000000" w:rsidRDefault="00BB5C2D">
      <w:pPr>
        <w:jc w:val="center"/>
        <w:divId w:val="1701468556"/>
        <w:rPr>
          <w:rFonts w:eastAsia="Times New Roman"/>
        </w:rPr>
      </w:pPr>
      <w:r>
        <w:rPr>
          <w:rFonts w:eastAsia="Times New Roman"/>
          <w:b/>
          <w:bCs/>
          <w:color w:val="000000"/>
          <w:sz w:val="20"/>
          <w:szCs w:val="20"/>
        </w:rPr>
        <w:t>NOTES TO CONSOLIDATED FINANCIAL STATEMENTS (Continued)</w:t>
      </w:r>
    </w:p>
    <w:tbl>
      <w:tblPr>
        <w:tblW w:w="4736" w:type="pct"/>
        <w:jc w:val="center"/>
        <w:tblCellMar>
          <w:top w:w="15" w:type="dxa"/>
          <w:left w:w="15" w:type="dxa"/>
          <w:bottom w:w="15" w:type="dxa"/>
          <w:right w:w="15" w:type="dxa"/>
        </w:tblCellMar>
        <w:tblLook w:val="04A0" w:firstRow="1" w:lastRow="0" w:firstColumn="1" w:lastColumn="0" w:noHBand="0" w:noVBand="1"/>
      </w:tblPr>
      <w:tblGrid>
        <w:gridCol w:w="40"/>
        <w:gridCol w:w="6299"/>
        <w:gridCol w:w="37"/>
        <w:gridCol w:w="36"/>
        <w:gridCol w:w="77"/>
        <w:gridCol w:w="36"/>
        <w:gridCol w:w="121"/>
        <w:gridCol w:w="1185"/>
        <w:gridCol w:w="36"/>
      </w:tblGrid>
      <w:tr w:rsidR="00000000">
        <w:trPr>
          <w:divId w:val="1163473549"/>
          <w:jc w:val="center"/>
        </w:trPr>
        <w:tc>
          <w:tcPr>
            <w:tcW w:w="50" w:type="pct"/>
            <w:vAlign w:val="center"/>
            <w:hideMark/>
          </w:tcPr>
          <w:p w:rsidR="00000000" w:rsidRDefault="00BB5C2D">
            <w:pPr>
              <w:jc w:val="center"/>
              <w:rPr>
                <w:rFonts w:eastAsia="Times New Roman"/>
              </w:rPr>
            </w:pPr>
          </w:p>
        </w:tc>
        <w:tc>
          <w:tcPr>
            <w:tcW w:w="40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7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7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163473549"/>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Contractually-Guaranteed</w:t>
            </w:r>
          </w:p>
          <w:p w:rsidR="00000000" w:rsidRDefault="00BB5C2D">
            <w:pPr>
              <w:spacing w:after="100"/>
              <w:jc w:val="center"/>
              <w:rPr>
                <w:rFonts w:eastAsia="Times New Roman"/>
              </w:rPr>
            </w:pPr>
            <w:r>
              <w:rPr>
                <w:rFonts w:eastAsia="Times New Roman"/>
                <w:b/>
                <w:bCs/>
                <w:color w:val="000000"/>
                <w:sz w:val="16"/>
                <w:szCs w:val="16"/>
              </w:rPr>
              <w:t>Minimum Royaltie</w:t>
            </w:r>
            <w:r>
              <w:rPr>
                <w:rFonts w:eastAsia="Times New Roman"/>
                <w:b/>
                <w:bCs/>
                <w:color w:val="000000"/>
                <w:sz w:val="16"/>
                <w:szCs w:val="16"/>
              </w:rPr>
              <w:t>s</w:t>
            </w:r>
            <w:r>
              <w:rPr>
                <w:rFonts w:eastAsia="Times New Roman"/>
                <w:b/>
                <w:bCs/>
                <w:color w:val="000000"/>
                <w:sz w:val="10"/>
                <w:szCs w:val="10"/>
              </w:rPr>
              <w:t>(a</w:t>
            </w:r>
            <w:r>
              <w:rPr>
                <w:rFonts w:eastAsia="Times New Roman"/>
                <w:b/>
                <w:bCs/>
                <w:color w:val="000000"/>
                <w:sz w:val="10"/>
                <w:szCs w:val="10"/>
              </w:rPr>
              <w:t>)</w:t>
            </w:r>
          </w:p>
        </w:tc>
      </w:tr>
      <w:tr w:rsidR="00000000">
        <w:trPr>
          <w:divId w:val="1163473549"/>
          <w:jc w:val="center"/>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1163473549"/>
          <w:jc w:val="center"/>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Fiscal 2023</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105.6 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163473549"/>
          <w:jc w:val="center"/>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Fiscal 2024</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76.3 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163473549"/>
          <w:jc w:val="center"/>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Fiscal 2025</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42.7 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163473549"/>
          <w:jc w:val="center"/>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Fiscal 2026</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23.6 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163473549"/>
          <w:jc w:val="center"/>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Fiscal 2027</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19.2 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163473549"/>
          <w:jc w:val="center"/>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Fiscal 2028 and thereafter</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9.2 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163473549"/>
          <w:jc w:val="center"/>
        </w:trPr>
        <w:tc>
          <w:tcPr>
            <w:tcW w:w="0" w:type="auto"/>
            <w:gridSpan w:val="3"/>
            <w:shd w:val="clear" w:color="auto" w:fill="CCEEFF"/>
            <w:tcMar>
              <w:top w:w="30" w:type="dxa"/>
              <w:left w:w="24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276.6 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BB5C2D">
            <w:pPr>
              <w:ind w:firstLine="540"/>
              <w:jc w:val="center"/>
              <w:rPr>
                <w:rFonts w:eastAsia="Times New Roman"/>
              </w:rPr>
            </w:pPr>
          </w:p>
        </w:tc>
        <w:tc>
          <w:tcPr>
            <w:tcW w:w="494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r>
    </w:tbl>
    <w:p w:rsidR="00000000" w:rsidRDefault="00BB5C2D">
      <w:pPr>
        <w:ind w:hanging="360"/>
        <w:jc w:val="both"/>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Amounts presented do not contemplate potential contract renewals or royalties earned in excess of the contractually-guaranteed minimums.</w:t>
      </w:r>
    </w:p>
    <w:p w:rsidR="00000000" w:rsidRDefault="00BB5C2D">
      <w:pPr>
        <w:ind w:firstLine="360"/>
        <w:jc w:val="both"/>
        <w:divId w:val="301424015"/>
        <w:rPr>
          <w:rFonts w:eastAsia="Times New Roman"/>
        </w:rPr>
      </w:pPr>
      <w:r>
        <w:rPr>
          <w:rFonts w:eastAsia="Times New Roman"/>
          <w:i/>
          <w:iCs/>
          <w:color w:val="000000"/>
          <w:sz w:val="20"/>
          <w:szCs w:val="20"/>
        </w:rPr>
        <w:t>Disaggregated Net Revenues</w:t>
      </w:r>
    </w:p>
    <w:p w:rsidR="00000000" w:rsidRDefault="00BB5C2D">
      <w:pPr>
        <w:ind w:firstLine="540"/>
        <w:jc w:val="both"/>
        <w:divId w:val="1380666444"/>
        <w:rPr>
          <w:rFonts w:eastAsia="Times New Roman"/>
        </w:rPr>
      </w:pPr>
      <w:r>
        <w:rPr>
          <w:rFonts w:eastAsia="Times New Roman"/>
          <w:color w:val="000000"/>
          <w:sz w:val="20"/>
          <w:szCs w:val="20"/>
        </w:rPr>
        <w:t>The following tables disaggregate the Company's net revenues into categories that depict how</w:t>
      </w:r>
      <w:r>
        <w:rPr>
          <w:rFonts w:eastAsia="Times New Roman"/>
          <w:color w:val="000000"/>
          <w:sz w:val="20"/>
          <w:szCs w:val="20"/>
        </w:rPr>
        <w:t xml:space="preserve"> the nature, amount, timing, and uncertainty of revenues and cash flows are affected by economic factors for the fiscal periods presented:</w:t>
      </w:r>
    </w:p>
    <w:tbl>
      <w:tblPr>
        <w:tblW w:w="4773" w:type="pct"/>
        <w:jc w:val="center"/>
        <w:tblCellMar>
          <w:top w:w="15" w:type="dxa"/>
          <w:left w:w="15" w:type="dxa"/>
          <w:bottom w:w="15" w:type="dxa"/>
          <w:right w:w="15" w:type="dxa"/>
        </w:tblCellMar>
        <w:tblLook w:val="04A0" w:firstRow="1" w:lastRow="0" w:firstColumn="1" w:lastColumn="0" w:noHBand="0" w:noVBand="1"/>
      </w:tblPr>
      <w:tblGrid>
        <w:gridCol w:w="37"/>
        <w:gridCol w:w="2615"/>
        <w:gridCol w:w="36"/>
        <w:gridCol w:w="36"/>
        <w:gridCol w:w="36"/>
        <w:gridCol w:w="36"/>
        <w:gridCol w:w="120"/>
        <w:gridCol w:w="783"/>
        <w:gridCol w:w="36"/>
        <w:gridCol w:w="36"/>
        <w:gridCol w:w="36"/>
        <w:gridCol w:w="36"/>
        <w:gridCol w:w="120"/>
        <w:gridCol w:w="783"/>
        <w:gridCol w:w="36"/>
        <w:gridCol w:w="36"/>
        <w:gridCol w:w="36"/>
        <w:gridCol w:w="36"/>
        <w:gridCol w:w="120"/>
        <w:gridCol w:w="785"/>
        <w:gridCol w:w="36"/>
        <w:gridCol w:w="36"/>
        <w:gridCol w:w="36"/>
        <w:gridCol w:w="36"/>
        <w:gridCol w:w="120"/>
        <w:gridCol w:w="785"/>
        <w:gridCol w:w="36"/>
        <w:gridCol w:w="36"/>
        <w:gridCol w:w="36"/>
        <w:gridCol w:w="36"/>
        <w:gridCol w:w="120"/>
        <w:gridCol w:w="785"/>
        <w:gridCol w:w="36"/>
      </w:tblGrid>
      <w:tr w:rsidR="00000000">
        <w:trPr>
          <w:divId w:val="1305623468"/>
          <w:jc w:val="center"/>
        </w:trPr>
        <w:tc>
          <w:tcPr>
            <w:tcW w:w="50" w:type="pct"/>
            <w:vAlign w:val="center"/>
            <w:hideMark/>
          </w:tcPr>
          <w:p w:rsidR="00000000" w:rsidRDefault="00BB5C2D">
            <w:pPr>
              <w:ind w:firstLine="540"/>
              <w:jc w:val="both"/>
              <w:rPr>
                <w:rFonts w:eastAsia="Times New Roman"/>
              </w:rPr>
            </w:pPr>
          </w:p>
        </w:tc>
        <w:tc>
          <w:tcPr>
            <w:tcW w:w="169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5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5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5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5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5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305623468"/>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7"/>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Year Ended</w:t>
            </w:r>
          </w:p>
        </w:tc>
      </w:tr>
      <w:tr w:rsidR="00000000">
        <w:trPr>
          <w:divId w:val="1305623468"/>
          <w:jc w:val="center"/>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 2022</w:t>
            </w:r>
          </w:p>
        </w:tc>
      </w:tr>
      <w:tr w:rsidR="00000000">
        <w:trPr>
          <w:divId w:val="1305623468"/>
          <w:jc w:val="center"/>
        </w:trPr>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North America</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Europe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Asia</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Total</w:t>
            </w:r>
          </w:p>
        </w:tc>
      </w:tr>
      <w:tr w:rsidR="00000000">
        <w:trPr>
          <w:divId w:val="1305623468"/>
          <w:jc w:val="center"/>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1305623468"/>
          <w:jc w:val="center"/>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divId w:val="703755472"/>
              <w:rPr>
                <w:rFonts w:eastAsia="Times New Roman"/>
              </w:rPr>
            </w:pPr>
            <w:r>
              <w:rPr>
                <w:rFonts w:eastAsia="Times New Roman"/>
                <w:b/>
                <w:bCs/>
                <w:color w:val="000000"/>
                <w:sz w:val="20"/>
                <w:szCs w:val="20"/>
              </w:rPr>
              <w:t>Sales Channe</w:t>
            </w:r>
            <w:r>
              <w:rPr>
                <w:rFonts w:eastAsia="Times New Roman"/>
                <w:b/>
                <w:bCs/>
                <w:color w:val="000000"/>
                <w:sz w:val="20"/>
                <w:szCs w:val="20"/>
              </w:rPr>
              <w:t>l</w:t>
            </w:r>
            <w:r>
              <w:rPr>
                <w:rFonts w:eastAsia="Times New Roman"/>
                <w:b/>
                <w:bCs/>
                <w:color w:val="000000"/>
                <w:sz w:val="13"/>
                <w:szCs w:val="13"/>
              </w:rPr>
              <w:t>(a</w:t>
            </w:r>
            <w:r>
              <w:rPr>
                <w:rFonts w:eastAsia="Times New Roman"/>
                <w:b/>
                <w:bCs/>
                <w:color w:val="000000"/>
                <w:sz w:val="13"/>
                <w:szCs w:val="13"/>
              </w:rPr>
              <w:t>)</w:t>
            </w: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305623468"/>
          <w:jc w:val="center"/>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Retail</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1,878.6 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828.3 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1,207.4 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27.2 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3,941.5 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05623468"/>
          <w:jc w:val="center"/>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Wholesale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1,089.6 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952.4 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79.4 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5.9 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2,127.3 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05623468"/>
          <w:jc w:val="center"/>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Licensing</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149.7 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149.7 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05623468"/>
          <w:jc w:val="center"/>
        </w:trPr>
        <w:tc>
          <w:tcPr>
            <w:tcW w:w="0" w:type="auto"/>
            <w:gridSpan w:val="3"/>
            <w:shd w:val="clear" w:color="auto" w:fill="CCEEFF"/>
            <w:tcMar>
              <w:top w:w="30" w:type="dxa"/>
              <w:left w:w="38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2,968.2 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1,780.7 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1,286.8 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182.8 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6,218.5 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bl>
    <w:tbl>
      <w:tblPr>
        <w:tblW w:w="4773" w:type="pct"/>
        <w:jc w:val="center"/>
        <w:tblCellMar>
          <w:top w:w="15" w:type="dxa"/>
          <w:left w:w="15" w:type="dxa"/>
          <w:bottom w:w="15" w:type="dxa"/>
          <w:right w:w="15" w:type="dxa"/>
        </w:tblCellMar>
        <w:tblLook w:val="04A0" w:firstRow="1" w:lastRow="0" w:firstColumn="1" w:lastColumn="0" w:noHBand="0" w:noVBand="1"/>
      </w:tblPr>
      <w:tblGrid>
        <w:gridCol w:w="144"/>
        <w:gridCol w:w="2679"/>
        <w:gridCol w:w="144"/>
        <w:gridCol w:w="144"/>
        <w:gridCol w:w="144"/>
        <w:gridCol w:w="144"/>
        <w:gridCol w:w="144"/>
        <w:gridCol w:w="883"/>
        <w:gridCol w:w="144"/>
        <w:gridCol w:w="144"/>
        <w:gridCol w:w="144"/>
        <w:gridCol w:w="144"/>
        <w:gridCol w:w="144"/>
        <w:gridCol w:w="883"/>
        <w:gridCol w:w="144"/>
        <w:gridCol w:w="144"/>
        <w:gridCol w:w="144"/>
        <w:gridCol w:w="144"/>
        <w:gridCol w:w="144"/>
        <w:gridCol w:w="883"/>
        <w:gridCol w:w="144"/>
        <w:gridCol w:w="144"/>
        <w:gridCol w:w="144"/>
        <w:gridCol w:w="144"/>
        <w:gridCol w:w="144"/>
        <w:gridCol w:w="883"/>
        <w:gridCol w:w="144"/>
        <w:gridCol w:w="144"/>
        <w:gridCol w:w="144"/>
        <w:gridCol w:w="144"/>
        <w:gridCol w:w="144"/>
        <w:gridCol w:w="883"/>
        <w:gridCol w:w="144"/>
      </w:tblGrid>
      <w:tr w:rsidR="00000000">
        <w:trPr>
          <w:jc w:val="center"/>
        </w:trPr>
        <w:tc>
          <w:tcPr>
            <w:tcW w:w="50" w:type="pct"/>
            <w:vAlign w:val="center"/>
            <w:hideMark/>
          </w:tcPr>
          <w:p w:rsidR="00000000" w:rsidRDefault="00BB5C2D">
            <w:pPr>
              <w:ind w:firstLine="450"/>
              <w:jc w:val="center"/>
              <w:rPr>
                <w:rFonts w:eastAsia="Times New Roman"/>
              </w:rPr>
            </w:pPr>
          </w:p>
        </w:tc>
        <w:tc>
          <w:tcPr>
            <w:tcW w:w="169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5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5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5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5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5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7"/>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Year Ended</w:t>
            </w:r>
          </w:p>
        </w:tc>
      </w:tr>
      <w:tr w:rsidR="00000000">
        <w:trPr>
          <w:jc w:val="center"/>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 2021</w:t>
            </w: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North America</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Europe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Asia</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Total</w:t>
            </w:r>
          </w:p>
        </w:tc>
      </w:tr>
      <w:tr w:rsidR="00000000">
        <w:trPr>
          <w:jc w:val="center"/>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divId w:val="1433697076"/>
              <w:rPr>
                <w:rFonts w:eastAsia="Times New Roman"/>
              </w:rPr>
            </w:pPr>
            <w:r>
              <w:rPr>
                <w:rFonts w:eastAsia="Times New Roman"/>
                <w:b/>
                <w:bCs/>
                <w:color w:val="000000"/>
                <w:sz w:val="20"/>
                <w:szCs w:val="20"/>
              </w:rPr>
              <w:t>Sales Channe</w:t>
            </w:r>
            <w:r>
              <w:rPr>
                <w:rFonts w:eastAsia="Times New Roman"/>
                <w:b/>
                <w:bCs/>
                <w:color w:val="000000"/>
                <w:sz w:val="20"/>
                <w:szCs w:val="20"/>
              </w:rPr>
              <w:t>l</w:t>
            </w:r>
            <w:r>
              <w:rPr>
                <w:rFonts w:eastAsia="Times New Roman"/>
                <w:b/>
                <w:bCs/>
                <w:color w:val="000000"/>
                <w:sz w:val="13"/>
                <w:szCs w:val="13"/>
              </w:rPr>
              <w:t>(a</w:t>
            </w:r>
            <w:r>
              <w:rPr>
                <w:rFonts w:eastAsia="Times New Roman"/>
                <w:b/>
                <w:bCs/>
                <w:color w:val="000000"/>
                <w:sz w:val="13"/>
                <w:szCs w:val="13"/>
              </w:rPr>
              <w:t>)</w:t>
            </w: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Retail</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1,214.1 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517.1 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968.4 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80.2 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2,779.8 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Wholesale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778.3 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648.8 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59.1 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12.4 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1,498.6 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Licensing</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122.4 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122.4 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1,992.4 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1,165.9 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1,027.5 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215.0 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4,400.8 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bl>
    <w:p w:rsidR="00000000" w:rsidRDefault="00BB5C2D">
      <w:pPr>
        <w:ind w:firstLine="450"/>
        <w:jc w:val="center"/>
        <w:divId w:val="1810897474"/>
        <w:rPr>
          <w:rFonts w:eastAsia="Times New Roman"/>
          <w:vanish/>
        </w:rPr>
      </w:pPr>
    </w:p>
    <w:tbl>
      <w:tblPr>
        <w:tblW w:w="4773" w:type="pct"/>
        <w:jc w:val="center"/>
        <w:tblCellMar>
          <w:top w:w="15" w:type="dxa"/>
          <w:left w:w="15" w:type="dxa"/>
          <w:bottom w:w="15" w:type="dxa"/>
          <w:right w:w="15" w:type="dxa"/>
        </w:tblCellMar>
        <w:tblLook w:val="04A0" w:firstRow="1" w:lastRow="0" w:firstColumn="1" w:lastColumn="0" w:noHBand="0" w:noVBand="1"/>
      </w:tblPr>
      <w:tblGrid>
        <w:gridCol w:w="37"/>
        <w:gridCol w:w="2615"/>
        <w:gridCol w:w="36"/>
        <w:gridCol w:w="36"/>
        <w:gridCol w:w="36"/>
        <w:gridCol w:w="36"/>
        <w:gridCol w:w="120"/>
        <w:gridCol w:w="783"/>
        <w:gridCol w:w="36"/>
        <w:gridCol w:w="36"/>
        <w:gridCol w:w="36"/>
        <w:gridCol w:w="36"/>
        <w:gridCol w:w="120"/>
        <w:gridCol w:w="783"/>
        <w:gridCol w:w="36"/>
        <w:gridCol w:w="36"/>
        <w:gridCol w:w="36"/>
        <w:gridCol w:w="36"/>
        <w:gridCol w:w="120"/>
        <w:gridCol w:w="785"/>
        <w:gridCol w:w="36"/>
        <w:gridCol w:w="36"/>
        <w:gridCol w:w="36"/>
        <w:gridCol w:w="36"/>
        <w:gridCol w:w="120"/>
        <w:gridCol w:w="785"/>
        <w:gridCol w:w="36"/>
        <w:gridCol w:w="36"/>
        <w:gridCol w:w="36"/>
        <w:gridCol w:w="36"/>
        <w:gridCol w:w="120"/>
        <w:gridCol w:w="785"/>
        <w:gridCol w:w="36"/>
      </w:tblGrid>
      <w:tr w:rsidR="00000000">
        <w:trPr>
          <w:divId w:val="1810897474"/>
          <w:jc w:val="center"/>
        </w:trPr>
        <w:tc>
          <w:tcPr>
            <w:tcW w:w="50" w:type="pct"/>
            <w:vAlign w:val="center"/>
            <w:hideMark/>
          </w:tcPr>
          <w:p w:rsidR="00000000" w:rsidRDefault="00BB5C2D">
            <w:pPr>
              <w:ind w:firstLine="450"/>
              <w:jc w:val="center"/>
              <w:rPr>
                <w:rFonts w:eastAsia="Times New Roman"/>
              </w:rPr>
            </w:pPr>
          </w:p>
        </w:tc>
        <w:tc>
          <w:tcPr>
            <w:tcW w:w="169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5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5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5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5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5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810897474"/>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7"/>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Year Ended</w:t>
            </w:r>
          </w:p>
        </w:tc>
      </w:tr>
      <w:tr w:rsidR="00000000">
        <w:trPr>
          <w:divId w:val="1810897474"/>
          <w:jc w:val="center"/>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28, 2020</w:t>
            </w:r>
          </w:p>
        </w:tc>
      </w:tr>
      <w:tr w:rsidR="00000000">
        <w:trPr>
          <w:divId w:val="1810897474"/>
          <w:jc w:val="center"/>
        </w:trPr>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North America</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Europe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Asia</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Total</w:t>
            </w:r>
          </w:p>
        </w:tc>
      </w:tr>
      <w:tr w:rsidR="00000000">
        <w:trPr>
          <w:divId w:val="1810897474"/>
          <w:jc w:val="center"/>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1810897474"/>
          <w:jc w:val="center"/>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divId w:val="601230101"/>
              <w:rPr>
                <w:rFonts w:eastAsia="Times New Roman"/>
              </w:rPr>
            </w:pPr>
            <w:r>
              <w:rPr>
                <w:rFonts w:eastAsia="Times New Roman"/>
                <w:b/>
                <w:bCs/>
                <w:color w:val="000000"/>
                <w:sz w:val="20"/>
                <w:szCs w:val="20"/>
              </w:rPr>
              <w:t>Sales Channe</w:t>
            </w:r>
            <w:r>
              <w:rPr>
                <w:rFonts w:eastAsia="Times New Roman"/>
                <w:b/>
                <w:bCs/>
                <w:color w:val="000000"/>
                <w:sz w:val="20"/>
                <w:szCs w:val="20"/>
              </w:rPr>
              <w:t>l</w:t>
            </w:r>
            <w:r>
              <w:rPr>
                <w:rFonts w:eastAsia="Times New Roman"/>
                <w:b/>
                <w:bCs/>
                <w:color w:val="000000"/>
                <w:sz w:val="13"/>
                <w:szCs w:val="13"/>
              </w:rPr>
              <w:t>(a</w:t>
            </w:r>
            <w:r>
              <w:rPr>
                <w:rFonts w:eastAsia="Times New Roman"/>
                <w:b/>
                <w:bCs/>
                <w:color w:val="000000"/>
                <w:sz w:val="13"/>
                <w:szCs w:val="13"/>
              </w:rPr>
              <w:t>)</w:t>
            </w: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810897474"/>
          <w:jc w:val="center"/>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Retail</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1,727.3 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874.6 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948.0 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191.0 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3,740.9 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810897474"/>
          <w:jc w:val="center"/>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Wholesale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1,413.2 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757.6 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69.2 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10.8 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2,250.8 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810897474"/>
          <w:jc w:val="center"/>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Licensing</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168.1 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168.1 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810897474"/>
          <w:jc w:val="center"/>
        </w:trPr>
        <w:tc>
          <w:tcPr>
            <w:tcW w:w="0" w:type="auto"/>
            <w:gridSpan w:val="3"/>
            <w:shd w:val="clear" w:color="auto" w:fill="CCEEFF"/>
            <w:tcMar>
              <w:top w:w="30" w:type="dxa"/>
              <w:left w:w="38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3,140.5 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1,632.2 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1,017.2 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369.9 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6,159.8 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trPr>
          <w:jc w:val="center"/>
        </w:trPr>
        <w:tc>
          <w:tcPr>
            <w:tcW w:w="50" w:type="pct"/>
            <w:vAlign w:val="center"/>
            <w:hideMark/>
          </w:tcPr>
          <w:p w:rsidR="00000000" w:rsidRDefault="00BB5C2D">
            <w:pPr>
              <w:ind w:firstLine="450"/>
              <w:jc w:val="center"/>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F-10</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22" style="width:0;height:1.5pt" o:hralign="center" o:hrstd="t" o:hr="t" fillcolor="#a0a0a0" stroked="f"/>
        </w:pict>
      </w:r>
    </w:p>
    <w:p w:rsidR="00000000" w:rsidRDefault="00BB5C2D">
      <w:pPr>
        <w:jc w:val="center"/>
        <w:divId w:val="1203136361"/>
        <w:rPr>
          <w:rFonts w:eastAsia="Times New Roman"/>
        </w:rPr>
      </w:pPr>
    </w:p>
    <w:p w:rsidR="00000000" w:rsidRDefault="00BB5C2D">
      <w:pPr>
        <w:jc w:val="center"/>
        <w:divId w:val="1203136361"/>
        <w:rPr>
          <w:rFonts w:eastAsia="Times New Roman"/>
        </w:rPr>
      </w:pPr>
      <w:r>
        <w:rPr>
          <w:rFonts w:eastAsia="Times New Roman"/>
          <w:b/>
          <w:bCs/>
          <w:color w:val="000000"/>
          <w:sz w:val="20"/>
          <w:szCs w:val="20"/>
        </w:rPr>
        <w:t>RALPH LAUREN CORPORATION</w:t>
      </w:r>
    </w:p>
    <w:p w:rsidR="00000000" w:rsidRDefault="00BB5C2D">
      <w:pPr>
        <w:jc w:val="center"/>
        <w:divId w:val="1267691813"/>
        <w:rPr>
          <w:rFonts w:eastAsia="Times New Roman"/>
        </w:rPr>
      </w:pPr>
      <w:r>
        <w:rPr>
          <w:rFonts w:eastAsia="Times New Roman"/>
          <w:b/>
          <w:bCs/>
          <w:color w:val="000000"/>
          <w:sz w:val="20"/>
          <w:szCs w:val="20"/>
        </w:rPr>
        <w:t>NOTES TO CONSOLIDATED FINANCIAL STATEMENTS (Continued)</w:t>
      </w:r>
    </w:p>
    <w:tbl>
      <w:tblPr>
        <w:tblW w:w="972" w:type="pct"/>
        <w:tblCellMar>
          <w:top w:w="15" w:type="dxa"/>
          <w:left w:w="15" w:type="dxa"/>
          <w:bottom w:w="15" w:type="dxa"/>
          <w:right w:w="15" w:type="dxa"/>
        </w:tblCellMar>
        <w:tblLook w:val="04A0" w:firstRow="1" w:lastRow="0" w:firstColumn="1" w:lastColumn="0" w:noHBand="0" w:noVBand="1"/>
      </w:tblPr>
      <w:tblGrid>
        <w:gridCol w:w="36"/>
        <w:gridCol w:w="1543"/>
        <w:gridCol w:w="36"/>
      </w:tblGrid>
      <w:tr w:rsidR="00000000">
        <w:trPr>
          <w:divId w:val="584071106"/>
        </w:trPr>
        <w:tc>
          <w:tcPr>
            <w:tcW w:w="50" w:type="pct"/>
            <w:vAlign w:val="center"/>
            <w:hideMark/>
          </w:tcPr>
          <w:p w:rsidR="00000000" w:rsidRDefault="00BB5C2D">
            <w:pPr>
              <w:jc w:val="center"/>
              <w:rPr>
                <w:rFonts w:eastAsia="Times New Roman"/>
              </w:rPr>
            </w:pPr>
          </w:p>
        </w:tc>
        <w:tc>
          <w:tcPr>
            <w:tcW w:w="494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584071106"/>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r>
    </w:tbl>
    <w:p w:rsidR="00000000" w:rsidRDefault="00BB5C2D">
      <w:pPr>
        <w:ind w:hanging="360"/>
        <w:jc w:val="both"/>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Net revenues from the Company's retail and wholesale businesses are recognized at a point in time. Net revenues from the Company's licensing business are recognized over time.</w:t>
      </w:r>
    </w:p>
    <w:p w:rsidR="00000000" w:rsidRDefault="00BB5C2D">
      <w:pPr>
        <w:ind w:firstLine="360"/>
        <w:jc w:val="both"/>
        <w:divId w:val="702632168"/>
        <w:rPr>
          <w:rFonts w:eastAsia="Times New Roman"/>
        </w:rPr>
      </w:pPr>
      <w:r>
        <w:rPr>
          <w:rFonts w:eastAsia="Times New Roman"/>
          <w:i/>
          <w:iCs/>
          <w:color w:val="000000"/>
          <w:sz w:val="20"/>
          <w:szCs w:val="20"/>
        </w:rPr>
        <w:t>Deferred Income</w:t>
      </w:r>
    </w:p>
    <w:p w:rsidR="00000000" w:rsidRDefault="00BB5C2D">
      <w:pPr>
        <w:ind w:firstLine="540"/>
        <w:jc w:val="both"/>
        <w:divId w:val="1892501373"/>
        <w:rPr>
          <w:rFonts w:eastAsia="Times New Roman"/>
        </w:rPr>
      </w:pPr>
      <w:r>
        <w:rPr>
          <w:rFonts w:eastAsia="Times New Roman"/>
          <w:color w:val="000000"/>
          <w:sz w:val="20"/>
          <w:szCs w:val="20"/>
        </w:rPr>
        <w:t xml:space="preserve">Deferred income represents cash payments received in advance of </w:t>
      </w:r>
      <w:r>
        <w:rPr>
          <w:rFonts w:eastAsia="Times New Roman"/>
          <w:color w:val="000000"/>
          <w:sz w:val="20"/>
          <w:szCs w:val="20"/>
        </w:rPr>
        <w:t>the Company's transfer of control of products or services to its customers and generally consists of unredeemed gift cards (net of breakage) and advance royalty payments from licensees. The Company's deferred income balances were $16.6 million and $12.1 mi</w:t>
      </w:r>
      <w:r>
        <w:rPr>
          <w:rFonts w:eastAsia="Times New Roman"/>
          <w:color w:val="000000"/>
          <w:sz w:val="20"/>
          <w:szCs w:val="20"/>
        </w:rPr>
        <w:t>llion as of April 2, 2022 and March 27, 2021, respectively, and were primarily recorded within accrued expenses and other current liabilities within the consolidated balance sheets. The majority of the deferred income balance as of April 2, 2022 is expecte</w:t>
      </w:r>
      <w:r>
        <w:rPr>
          <w:rFonts w:eastAsia="Times New Roman"/>
          <w:color w:val="000000"/>
          <w:sz w:val="20"/>
          <w:szCs w:val="20"/>
        </w:rPr>
        <w:t>d to be recognized as revenue within the next twelve months.</w:t>
      </w:r>
    </w:p>
    <w:p w:rsidR="00000000" w:rsidRDefault="00BB5C2D">
      <w:pPr>
        <w:ind w:firstLine="360"/>
        <w:jc w:val="both"/>
        <w:divId w:val="613368732"/>
        <w:rPr>
          <w:rFonts w:eastAsia="Times New Roman"/>
        </w:rPr>
      </w:pPr>
      <w:r>
        <w:rPr>
          <w:rFonts w:eastAsia="Times New Roman"/>
          <w:b/>
          <w:bCs/>
          <w:i/>
          <w:iCs/>
          <w:color w:val="000000"/>
          <w:sz w:val="20"/>
          <w:szCs w:val="20"/>
        </w:rPr>
        <w:t>Cost of Goods Sold and Selling Expenses</w:t>
      </w:r>
    </w:p>
    <w:p w:rsidR="00000000" w:rsidRDefault="00BB5C2D">
      <w:pPr>
        <w:ind w:firstLine="540"/>
        <w:jc w:val="both"/>
        <w:divId w:val="1491751658"/>
        <w:rPr>
          <w:rFonts w:eastAsia="Times New Roman"/>
        </w:rPr>
      </w:pPr>
      <w:r>
        <w:rPr>
          <w:rFonts w:eastAsia="Times New Roman"/>
          <w:color w:val="000000"/>
          <w:sz w:val="20"/>
          <w:szCs w:val="20"/>
        </w:rPr>
        <w:t>Cost of goods sold includes the amounts incurred to acquire and produce inventory for sale to the Company's customers, including product costs, freight-in,</w:t>
      </w:r>
      <w:r>
        <w:rPr>
          <w:rFonts w:eastAsia="Times New Roman"/>
          <w:color w:val="000000"/>
          <w:sz w:val="20"/>
          <w:szCs w:val="20"/>
        </w:rPr>
        <w:t xml:space="preserve"> and import costs, as well as changes in reserves for shrinkage and inventory realizability. Gains and losses associated with forward foreign currency exchange contracts that are designated and qualifying as cash flow hedges of inventory transactions are a</w:t>
      </w:r>
      <w:r>
        <w:rPr>
          <w:rFonts w:eastAsia="Times New Roman"/>
          <w:color w:val="000000"/>
          <w:sz w:val="20"/>
          <w:szCs w:val="20"/>
        </w:rPr>
        <w:t>lso recognized within cost of goods sold when the hedged inventory is sold. The costs of selling merchandise, including those associated with preparing merchandise for sale, such as picking, packing, warehousing, and order charges ("handling costs"), are i</w:t>
      </w:r>
      <w:r>
        <w:rPr>
          <w:rFonts w:eastAsia="Times New Roman"/>
          <w:color w:val="000000"/>
          <w:sz w:val="20"/>
          <w:szCs w:val="20"/>
        </w:rPr>
        <w:t>ncluded in selling, general, and administrative ("SG&amp;A") expenses in the consolidated statements of operations.</w:t>
      </w:r>
    </w:p>
    <w:p w:rsidR="00000000" w:rsidRDefault="00BB5C2D">
      <w:pPr>
        <w:ind w:firstLine="360"/>
        <w:jc w:val="both"/>
        <w:divId w:val="188570079"/>
        <w:rPr>
          <w:rFonts w:eastAsia="Times New Roman"/>
        </w:rPr>
      </w:pPr>
      <w:r>
        <w:rPr>
          <w:rFonts w:eastAsia="Times New Roman"/>
          <w:b/>
          <w:bCs/>
          <w:i/>
          <w:iCs/>
          <w:color w:val="000000"/>
          <w:sz w:val="20"/>
          <w:szCs w:val="20"/>
        </w:rPr>
        <w:t>Shipping and Handling Costs</w:t>
      </w:r>
    </w:p>
    <w:p w:rsidR="00000000" w:rsidRDefault="00BB5C2D">
      <w:pPr>
        <w:ind w:firstLine="540"/>
        <w:jc w:val="both"/>
        <w:divId w:val="1863544778"/>
        <w:rPr>
          <w:rFonts w:eastAsia="Times New Roman"/>
        </w:rPr>
      </w:pPr>
      <w:r>
        <w:rPr>
          <w:rFonts w:eastAsia="Times New Roman"/>
          <w:color w:val="000000"/>
          <w:sz w:val="20"/>
          <w:szCs w:val="20"/>
        </w:rPr>
        <w:t xml:space="preserve">Costs associated with shipping goods to customers are accounted for as fulfillment activities and reflected as SG&amp;A </w:t>
      </w:r>
      <w:r>
        <w:rPr>
          <w:rFonts w:eastAsia="Times New Roman"/>
          <w:color w:val="000000"/>
          <w:sz w:val="20"/>
          <w:szCs w:val="20"/>
        </w:rPr>
        <w:t>expenses in the consolidated statements of operations. Shipping and handling costs (described above) billed to customers are included in revenue. A summary of shipping and handling costs recognized during the fiscal periods presented is as follows:</w:t>
      </w:r>
    </w:p>
    <w:tbl>
      <w:tblPr>
        <w:tblW w:w="4729" w:type="pct"/>
        <w:tblCellMar>
          <w:top w:w="15" w:type="dxa"/>
          <w:left w:w="15" w:type="dxa"/>
          <w:bottom w:w="15" w:type="dxa"/>
          <w:right w:w="15" w:type="dxa"/>
        </w:tblCellMar>
        <w:tblLook w:val="04A0" w:firstRow="1" w:lastRow="0" w:firstColumn="1" w:lastColumn="0" w:noHBand="0" w:noVBand="1"/>
      </w:tblPr>
      <w:tblGrid>
        <w:gridCol w:w="37"/>
        <w:gridCol w:w="4616"/>
        <w:gridCol w:w="36"/>
        <w:gridCol w:w="36"/>
        <w:gridCol w:w="36"/>
        <w:gridCol w:w="36"/>
        <w:gridCol w:w="120"/>
        <w:gridCol w:w="791"/>
        <w:gridCol w:w="36"/>
        <w:gridCol w:w="36"/>
        <w:gridCol w:w="36"/>
        <w:gridCol w:w="36"/>
        <w:gridCol w:w="120"/>
        <w:gridCol w:w="791"/>
        <w:gridCol w:w="36"/>
        <w:gridCol w:w="36"/>
        <w:gridCol w:w="36"/>
        <w:gridCol w:w="36"/>
        <w:gridCol w:w="120"/>
        <w:gridCol w:w="793"/>
        <w:gridCol w:w="36"/>
      </w:tblGrid>
      <w:tr w:rsidR="00000000">
        <w:trPr>
          <w:divId w:val="1079132330"/>
        </w:trPr>
        <w:tc>
          <w:tcPr>
            <w:tcW w:w="50" w:type="pct"/>
            <w:vAlign w:val="center"/>
            <w:hideMark/>
          </w:tcPr>
          <w:p w:rsidR="00000000" w:rsidRDefault="00BB5C2D">
            <w:pPr>
              <w:ind w:firstLine="540"/>
              <w:jc w:val="both"/>
              <w:rPr>
                <w:rFonts w:eastAsia="Times New Roman"/>
              </w:rPr>
            </w:pPr>
          </w:p>
        </w:tc>
        <w:tc>
          <w:tcPr>
            <w:tcW w:w="297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63"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63"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63"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079132330"/>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Years Ended</w:t>
            </w:r>
          </w:p>
        </w:tc>
      </w:tr>
      <w:tr w:rsidR="00000000">
        <w:trPr>
          <w:divId w:val="1079132330"/>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r>
      <w:tr w:rsidR="00000000">
        <w:trPr>
          <w:divId w:val="1079132330"/>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1079132330"/>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Shipping costs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73.0 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54.8 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46.7 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079132330"/>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ind w:hanging="180"/>
              <w:divId w:val="1346588104"/>
              <w:rPr>
                <w:rFonts w:eastAsia="Times New Roman"/>
              </w:rPr>
            </w:pPr>
            <w:r>
              <w:rPr>
                <w:rFonts w:eastAsia="Times New Roman"/>
                <w:color w:val="000000"/>
                <w:sz w:val="20"/>
                <w:szCs w:val="20"/>
              </w:rPr>
              <w:t>Handling costs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151.8 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138.3 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154.0 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bl>
    <w:p w:rsidR="00000000" w:rsidRDefault="00BB5C2D">
      <w:pPr>
        <w:ind w:firstLine="360"/>
        <w:jc w:val="both"/>
        <w:divId w:val="1229224862"/>
        <w:rPr>
          <w:rFonts w:eastAsia="Times New Roman"/>
        </w:rPr>
      </w:pPr>
      <w:r>
        <w:rPr>
          <w:rFonts w:eastAsia="Times New Roman"/>
          <w:b/>
          <w:bCs/>
          <w:i/>
          <w:iCs/>
          <w:color w:val="000000"/>
          <w:sz w:val="20"/>
          <w:szCs w:val="20"/>
        </w:rPr>
        <w:t>Advertising and Marketing Costs</w:t>
      </w:r>
    </w:p>
    <w:p w:rsidR="00000000" w:rsidRDefault="00BB5C2D">
      <w:pPr>
        <w:ind w:firstLine="540"/>
        <w:jc w:val="both"/>
        <w:divId w:val="419987438"/>
        <w:rPr>
          <w:rFonts w:eastAsia="Times New Roman"/>
        </w:rPr>
      </w:pPr>
      <w:r>
        <w:rPr>
          <w:rFonts w:eastAsia="Times New Roman"/>
          <w:color w:val="000000"/>
          <w:sz w:val="20"/>
          <w:szCs w:val="20"/>
        </w:rPr>
        <w:t>Advertising costs, including the costs to produce advertising, are expensed when the advertisement is first exhibited. Advertising costs paid to wholesale customers under</w:t>
      </w:r>
      <w:r>
        <w:rPr>
          <w:rFonts w:eastAsia="Times New Roman"/>
          <w:color w:val="000000"/>
          <w:sz w:val="20"/>
          <w:szCs w:val="20"/>
        </w:rPr>
        <w:t xml:space="preserve"> cooperative advertising programs are not included in advertising costs, but rather are reflected as a reduction of revenue since generally the benefits are not sufficiently separable from the purchases of the Company's products by customers. Costs associa</w:t>
      </w:r>
      <w:r>
        <w:rPr>
          <w:rFonts w:eastAsia="Times New Roman"/>
          <w:color w:val="000000"/>
          <w:sz w:val="20"/>
          <w:szCs w:val="20"/>
        </w:rPr>
        <w:t>ted with the marketing and promotion of the Company's products are included within SG&amp;A expenses.</w:t>
      </w:r>
    </w:p>
    <w:p w:rsidR="00000000" w:rsidRDefault="00BB5C2D">
      <w:pPr>
        <w:ind w:firstLine="540"/>
        <w:jc w:val="both"/>
        <w:divId w:val="2109348681"/>
        <w:rPr>
          <w:rFonts w:eastAsia="Times New Roman"/>
        </w:rPr>
      </w:pPr>
      <w:r>
        <w:rPr>
          <w:rFonts w:eastAsia="Times New Roman"/>
          <w:color w:val="000000"/>
          <w:sz w:val="20"/>
          <w:szCs w:val="20"/>
        </w:rPr>
        <w:t>Advertising and marketing expenses were $456.3 million, $265.0 million, and $278.0 million in Fiscal 2022, Fiscal 2021, and Fiscal 2020, respectively. Deferre</w:t>
      </w:r>
      <w:r>
        <w:rPr>
          <w:rFonts w:eastAsia="Times New Roman"/>
          <w:color w:val="000000"/>
          <w:sz w:val="20"/>
          <w:szCs w:val="20"/>
        </w:rPr>
        <w:t>d advertising, marketing, and promotional costs, which principally relate to advertisements that have not yet been exhibited or payments made for services that have not yet been received, were $7.9 million and $9.5 million at the end of Fiscal 2022 and Fis</w:t>
      </w:r>
      <w:r>
        <w:rPr>
          <w:rFonts w:eastAsia="Times New Roman"/>
          <w:color w:val="000000"/>
          <w:sz w:val="20"/>
          <w:szCs w:val="20"/>
        </w:rPr>
        <w:t>cal 2021, respectively, and were recorded within prepaid expenses and other current assets in the consolidated balance sheets.</w:t>
      </w:r>
    </w:p>
    <w:p w:rsidR="00000000" w:rsidRDefault="00BB5C2D">
      <w:pPr>
        <w:ind w:firstLine="360"/>
        <w:jc w:val="both"/>
        <w:divId w:val="1103458129"/>
        <w:rPr>
          <w:rFonts w:eastAsia="Times New Roman"/>
        </w:rPr>
      </w:pPr>
      <w:r>
        <w:rPr>
          <w:rFonts w:eastAsia="Times New Roman"/>
          <w:b/>
          <w:bCs/>
          <w:i/>
          <w:iCs/>
          <w:color w:val="000000"/>
          <w:sz w:val="20"/>
          <w:szCs w:val="20"/>
        </w:rPr>
        <w:t>Foreign Currency Translation and Transactions</w:t>
      </w:r>
    </w:p>
    <w:p w:rsidR="00000000" w:rsidRDefault="00BB5C2D">
      <w:pPr>
        <w:ind w:firstLine="540"/>
        <w:jc w:val="both"/>
        <w:divId w:val="435518187"/>
        <w:rPr>
          <w:rFonts w:eastAsia="Times New Roman"/>
        </w:rPr>
      </w:pPr>
      <w:r>
        <w:rPr>
          <w:rFonts w:eastAsia="Times New Roman"/>
          <w:color w:val="000000"/>
          <w:sz w:val="20"/>
          <w:szCs w:val="20"/>
        </w:rPr>
        <w:t>The financial position and operating results of the Company's foreign operations ar</w:t>
      </w:r>
      <w:r>
        <w:rPr>
          <w:rFonts w:eastAsia="Times New Roman"/>
          <w:color w:val="000000"/>
          <w:sz w:val="20"/>
          <w:szCs w:val="20"/>
        </w:rPr>
        <w:t xml:space="preserve">e accounted for in their respective functional currencies, which are generally consistent with the local currency. For purposes of consolidation, local currency assets and liabilities are translated to U.S. Dollars at the spot rates of exchange prevailing </w:t>
      </w:r>
      <w:r>
        <w:rPr>
          <w:rFonts w:eastAsia="Times New Roman"/>
          <w:color w:val="000000"/>
          <w:sz w:val="20"/>
          <w:szCs w:val="20"/>
        </w:rPr>
        <w:t xml:space="preserve">on the balance sheet date, and local currency revenues and expenses are translated to U.S. Dollars at average rates of exchange in effect during the period. The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27990331"/>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27990331"/>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F-11</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23" style="width:0;height:1.5pt" o:hralign="center" o:hrstd="t" o:hr="t" fillcolor="#a0a0a0" stroked="f"/>
        </w:pict>
      </w:r>
    </w:p>
    <w:p w:rsidR="00000000" w:rsidRDefault="00BB5C2D">
      <w:pPr>
        <w:jc w:val="center"/>
        <w:divId w:val="1521699285"/>
        <w:rPr>
          <w:rFonts w:eastAsia="Times New Roman"/>
        </w:rPr>
      </w:pPr>
    </w:p>
    <w:p w:rsidR="00000000" w:rsidRDefault="00BB5C2D">
      <w:pPr>
        <w:jc w:val="center"/>
        <w:divId w:val="1521699285"/>
        <w:rPr>
          <w:rFonts w:eastAsia="Times New Roman"/>
        </w:rPr>
      </w:pPr>
      <w:r>
        <w:rPr>
          <w:rFonts w:eastAsia="Times New Roman"/>
          <w:b/>
          <w:bCs/>
          <w:color w:val="000000"/>
          <w:sz w:val="20"/>
          <w:szCs w:val="20"/>
        </w:rPr>
        <w:t>RALPH LAUREN CORPORATION</w:t>
      </w:r>
    </w:p>
    <w:p w:rsidR="00000000" w:rsidRDefault="00BB5C2D">
      <w:pPr>
        <w:jc w:val="center"/>
        <w:divId w:val="1120415766"/>
        <w:rPr>
          <w:rFonts w:eastAsia="Times New Roman"/>
        </w:rPr>
      </w:pPr>
      <w:r>
        <w:rPr>
          <w:rFonts w:eastAsia="Times New Roman"/>
          <w:b/>
          <w:bCs/>
          <w:color w:val="000000"/>
          <w:sz w:val="20"/>
          <w:szCs w:val="20"/>
        </w:rPr>
        <w:t>NOTES TO CONSOLIDATED FINANCIAL STATEMENTS (Continued)</w:t>
      </w:r>
    </w:p>
    <w:p w:rsidR="00000000" w:rsidRDefault="00BB5C2D">
      <w:pPr>
        <w:jc w:val="both"/>
        <w:divId w:val="483084190"/>
        <w:rPr>
          <w:rFonts w:eastAsia="Times New Roman"/>
        </w:rPr>
      </w:pPr>
      <w:r>
        <w:rPr>
          <w:rFonts w:eastAsia="Times New Roman"/>
          <w:color w:val="000000"/>
          <w:sz w:val="20"/>
          <w:szCs w:val="20"/>
        </w:rPr>
        <w:t>resulting translation gains or losses are included in the consolidated statements of comprehensive income (loss) as a component of other c</w:t>
      </w:r>
      <w:r>
        <w:rPr>
          <w:rFonts w:eastAsia="Times New Roman"/>
          <w:color w:val="000000"/>
          <w:sz w:val="20"/>
          <w:szCs w:val="20"/>
        </w:rPr>
        <w:t>omprehensive income (loss) ("OCI") and in the consolidated statements of equity within accumulated other comprehensive income (loss) ("AOCI"). Gains and losses on the translation of intercompany loans made to foreign subsidiaries that are of a long-term in</w:t>
      </w:r>
      <w:r>
        <w:rPr>
          <w:rFonts w:eastAsia="Times New Roman"/>
          <w:color w:val="000000"/>
          <w:sz w:val="20"/>
          <w:szCs w:val="20"/>
        </w:rPr>
        <w:t>vestment nature are also included within this component of equity.</w:t>
      </w:r>
    </w:p>
    <w:p w:rsidR="00000000" w:rsidRDefault="00BB5C2D">
      <w:pPr>
        <w:ind w:firstLine="540"/>
        <w:jc w:val="both"/>
        <w:divId w:val="86269352"/>
        <w:rPr>
          <w:rFonts w:eastAsia="Times New Roman"/>
        </w:rPr>
      </w:pPr>
      <w:r>
        <w:rPr>
          <w:rFonts w:eastAsia="Times New Roman"/>
          <w:color w:val="000000"/>
          <w:sz w:val="20"/>
          <w:szCs w:val="20"/>
        </w:rPr>
        <w:t>The Company also recognizes gains and losses on both third-party and intercompany balances that are denominated in a currency other than the respective entity's functional currency. Such fo</w:t>
      </w:r>
      <w:r>
        <w:rPr>
          <w:rFonts w:eastAsia="Times New Roman"/>
          <w:color w:val="000000"/>
          <w:sz w:val="20"/>
          <w:szCs w:val="20"/>
        </w:rPr>
        <w:t>reign currency transactional gains and losses are recognized within other income (expense), net in the consolidated statements of operations, inclusive of the effects of any related hedging activities, and reflected net gains of $2.8 million and $8.7 milli</w:t>
      </w:r>
      <w:r>
        <w:rPr>
          <w:rFonts w:eastAsia="Times New Roman"/>
          <w:color w:val="000000"/>
          <w:sz w:val="20"/>
          <w:szCs w:val="20"/>
        </w:rPr>
        <w:t>on in Fiscal 2022 and Fiscal 2021, respectively, and a net loss of $1.1 million in Fiscal 2020.</w:t>
      </w:r>
    </w:p>
    <w:p w:rsidR="00000000" w:rsidRDefault="00BB5C2D">
      <w:pPr>
        <w:ind w:firstLine="360"/>
        <w:jc w:val="both"/>
        <w:divId w:val="363868081"/>
        <w:rPr>
          <w:rFonts w:eastAsia="Times New Roman"/>
        </w:rPr>
      </w:pPr>
      <w:r>
        <w:rPr>
          <w:rFonts w:eastAsia="Times New Roman"/>
          <w:b/>
          <w:bCs/>
          <w:i/>
          <w:iCs/>
          <w:color w:val="000000"/>
          <w:sz w:val="20"/>
          <w:szCs w:val="20"/>
        </w:rPr>
        <w:t>Comprehensive Income (Loss)</w:t>
      </w:r>
    </w:p>
    <w:p w:rsidR="00000000" w:rsidRDefault="00BB5C2D">
      <w:pPr>
        <w:ind w:firstLine="540"/>
        <w:jc w:val="both"/>
        <w:divId w:val="1057127962"/>
        <w:rPr>
          <w:rFonts w:eastAsia="Times New Roman"/>
        </w:rPr>
      </w:pPr>
      <w:r>
        <w:rPr>
          <w:rFonts w:eastAsia="Times New Roman"/>
          <w:color w:val="000000"/>
          <w:sz w:val="20"/>
          <w:szCs w:val="20"/>
        </w:rPr>
        <w:t>Comprehensive income (loss), which is reported in the consolidated statements of comprehensive income (loss) and consolidated statem</w:t>
      </w:r>
      <w:r>
        <w:rPr>
          <w:rFonts w:eastAsia="Times New Roman"/>
          <w:color w:val="000000"/>
          <w:sz w:val="20"/>
          <w:szCs w:val="20"/>
        </w:rPr>
        <w:t>ents of equity, consists of net income (loss) and certain other gains and losses affecting equity that, under U.S. GAAP, are excluded from net income (loss) and referred to as OCI. Components of OCI consist of foreign currency translation gains (losses); n</w:t>
      </w:r>
      <w:r>
        <w:rPr>
          <w:rFonts w:eastAsia="Times New Roman"/>
          <w:color w:val="000000"/>
          <w:sz w:val="20"/>
          <w:szCs w:val="20"/>
        </w:rPr>
        <w:t xml:space="preserve">et realized and unrealized gains (losses) on cash flow hedges, such as forward foreign currency exchange contracts; net realized and unrealized gains (losses) on available-for-sale investments; and net realized and unrealized gains (losses) related to the </w:t>
      </w:r>
      <w:r>
        <w:rPr>
          <w:rFonts w:eastAsia="Times New Roman"/>
          <w:color w:val="000000"/>
          <w:sz w:val="20"/>
          <w:szCs w:val="20"/>
        </w:rPr>
        <w:t>Company's defined benefit plans.</w:t>
      </w:r>
    </w:p>
    <w:p w:rsidR="00000000" w:rsidRDefault="00BB5C2D">
      <w:pPr>
        <w:ind w:firstLine="360"/>
        <w:jc w:val="both"/>
        <w:divId w:val="1207520341"/>
        <w:rPr>
          <w:rFonts w:eastAsia="Times New Roman"/>
        </w:rPr>
      </w:pPr>
      <w:r>
        <w:rPr>
          <w:rFonts w:eastAsia="Times New Roman"/>
          <w:b/>
          <w:bCs/>
          <w:i/>
          <w:iCs/>
          <w:color w:val="000000"/>
          <w:sz w:val="20"/>
          <w:szCs w:val="20"/>
        </w:rPr>
        <w:t>Net Income (Loss) per Common Share</w:t>
      </w:r>
    </w:p>
    <w:p w:rsidR="00000000" w:rsidRDefault="00BB5C2D">
      <w:pPr>
        <w:ind w:firstLine="540"/>
        <w:jc w:val="both"/>
        <w:divId w:val="2076855732"/>
        <w:rPr>
          <w:rFonts w:eastAsia="Times New Roman"/>
        </w:rPr>
      </w:pPr>
      <w:r>
        <w:rPr>
          <w:rFonts w:eastAsia="Times New Roman"/>
          <w:color w:val="000000"/>
          <w:sz w:val="20"/>
          <w:szCs w:val="20"/>
        </w:rPr>
        <w:t>Basic net income (loss) per common share is computed by dividing net income (loss) attributable to common shares by the weighted-average number of common shares outstanding during the peri</w:t>
      </w:r>
      <w:r>
        <w:rPr>
          <w:rFonts w:eastAsia="Times New Roman"/>
          <w:color w:val="000000"/>
          <w:sz w:val="20"/>
          <w:szCs w:val="20"/>
        </w:rPr>
        <w:t xml:space="preserve">od. Weighted-average common shares include shares of the Company's Class A and Class B common stock. Diluted net income (loss) per common share adjusts basic net income (loss) per common share for the dilutive effects of outstanding restricted stock units </w:t>
      </w:r>
      <w:r>
        <w:rPr>
          <w:rFonts w:eastAsia="Times New Roman"/>
          <w:color w:val="000000"/>
          <w:sz w:val="20"/>
          <w:szCs w:val="20"/>
        </w:rPr>
        <w:t>("RSUs"), stock options, and any other potentially dilutive instruments, only for the periods in which such effects are dilutive.</w:t>
      </w:r>
    </w:p>
    <w:p w:rsidR="00000000" w:rsidRDefault="00BB5C2D">
      <w:pPr>
        <w:ind w:firstLine="540"/>
        <w:jc w:val="both"/>
        <w:divId w:val="375930104"/>
        <w:rPr>
          <w:rFonts w:eastAsia="Times New Roman"/>
        </w:rPr>
      </w:pPr>
      <w:r>
        <w:rPr>
          <w:rFonts w:eastAsia="Times New Roman"/>
          <w:color w:val="000000"/>
          <w:sz w:val="20"/>
          <w:szCs w:val="20"/>
        </w:rPr>
        <w:t>The weighted-average number of common shares outstanding used to calculate basic net income (loss) per common share is reconci</w:t>
      </w:r>
      <w:r>
        <w:rPr>
          <w:rFonts w:eastAsia="Times New Roman"/>
          <w:color w:val="000000"/>
          <w:sz w:val="20"/>
          <w:szCs w:val="20"/>
        </w:rPr>
        <w:t>led to shares used to calculate diluted net income (loss) per common share as follows:</w:t>
      </w:r>
    </w:p>
    <w:tbl>
      <w:tblPr>
        <w:tblW w:w="4766" w:type="pct"/>
        <w:tblCellMar>
          <w:top w:w="15" w:type="dxa"/>
          <w:left w:w="15" w:type="dxa"/>
          <w:bottom w:w="15" w:type="dxa"/>
          <w:right w:w="15" w:type="dxa"/>
        </w:tblCellMar>
        <w:tblLook w:val="04A0" w:firstRow="1" w:lastRow="0" w:firstColumn="1" w:lastColumn="0" w:noHBand="0" w:noVBand="1"/>
      </w:tblPr>
      <w:tblGrid>
        <w:gridCol w:w="53"/>
        <w:gridCol w:w="4541"/>
        <w:gridCol w:w="38"/>
        <w:gridCol w:w="36"/>
        <w:gridCol w:w="36"/>
        <w:gridCol w:w="36"/>
        <w:gridCol w:w="38"/>
        <w:gridCol w:w="855"/>
        <w:gridCol w:w="36"/>
        <w:gridCol w:w="36"/>
        <w:gridCol w:w="36"/>
        <w:gridCol w:w="36"/>
        <w:gridCol w:w="42"/>
        <w:gridCol w:w="851"/>
        <w:gridCol w:w="36"/>
        <w:gridCol w:w="37"/>
        <w:gridCol w:w="188"/>
        <w:gridCol w:w="37"/>
        <w:gridCol w:w="54"/>
        <w:gridCol w:w="859"/>
        <w:gridCol w:w="36"/>
      </w:tblGrid>
      <w:tr w:rsidR="00000000">
        <w:trPr>
          <w:divId w:val="1309287522"/>
        </w:trPr>
        <w:tc>
          <w:tcPr>
            <w:tcW w:w="50" w:type="pct"/>
            <w:vAlign w:val="center"/>
            <w:hideMark/>
          </w:tcPr>
          <w:p w:rsidR="00000000" w:rsidRDefault="00BB5C2D">
            <w:pPr>
              <w:ind w:firstLine="540"/>
              <w:jc w:val="both"/>
              <w:rPr>
                <w:rFonts w:eastAsia="Times New Roman"/>
              </w:rPr>
            </w:pPr>
          </w:p>
        </w:tc>
        <w:tc>
          <w:tcPr>
            <w:tcW w:w="288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5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5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13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5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309287522"/>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Years Ended</w:t>
            </w:r>
          </w:p>
        </w:tc>
      </w:tr>
      <w:tr w:rsidR="00000000">
        <w:trPr>
          <w:divId w:val="1309287522"/>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r>
      <w:tr w:rsidR="00000000">
        <w:trPr>
          <w:divId w:val="1309287522"/>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1309287522"/>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Basic shares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73.0 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73.5 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75.8 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09287522"/>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ind w:hanging="180"/>
              <w:divId w:val="9377458"/>
              <w:rPr>
                <w:rFonts w:eastAsia="Times New Roman"/>
              </w:rPr>
            </w:pPr>
            <w:r>
              <w:rPr>
                <w:rFonts w:eastAsia="Times New Roman"/>
                <w:color w:val="000000"/>
                <w:sz w:val="20"/>
                <w:szCs w:val="20"/>
              </w:rPr>
              <w:t>Dilutive effect of RSUs and stock options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divId w:val="1216432316"/>
              <w:rPr>
                <w:rFonts w:eastAsia="Times New Roman"/>
              </w:rPr>
            </w:pPr>
            <w:r>
              <w:rPr>
                <w:rFonts w:eastAsia="Times New Roman"/>
                <w:b/>
                <w:bCs/>
                <w:color w:val="000000"/>
                <w:sz w:val="13"/>
                <w:szCs w:val="13"/>
              </w:rPr>
              <w:t>(a</w:t>
            </w:r>
            <w:r>
              <w:rPr>
                <w:rFonts w:eastAsia="Times New Roman"/>
                <w:b/>
                <w:bCs/>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09287522"/>
        </w:trPr>
        <w:tc>
          <w:tcPr>
            <w:tcW w:w="0" w:type="auto"/>
            <w:gridSpan w:val="3"/>
            <w:shd w:val="clear" w:color="auto" w:fill="CCEEFF"/>
            <w:tcMar>
              <w:top w:w="30" w:type="dxa"/>
              <w:left w:w="24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Diluted shares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BB5C2D">
            <w:pPr>
              <w:rPr>
                <w:rFonts w:eastAsia="Times New Roman"/>
              </w:rPr>
            </w:pPr>
          </w:p>
        </w:tc>
        <w:tc>
          <w:tcPr>
            <w:tcW w:w="494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r>
    </w:tbl>
    <w:p w:rsidR="00000000" w:rsidRDefault="00BB5C2D">
      <w:pPr>
        <w:ind w:hanging="360"/>
        <w:jc w:val="both"/>
        <w:divId w:val="860049683"/>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 xml:space="preserve">Incremental shares of 1.2 </w:t>
      </w:r>
      <w:r>
        <w:rPr>
          <w:rFonts w:eastAsia="Times New Roman"/>
          <w:color w:val="000000"/>
          <w:sz w:val="20"/>
          <w:szCs w:val="20"/>
        </w:rPr>
        <w:t>million attributable to outstanding RSUs were excluded from the computation of diluted shares for Fiscal 2021 as such shares would not be dilutive given the net loss incurred during that fiscal year.</w:t>
      </w:r>
    </w:p>
    <w:p w:rsidR="00000000" w:rsidRDefault="00BB5C2D">
      <w:pPr>
        <w:ind w:firstLine="540"/>
        <w:jc w:val="both"/>
        <w:divId w:val="1966153525"/>
        <w:rPr>
          <w:rFonts w:eastAsia="Times New Roman"/>
        </w:rPr>
      </w:pPr>
      <w:r>
        <w:rPr>
          <w:rFonts w:eastAsia="Times New Roman"/>
          <w:color w:val="000000"/>
          <w:sz w:val="20"/>
          <w:szCs w:val="20"/>
        </w:rPr>
        <w:t>All earnings per share amounts have been calculated usin</w:t>
      </w:r>
      <w:r>
        <w:rPr>
          <w:rFonts w:eastAsia="Times New Roman"/>
          <w:color w:val="000000"/>
          <w:sz w:val="20"/>
          <w:szCs w:val="20"/>
        </w:rPr>
        <w:t xml:space="preserve">g unrounded numbers. The Company has outstanding performance-based RSUs, which are included in the computation of diluted shares only to the extent that the underlying performance conditions (i) have been satisfied as of the end of the reporting period or </w:t>
      </w:r>
      <w:r>
        <w:rPr>
          <w:rFonts w:eastAsia="Times New Roman"/>
          <w:color w:val="000000"/>
          <w:sz w:val="20"/>
          <w:szCs w:val="20"/>
        </w:rPr>
        <w:t>(ii) would be considered satisfied if the end of the reporting period were the end of the related contingency period and the result would be dilutive. In addition, options to purchase shares of the Company's Class A common stock at an exercise price greate</w:t>
      </w:r>
      <w:r>
        <w:rPr>
          <w:rFonts w:eastAsia="Times New Roman"/>
          <w:color w:val="000000"/>
          <w:sz w:val="20"/>
          <w:szCs w:val="20"/>
        </w:rPr>
        <w:t>r than the average market price of such common stock during the reporting period are anti-dilutive and therefore not included in the computation of diluted net income (loss) per common share. As of the end of Fiscal 2022, Fiscal 2021, and Fiscal 2020, ther</w:t>
      </w:r>
      <w:r>
        <w:rPr>
          <w:rFonts w:eastAsia="Times New Roman"/>
          <w:color w:val="000000"/>
          <w:sz w:val="20"/>
          <w:szCs w:val="20"/>
        </w:rPr>
        <w:t>e were 0.1 million, 0.4 million, and 0.8 million, respectively, of additional shares issuable contingent upon vesting of performance-based RSUs and upon exercise of anti-dilutive stock options that were excluded from the diluted shares calculations.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997537514"/>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997537514"/>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F-12</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24" style="width:0;height:1.5pt" o:hralign="center" o:hrstd="t" o:hr="t" fillcolor="#a0a0a0" stroked="f"/>
        </w:pict>
      </w:r>
    </w:p>
    <w:p w:rsidR="00000000" w:rsidRDefault="00BB5C2D">
      <w:pPr>
        <w:jc w:val="center"/>
        <w:divId w:val="1390112506"/>
        <w:rPr>
          <w:rFonts w:eastAsia="Times New Roman"/>
        </w:rPr>
      </w:pPr>
    </w:p>
    <w:p w:rsidR="00000000" w:rsidRDefault="00BB5C2D">
      <w:pPr>
        <w:jc w:val="center"/>
        <w:divId w:val="1390112506"/>
        <w:rPr>
          <w:rFonts w:eastAsia="Times New Roman"/>
        </w:rPr>
      </w:pPr>
      <w:r>
        <w:rPr>
          <w:rFonts w:eastAsia="Times New Roman"/>
          <w:b/>
          <w:bCs/>
          <w:color w:val="000000"/>
          <w:sz w:val="20"/>
          <w:szCs w:val="20"/>
        </w:rPr>
        <w:t>RALPH LAUREN CORPORATION</w:t>
      </w:r>
    </w:p>
    <w:p w:rsidR="00000000" w:rsidRDefault="00BB5C2D">
      <w:pPr>
        <w:jc w:val="center"/>
        <w:divId w:val="183792750"/>
        <w:rPr>
          <w:rFonts w:eastAsia="Times New Roman"/>
        </w:rPr>
      </w:pPr>
      <w:r>
        <w:rPr>
          <w:rFonts w:eastAsia="Times New Roman"/>
          <w:b/>
          <w:bCs/>
          <w:color w:val="000000"/>
          <w:sz w:val="20"/>
          <w:szCs w:val="20"/>
        </w:rPr>
        <w:t>NOTES TO CONSOLIDATED FINANCIAL STATEMENTS (Continued)</w:t>
      </w:r>
    </w:p>
    <w:p w:rsidR="00000000" w:rsidRDefault="00BB5C2D">
      <w:pPr>
        <w:ind w:firstLine="360"/>
        <w:jc w:val="both"/>
        <w:divId w:val="358363479"/>
        <w:rPr>
          <w:rFonts w:eastAsia="Times New Roman"/>
        </w:rPr>
      </w:pPr>
      <w:r>
        <w:rPr>
          <w:rFonts w:eastAsia="Times New Roman"/>
          <w:b/>
          <w:bCs/>
          <w:i/>
          <w:iCs/>
          <w:color w:val="000000"/>
          <w:sz w:val="20"/>
          <w:szCs w:val="20"/>
        </w:rPr>
        <w:t>Stock-Based Compensation</w:t>
      </w:r>
    </w:p>
    <w:p w:rsidR="00000000" w:rsidRDefault="00BB5C2D">
      <w:pPr>
        <w:ind w:firstLine="540"/>
        <w:jc w:val="both"/>
        <w:divId w:val="1683122725"/>
        <w:rPr>
          <w:rFonts w:eastAsia="Times New Roman"/>
        </w:rPr>
      </w:pPr>
      <w:r>
        <w:rPr>
          <w:rFonts w:eastAsia="Times New Roman"/>
          <w:color w:val="000000"/>
          <w:sz w:val="20"/>
          <w:szCs w:val="20"/>
        </w:rPr>
        <w:t>The Company recognizes expense for all stock-based compensation awards granted to employees and non-employee directors based on the grant date fair value of the awards over the requisite service period, adjusted for forfeitures which are estimated based on</w:t>
      </w:r>
      <w:r>
        <w:rPr>
          <w:rFonts w:eastAsia="Times New Roman"/>
          <w:color w:val="000000"/>
          <w:sz w:val="20"/>
          <w:szCs w:val="20"/>
        </w:rPr>
        <w:t xml:space="preserve"> an analysis of historical experience and expected future trends. The grant date fair values of service-based RSUs and performance-based RSUs are determined based on the fair value of the Company's Class A common stock on the date of grant, adjusted to ref</w:t>
      </w:r>
      <w:r>
        <w:rPr>
          <w:rFonts w:eastAsia="Times New Roman"/>
          <w:color w:val="000000"/>
          <w:sz w:val="20"/>
          <w:szCs w:val="20"/>
        </w:rPr>
        <w:t>lect the absence of dividends for any awards for which dividend equivalent amounts do not accrue while outstanding and unvested. The grant date fair value of the Company's market-based RSU awards, for which vesting is dependent upon total shareholder retur</w:t>
      </w:r>
      <w:r>
        <w:rPr>
          <w:rFonts w:eastAsia="Times New Roman"/>
          <w:color w:val="000000"/>
          <w:sz w:val="20"/>
          <w:szCs w:val="20"/>
        </w:rPr>
        <w:t>n ("TSR") of its Class A common stock over a three-year performance period relative to that of a pre-established peer group, is estimated using a Monte Carlo simulation model. The Company uses the Black-Scholes valuation model to estimate the grant date fa</w:t>
      </w:r>
      <w:r>
        <w:rPr>
          <w:rFonts w:eastAsia="Times New Roman"/>
          <w:color w:val="000000"/>
          <w:sz w:val="20"/>
          <w:szCs w:val="20"/>
        </w:rPr>
        <w:t>ir value of any stock option awards.</w:t>
      </w:r>
    </w:p>
    <w:p w:rsidR="00000000" w:rsidRDefault="00BB5C2D">
      <w:pPr>
        <w:ind w:firstLine="540"/>
        <w:jc w:val="both"/>
        <w:divId w:val="1044597960"/>
        <w:rPr>
          <w:rFonts w:eastAsia="Times New Roman"/>
        </w:rPr>
      </w:pPr>
      <w:r>
        <w:rPr>
          <w:rFonts w:eastAsia="Times New Roman"/>
          <w:color w:val="000000"/>
          <w:sz w:val="20"/>
          <w:szCs w:val="20"/>
        </w:rPr>
        <w:t>Compensation expense for all performance-based RSUs is recognized over the requisite service period when attainment of the performance goal is deemed probable, net of estimated forfeitures. Compensation expense for mark</w:t>
      </w:r>
      <w:r>
        <w:rPr>
          <w:rFonts w:eastAsia="Times New Roman"/>
          <w:color w:val="000000"/>
          <w:sz w:val="20"/>
          <w:szCs w:val="20"/>
        </w:rPr>
        <w:t>et-based RSUs, net of estimated forfeitures, is recognized over the requisite service period regardless of whether, and the extent to which, the market condition is ultimately satisfied. The Company recognizes compensation expense on an accelerated basis f</w:t>
      </w:r>
      <w:r>
        <w:rPr>
          <w:rFonts w:eastAsia="Times New Roman"/>
          <w:color w:val="000000"/>
          <w:sz w:val="20"/>
          <w:szCs w:val="20"/>
        </w:rPr>
        <w:t>or all awards with graded vesting terms, including certain RSUs, restricted stock, and stock options. For RSU awards with cliff vesting terms, compensation expense is recognized on a straight-line basis. For certain RSU awards granted to retirement-eligibl</w:t>
      </w:r>
      <w:r>
        <w:rPr>
          <w:rFonts w:eastAsia="Times New Roman"/>
          <w:color w:val="000000"/>
          <w:sz w:val="20"/>
          <w:szCs w:val="20"/>
        </w:rPr>
        <w:t>e employees, or employees who will become retirement-eligible prior to the end of the awards' respective stated vesting periods, the related compensation expense is recognized on an accelerated basis over a term commensurate with the period that the employ</w:t>
      </w:r>
      <w:r>
        <w:rPr>
          <w:rFonts w:eastAsia="Times New Roman"/>
          <w:color w:val="000000"/>
          <w:sz w:val="20"/>
          <w:szCs w:val="20"/>
        </w:rPr>
        <w:t>ee is required to provide service in order to vest in the award. See Note 18 for further discussion of the Company's stock-based compensation plans.</w:t>
      </w:r>
    </w:p>
    <w:p w:rsidR="00000000" w:rsidRDefault="00BB5C2D">
      <w:pPr>
        <w:ind w:firstLine="360"/>
        <w:jc w:val="both"/>
        <w:divId w:val="1130905151"/>
        <w:rPr>
          <w:rFonts w:eastAsia="Times New Roman"/>
        </w:rPr>
      </w:pPr>
      <w:r>
        <w:rPr>
          <w:rFonts w:eastAsia="Times New Roman"/>
          <w:b/>
          <w:bCs/>
          <w:i/>
          <w:iCs/>
          <w:color w:val="000000"/>
          <w:sz w:val="20"/>
          <w:szCs w:val="20"/>
        </w:rPr>
        <w:t>Cash and Cash Equivalents</w:t>
      </w:r>
    </w:p>
    <w:p w:rsidR="00000000" w:rsidRDefault="00BB5C2D">
      <w:pPr>
        <w:ind w:firstLine="540"/>
        <w:jc w:val="both"/>
        <w:divId w:val="362289576"/>
        <w:rPr>
          <w:rFonts w:eastAsia="Times New Roman"/>
        </w:rPr>
      </w:pPr>
      <w:r>
        <w:rPr>
          <w:rFonts w:eastAsia="Times New Roman"/>
          <w:color w:val="000000"/>
          <w:sz w:val="20"/>
          <w:szCs w:val="20"/>
        </w:rPr>
        <w:t>Cash and cash equivalents include all highly liquid investments with original mat</w:t>
      </w:r>
      <w:r>
        <w:rPr>
          <w:rFonts w:eastAsia="Times New Roman"/>
          <w:color w:val="000000"/>
          <w:sz w:val="20"/>
          <w:szCs w:val="20"/>
        </w:rPr>
        <w:t>urities of 90 days or less, including investments in time deposits and debt securities. Investments in debt securities are diversified across high-credit quality issuers in accordance with the Company's risk-management policies.</w:t>
      </w:r>
    </w:p>
    <w:p w:rsidR="00000000" w:rsidRDefault="00BB5C2D">
      <w:pPr>
        <w:ind w:firstLine="360"/>
        <w:jc w:val="both"/>
        <w:divId w:val="1528831198"/>
        <w:rPr>
          <w:rFonts w:eastAsia="Times New Roman"/>
        </w:rPr>
      </w:pPr>
      <w:r>
        <w:rPr>
          <w:rFonts w:eastAsia="Times New Roman"/>
          <w:b/>
          <w:bCs/>
          <w:i/>
          <w:iCs/>
          <w:color w:val="000000"/>
          <w:sz w:val="20"/>
          <w:szCs w:val="20"/>
        </w:rPr>
        <w:t>Restricted Cash</w:t>
      </w:r>
    </w:p>
    <w:p w:rsidR="00000000" w:rsidRDefault="00BB5C2D">
      <w:pPr>
        <w:ind w:firstLine="540"/>
        <w:jc w:val="both"/>
        <w:divId w:val="323827352"/>
        <w:rPr>
          <w:rFonts w:eastAsia="Times New Roman"/>
        </w:rPr>
      </w:pPr>
      <w:r>
        <w:rPr>
          <w:rFonts w:eastAsia="Times New Roman"/>
          <w:color w:val="000000"/>
          <w:sz w:val="20"/>
          <w:szCs w:val="20"/>
        </w:rPr>
        <w:t>The Company</w:t>
      </w:r>
      <w:r>
        <w:rPr>
          <w:rFonts w:eastAsia="Times New Roman"/>
          <w:color w:val="000000"/>
          <w:sz w:val="20"/>
          <w:szCs w:val="20"/>
        </w:rPr>
        <w:t xml:space="preserve"> is periodically required to place cash in escrow with various banks as collateral, primarily to secure guarantees of corresponding amounts made by the banks to international tax authorities on behalf of the Company, such as to secure refunds of value-adde</w:t>
      </w:r>
      <w:r>
        <w:rPr>
          <w:rFonts w:eastAsia="Times New Roman"/>
          <w:color w:val="000000"/>
          <w:sz w:val="20"/>
          <w:szCs w:val="20"/>
        </w:rPr>
        <w:t>d tax payments in certain international tax jurisdictions or in the case of certain international tax audits, as well as to secure guarantees related to certain real estate leases. Such cash is classified as restricted cash and reported as a component of e</w:t>
      </w:r>
      <w:r>
        <w:rPr>
          <w:rFonts w:eastAsia="Times New Roman"/>
          <w:color w:val="000000"/>
          <w:sz w:val="20"/>
          <w:szCs w:val="20"/>
        </w:rPr>
        <w:t>ither prepaid expenses and other current assets or other non-current assets in the consolidated balance sheets.</w:t>
      </w:r>
    </w:p>
    <w:p w:rsidR="00000000" w:rsidRDefault="00BB5C2D">
      <w:pPr>
        <w:ind w:firstLine="360"/>
        <w:jc w:val="both"/>
        <w:divId w:val="188376794"/>
        <w:rPr>
          <w:rFonts w:eastAsia="Times New Roman"/>
        </w:rPr>
      </w:pPr>
      <w:r>
        <w:rPr>
          <w:rFonts w:eastAsia="Times New Roman"/>
          <w:b/>
          <w:bCs/>
          <w:i/>
          <w:iCs/>
          <w:color w:val="000000"/>
          <w:sz w:val="20"/>
          <w:szCs w:val="20"/>
        </w:rPr>
        <w:t>Investments</w:t>
      </w:r>
    </w:p>
    <w:p w:rsidR="00000000" w:rsidRDefault="00BB5C2D">
      <w:pPr>
        <w:ind w:firstLine="540"/>
        <w:jc w:val="both"/>
        <w:divId w:val="1460606939"/>
        <w:rPr>
          <w:rFonts w:eastAsia="Times New Roman"/>
        </w:rPr>
      </w:pPr>
      <w:r>
        <w:rPr>
          <w:rFonts w:eastAsia="Times New Roman"/>
          <w:color w:val="000000"/>
          <w:sz w:val="20"/>
          <w:szCs w:val="20"/>
        </w:rPr>
        <w:t>The Company's investment objectives include capital preservation, maintaining adequate liquidity, diversification to minimize liquid</w:t>
      </w:r>
      <w:r>
        <w:rPr>
          <w:rFonts w:eastAsia="Times New Roman"/>
          <w:color w:val="000000"/>
          <w:sz w:val="20"/>
          <w:szCs w:val="20"/>
        </w:rPr>
        <w:t>ity and credit risk, and achievement of maximum returns within the guidelines set forth in the Company's investment policy.</w:t>
      </w:r>
    </w:p>
    <w:p w:rsidR="00000000" w:rsidRDefault="00BB5C2D">
      <w:pPr>
        <w:ind w:firstLine="540"/>
        <w:jc w:val="both"/>
        <w:divId w:val="703020402"/>
        <w:rPr>
          <w:rFonts w:eastAsia="Times New Roman"/>
        </w:rPr>
      </w:pPr>
      <w:r>
        <w:rPr>
          <w:rFonts w:eastAsia="Times New Roman"/>
          <w:color w:val="000000"/>
          <w:sz w:val="20"/>
          <w:szCs w:val="20"/>
        </w:rPr>
        <w:t>Short-term investments consist of investments which the Company expects to convert into cash within one year, including any time dep</w:t>
      </w:r>
      <w:r>
        <w:rPr>
          <w:rFonts w:eastAsia="Times New Roman"/>
          <w:color w:val="000000"/>
          <w:sz w:val="20"/>
          <w:szCs w:val="20"/>
        </w:rPr>
        <w:t>osits and debt securities with original maturities greater than 90 days. See Note 13 for further information relating to the composition of the Company's short-term investments.</w:t>
      </w:r>
    </w:p>
    <w:p w:rsidR="00000000" w:rsidRDefault="00BB5C2D">
      <w:pPr>
        <w:ind w:firstLine="540"/>
        <w:jc w:val="both"/>
        <w:divId w:val="1511292118"/>
        <w:rPr>
          <w:rFonts w:eastAsia="Times New Roman"/>
        </w:rPr>
      </w:pPr>
      <w:r>
        <w:rPr>
          <w:rFonts w:eastAsia="Times New Roman"/>
          <w:color w:val="000000"/>
          <w:sz w:val="20"/>
          <w:szCs w:val="20"/>
        </w:rPr>
        <w:t>The Company classifies such investments as available-for-sale. Accordingly, th</w:t>
      </w:r>
      <w:r>
        <w:rPr>
          <w:rFonts w:eastAsia="Times New Roman"/>
          <w:color w:val="000000"/>
          <w:sz w:val="20"/>
          <w:szCs w:val="20"/>
        </w:rPr>
        <w:t>ey are recorded at fair value with any related unrealized gains or losses generally recognized as a component of AOCI in the consolidated balance sheets, and related realized gains or losses (or unrealized credit-related impairment losses, if any) recorded</w:t>
      </w:r>
      <w:r>
        <w:rPr>
          <w:rFonts w:eastAsia="Times New Roman"/>
          <w:color w:val="000000"/>
          <w:sz w:val="20"/>
          <w:szCs w:val="20"/>
        </w:rPr>
        <w:t xml:space="preserve"> within other income (expense), net, in the consolidated statements of operations. Cash inflows and outflows related to the sale and purchase of investments are classified as investing activities in the consolidated statements of cash flows.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840731856"/>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840731856"/>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F-13</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25" style="width:0;height:1.5pt" o:hralign="center" o:hrstd="t" o:hr="t" fillcolor="#a0a0a0" stroked="f"/>
        </w:pict>
      </w:r>
    </w:p>
    <w:p w:rsidR="00000000" w:rsidRDefault="00BB5C2D">
      <w:pPr>
        <w:jc w:val="center"/>
        <w:divId w:val="1314143301"/>
        <w:rPr>
          <w:rFonts w:eastAsia="Times New Roman"/>
        </w:rPr>
      </w:pPr>
    </w:p>
    <w:p w:rsidR="00000000" w:rsidRDefault="00BB5C2D">
      <w:pPr>
        <w:jc w:val="center"/>
        <w:divId w:val="1314143301"/>
        <w:rPr>
          <w:rFonts w:eastAsia="Times New Roman"/>
        </w:rPr>
      </w:pPr>
      <w:r>
        <w:rPr>
          <w:rFonts w:eastAsia="Times New Roman"/>
          <w:b/>
          <w:bCs/>
          <w:color w:val="000000"/>
          <w:sz w:val="20"/>
          <w:szCs w:val="20"/>
        </w:rPr>
        <w:t>RALPH LAUREN CORPORATION</w:t>
      </w:r>
    </w:p>
    <w:p w:rsidR="00000000" w:rsidRDefault="00BB5C2D">
      <w:pPr>
        <w:jc w:val="center"/>
        <w:divId w:val="196626262"/>
        <w:rPr>
          <w:rFonts w:eastAsia="Times New Roman"/>
        </w:rPr>
      </w:pPr>
      <w:r>
        <w:rPr>
          <w:rFonts w:eastAsia="Times New Roman"/>
          <w:b/>
          <w:bCs/>
          <w:color w:val="000000"/>
          <w:sz w:val="20"/>
          <w:szCs w:val="20"/>
        </w:rPr>
        <w:t>NOTES TO CONSOLIDATED FINANCIAL STATEMENTS (Continued)</w:t>
      </w:r>
    </w:p>
    <w:p w:rsidR="00000000" w:rsidRDefault="00BB5C2D">
      <w:pPr>
        <w:ind w:firstLine="360"/>
        <w:jc w:val="both"/>
        <w:divId w:val="1240824716"/>
        <w:rPr>
          <w:rFonts w:eastAsia="Times New Roman"/>
        </w:rPr>
      </w:pPr>
      <w:r>
        <w:rPr>
          <w:rFonts w:eastAsia="Times New Roman"/>
          <w:i/>
          <w:iCs/>
          <w:color w:val="000000"/>
          <w:sz w:val="20"/>
          <w:szCs w:val="20"/>
        </w:rPr>
        <w:t>Equity-method and Other Investments</w:t>
      </w:r>
    </w:p>
    <w:p w:rsidR="00000000" w:rsidRDefault="00BB5C2D">
      <w:pPr>
        <w:ind w:firstLine="540"/>
        <w:jc w:val="both"/>
        <w:divId w:val="1223174961"/>
        <w:rPr>
          <w:rFonts w:eastAsia="Times New Roman"/>
        </w:rPr>
      </w:pPr>
      <w:r>
        <w:rPr>
          <w:rFonts w:eastAsia="Times New Roman"/>
          <w:color w:val="000000"/>
          <w:sz w:val="20"/>
          <w:szCs w:val="20"/>
        </w:rPr>
        <w:t>Ownership interests that provide the Company with significant influence, but less than a controlling i</w:t>
      </w:r>
      <w:r>
        <w:rPr>
          <w:rFonts w:eastAsia="Times New Roman"/>
          <w:color w:val="000000"/>
          <w:sz w:val="20"/>
          <w:szCs w:val="20"/>
        </w:rPr>
        <w:t>nterest, over an investee are generally accounted for using the equity method of accounting. Significant influence is generally presumed to exist when the Company owns between 20% and 50% of the investee's common stock. Ownership interests that do not prov</w:t>
      </w:r>
      <w:r>
        <w:rPr>
          <w:rFonts w:eastAsia="Times New Roman"/>
          <w:color w:val="000000"/>
          <w:sz w:val="20"/>
          <w:szCs w:val="20"/>
        </w:rPr>
        <w:t>ide significant influence and for which the underlying equity security's fair value is not readily determinable are generally recorded at cost less impairment, if any, adjusted for observable price changes in orderly transactions for identical or similar i</w:t>
      </w:r>
      <w:r>
        <w:rPr>
          <w:rFonts w:eastAsia="Times New Roman"/>
          <w:color w:val="000000"/>
          <w:sz w:val="20"/>
          <w:szCs w:val="20"/>
        </w:rPr>
        <w:t>nvestments of the same investee, with such adjustments recognized within other income (expense), net, in the consolidated statements of operations.</w:t>
      </w:r>
    </w:p>
    <w:p w:rsidR="00000000" w:rsidRDefault="00BB5C2D">
      <w:pPr>
        <w:ind w:firstLine="540"/>
        <w:jc w:val="both"/>
        <w:divId w:val="94375304"/>
        <w:rPr>
          <w:rFonts w:eastAsia="Times New Roman"/>
        </w:rPr>
      </w:pPr>
      <w:r>
        <w:rPr>
          <w:rFonts w:eastAsia="Times New Roman"/>
          <w:color w:val="000000"/>
          <w:sz w:val="20"/>
          <w:szCs w:val="20"/>
        </w:rPr>
        <w:t>Under the equity method of accounting, the following amounts are generally recorded in the Company's consoli</w:t>
      </w:r>
      <w:r>
        <w:rPr>
          <w:rFonts w:eastAsia="Times New Roman"/>
          <w:color w:val="000000"/>
          <w:sz w:val="20"/>
          <w:szCs w:val="20"/>
        </w:rPr>
        <w:t>dated financial statements: the Company's original investment, as subsequently adjusted for its share of the investee's earnings (losses) and reduced by any dividends received and other-than-temporary impairments recorded, is included in the consolidated b</w:t>
      </w:r>
      <w:r>
        <w:rPr>
          <w:rFonts w:eastAsia="Times New Roman"/>
          <w:color w:val="000000"/>
          <w:sz w:val="20"/>
          <w:szCs w:val="20"/>
        </w:rPr>
        <w:t>alance sheets; the Company's share of the investee's periodic earnings (losses) is included in the consolidated statements of operations; and dividends and other cash distributions received from the investee and additional cash investments made in or other</w:t>
      </w:r>
      <w:r>
        <w:rPr>
          <w:rFonts w:eastAsia="Times New Roman"/>
          <w:color w:val="000000"/>
          <w:sz w:val="20"/>
          <w:szCs w:val="20"/>
        </w:rPr>
        <w:t xml:space="preserve"> cash paid to the investee are included in the consolidated statements of cash flows. The Company's share of equity-method investee earnings and losses is recognized within other income (expense), net, in the consolidated statements of operations and was n</w:t>
      </w:r>
      <w:r>
        <w:rPr>
          <w:rFonts w:eastAsia="Times New Roman"/>
          <w:color w:val="000000"/>
          <w:sz w:val="20"/>
          <w:szCs w:val="20"/>
        </w:rPr>
        <w:t>ot material in any of the fiscal years presented.</w:t>
      </w:r>
    </w:p>
    <w:p w:rsidR="00000000" w:rsidRDefault="00BB5C2D">
      <w:pPr>
        <w:ind w:firstLine="540"/>
        <w:jc w:val="both"/>
        <w:divId w:val="467358484"/>
        <w:rPr>
          <w:rFonts w:eastAsia="Times New Roman"/>
        </w:rPr>
      </w:pPr>
      <w:r>
        <w:rPr>
          <w:rFonts w:eastAsia="Times New Roman"/>
          <w:color w:val="000000"/>
          <w:sz w:val="20"/>
          <w:szCs w:val="20"/>
        </w:rPr>
        <w:t>These investments are recorded within other non-current assets in the consolidated balance sheets.</w:t>
      </w:r>
    </w:p>
    <w:p w:rsidR="00000000" w:rsidRDefault="00BB5C2D">
      <w:pPr>
        <w:ind w:firstLine="360"/>
        <w:jc w:val="both"/>
        <w:divId w:val="1485312693"/>
        <w:rPr>
          <w:rFonts w:eastAsia="Times New Roman"/>
        </w:rPr>
      </w:pPr>
      <w:r>
        <w:rPr>
          <w:rFonts w:eastAsia="Times New Roman"/>
          <w:i/>
          <w:iCs/>
          <w:color w:val="000000"/>
          <w:sz w:val="20"/>
          <w:szCs w:val="20"/>
        </w:rPr>
        <w:t>Impairment Assessment</w:t>
      </w:r>
    </w:p>
    <w:p w:rsidR="00000000" w:rsidRDefault="00BB5C2D">
      <w:pPr>
        <w:ind w:firstLine="540"/>
        <w:jc w:val="both"/>
        <w:divId w:val="695347228"/>
        <w:rPr>
          <w:rFonts w:eastAsia="Times New Roman"/>
        </w:rPr>
      </w:pPr>
      <w:r>
        <w:rPr>
          <w:rFonts w:eastAsia="Times New Roman"/>
          <w:color w:val="000000"/>
          <w:sz w:val="20"/>
          <w:szCs w:val="20"/>
        </w:rPr>
        <w:t>The Company evaluates the need to recognize impairment charges for its investments th</w:t>
      </w:r>
      <w:r>
        <w:rPr>
          <w:rFonts w:eastAsia="Times New Roman"/>
          <w:color w:val="000000"/>
          <w:sz w:val="20"/>
          <w:szCs w:val="20"/>
        </w:rPr>
        <w:t>at are in unrealized loss positions, if any, and its other equity investments on a quarterly basis (see Note 12). Such evaluation involves a variety of considerations, including assessments of the risks and uncertainties associated with general economic co</w:t>
      </w:r>
      <w:r>
        <w:rPr>
          <w:rFonts w:eastAsia="Times New Roman"/>
          <w:color w:val="000000"/>
          <w:sz w:val="20"/>
          <w:szCs w:val="20"/>
        </w:rPr>
        <w:t>nditions and distinct conditions affecting specific issuers or investees. Factors considered by the Company include (i) the financial condition, creditworthiness, and near-term prospects of the issuer or investee; (ii) future economic conditions and market</w:t>
      </w:r>
      <w:r>
        <w:rPr>
          <w:rFonts w:eastAsia="Times New Roman"/>
          <w:color w:val="000000"/>
          <w:sz w:val="20"/>
          <w:szCs w:val="20"/>
        </w:rPr>
        <w:t xml:space="preserve"> forecasts; (iii) the length of time to maturity, if applicable, and an assessment of whether it is more likely than not that the Company will be required to sell its investment before recovery of market value; and (iv) whether events or changes in circums</w:t>
      </w:r>
      <w:r>
        <w:rPr>
          <w:rFonts w:eastAsia="Times New Roman"/>
          <w:color w:val="000000"/>
          <w:sz w:val="20"/>
          <w:szCs w:val="20"/>
        </w:rPr>
        <w:t>tances indicate that the investment's carrying amount might not be recoverable.</w:t>
      </w:r>
    </w:p>
    <w:p w:rsidR="00000000" w:rsidRDefault="00BB5C2D">
      <w:pPr>
        <w:ind w:firstLine="540"/>
        <w:jc w:val="both"/>
        <w:divId w:val="1442796877"/>
        <w:rPr>
          <w:rFonts w:eastAsia="Times New Roman"/>
        </w:rPr>
      </w:pPr>
      <w:r>
        <w:rPr>
          <w:rFonts w:eastAsia="Times New Roman"/>
          <w:color w:val="000000"/>
          <w:sz w:val="20"/>
          <w:szCs w:val="20"/>
        </w:rPr>
        <w:t>During Fiscal 2020, the Company recorded a $7.1 million impairment charge within other income (expense), net in the consolidated statements of operations related to an equity m</w:t>
      </w:r>
      <w:r>
        <w:rPr>
          <w:rFonts w:eastAsia="Times New Roman"/>
          <w:color w:val="000000"/>
          <w:sz w:val="20"/>
          <w:szCs w:val="20"/>
        </w:rPr>
        <w:t>ethod investment (see Note 8).</w:t>
      </w:r>
    </w:p>
    <w:p w:rsidR="00000000" w:rsidRDefault="00BB5C2D">
      <w:pPr>
        <w:ind w:firstLine="360"/>
        <w:jc w:val="both"/>
        <w:divId w:val="379986538"/>
        <w:rPr>
          <w:rFonts w:eastAsia="Times New Roman"/>
        </w:rPr>
      </w:pPr>
      <w:r>
        <w:rPr>
          <w:rFonts w:eastAsia="Times New Roman"/>
          <w:b/>
          <w:bCs/>
          <w:i/>
          <w:iCs/>
          <w:color w:val="000000"/>
          <w:sz w:val="20"/>
          <w:szCs w:val="20"/>
        </w:rPr>
        <w:t>Accounts Receivable</w:t>
      </w:r>
    </w:p>
    <w:p w:rsidR="00000000" w:rsidRDefault="00BB5C2D">
      <w:pPr>
        <w:ind w:firstLine="540"/>
        <w:jc w:val="both"/>
        <w:divId w:val="1343164769"/>
        <w:rPr>
          <w:rFonts w:eastAsia="Times New Roman"/>
        </w:rPr>
      </w:pPr>
      <w:r>
        <w:rPr>
          <w:rFonts w:eastAsia="Times New Roman"/>
          <w:color w:val="000000"/>
          <w:sz w:val="20"/>
          <w:szCs w:val="20"/>
        </w:rPr>
        <w:t>In the normal course of business, the Company extends credit to wholesale customers that satisfy certain defined credit criteria. Payment is generally due within 30 to 120 days and does not involve a signi</w:t>
      </w:r>
      <w:r>
        <w:rPr>
          <w:rFonts w:eastAsia="Times New Roman"/>
          <w:color w:val="000000"/>
          <w:sz w:val="20"/>
          <w:szCs w:val="20"/>
        </w:rPr>
        <w:t>ficant financing component. Accounts receivable are recorded at amortized cost, which approximates fair value, and are presented in the consolidated balance sheets net of certain reserves and allowances. These reserves and allowances consist of (i) reserve</w:t>
      </w:r>
      <w:r>
        <w:rPr>
          <w:rFonts w:eastAsia="Times New Roman"/>
          <w:color w:val="000000"/>
          <w:sz w:val="20"/>
          <w:szCs w:val="20"/>
        </w:rPr>
        <w:t>s for returns, discounts, end-of-season markdowns, operational chargebacks, and certain cooperative advertising allowances (see the "</w:t>
      </w:r>
      <w:r>
        <w:rPr>
          <w:rFonts w:eastAsia="Times New Roman"/>
          <w:i/>
          <w:iCs/>
          <w:color w:val="000000"/>
          <w:sz w:val="20"/>
          <w:szCs w:val="20"/>
        </w:rPr>
        <w:t>Revenue Recognition</w:t>
      </w:r>
      <w:r>
        <w:rPr>
          <w:rFonts w:eastAsia="Times New Roman"/>
          <w:color w:val="000000"/>
          <w:sz w:val="20"/>
          <w:szCs w:val="20"/>
        </w:rPr>
        <w:t xml:space="preserve">" section above for further discussion of related accounting policies) and (ii) allowances for doubtful </w:t>
      </w:r>
      <w:r>
        <w:rPr>
          <w:rFonts w:eastAsia="Times New Roman"/>
          <w:color w:val="000000"/>
          <w:sz w:val="20"/>
          <w:szCs w:val="20"/>
        </w:rPr>
        <w:t>accounts.</w:t>
      </w:r>
    </w:p>
    <w:p w:rsidR="00000000" w:rsidRDefault="00BB5C2D">
      <w:pPr>
        <w:ind w:firstLine="540"/>
        <w:jc w:val="both"/>
        <w:divId w:val="977489193"/>
        <w:rPr>
          <w:rFonts w:eastAsia="Times New Roman"/>
        </w:rPr>
      </w:pPr>
      <w:r>
        <w:rPr>
          <w:rFonts w:eastAsia="Times New Roman"/>
          <w:color w:val="000000"/>
          <w:sz w:val="20"/>
          <w:szCs w:val="20"/>
        </w:rPr>
        <w:t>A rollforward of the activity in the Company's reserves for returns, discounts, end-of-season markdowns, operational chargebacks, and certain cooperative advertising allowances is presented as follows:</w:t>
      </w:r>
    </w:p>
    <w:tbl>
      <w:tblPr>
        <w:tblW w:w="4729" w:type="pct"/>
        <w:tblCellMar>
          <w:top w:w="15" w:type="dxa"/>
          <w:left w:w="15" w:type="dxa"/>
          <w:bottom w:w="15" w:type="dxa"/>
          <w:right w:w="15" w:type="dxa"/>
        </w:tblCellMar>
        <w:tblLook w:val="04A0" w:firstRow="1" w:lastRow="0" w:firstColumn="1" w:lastColumn="0" w:noHBand="0" w:noVBand="1"/>
      </w:tblPr>
      <w:tblGrid>
        <w:gridCol w:w="38"/>
        <w:gridCol w:w="4615"/>
        <w:gridCol w:w="37"/>
        <w:gridCol w:w="36"/>
        <w:gridCol w:w="36"/>
        <w:gridCol w:w="36"/>
        <w:gridCol w:w="120"/>
        <w:gridCol w:w="791"/>
        <w:gridCol w:w="36"/>
        <w:gridCol w:w="36"/>
        <w:gridCol w:w="36"/>
        <w:gridCol w:w="36"/>
        <w:gridCol w:w="120"/>
        <w:gridCol w:w="791"/>
        <w:gridCol w:w="36"/>
        <w:gridCol w:w="36"/>
        <w:gridCol w:w="36"/>
        <w:gridCol w:w="36"/>
        <w:gridCol w:w="120"/>
        <w:gridCol w:w="792"/>
        <w:gridCol w:w="36"/>
      </w:tblGrid>
      <w:tr w:rsidR="00000000">
        <w:trPr>
          <w:divId w:val="1098982401"/>
        </w:trPr>
        <w:tc>
          <w:tcPr>
            <w:tcW w:w="50" w:type="pct"/>
            <w:vAlign w:val="center"/>
            <w:hideMark/>
          </w:tcPr>
          <w:p w:rsidR="00000000" w:rsidRDefault="00BB5C2D">
            <w:pPr>
              <w:ind w:firstLine="540"/>
              <w:jc w:val="both"/>
              <w:rPr>
                <w:rFonts w:eastAsia="Times New Roman"/>
              </w:rPr>
            </w:pPr>
          </w:p>
        </w:tc>
        <w:tc>
          <w:tcPr>
            <w:tcW w:w="297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63"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63"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63"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098982401"/>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Years Ended</w:t>
            </w:r>
          </w:p>
        </w:tc>
      </w:tr>
      <w:tr w:rsidR="00000000">
        <w:trPr>
          <w:divId w:val="1098982401"/>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r>
      <w:tr w:rsidR="00000000">
        <w:trPr>
          <w:divId w:val="1098982401"/>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1098982401"/>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Beginning reserve balance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173.7 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204.7 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176.5 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098982401"/>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Amount charged against revenue to increase reserve</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407.7 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280.1 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580.1 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098982401"/>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ind w:hanging="180"/>
              <w:divId w:val="795023852"/>
              <w:rPr>
                <w:rFonts w:eastAsia="Times New Roman"/>
              </w:rPr>
            </w:pPr>
            <w:r>
              <w:rPr>
                <w:rFonts w:eastAsia="Times New Roman"/>
                <w:color w:val="000000"/>
                <w:sz w:val="20"/>
                <w:szCs w:val="20"/>
              </w:rPr>
              <w:t>Amount credited against customer accounts to decrease reserve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ind w:hanging="18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(392.9)</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(317.4)</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(550.3)</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098982401"/>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Foreign currency translation</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(7.8)</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6.3 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(1.6)</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098982401"/>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Ending reserve balance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180.7 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173.7 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204.7 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trPr>
          <w:jc w:val="center"/>
        </w:trPr>
        <w:tc>
          <w:tcPr>
            <w:tcW w:w="50" w:type="pct"/>
            <w:vAlign w:val="center"/>
            <w:hideMark/>
          </w:tcPr>
          <w:p w:rsidR="00000000" w:rsidRDefault="00BB5C2D">
            <w:pPr>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F-14</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26" style="width:0;height:1.5pt" o:hralign="center" o:hrstd="t" o:hr="t" fillcolor="#a0a0a0" stroked="f"/>
        </w:pict>
      </w:r>
    </w:p>
    <w:p w:rsidR="00000000" w:rsidRDefault="00BB5C2D">
      <w:pPr>
        <w:jc w:val="center"/>
        <w:divId w:val="1318614191"/>
        <w:rPr>
          <w:rFonts w:eastAsia="Times New Roman"/>
        </w:rPr>
      </w:pPr>
    </w:p>
    <w:p w:rsidR="00000000" w:rsidRDefault="00BB5C2D">
      <w:pPr>
        <w:jc w:val="center"/>
        <w:divId w:val="1318614191"/>
        <w:rPr>
          <w:rFonts w:eastAsia="Times New Roman"/>
        </w:rPr>
      </w:pPr>
      <w:r>
        <w:rPr>
          <w:rFonts w:eastAsia="Times New Roman"/>
          <w:b/>
          <w:bCs/>
          <w:color w:val="000000"/>
          <w:sz w:val="20"/>
          <w:szCs w:val="20"/>
        </w:rPr>
        <w:t>RALPH LAUREN CORPORATION</w:t>
      </w:r>
    </w:p>
    <w:p w:rsidR="00000000" w:rsidRDefault="00BB5C2D">
      <w:pPr>
        <w:jc w:val="center"/>
        <w:divId w:val="1602840205"/>
        <w:rPr>
          <w:rFonts w:eastAsia="Times New Roman"/>
        </w:rPr>
      </w:pPr>
      <w:r>
        <w:rPr>
          <w:rFonts w:eastAsia="Times New Roman"/>
          <w:b/>
          <w:bCs/>
          <w:color w:val="000000"/>
          <w:sz w:val="20"/>
          <w:szCs w:val="20"/>
        </w:rPr>
        <w:t>NOTES TO CONSOLIDATED FINANCIAL STATEMENTS (Continued)</w:t>
      </w:r>
    </w:p>
    <w:p w:rsidR="00000000" w:rsidRDefault="00BB5C2D">
      <w:pPr>
        <w:ind w:firstLine="540"/>
        <w:jc w:val="both"/>
        <w:divId w:val="322855308"/>
        <w:rPr>
          <w:rFonts w:eastAsia="Times New Roman"/>
        </w:rPr>
      </w:pPr>
      <w:r>
        <w:rPr>
          <w:rFonts w:eastAsia="Times New Roman"/>
          <w:color w:val="000000"/>
          <w:sz w:val="20"/>
          <w:szCs w:val="20"/>
        </w:rPr>
        <w:t>An allowance for doubtful accounts is determined through analysis of accounts receivable aging, assessments of collectability based on eva</w:t>
      </w:r>
      <w:r>
        <w:rPr>
          <w:rFonts w:eastAsia="Times New Roman"/>
          <w:color w:val="000000"/>
          <w:sz w:val="20"/>
          <w:szCs w:val="20"/>
        </w:rPr>
        <w:t>luation of historical trends, the financial condition of the Company's customers and their ability to withstand prolonged periods of adverse economic conditions, and evaluation of the impact of current and forecasted economic and market conditions over the</w:t>
      </w:r>
      <w:r>
        <w:rPr>
          <w:rFonts w:eastAsia="Times New Roman"/>
          <w:color w:val="000000"/>
          <w:sz w:val="20"/>
          <w:szCs w:val="20"/>
        </w:rPr>
        <w:t xml:space="preserve"> related asset's contractual life, such as those resulting from COVID-19 business disruptions which have included declines in retail traffic, tourism, and consumer spending on discretionary items.</w:t>
      </w:r>
    </w:p>
    <w:p w:rsidR="00000000" w:rsidRDefault="00BB5C2D">
      <w:pPr>
        <w:ind w:firstLine="540"/>
        <w:jc w:val="both"/>
        <w:divId w:val="1543787439"/>
        <w:rPr>
          <w:rFonts w:eastAsia="Times New Roman"/>
        </w:rPr>
      </w:pPr>
      <w:r>
        <w:rPr>
          <w:rFonts w:eastAsia="Times New Roman"/>
          <w:color w:val="000000"/>
          <w:sz w:val="20"/>
          <w:szCs w:val="20"/>
        </w:rPr>
        <w:t>A rollforward of the activity in the Company's allowance fo</w:t>
      </w:r>
      <w:r>
        <w:rPr>
          <w:rFonts w:eastAsia="Times New Roman"/>
          <w:color w:val="000000"/>
          <w:sz w:val="20"/>
          <w:szCs w:val="20"/>
        </w:rPr>
        <w:t>r doubtful accounts is presented as follows:</w:t>
      </w:r>
    </w:p>
    <w:tbl>
      <w:tblPr>
        <w:tblW w:w="4729" w:type="pct"/>
        <w:tblCellMar>
          <w:top w:w="15" w:type="dxa"/>
          <w:left w:w="15" w:type="dxa"/>
          <w:bottom w:w="15" w:type="dxa"/>
          <w:right w:w="15" w:type="dxa"/>
        </w:tblCellMar>
        <w:tblLook w:val="04A0" w:firstRow="1" w:lastRow="0" w:firstColumn="1" w:lastColumn="0" w:noHBand="0" w:noVBand="1"/>
      </w:tblPr>
      <w:tblGrid>
        <w:gridCol w:w="38"/>
        <w:gridCol w:w="4615"/>
        <w:gridCol w:w="37"/>
        <w:gridCol w:w="36"/>
        <w:gridCol w:w="36"/>
        <w:gridCol w:w="36"/>
        <w:gridCol w:w="120"/>
        <w:gridCol w:w="791"/>
        <w:gridCol w:w="36"/>
        <w:gridCol w:w="36"/>
        <w:gridCol w:w="36"/>
        <w:gridCol w:w="36"/>
        <w:gridCol w:w="120"/>
        <w:gridCol w:w="791"/>
        <w:gridCol w:w="36"/>
        <w:gridCol w:w="36"/>
        <w:gridCol w:w="36"/>
        <w:gridCol w:w="36"/>
        <w:gridCol w:w="120"/>
        <w:gridCol w:w="792"/>
        <w:gridCol w:w="36"/>
      </w:tblGrid>
      <w:tr w:rsidR="00000000">
        <w:trPr>
          <w:divId w:val="1628049546"/>
        </w:trPr>
        <w:tc>
          <w:tcPr>
            <w:tcW w:w="50" w:type="pct"/>
            <w:vAlign w:val="center"/>
            <w:hideMark/>
          </w:tcPr>
          <w:p w:rsidR="00000000" w:rsidRDefault="00BB5C2D">
            <w:pPr>
              <w:ind w:firstLine="540"/>
              <w:jc w:val="both"/>
              <w:rPr>
                <w:rFonts w:eastAsia="Times New Roman"/>
              </w:rPr>
            </w:pPr>
          </w:p>
        </w:tc>
        <w:tc>
          <w:tcPr>
            <w:tcW w:w="297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63"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63"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63"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628049546"/>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Years Ended</w:t>
            </w:r>
          </w:p>
        </w:tc>
      </w:tr>
      <w:tr w:rsidR="00000000">
        <w:trPr>
          <w:divId w:val="1628049546"/>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r>
      <w:tr w:rsidR="00000000">
        <w:trPr>
          <w:divId w:val="1628049546"/>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Borders>
              <w:top w:val="single" w:sz="8" w:space="0" w:color="000000"/>
            </w:tcBorders>
            <w:shd w:val="clear" w:color="auto" w:fill="FFFFFF"/>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1628049546"/>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Beginning reserve balance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40.1 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71.5 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15.7 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628049546"/>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divId w:val="338578950"/>
              <w:rPr>
                <w:rFonts w:eastAsia="Times New Roman"/>
              </w:rPr>
            </w:pPr>
            <w:r>
              <w:rPr>
                <w:rFonts w:eastAsia="Times New Roman"/>
                <w:color w:val="000000"/>
                <w:sz w:val="20"/>
                <w:szCs w:val="20"/>
              </w:rPr>
              <w:t>Amount recorded to expense to increase (decrease) reserv</w:t>
            </w:r>
            <w:r>
              <w:rPr>
                <w:rFonts w:eastAsia="Times New Roman"/>
                <w:color w:val="000000"/>
                <w:sz w:val="20"/>
                <w:szCs w:val="20"/>
              </w:rPr>
              <w:t>e</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(2.2)</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(27.6)</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58.7 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628049546"/>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ind w:hanging="180"/>
              <w:divId w:val="1411732282"/>
              <w:rPr>
                <w:rFonts w:eastAsia="Times New Roman"/>
              </w:rPr>
            </w:pPr>
            <w:r>
              <w:rPr>
                <w:rFonts w:eastAsia="Times New Roman"/>
                <w:color w:val="000000"/>
                <w:sz w:val="20"/>
                <w:szCs w:val="20"/>
              </w:rPr>
              <w:t>Amount written-off against customer accounts to decrease reserve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ind w:hanging="18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(2.8)</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(6.1)</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(2.6)</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628049546"/>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Foreign currency translation</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(0.3)</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628049546"/>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Ending reserve balance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BB5C2D">
            <w:pPr>
              <w:rPr>
                <w:rFonts w:eastAsia="Times New Roman"/>
              </w:rPr>
            </w:pPr>
          </w:p>
        </w:tc>
        <w:tc>
          <w:tcPr>
            <w:tcW w:w="494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r>
    </w:tbl>
    <w:p w:rsidR="00000000" w:rsidRDefault="00BB5C2D">
      <w:pPr>
        <w:ind w:hanging="360"/>
        <w:jc w:val="both"/>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 xml:space="preserve">Amounts recorded to bad debt expense are included within SG&amp;A expenses in the consolidated statements of operations. </w:t>
      </w:r>
    </w:p>
    <w:p w:rsidR="00000000" w:rsidRDefault="00BB5C2D">
      <w:pPr>
        <w:ind w:firstLine="360"/>
        <w:jc w:val="both"/>
        <w:divId w:val="1036198541"/>
        <w:rPr>
          <w:rFonts w:eastAsia="Times New Roman"/>
        </w:rPr>
      </w:pPr>
      <w:r>
        <w:rPr>
          <w:rFonts w:eastAsia="Times New Roman"/>
          <w:i/>
          <w:iCs/>
          <w:color w:val="000000"/>
          <w:sz w:val="20"/>
          <w:szCs w:val="20"/>
        </w:rPr>
        <w:t>Concentration of Credit Risk</w:t>
      </w:r>
    </w:p>
    <w:p w:rsidR="00000000" w:rsidRDefault="00BB5C2D">
      <w:pPr>
        <w:ind w:firstLine="540"/>
        <w:jc w:val="both"/>
        <w:divId w:val="36974851"/>
        <w:rPr>
          <w:rFonts w:eastAsia="Times New Roman"/>
        </w:rPr>
      </w:pPr>
      <w:r>
        <w:rPr>
          <w:rFonts w:eastAsia="Times New Roman"/>
          <w:color w:val="000000"/>
          <w:sz w:val="20"/>
          <w:szCs w:val="20"/>
        </w:rPr>
        <w:t>The Company sells its wholesale merchandise primarily to major department stores, specialty stores, and third</w:t>
      </w:r>
      <w:r>
        <w:rPr>
          <w:rFonts w:eastAsia="Times New Roman"/>
          <w:color w:val="000000"/>
          <w:sz w:val="20"/>
          <w:szCs w:val="20"/>
        </w:rPr>
        <w:t>-party digital partners around the world, and extends credit based on an evaluation of each customer's financial capacity and condition, usually without requiring collateral. In the Company's wholesale business, concentration of credit risk is relatively l</w:t>
      </w:r>
      <w:r>
        <w:rPr>
          <w:rFonts w:eastAsia="Times New Roman"/>
          <w:color w:val="000000"/>
          <w:sz w:val="20"/>
          <w:szCs w:val="20"/>
        </w:rPr>
        <w:t>imited due to the large number of customers and their dispersion across many geographic areas. However, the Company has three key wholesale customers that generate significant sales volume. During Fiscal 2022, the Company's sales to its three largest whole</w:t>
      </w:r>
      <w:r>
        <w:rPr>
          <w:rFonts w:eastAsia="Times New Roman"/>
          <w:color w:val="000000"/>
          <w:sz w:val="20"/>
          <w:szCs w:val="20"/>
        </w:rPr>
        <w:t>sale customers accounted for approximately 16% of total net revenues. Substantially all of the Company's sales to its three largest wholesale customers related to its North America segment. As of April 2, 2022, these three key wholesale customers accounted</w:t>
      </w:r>
      <w:r>
        <w:rPr>
          <w:rFonts w:eastAsia="Times New Roman"/>
          <w:color w:val="000000"/>
          <w:sz w:val="20"/>
          <w:szCs w:val="20"/>
        </w:rPr>
        <w:t xml:space="preserve"> for approximately 31% of total gross accounts receivable.</w:t>
      </w:r>
    </w:p>
    <w:p w:rsidR="00000000" w:rsidRDefault="00BB5C2D">
      <w:pPr>
        <w:ind w:firstLine="360"/>
        <w:jc w:val="both"/>
        <w:divId w:val="1454250709"/>
        <w:rPr>
          <w:rFonts w:eastAsia="Times New Roman"/>
        </w:rPr>
      </w:pPr>
      <w:r>
        <w:rPr>
          <w:rFonts w:eastAsia="Times New Roman"/>
          <w:b/>
          <w:bCs/>
          <w:i/>
          <w:iCs/>
          <w:color w:val="000000"/>
          <w:sz w:val="20"/>
          <w:szCs w:val="20"/>
        </w:rPr>
        <w:t>Inventories</w:t>
      </w:r>
    </w:p>
    <w:p w:rsidR="00000000" w:rsidRDefault="00BB5C2D">
      <w:pPr>
        <w:ind w:firstLine="540"/>
        <w:jc w:val="both"/>
        <w:divId w:val="1582325399"/>
        <w:rPr>
          <w:rFonts w:eastAsia="Times New Roman"/>
        </w:rPr>
      </w:pPr>
      <w:r>
        <w:rPr>
          <w:rFonts w:eastAsia="Times New Roman"/>
          <w:color w:val="000000"/>
          <w:sz w:val="20"/>
          <w:szCs w:val="20"/>
        </w:rPr>
        <w:t>The Company holds inventory that is sold in its retail stores and digital commerce sites directly to consumers. The Company also holds inventory that is to be sold through wholesale dis</w:t>
      </w:r>
      <w:r>
        <w:rPr>
          <w:rFonts w:eastAsia="Times New Roman"/>
          <w:color w:val="000000"/>
          <w:sz w:val="20"/>
          <w:szCs w:val="20"/>
        </w:rPr>
        <w:t>tribution channels to major department stores, specialty stores, and third-party digital partners. Substantially all of the Company's inventories consist of finished goods, which are stated at the lower of cost or estimated realizable value, with cost dete</w:t>
      </w:r>
      <w:r>
        <w:rPr>
          <w:rFonts w:eastAsia="Times New Roman"/>
          <w:color w:val="000000"/>
          <w:sz w:val="20"/>
          <w:szCs w:val="20"/>
        </w:rPr>
        <w:t>rmined on a weighted-average cost basis.</w:t>
      </w:r>
    </w:p>
    <w:p w:rsidR="00000000" w:rsidRDefault="00BB5C2D">
      <w:pPr>
        <w:ind w:firstLine="540"/>
        <w:jc w:val="both"/>
        <w:divId w:val="2064910789"/>
        <w:rPr>
          <w:rFonts w:eastAsia="Times New Roman"/>
        </w:rPr>
      </w:pPr>
      <w:r>
        <w:rPr>
          <w:rFonts w:eastAsia="Times New Roman"/>
          <w:color w:val="000000"/>
          <w:sz w:val="20"/>
          <w:szCs w:val="20"/>
        </w:rPr>
        <w:t>The estimated realizable value of inventory is determined based on an analysis of historical sales trends of the Company's individual product lines, the impact of market trends and economic conditions (such as those resulting from pandemic diseases and oth</w:t>
      </w:r>
      <w:r>
        <w:rPr>
          <w:rFonts w:eastAsia="Times New Roman"/>
          <w:color w:val="000000"/>
          <w:sz w:val="20"/>
          <w:szCs w:val="20"/>
        </w:rPr>
        <w:t>er catastrophic events), and a forecast of future demand, giving consideration to the value of current in-house orders for future sales of inventory, as well as plans to sell inventory through the Company's factory stores, among other liquidation channels.</w:t>
      </w:r>
      <w:r>
        <w:rPr>
          <w:rFonts w:eastAsia="Times New Roman"/>
          <w:color w:val="000000"/>
          <w:sz w:val="20"/>
          <w:szCs w:val="20"/>
        </w:rPr>
        <w:t xml:space="preserve"> Actual results may differ from estimates due to the quantity, quality, and mix of products in inventory, consumer and retailer preferences, and actual economic and market conditions. In addition, reserves for inventory shrinkage, representing the risk of </w:t>
      </w:r>
      <w:r>
        <w:rPr>
          <w:rFonts w:eastAsia="Times New Roman"/>
          <w:color w:val="000000"/>
          <w:sz w:val="20"/>
          <w:szCs w:val="20"/>
        </w:rPr>
        <w:t>physical loss of inventory, are estimated based on historical experience and are adjusted based upon physical inventory counts. The Company's historical estimates of the realizable value of its inventory and its reserves for inventory shrinkage have not di</w:t>
      </w:r>
      <w:r>
        <w:rPr>
          <w:rFonts w:eastAsia="Times New Roman"/>
          <w:color w:val="000000"/>
          <w:sz w:val="20"/>
          <w:szCs w:val="20"/>
        </w:rPr>
        <w:t xml:space="preserve">ffered materially from actual results. However, unforeseen adverse future economic and market conditions could result in the Company's actual results differing materially from its estimates.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765030405"/>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765030405"/>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F-15</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27" style="width:0;height:1.5pt" o:hralign="center" o:hrstd="t" o:hr="t" fillcolor="#a0a0a0" stroked="f"/>
        </w:pict>
      </w:r>
    </w:p>
    <w:p w:rsidR="00000000" w:rsidRDefault="00BB5C2D">
      <w:pPr>
        <w:jc w:val="center"/>
        <w:divId w:val="1682004168"/>
        <w:rPr>
          <w:rFonts w:eastAsia="Times New Roman"/>
        </w:rPr>
      </w:pPr>
    </w:p>
    <w:p w:rsidR="00000000" w:rsidRDefault="00BB5C2D">
      <w:pPr>
        <w:jc w:val="center"/>
        <w:divId w:val="1682004168"/>
        <w:rPr>
          <w:rFonts w:eastAsia="Times New Roman"/>
        </w:rPr>
      </w:pPr>
      <w:r>
        <w:rPr>
          <w:rFonts w:eastAsia="Times New Roman"/>
          <w:b/>
          <w:bCs/>
          <w:color w:val="000000"/>
          <w:sz w:val="20"/>
          <w:szCs w:val="20"/>
        </w:rPr>
        <w:t>RALPH LAUREN CORPORATION</w:t>
      </w:r>
    </w:p>
    <w:p w:rsidR="00000000" w:rsidRDefault="00BB5C2D">
      <w:pPr>
        <w:jc w:val="center"/>
        <w:divId w:val="530190156"/>
        <w:rPr>
          <w:rFonts w:eastAsia="Times New Roman"/>
        </w:rPr>
      </w:pPr>
      <w:r>
        <w:rPr>
          <w:rFonts w:eastAsia="Times New Roman"/>
          <w:b/>
          <w:bCs/>
          <w:color w:val="000000"/>
          <w:sz w:val="20"/>
          <w:szCs w:val="20"/>
        </w:rPr>
        <w:t>NOTES TO CONSOLIDATED FINANCIAL STATEMENTS (Continued)</w:t>
      </w:r>
    </w:p>
    <w:p w:rsidR="00000000" w:rsidRDefault="00BB5C2D">
      <w:pPr>
        <w:ind w:firstLine="360"/>
        <w:jc w:val="both"/>
        <w:divId w:val="192500557"/>
        <w:rPr>
          <w:rFonts w:eastAsia="Times New Roman"/>
        </w:rPr>
      </w:pPr>
      <w:r>
        <w:rPr>
          <w:rFonts w:eastAsia="Times New Roman"/>
          <w:b/>
          <w:bCs/>
          <w:i/>
          <w:iCs/>
          <w:color w:val="000000"/>
          <w:sz w:val="20"/>
          <w:szCs w:val="20"/>
        </w:rPr>
        <w:t>Implementation Costs Incurred in Cloud Computing Arrangements</w:t>
      </w:r>
    </w:p>
    <w:p w:rsidR="00000000" w:rsidRDefault="00BB5C2D">
      <w:pPr>
        <w:ind w:firstLine="540"/>
        <w:jc w:val="both"/>
        <w:divId w:val="1677345876"/>
        <w:rPr>
          <w:rFonts w:eastAsia="Times New Roman"/>
        </w:rPr>
      </w:pPr>
      <w:r>
        <w:rPr>
          <w:rFonts w:eastAsia="Times New Roman"/>
          <w:color w:val="000000"/>
          <w:sz w:val="20"/>
          <w:szCs w:val="20"/>
        </w:rPr>
        <w:t>For cloud computing arrangements that are a service contract, the Company capitalizes certain implementation costs incurred (depending on their nature) during the application development stage of the related project, and expenses costs during the prelimina</w:t>
      </w:r>
      <w:r>
        <w:rPr>
          <w:rFonts w:eastAsia="Times New Roman"/>
          <w:color w:val="000000"/>
          <w:sz w:val="20"/>
          <w:szCs w:val="20"/>
        </w:rPr>
        <w:t>ry project and post-implementation stages as they are incurred. Capitalized implementation costs are expensed on a straight-line basis over the reasonably certain term of the hosting arrangement, beginning when the module is ready for its intended use. The</w:t>
      </w:r>
      <w:r>
        <w:rPr>
          <w:rFonts w:eastAsia="Times New Roman"/>
          <w:color w:val="000000"/>
          <w:sz w:val="20"/>
          <w:szCs w:val="20"/>
        </w:rPr>
        <w:t xml:space="preserve"> Company's cloud computing arrangements relate to various areas, including certain retail store and digital commerce operations, and corporate and administrative functions. Capitalized amounts related to such arrangements are recorded within prepaid expens</w:t>
      </w:r>
      <w:r>
        <w:rPr>
          <w:rFonts w:eastAsia="Times New Roman"/>
          <w:color w:val="000000"/>
          <w:sz w:val="20"/>
          <w:szCs w:val="20"/>
        </w:rPr>
        <w:t>es and other current assets and within other non-current assets in the consolidated balance sheets (see Note 7). Capitalized implementation costs expensed were $9.2 million, $8.4 million, and $4.3 million during Fiscal 2022, Fiscal 2021, and Fiscal 2020, r</w:t>
      </w:r>
      <w:r>
        <w:rPr>
          <w:rFonts w:eastAsia="Times New Roman"/>
          <w:color w:val="000000"/>
          <w:sz w:val="20"/>
          <w:szCs w:val="20"/>
        </w:rPr>
        <w:t>espectively, and were recorded in SG&amp;A expenses in the consolidated statements of operations.</w:t>
      </w:r>
    </w:p>
    <w:p w:rsidR="00000000" w:rsidRDefault="00BB5C2D">
      <w:pPr>
        <w:ind w:firstLine="360"/>
        <w:jc w:val="both"/>
        <w:divId w:val="1951429560"/>
        <w:rPr>
          <w:rFonts w:eastAsia="Times New Roman"/>
        </w:rPr>
      </w:pPr>
      <w:r>
        <w:rPr>
          <w:rFonts w:eastAsia="Times New Roman"/>
          <w:b/>
          <w:bCs/>
          <w:i/>
          <w:iCs/>
          <w:color w:val="000000"/>
          <w:sz w:val="20"/>
          <w:szCs w:val="20"/>
        </w:rPr>
        <w:t>Property and Equipment, Net</w:t>
      </w:r>
    </w:p>
    <w:p w:rsidR="00000000" w:rsidRDefault="00BB5C2D">
      <w:pPr>
        <w:ind w:firstLine="540"/>
        <w:jc w:val="both"/>
        <w:divId w:val="121776988"/>
        <w:rPr>
          <w:rFonts w:eastAsia="Times New Roman"/>
        </w:rPr>
      </w:pPr>
      <w:r>
        <w:rPr>
          <w:rFonts w:eastAsia="Times New Roman"/>
          <w:color w:val="000000"/>
          <w:sz w:val="20"/>
          <w:szCs w:val="20"/>
        </w:rPr>
        <w:t>Property and equipment, net is stated at cost less accumulated depreciation. Depreciation is calculated on a straight-line basis, base</w:t>
      </w:r>
      <w:r>
        <w:rPr>
          <w:rFonts w:eastAsia="Times New Roman"/>
          <w:color w:val="000000"/>
          <w:sz w:val="20"/>
          <w:szCs w:val="20"/>
        </w:rPr>
        <w:t>d upon the estimated useful lives of depreciable assets, which range from</w:t>
      </w:r>
      <w:r>
        <w:rPr>
          <w:rFonts w:eastAsia="Times New Roman"/>
          <w:color w:val="000000"/>
          <w:sz w:val="20"/>
          <w:szCs w:val="20"/>
        </w:rPr>
        <w:t xml:space="preserve"> </w:t>
      </w:r>
      <w:r>
        <w:rPr>
          <w:rFonts w:eastAsia="Times New Roman"/>
          <w:color w:val="000000"/>
          <w:sz w:val="20"/>
          <w:szCs w:val="20"/>
        </w:rPr>
        <w:t>thre</w:t>
      </w:r>
      <w:r>
        <w:rPr>
          <w:rFonts w:eastAsia="Times New Roman"/>
          <w:color w:val="000000"/>
          <w:sz w:val="20"/>
          <w:szCs w:val="20"/>
        </w:rPr>
        <w:t>e</w:t>
      </w:r>
      <w:r>
        <w:rPr>
          <w:rFonts w:eastAsia="Times New Roman"/>
          <w:color w:val="000000"/>
          <w:sz w:val="20"/>
          <w:szCs w:val="20"/>
        </w:rPr>
        <w:t xml:space="preserve"> to seven years for furniture and fixtures, machinery and equipment, and capitalized software; and from</w:t>
      </w:r>
      <w:r>
        <w:rPr>
          <w:rFonts w:eastAsia="Times New Roman"/>
          <w:color w:val="000000"/>
          <w:sz w:val="20"/>
          <w:szCs w:val="20"/>
        </w:rPr>
        <w:t xml:space="preserve"> </w:t>
      </w:r>
      <w:r>
        <w:rPr>
          <w:rFonts w:eastAsia="Times New Roman"/>
          <w:color w:val="000000"/>
          <w:sz w:val="20"/>
          <w:szCs w:val="20"/>
        </w:rPr>
        <w:t>te</w:t>
      </w:r>
      <w:r>
        <w:rPr>
          <w:rFonts w:eastAsia="Times New Roman"/>
          <w:color w:val="000000"/>
          <w:sz w:val="20"/>
          <w:szCs w:val="20"/>
        </w:rPr>
        <w:t>n</w:t>
      </w:r>
      <w:r>
        <w:rPr>
          <w:rFonts w:eastAsia="Times New Roman"/>
          <w:color w:val="000000"/>
          <w:sz w:val="20"/>
          <w:szCs w:val="20"/>
        </w:rPr>
        <w:t xml:space="preserve"> to forty years for buildings and improvements. Leasehold improvements</w:t>
      </w:r>
      <w:r>
        <w:rPr>
          <w:rFonts w:eastAsia="Times New Roman"/>
          <w:color w:val="000000"/>
          <w:sz w:val="20"/>
          <w:szCs w:val="20"/>
        </w:rPr>
        <w:t xml:space="preserve"> are depreciated over the shorter of the estimated useful lives of the respective assets or the term of the related lease.</w:t>
      </w:r>
    </w:p>
    <w:p w:rsidR="00000000" w:rsidRDefault="00BB5C2D">
      <w:pPr>
        <w:ind w:firstLine="540"/>
        <w:jc w:val="both"/>
        <w:divId w:val="2018801523"/>
        <w:rPr>
          <w:rFonts w:eastAsia="Times New Roman"/>
        </w:rPr>
      </w:pPr>
      <w:r>
        <w:rPr>
          <w:rFonts w:eastAsia="Times New Roman"/>
          <w:color w:val="000000"/>
          <w:sz w:val="20"/>
          <w:szCs w:val="20"/>
        </w:rPr>
        <w:t>Property and equipment, along with other long-lived assets, are evaluated for impairment periodically whenever events or changes in c</w:t>
      </w:r>
      <w:r>
        <w:rPr>
          <w:rFonts w:eastAsia="Times New Roman"/>
          <w:color w:val="000000"/>
          <w:sz w:val="20"/>
          <w:szCs w:val="20"/>
        </w:rPr>
        <w:t>ircumstances indicate that their related carrying values may not be fully recoverable (see Note 12). In evaluating long-lived assets for recoverability, including finite-lived intangibles as described below, the Company uses its best estimate of future cas</w:t>
      </w:r>
      <w:r>
        <w:rPr>
          <w:rFonts w:eastAsia="Times New Roman"/>
          <w:color w:val="000000"/>
          <w:sz w:val="20"/>
          <w:szCs w:val="20"/>
        </w:rPr>
        <w:t>h flows expected to result from its use of the asset and its eventual disposition, where applicable. If such estimated future undiscounted net cash flows attributable to the asset are less than its carrying value, an impairment loss is recognized to the ex</w:t>
      </w:r>
      <w:r>
        <w:rPr>
          <w:rFonts w:eastAsia="Times New Roman"/>
          <w:color w:val="000000"/>
          <w:sz w:val="20"/>
          <w:szCs w:val="20"/>
        </w:rPr>
        <w:t xml:space="preserve">tent that such asset's carrying value exceeds its fair value, as estimated considering external market participant assumptions and discounted cash flows. Assets to be disposed of and for which there is a committed plan of disposal (commonly referred to as </w:t>
      </w:r>
      <w:r>
        <w:rPr>
          <w:rFonts w:eastAsia="Times New Roman"/>
          <w:color w:val="000000"/>
          <w:sz w:val="20"/>
          <w:szCs w:val="20"/>
        </w:rPr>
        <w:t>assets held-for-sale) are reported at the lower of carrying value or fair value, less costs to sell.</w:t>
      </w:r>
    </w:p>
    <w:p w:rsidR="00000000" w:rsidRDefault="00BB5C2D">
      <w:pPr>
        <w:ind w:firstLine="360"/>
        <w:jc w:val="both"/>
        <w:divId w:val="581067980"/>
        <w:rPr>
          <w:rFonts w:eastAsia="Times New Roman"/>
        </w:rPr>
      </w:pPr>
      <w:r>
        <w:rPr>
          <w:rFonts w:eastAsia="Times New Roman"/>
          <w:b/>
          <w:bCs/>
          <w:i/>
          <w:iCs/>
          <w:color w:val="000000"/>
          <w:sz w:val="20"/>
          <w:szCs w:val="20"/>
        </w:rPr>
        <w:t>Leases</w:t>
      </w:r>
    </w:p>
    <w:p w:rsidR="00000000" w:rsidRDefault="00BB5C2D">
      <w:pPr>
        <w:ind w:firstLine="540"/>
        <w:jc w:val="both"/>
        <w:divId w:val="2032680858"/>
        <w:rPr>
          <w:rFonts w:eastAsia="Times New Roman"/>
        </w:rPr>
      </w:pPr>
      <w:r>
        <w:rPr>
          <w:rFonts w:eastAsia="Times New Roman"/>
          <w:color w:val="000000"/>
          <w:sz w:val="20"/>
          <w:szCs w:val="20"/>
        </w:rPr>
        <w:t>The Company's lease arrangements primarily relate to real estate, including its retail stores, concession-based shop-within-shops, corporate offices</w:t>
      </w:r>
      <w:r>
        <w:rPr>
          <w:rFonts w:eastAsia="Times New Roman"/>
          <w:color w:val="000000"/>
          <w:sz w:val="20"/>
          <w:szCs w:val="20"/>
        </w:rPr>
        <w:t>, and warehouse facilities and, to a lesser extent, certain equipment and other assets. The Company's leases generally have initial terms ranging from</w:t>
      </w:r>
      <w:r>
        <w:rPr>
          <w:rFonts w:eastAsia="Times New Roman"/>
          <w:color w:val="000000"/>
          <w:sz w:val="20"/>
          <w:szCs w:val="20"/>
        </w:rPr>
        <w:t xml:space="preserve"> </w:t>
      </w:r>
      <w:r>
        <w:rPr>
          <w:rFonts w:eastAsia="Times New Roman"/>
          <w:color w:val="000000"/>
          <w:sz w:val="20"/>
          <w:szCs w:val="20"/>
        </w:rPr>
        <w:t>thre</w:t>
      </w:r>
      <w:r>
        <w:rPr>
          <w:rFonts w:eastAsia="Times New Roman"/>
          <w:color w:val="000000"/>
          <w:sz w:val="20"/>
          <w:szCs w:val="20"/>
        </w:rPr>
        <w:t>e</w:t>
      </w:r>
      <w:r>
        <w:rPr>
          <w:rFonts w:eastAsia="Times New Roman"/>
          <w:color w:val="000000"/>
          <w:sz w:val="20"/>
          <w:szCs w:val="20"/>
        </w:rPr>
        <w:t xml:space="preserve"> to fifteen years and may include renewal or early-termination options, rent escalation clauses, and</w:t>
      </w:r>
      <w:r>
        <w:rPr>
          <w:rFonts w:eastAsia="Times New Roman"/>
          <w:color w:val="000000"/>
          <w:sz w:val="20"/>
          <w:szCs w:val="20"/>
        </w:rPr>
        <w:t>/or lease incentives in the form of construction allowances and rent abatements. The Company is typically required to make fixed minimum rent payments, variable rent payments based on performance (e.g., percentage-of-sales-based payments), or a combination</w:t>
      </w:r>
      <w:r>
        <w:rPr>
          <w:rFonts w:eastAsia="Times New Roman"/>
          <w:color w:val="000000"/>
          <w:sz w:val="20"/>
          <w:szCs w:val="20"/>
        </w:rPr>
        <w:t xml:space="preserve"> thereof, relating to its right to use an underlying leased asset. The Company is also often required to pay for certain other costs that do not relate specifically to its right to use an underlying leased asset, but that are associated with the asset, inc</w:t>
      </w:r>
      <w:r>
        <w:rPr>
          <w:rFonts w:eastAsia="Times New Roman"/>
          <w:color w:val="000000"/>
          <w:sz w:val="20"/>
          <w:szCs w:val="20"/>
        </w:rPr>
        <w:t>luding real estate taxes, insurance, common area maintenance fees, and/or certain other costs (referred to collectively herein as "non-lease components"), which may be fixed or variable in amount, depending on the terms of the respective lease agreement. T</w:t>
      </w:r>
      <w:r>
        <w:rPr>
          <w:rFonts w:eastAsia="Times New Roman"/>
          <w:color w:val="000000"/>
          <w:sz w:val="20"/>
          <w:szCs w:val="20"/>
        </w:rPr>
        <w:t>he Company's leases do not contain significantly restrictive covenants or residual value guarantees.</w:t>
      </w:r>
    </w:p>
    <w:p w:rsidR="00000000" w:rsidRDefault="00BB5C2D">
      <w:pPr>
        <w:ind w:firstLine="540"/>
        <w:jc w:val="both"/>
        <w:divId w:val="525101056"/>
        <w:rPr>
          <w:rFonts w:eastAsia="Times New Roman"/>
        </w:rPr>
      </w:pPr>
      <w:r>
        <w:rPr>
          <w:rFonts w:eastAsia="Times New Roman"/>
          <w:color w:val="000000"/>
          <w:sz w:val="20"/>
          <w:szCs w:val="20"/>
        </w:rPr>
        <w:t>The Company determines whether an arrangement contains a lease at the arrangement's inception. If a lease is determined to exist, its related term is asses</w:t>
      </w:r>
      <w:r>
        <w:rPr>
          <w:rFonts w:eastAsia="Times New Roman"/>
          <w:color w:val="000000"/>
          <w:sz w:val="20"/>
          <w:szCs w:val="20"/>
        </w:rPr>
        <w:t>sed at the lease commencement date, once the underlying asset is made available by the lessor for the Company's use. The Company's assessment of the lease term reflects the non-cancellable period of the lease, inclusive of any rent-free periods, plus any p</w:t>
      </w:r>
      <w:r>
        <w:rPr>
          <w:rFonts w:eastAsia="Times New Roman"/>
          <w:color w:val="000000"/>
          <w:sz w:val="20"/>
          <w:szCs w:val="20"/>
        </w:rPr>
        <w:t>eriods covered by early-termination options for which the Company is not considered reasonably certain of exercising, as well as periods covered by renewal options for which it is considered reasonably certain of exercising. The Company also determines lea</w:t>
      </w:r>
      <w:r>
        <w:rPr>
          <w:rFonts w:eastAsia="Times New Roman"/>
          <w:color w:val="000000"/>
          <w:sz w:val="20"/>
          <w:szCs w:val="20"/>
        </w:rPr>
        <w:t xml:space="preserve">se classification as either </w:t>
      </w:r>
      <w:r>
        <w:rPr>
          <w:rFonts w:eastAsia="Times New Roman"/>
          <w:i/>
          <w:iCs/>
          <w:color w:val="000000"/>
          <w:sz w:val="20"/>
          <w:szCs w:val="20"/>
        </w:rPr>
        <w:t>operating</w:t>
      </w:r>
      <w:r>
        <w:rPr>
          <w:rFonts w:eastAsia="Times New Roman"/>
          <w:color w:val="000000"/>
          <w:sz w:val="20"/>
          <w:szCs w:val="20"/>
        </w:rPr>
        <w:t xml:space="preserve"> or </w:t>
      </w:r>
      <w:r>
        <w:rPr>
          <w:rFonts w:eastAsia="Times New Roman"/>
          <w:i/>
          <w:iCs/>
          <w:color w:val="000000"/>
          <w:sz w:val="20"/>
          <w:szCs w:val="20"/>
        </w:rPr>
        <w:t>finance</w:t>
      </w:r>
      <w:r>
        <w:rPr>
          <w:rFonts w:eastAsia="Times New Roman"/>
          <w:color w:val="000000"/>
          <w:sz w:val="20"/>
          <w:szCs w:val="20"/>
        </w:rPr>
        <w:t xml:space="preserve"> at lease commencement, which governs the pattern of expense recognition and the presentation thereof in the consolidated statements of operations over the lease term.</w:t>
      </w:r>
    </w:p>
    <w:p w:rsidR="00000000" w:rsidRDefault="00BB5C2D">
      <w:pPr>
        <w:ind w:firstLine="540"/>
        <w:jc w:val="both"/>
        <w:divId w:val="1580627916"/>
        <w:rPr>
          <w:rFonts w:eastAsia="Times New Roman"/>
        </w:rPr>
      </w:pPr>
      <w:r>
        <w:rPr>
          <w:rFonts w:eastAsia="Times New Roman"/>
          <w:color w:val="000000"/>
          <w:sz w:val="20"/>
          <w:szCs w:val="20"/>
        </w:rPr>
        <w:t>For leases with a lease term exceeding 12 months, a liability is recorded on the consolidated balance sheet at the lease commencement date reflecting the present value of its related fixed payment obligations over such term. A corresponding right-of-use ("</w:t>
      </w:r>
      <w:r>
        <w:rPr>
          <w:rFonts w:eastAsia="Times New Roman"/>
          <w:color w:val="000000"/>
          <w:sz w:val="20"/>
          <w:szCs w:val="20"/>
        </w:rPr>
        <w:t>ROU") asset equal to the initial lease liability is also recorded, increased by any prepaid rent and/or initial direct costs incurred in connection with execution of the lease, and reduced by any incentives provided by the lessor. The Company also includes</w:t>
      </w:r>
      <w:r>
        <w:rPr>
          <w:rFonts w:eastAsia="Times New Roman"/>
          <w:color w:val="000000"/>
          <w:sz w:val="20"/>
          <w:szCs w:val="20"/>
        </w:rPr>
        <w:t xml:space="preserve"> fixed payment obligations related to non-lease components in the measurement of its ROU assets and lease liabilities,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713070925"/>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713070925"/>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F-16</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28" style="width:0;height:1.5pt" o:hralign="center" o:hrstd="t" o:hr="t" fillcolor="#a0a0a0" stroked="f"/>
        </w:pict>
      </w:r>
    </w:p>
    <w:p w:rsidR="00000000" w:rsidRDefault="00BB5C2D">
      <w:pPr>
        <w:jc w:val="center"/>
        <w:divId w:val="638262364"/>
        <w:rPr>
          <w:rFonts w:eastAsia="Times New Roman"/>
        </w:rPr>
      </w:pPr>
    </w:p>
    <w:p w:rsidR="00000000" w:rsidRDefault="00BB5C2D">
      <w:pPr>
        <w:jc w:val="center"/>
        <w:divId w:val="638262364"/>
        <w:rPr>
          <w:rFonts w:eastAsia="Times New Roman"/>
        </w:rPr>
      </w:pPr>
      <w:r>
        <w:rPr>
          <w:rFonts w:eastAsia="Times New Roman"/>
          <w:b/>
          <w:bCs/>
          <w:color w:val="000000"/>
          <w:sz w:val="20"/>
          <w:szCs w:val="20"/>
        </w:rPr>
        <w:t>RALPH LAUREN CORPORATION</w:t>
      </w:r>
    </w:p>
    <w:p w:rsidR="00000000" w:rsidRDefault="00BB5C2D">
      <w:pPr>
        <w:jc w:val="center"/>
        <w:divId w:val="241917416"/>
        <w:rPr>
          <w:rFonts w:eastAsia="Times New Roman"/>
        </w:rPr>
      </w:pPr>
      <w:r>
        <w:rPr>
          <w:rFonts w:eastAsia="Times New Roman"/>
          <w:b/>
          <w:bCs/>
          <w:color w:val="000000"/>
          <w:sz w:val="20"/>
          <w:szCs w:val="20"/>
        </w:rPr>
        <w:t>NOTES TO CONSOLIDATED FINANCIAL STATEMENTS (Continued)</w:t>
      </w:r>
    </w:p>
    <w:p w:rsidR="00000000" w:rsidRDefault="00BB5C2D">
      <w:pPr>
        <w:jc w:val="both"/>
        <w:divId w:val="1052815"/>
        <w:rPr>
          <w:rFonts w:eastAsia="Times New Roman"/>
        </w:rPr>
      </w:pPr>
      <w:r>
        <w:rPr>
          <w:rFonts w:eastAsia="Times New Roman"/>
          <w:color w:val="000000"/>
          <w:sz w:val="20"/>
          <w:szCs w:val="20"/>
        </w:rPr>
        <w:t>given its election to account for lease and non-lease components together as a single lease component. Variable lease payments are not inc</w:t>
      </w:r>
      <w:r>
        <w:rPr>
          <w:rFonts w:eastAsia="Times New Roman"/>
          <w:color w:val="000000"/>
          <w:sz w:val="20"/>
          <w:szCs w:val="20"/>
        </w:rPr>
        <w:t>luded in the measurement of ROU assets and lease liabilities. ROU assets associated with finance leases are presented separately from those associated with operating leases, and are included within property and equipment, net on the consolidated balance sh</w:t>
      </w:r>
      <w:r>
        <w:rPr>
          <w:rFonts w:eastAsia="Times New Roman"/>
          <w:color w:val="000000"/>
          <w:sz w:val="20"/>
          <w:szCs w:val="20"/>
        </w:rPr>
        <w:t xml:space="preserve">eet. For purposes of measuring the present value of its fixed payment obligations for a given lease, the Company uses its incremental borrowing rate, determined based on information available at lease commencement, given that rates implicit in its leasing </w:t>
      </w:r>
      <w:r>
        <w:rPr>
          <w:rFonts w:eastAsia="Times New Roman"/>
          <w:color w:val="000000"/>
          <w:sz w:val="20"/>
          <w:szCs w:val="20"/>
        </w:rPr>
        <w:t>arrangements are not readily determinable. The Company's incremental borrowing rate reflects the rate it would pay to borrow on a secured basis an amount equal to the lease payments and incorporates the term and economic environment of the lease.</w:t>
      </w:r>
    </w:p>
    <w:p w:rsidR="00000000" w:rsidRDefault="00BB5C2D">
      <w:pPr>
        <w:ind w:firstLine="540"/>
        <w:jc w:val="both"/>
        <w:divId w:val="1292398907"/>
        <w:rPr>
          <w:rFonts w:eastAsia="Times New Roman"/>
        </w:rPr>
      </w:pPr>
      <w:r>
        <w:rPr>
          <w:rFonts w:eastAsia="Times New Roman"/>
          <w:color w:val="000000"/>
          <w:sz w:val="20"/>
          <w:szCs w:val="20"/>
        </w:rPr>
        <w:t>For opera</w:t>
      </w:r>
      <w:r>
        <w:rPr>
          <w:rFonts w:eastAsia="Times New Roman"/>
          <w:color w:val="000000"/>
          <w:sz w:val="20"/>
          <w:szCs w:val="20"/>
        </w:rPr>
        <w:t>ting leases, fixed lease payments are recognized as operating lease cost on a straight-line basis over the lease term. For finance leases, the initial ROU asset is depreciated on a straight-line basis over the lease term, along with recognition of interest</w:t>
      </w:r>
      <w:r>
        <w:rPr>
          <w:rFonts w:eastAsia="Times New Roman"/>
          <w:color w:val="000000"/>
          <w:sz w:val="20"/>
          <w:szCs w:val="20"/>
        </w:rPr>
        <w:t xml:space="preserve"> expense associated with accretion of the remaining lease liability, which is ultimately reduced by the related fixed payments as they are made. For leases with a lease term of 12 months or less (referred to as a "short-term lease"), any fixed lease paymen</w:t>
      </w:r>
      <w:r>
        <w:rPr>
          <w:rFonts w:eastAsia="Times New Roman"/>
          <w:color w:val="000000"/>
          <w:sz w:val="20"/>
          <w:szCs w:val="20"/>
        </w:rPr>
        <w:t>ts are recognized on a straight-line basis over such term and are not recognized on the consolidated balance sheet. For all leases, variable lease cost, if any, is recognized as incurred.</w:t>
      </w:r>
    </w:p>
    <w:p w:rsidR="00000000" w:rsidRDefault="00BB5C2D">
      <w:pPr>
        <w:ind w:firstLine="540"/>
        <w:jc w:val="both"/>
        <w:divId w:val="531193354"/>
        <w:rPr>
          <w:rFonts w:eastAsia="Times New Roman"/>
        </w:rPr>
      </w:pPr>
      <w:r>
        <w:rPr>
          <w:rFonts w:eastAsia="Times New Roman"/>
          <w:color w:val="000000"/>
          <w:sz w:val="20"/>
          <w:szCs w:val="20"/>
        </w:rPr>
        <w:t>ROU assets, along with any related long-lived assets, are periodical</w:t>
      </w:r>
      <w:r>
        <w:rPr>
          <w:rFonts w:eastAsia="Times New Roman"/>
          <w:color w:val="000000"/>
          <w:sz w:val="20"/>
          <w:szCs w:val="20"/>
        </w:rPr>
        <w:t>ly evaluated for impairment whenever events or circumstances indicate that their carrying values may not be fully recoverable (see Note 12). To the extent that such assets are ultimately determined to be impaired, they are written down accordingly on a rel</w:t>
      </w:r>
      <w:r>
        <w:rPr>
          <w:rFonts w:eastAsia="Times New Roman"/>
          <w:color w:val="000000"/>
          <w:sz w:val="20"/>
          <w:szCs w:val="20"/>
        </w:rPr>
        <w:t>ative carrying amount basis, with the ROU asset written down to an amount no lower than its estimated fair value. Subsequent to the recognition of any such impairment, total remaining lease cost is recognized on a front-loaded basis over the remaining leas</w:t>
      </w:r>
      <w:r>
        <w:rPr>
          <w:rFonts w:eastAsia="Times New Roman"/>
          <w:color w:val="000000"/>
          <w:sz w:val="20"/>
          <w:szCs w:val="20"/>
        </w:rPr>
        <w:t>e term.</w:t>
      </w:r>
    </w:p>
    <w:p w:rsidR="00000000" w:rsidRDefault="00BB5C2D">
      <w:pPr>
        <w:ind w:firstLine="540"/>
        <w:jc w:val="both"/>
        <w:divId w:val="1299726969"/>
        <w:rPr>
          <w:rFonts w:eastAsia="Times New Roman"/>
        </w:rPr>
      </w:pPr>
      <w:r>
        <w:rPr>
          <w:rFonts w:eastAsia="Times New Roman"/>
          <w:color w:val="000000"/>
          <w:sz w:val="20"/>
          <w:szCs w:val="20"/>
        </w:rPr>
        <w:t>See Note 14 for further discussion of the Company's leases.</w:t>
      </w:r>
    </w:p>
    <w:p w:rsidR="00000000" w:rsidRDefault="00BB5C2D">
      <w:pPr>
        <w:ind w:firstLine="360"/>
        <w:jc w:val="both"/>
        <w:divId w:val="934707160"/>
        <w:rPr>
          <w:rFonts w:eastAsia="Times New Roman"/>
        </w:rPr>
      </w:pPr>
      <w:r>
        <w:rPr>
          <w:rFonts w:eastAsia="Times New Roman"/>
          <w:b/>
          <w:bCs/>
          <w:i/>
          <w:iCs/>
          <w:color w:val="000000"/>
          <w:sz w:val="20"/>
          <w:szCs w:val="20"/>
        </w:rPr>
        <w:t>Goodwill and Other Intangible Assets</w:t>
      </w:r>
    </w:p>
    <w:p w:rsidR="00000000" w:rsidRDefault="00BB5C2D">
      <w:pPr>
        <w:ind w:firstLine="540"/>
        <w:jc w:val="both"/>
        <w:divId w:val="1092124385"/>
        <w:rPr>
          <w:rFonts w:eastAsia="Times New Roman"/>
        </w:rPr>
      </w:pPr>
      <w:r>
        <w:rPr>
          <w:rFonts w:eastAsia="Times New Roman"/>
          <w:color w:val="000000"/>
          <w:sz w:val="20"/>
          <w:szCs w:val="20"/>
        </w:rPr>
        <w:t>At acquisition, the Company estimates and records the fair value of purchased intangible assets, which typically consist of reacquired license agreemen</w:t>
      </w:r>
      <w:r>
        <w:rPr>
          <w:rFonts w:eastAsia="Times New Roman"/>
          <w:color w:val="000000"/>
          <w:sz w:val="20"/>
          <w:szCs w:val="20"/>
        </w:rPr>
        <w:t>ts, customer relationships, non-compete agreements, and/or order backlog. The fair values of these intangible assets are estimated based on management's assessment, considering independent third-party appraisals when necessary. The excess of the purchase c</w:t>
      </w:r>
      <w:r>
        <w:rPr>
          <w:rFonts w:eastAsia="Times New Roman"/>
          <w:color w:val="000000"/>
          <w:sz w:val="20"/>
          <w:szCs w:val="20"/>
        </w:rPr>
        <w:t>onsideration over the fair value of net assets acquired, both tangible and intangible, is recorded as goodwill. Goodwill and certain other intangible assets deemed to have indefinite useful lives are not amortized. Rather, goodwill and such indefinite-live</w:t>
      </w:r>
      <w:r>
        <w:rPr>
          <w:rFonts w:eastAsia="Times New Roman"/>
          <w:color w:val="000000"/>
          <w:sz w:val="20"/>
          <w:szCs w:val="20"/>
        </w:rPr>
        <w:t>d intangible assets are assessed for impairment at least annually. The Company generally performs its annual goodwill and indefinite-lived intangible assets impairment analyses using a qualitative approach to determine whether it is more likely than not th</w:t>
      </w:r>
      <w:r>
        <w:rPr>
          <w:rFonts w:eastAsia="Times New Roman"/>
          <w:color w:val="000000"/>
          <w:sz w:val="20"/>
          <w:szCs w:val="20"/>
        </w:rPr>
        <w:t>at the fair values of such assets are less than their respective carrying values. If, based on the results of the qualitative assessment, it is concluded that it is not more likely than not that the fair value of the asset exceeds its carrying value, a qua</w:t>
      </w:r>
      <w:r>
        <w:rPr>
          <w:rFonts w:eastAsia="Times New Roman"/>
          <w:color w:val="000000"/>
          <w:sz w:val="20"/>
          <w:szCs w:val="20"/>
        </w:rPr>
        <w:t>ntitative test is performed. Under the quantitative test, if the carrying value of the asset exceeds its fair value, an impairment loss is recognized in the amount of the excess. The Company also periodically performs a quantitative test to assess its good</w:t>
      </w:r>
      <w:r>
        <w:rPr>
          <w:rFonts w:eastAsia="Times New Roman"/>
          <w:color w:val="000000"/>
          <w:sz w:val="20"/>
          <w:szCs w:val="20"/>
        </w:rPr>
        <w:t xml:space="preserve">will for impairment in lieu of using the qualitative approach in order to reassess the fair values of its reporting units. </w:t>
      </w:r>
    </w:p>
    <w:p w:rsidR="00000000" w:rsidRDefault="00BB5C2D">
      <w:pPr>
        <w:ind w:firstLine="540"/>
        <w:jc w:val="both"/>
        <w:divId w:val="685638686"/>
        <w:rPr>
          <w:rFonts w:eastAsia="Times New Roman"/>
        </w:rPr>
      </w:pPr>
      <w:r>
        <w:rPr>
          <w:rFonts w:eastAsia="Times New Roman"/>
          <w:color w:val="000000"/>
          <w:sz w:val="20"/>
          <w:szCs w:val="20"/>
        </w:rPr>
        <w:t>Finite-lived intangible assets are amortized over their respective estimated useful lives and, along with other long-lived assets as</w:t>
      </w:r>
      <w:r>
        <w:rPr>
          <w:rFonts w:eastAsia="Times New Roman"/>
          <w:color w:val="000000"/>
          <w:sz w:val="20"/>
          <w:szCs w:val="20"/>
        </w:rPr>
        <w:t xml:space="preserve"> noted above, are evaluated for impairment periodically whenever events or changes in circumstances indicate that their related carrying values may not be fully recoverable. See discussion of the Company's accounting policy for long-lived asset impairment </w:t>
      </w:r>
      <w:r>
        <w:rPr>
          <w:rFonts w:eastAsia="Times New Roman"/>
          <w:color w:val="000000"/>
          <w:sz w:val="20"/>
          <w:szCs w:val="20"/>
        </w:rPr>
        <w:t>as previously described under the caption "</w:t>
      </w:r>
      <w:r>
        <w:rPr>
          <w:rFonts w:eastAsia="Times New Roman"/>
          <w:i/>
          <w:iCs/>
          <w:color w:val="000000"/>
          <w:sz w:val="20"/>
          <w:szCs w:val="20"/>
        </w:rPr>
        <w:t>Property and Equipment, Net.</w:t>
      </w:r>
      <w:r>
        <w:rPr>
          <w:rFonts w:eastAsia="Times New Roman"/>
          <w:color w:val="000000"/>
          <w:sz w:val="20"/>
          <w:szCs w:val="20"/>
        </w:rPr>
        <w:t>"</w:t>
      </w:r>
    </w:p>
    <w:p w:rsidR="00000000" w:rsidRDefault="00BB5C2D">
      <w:pPr>
        <w:ind w:firstLine="360"/>
        <w:jc w:val="both"/>
        <w:divId w:val="1907298890"/>
        <w:rPr>
          <w:rFonts w:eastAsia="Times New Roman"/>
        </w:rPr>
      </w:pPr>
      <w:r>
        <w:rPr>
          <w:rFonts w:eastAsia="Times New Roman"/>
          <w:b/>
          <w:bCs/>
          <w:i/>
          <w:iCs/>
          <w:color w:val="000000"/>
          <w:sz w:val="20"/>
          <w:szCs w:val="20"/>
        </w:rPr>
        <w:t xml:space="preserve">Income Taxes </w:t>
      </w:r>
    </w:p>
    <w:p w:rsidR="00000000" w:rsidRDefault="00BB5C2D">
      <w:pPr>
        <w:ind w:firstLine="540"/>
        <w:jc w:val="both"/>
        <w:divId w:val="587544972"/>
        <w:rPr>
          <w:rFonts w:eastAsia="Times New Roman"/>
        </w:rPr>
      </w:pPr>
      <w:r>
        <w:rPr>
          <w:rFonts w:eastAsia="Times New Roman"/>
          <w:color w:val="000000"/>
          <w:sz w:val="20"/>
          <w:szCs w:val="20"/>
        </w:rPr>
        <w:t>Income taxes are provided using the asset and liability method. Under this method, income taxes (i.e., deferred tax assets and liabilities, current taxes payable/refunds receivable, and tax expense) are recorded based on amounts refundable or payable in th</w:t>
      </w:r>
      <w:r>
        <w:rPr>
          <w:rFonts w:eastAsia="Times New Roman"/>
          <w:color w:val="000000"/>
          <w:sz w:val="20"/>
          <w:szCs w:val="20"/>
        </w:rPr>
        <w:t>e current year and include the results of any difference between U.S. GAAP and tax reporting. Deferred income taxes reflect the tax effect of certain net operating losses, capital losses, general business credit carryforwards, and the net tax effects of te</w:t>
      </w:r>
      <w:r>
        <w:rPr>
          <w:rFonts w:eastAsia="Times New Roman"/>
          <w:color w:val="000000"/>
          <w:sz w:val="20"/>
          <w:szCs w:val="20"/>
        </w:rPr>
        <w:t xml:space="preserve">mporary differences between the carrying amount of assets and liabilities for financial statement and income tax purposes, as determined under enacted tax laws and rates. The Company accounts for the financial effect of changes in tax laws or rates in the </w:t>
      </w:r>
      <w:r>
        <w:rPr>
          <w:rFonts w:eastAsia="Times New Roman"/>
          <w:color w:val="000000"/>
          <w:sz w:val="20"/>
          <w:szCs w:val="20"/>
        </w:rPr>
        <w:t>period of enactment.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922642243"/>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922642243"/>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F-17</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29" style="width:0;height:1.5pt" o:hralign="center" o:hrstd="t" o:hr="t" fillcolor="#a0a0a0" stroked="f"/>
        </w:pict>
      </w:r>
    </w:p>
    <w:p w:rsidR="00000000" w:rsidRDefault="00BB5C2D">
      <w:pPr>
        <w:jc w:val="center"/>
        <w:divId w:val="1971521276"/>
        <w:rPr>
          <w:rFonts w:eastAsia="Times New Roman"/>
        </w:rPr>
      </w:pPr>
    </w:p>
    <w:p w:rsidR="00000000" w:rsidRDefault="00BB5C2D">
      <w:pPr>
        <w:jc w:val="center"/>
        <w:divId w:val="1971521276"/>
        <w:rPr>
          <w:rFonts w:eastAsia="Times New Roman"/>
        </w:rPr>
      </w:pPr>
      <w:r>
        <w:rPr>
          <w:rFonts w:eastAsia="Times New Roman"/>
          <w:b/>
          <w:bCs/>
          <w:color w:val="000000"/>
          <w:sz w:val="20"/>
          <w:szCs w:val="20"/>
        </w:rPr>
        <w:t>RALPH LAUREN CORPORATION</w:t>
      </w:r>
    </w:p>
    <w:p w:rsidR="00000000" w:rsidRDefault="00BB5C2D">
      <w:pPr>
        <w:jc w:val="center"/>
        <w:divId w:val="1517648444"/>
        <w:rPr>
          <w:rFonts w:eastAsia="Times New Roman"/>
        </w:rPr>
      </w:pPr>
      <w:r>
        <w:rPr>
          <w:rFonts w:eastAsia="Times New Roman"/>
          <w:b/>
          <w:bCs/>
          <w:color w:val="000000"/>
          <w:sz w:val="20"/>
          <w:szCs w:val="20"/>
        </w:rPr>
        <w:t>NOTES TO CONSOLIDATED FINANCIAL STATEMENTS (Continued)</w:t>
      </w:r>
    </w:p>
    <w:p w:rsidR="00000000" w:rsidRDefault="00BB5C2D">
      <w:pPr>
        <w:ind w:firstLine="540"/>
        <w:jc w:val="both"/>
        <w:divId w:val="1938050708"/>
        <w:rPr>
          <w:rFonts w:eastAsia="Times New Roman"/>
        </w:rPr>
      </w:pPr>
      <w:r>
        <w:rPr>
          <w:rFonts w:eastAsia="Times New Roman"/>
          <w:color w:val="000000"/>
          <w:sz w:val="20"/>
          <w:szCs w:val="20"/>
        </w:rPr>
        <w:t>In addition, valuation allowances are established when management determines that it is more likely than not that some portion or all of a deferred tax asset will not be realized. Tax valuation allowances are analyzed periodically and adjusted as events oc</w:t>
      </w:r>
      <w:r>
        <w:rPr>
          <w:rFonts w:eastAsia="Times New Roman"/>
          <w:color w:val="000000"/>
          <w:sz w:val="20"/>
          <w:szCs w:val="20"/>
        </w:rPr>
        <w:t>cur or circumstances change that warrant adjustments.</w:t>
      </w:r>
    </w:p>
    <w:p w:rsidR="00000000" w:rsidRDefault="00BB5C2D">
      <w:pPr>
        <w:ind w:firstLine="540"/>
        <w:jc w:val="both"/>
        <w:divId w:val="892348874"/>
        <w:rPr>
          <w:rFonts w:eastAsia="Times New Roman"/>
        </w:rPr>
      </w:pPr>
      <w:r>
        <w:rPr>
          <w:rFonts w:eastAsia="Times New Roman"/>
          <w:color w:val="000000"/>
          <w:sz w:val="20"/>
          <w:szCs w:val="20"/>
        </w:rPr>
        <w:t>In determining the income tax benefit (provision) for financial reporting purposes, the Company establishes a reserve for uncertain tax positions. If the Company considers that a tax position is more li</w:t>
      </w:r>
      <w:r>
        <w:rPr>
          <w:rFonts w:eastAsia="Times New Roman"/>
          <w:color w:val="000000"/>
          <w:sz w:val="20"/>
          <w:szCs w:val="20"/>
        </w:rPr>
        <w:t xml:space="preserve">kely than not of being sustained upon audit, based solely on the technical merits of the position, it recognizes the tax benefit. The Company measures the tax benefit by determining the largest amount that is greater than 50% likely of being realized upon </w:t>
      </w:r>
      <w:r>
        <w:rPr>
          <w:rFonts w:eastAsia="Times New Roman"/>
          <w:color w:val="000000"/>
          <w:sz w:val="20"/>
          <w:szCs w:val="20"/>
        </w:rPr>
        <w:t>settlement, presuming that the tax position is examined by the appropriate taxing authority that has full knowledge of all relevant information. These assessments can be complex and the Company often obtains assistance from external advisors. To the extent</w:t>
      </w:r>
      <w:r>
        <w:rPr>
          <w:rFonts w:eastAsia="Times New Roman"/>
          <w:color w:val="000000"/>
          <w:sz w:val="20"/>
          <w:szCs w:val="20"/>
        </w:rPr>
        <w:t xml:space="preserve"> that the Company's estimates change or the final tax outcome of these matters is different than the amounts recorded, such differences will impact the income tax benefit (provision) in the period in which such determinations are made. If the initial asses</w:t>
      </w:r>
      <w:r>
        <w:rPr>
          <w:rFonts w:eastAsia="Times New Roman"/>
          <w:color w:val="000000"/>
          <w:sz w:val="20"/>
          <w:szCs w:val="20"/>
        </w:rPr>
        <w:t>sment fails to result in the recognition of a tax benefit, the Company regularly monitors its position and subsequently recognizes the tax benefit if (i) there are changes in tax law or analogous case law that sufficiently raise the likelihood of prevailin</w:t>
      </w:r>
      <w:r>
        <w:rPr>
          <w:rFonts w:eastAsia="Times New Roman"/>
          <w:color w:val="000000"/>
          <w:sz w:val="20"/>
          <w:szCs w:val="20"/>
        </w:rPr>
        <w:t>g on the technical merits of the position to more likely than not; (ii) the statute of limitations expires; or (iii) there is a completion of an audit resulting in a settlement of that tax year with the appropriate agency. Uncertain tax positions are class</w:t>
      </w:r>
      <w:r>
        <w:rPr>
          <w:rFonts w:eastAsia="Times New Roman"/>
          <w:color w:val="000000"/>
          <w:sz w:val="20"/>
          <w:szCs w:val="20"/>
        </w:rPr>
        <w:t>ified as current only when the Company expects to pay cash within the next twelve months. Interest and penalties are recorded within the income tax benefit (provision) in the consolidated statements of operations and are classified on the consolidated bala</w:t>
      </w:r>
      <w:r>
        <w:rPr>
          <w:rFonts w:eastAsia="Times New Roman"/>
          <w:color w:val="000000"/>
          <w:sz w:val="20"/>
          <w:szCs w:val="20"/>
        </w:rPr>
        <w:t>nce sheets together with the related liability for unrecognized tax benefits.</w:t>
      </w:r>
    </w:p>
    <w:p w:rsidR="00000000" w:rsidRDefault="00BB5C2D">
      <w:pPr>
        <w:ind w:firstLine="540"/>
        <w:jc w:val="both"/>
        <w:divId w:val="1206329933"/>
        <w:rPr>
          <w:rFonts w:eastAsia="Times New Roman"/>
        </w:rPr>
      </w:pPr>
      <w:r>
        <w:rPr>
          <w:rFonts w:eastAsia="Times New Roman"/>
          <w:color w:val="000000"/>
          <w:sz w:val="20"/>
          <w:szCs w:val="20"/>
        </w:rPr>
        <w:t>The Company accounts for the minimum tax on global intangible low-taxed income ("GILTI") in the period in which it is incurred.</w:t>
      </w:r>
    </w:p>
    <w:p w:rsidR="00000000" w:rsidRDefault="00BB5C2D">
      <w:pPr>
        <w:ind w:firstLine="540"/>
        <w:jc w:val="both"/>
        <w:divId w:val="1918131451"/>
        <w:rPr>
          <w:rFonts w:eastAsia="Times New Roman"/>
        </w:rPr>
      </w:pPr>
      <w:r>
        <w:rPr>
          <w:rFonts w:eastAsia="Times New Roman"/>
          <w:color w:val="000000"/>
          <w:sz w:val="20"/>
          <w:szCs w:val="20"/>
        </w:rPr>
        <w:t>See Note 10 for further discussion of the Company'</w:t>
      </w:r>
      <w:r>
        <w:rPr>
          <w:rFonts w:eastAsia="Times New Roman"/>
          <w:color w:val="000000"/>
          <w:sz w:val="20"/>
          <w:szCs w:val="20"/>
        </w:rPr>
        <w:t>s income taxes.</w:t>
      </w:r>
    </w:p>
    <w:p w:rsidR="00000000" w:rsidRDefault="00BB5C2D">
      <w:pPr>
        <w:ind w:firstLine="360"/>
        <w:jc w:val="both"/>
        <w:divId w:val="707410362"/>
        <w:rPr>
          <w:rFonts w:eastAsia="Times New Roman"/>
        </w:rPr>
      </w:pPr>
      <w:r>
        <w:rPr>
          <w:rFonts w:eastAsia="Times New Roman"/>
          <w:b/>
          <w:bCs/>
          <w:i/>
          <w:iCs/>
          <w:color w:val="000000"/>
          <w:sz w:val="20"/>
          <w:szCs w:val="20"/>
        </w:rPr>
        <w:t>Derivative Financial Instruments</w:t>
      </w:r>
    </w:p>
    <w:p w:rsidR="00000000" w:rsidRDefault="00BB5C2D">
      <w:pPr>
        <w:ind w:firstLine="540"/>
        <w:jc w:val="both"/>
        <w:divId w:val="971596652"/>
        <w:rPr>
          <w:rFonts w:eastAsia="Times New Roman"/>
        </w:rPr>
      </w:pPr>
      <w:r>
        <w:rPr>
          <w:rFonts w:eastAsia="Times New Roman"/>
          <w:color w:val="000000"/>
          <w:sz w:val="20"/>
          <w:szCs w:val="20"/>
        </w:rPr>
        <w:t>The Company records derivative financial instruments on its consolidated balance sheets at fair value. Changes in the fair value of derivative instruments that are designated and qualify for hedge accounting</w:t>
      </w:r>
      <w:r>
        <w:rPr>
          <w:rFonts w:eastAsia="Times New Roman"/>
          <w:color w:val="000000"/>
          <w:sz w:val="20"/>
          <w:szCs w:val="20"/>
        </w:rPr>
        <w:t xml:space="preserve"> are either (i) offset through earnings against the changes in fair value of the related hedged assets, liabilities, or firm commitments or (ii) recognized in equity as a component of AOCI until the hedged item is recognized in earnings, depending on wheth</w:t>
      </w:r>
      <w:r>
        <w:rPr>
          <w:rFonts w:eastAsia="Times New Roman"/>
          <w:color w:val="000000"/>
          <w:sz w:val="20"/>
          <w:szCs w:val="20"/>
        </w:rPr>
        <w:t>er the instrument is hedging against changes in fair value or cash flows and net investments, respectively.</w:t>
      </w:r>
    </w:p>
    <w:p w:rsidR="00000000" w:rsidRDefault="00BB5C2D">
      <w:pPr>
        <w:ind w:firstLine="540"/>
        <w:jc w:val="both"/>
        <w:divId w:val="1583636957"/>
        <w:rPr>
          <w:rFonts w:eastAsia="Times New Roman"/>
        </w:rPr>
      </w:pPr>
      <w:r>
        <w:rPr>
          <w:rFonts w:eastAsia="Times New Roman"/>
          <w:color w:val="000000"/>
          <w:sz w:val="20"/>
          <w:szCs w:val="20"/>
        </w:rPr>
        <w:t>Each derivative instrument that qualifies for hedge accounting is expected to be highly effective in offsetting the risk associated with the related exposure. For each instrument that is designated as a hedge, the Company documents the related risk managem</w:t>
      </w:r>
      <w:r>
        <w:rPr>
          <w:rFonts w:eastAsia="Times New Roman"/>
          <w:color w:val="000000"/>
          <w:sz w:val="20"/>
          <w:szCs w:val="20"/>
        </w:rPr>
        <w:t>ent objective and strategy, including identification of the hedging instrument, the hedged item, and the risk exposure, as well as how hedge effectiveness will be assessed over the instrument's term. To assess hedge effectiveness at the inception of a hedg</w:t>
      </w:r>
      <w:r>
        <w:rPr>
          <w:rFonts w:eastAsia="Times New Roman"/>
          <w:color w:val="000000"/>
          <w:sz w:val="20"/>
          <w:szCs w:val="20"/>
        </w:rPr>
        <w:t>ing relationship, the Company generally uses regression analysis, a statistical method, to evaluate how changes in the fair value of the derivative instrument are expected to offset changes in the fair value or cash flows of the related hedged item. The ex</w:t>
      </w:r>
      <w:r>
        <w:rPr>
          <w:rFonts w:eastAsia="Times New Roman"/>
          <w:color w:val="000000"/>
          <w:sz w:val="20"/>
          <w:szCs w:val="20"/>
        </w:rPr>
        <w:t>tent to which a hedging instrument has been and is expected to remain highly effective in achieving offsetting changes in fair value or cash flows is assessed by the Company on at least a quarterly basis.</w:t>
      </w:r>
    </w:p>
    <w:p w:rsidR="00000000" w:rsidRDefault="00BB5C2D">
      <w:pPr>
        <w:ind w:firstLine="540"/>
        <w:jc w:val="both"/>
        <w:divId w:val="211308328"/>
        <w:rPr>
          <w:rFonts w:eastAsia="Times New Roman"/>
        </w:rPr>
      </w:pPr>
      <w:r>
        <w:rPr>
          <w:rFonts w:eastAsia="Times New Roman"/>
          <w:color w:val="000000"/>
          <w:sz w:val="20"/>
          <w:szCs w:val="20"/>
        </w:rPr>
        <w:t>Given its use of derivative instruments, the Compan</w:t>
      </w:r>
      <w:r>
        <w:rPr>
          <w:rFonts w:eastAsia="Times New Roman"/>
          <w:color w:val="000000"/>
          <w:sz w:val="20"/>
          <w:szCs w:val="20"/>
        </w:rPr>
        <w:t>y is exposed to the risk that counterparties to such contracts will fail to meet their contractual obligations. To mitigate such counterparty credit risk, the Company's policy is to only enter into contracts with carefully selected financial institutions b</w:t>
      </w:r>
      <w:r>
        <w:rPr>
          <w:rFonts w:eastAsia="Times New Roman"/>
          <w:color w:val="000000"/>
          <w:sz w:val="20"/>
          <w:szCs w:val="20"/>
        </w:rPr>
        <w:t>ased upon an evaluation of their credit ratings and certain other factors, adhering to established limits for credit exposure. The Company's established policies and procedures for mitigating credit risk include ongoing review and assessment of its counter</w:t>
      </w:r>
      <w:r>
        <w:rPr>
          <w:rFonts w:eastAsia="Times New Roman"/>
          <w:color w:val="000000"/>
          <w:sz w:val="20"/>
          <w:szCs w:val="20"/>
        </w:rPr>
        <w:t>parties' creditworthiness. The Company also enters into master netting arrangements with counterparties, when possible, to further mitigate credit risk. In the event of default or termination, these arrangements allow the Company to net-settle amounts paya</w:t>
      </w:r>
      <w:r>
        <w:rPr>
          <w:rFonts w:eastAsia="Times New Roman"/>
          <w:color w:val="000000"/>
          <w:sz w:val="20"/>
          <w:szCs w:val="20"/>
        </w:rPr>
        <w:t>ble and receivable related to multiple derivative transactions with the same counterparty. The master netting arrangements specify a number of events of default and termination, including the failure to make timely payments.</w:t>
      </w:r>
    </w:p>
    <w:p w:rsidR="00000000" w:rsidRDefault="00BB5C2D">
      <w:pPr>
        <w:ind w:firstLine="540"/>
        <w:jc w:val="both"/>
        <w:divId w:val="1208756942"/>
        <w:rPr>
          <w:rFonts w:eastAsia="Times New Roman"/>
        </w:rPr>
      </w:pPr>
      <w:r>
        <w:rPr>
          <w:rFonts w:eastAsia="Times New Roman"/>
          <w:color w:val="000000"/>
          <w:sz w:val="20"/>
          <w:szCs w:val="20"/>
        </w:rPr>
        <w:t>The fair values of the Company'</w:t>
      </w:r>
      <w:r>
        <w:rPr>
          <w:rFonts w:eastAsia="Times New Roman"/>
          <w:color w:val="000000"/>
          <w:sz w:val="20"/>
          <w:szCs w:val="20"/>
        </w:rPr>
        <w:t>s derivative instruments are recorded on its consolidated balance sheets on a gross basis. For cash flow reporting purposes, proceeds received or amounts paid upon the settlement of a derivative instrument are classified in the same manner as the related i</w:t>
      </w:r>
      <w:r>
        <w:rPr>
          <w:rFonts w:eastAsia="Times New Roman"/>
          <w:color w:val="000000"/>
          <w:sz w:val="20"/>
          <w:szCs w:val="20"/>
        </w:rPr>
        <w:t>tem being hedged, primarily within cash flows from operating activities for its forward foreign exchange contracts and within cash flows from investing activities for its cross-currency swap contracts, both as discussed below.</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801456718"/>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801456718"/>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F-18</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30" style="width:0;height:1.5pt" o:hralign="center" o:hrstd="t" o:hr="t" fillcolor="#a0a0a0" stroked="f"/>
        </w:pict>
      </w:r>
    </w:p>
    <w:p w:rsidR="00000000" w:rsidRDefault="00BB5C2D">
      <w:pPr>
        <w:jc w:val="center"/>
        <w:divId w:val="2036956684"/>
        <w:rPr>
          <w:rFonts w:eastAsia="Times New Roman"/>
        </w:rPr>
      </w:pPr>
    </w:p>
    <w:p w:rsidR="00000000" w:rsidRDefault="00BB5C2D">
      <w:pPr>
        <w:jc w:val="center"/>
        <w:divId w:val="2036956684"/>
        <w:rPr>
          <w:rFonts w:eastAsia="Times New Roman"/>
        </w:rPr>
      </w:pPr>
      <w:r>
        <w:rPr>
          <w:rFonts w:eastAsia="Times New Roman"/>
          <w:b/>
          <w:bCs/>
          <w:color w:val="000000"/>
          <w:sz w:val="20"/>
          <w:szCs w:val="20"/>
        </w:rPr>
        <w:t>RALPH LAUREN CORPORATION</w:t>
      </w:r>
    </w:p>
    <w:p w:rsidR="00000000" w:rsidRDefault="00BB5C2D">
      <w:pPr>
        <w:jc w:val="center"/>
        <w:divId w:val="1644655123"/>
        <w:rPr>
          <w:rFonts w:eastAsia="Times New Roman"/>
        </w:rPr>
      </w:pPr>
      <w:r>
        <w:rPr>
          <w:rFonts w:eastAsia="Times New Roman"/>
          <w:b/>
          <w:bCs/>
          <w:color w:val="000000"/>
          <w:sz w:val="20"/>
          <w:szCs w:val="20"/>
        </w:rPr>
        <w:t>NOTES TO CONSOLIDATED FINANCIAL STATEMENTS (Continued)</w:t>
      </w:r>
    </w:p>
    <w:p w:rsidR="00000000" w:rsidRDefault="00BB5C2D">
      <w:pPr>
        <w:ind w:firstLine="360"/>
        <w:jc w:val="both"/>
        <w:divId w:val="905919465"/>
        <w:rPr>
          <w:rFonts w:eastAsia="Times New Roman"/>
        </w:rPr>
      </w:pPr>
      <w:r>
        <w:rPr>
          <w:rFonts w:eastAsia="Times New Roman"/>
          <w:i/>
          <w:iCs/>
          <w:color w:val="000000"/>
          <w:sz w:val="20"/>
          <w:szCs w:val="20"/>
        </w:rPr>
        <w:t>Cash Flow Hedges</w:t>
      </w:r>
    </w:p>
    <w:p w:rsidR="00000000" w:rsidRDefault="00BB5C2D">
      <w:pPr>
        <w:ind w:firstLine="540"/>
        <w:jc w:val="both"/>
        <w:divId w:val="1649432808"/>
        <w:rPr>
          <w:rFonts w:eastAsia="Times New Roman"/>
        </w:rPr>
      </w:pPr>
      <w:r>
        <w:rPr>
          <w:rFonts w:eastAsia="Times New Roman"/>
          <w:color w:val="000000"/>
          <w:sz w:val="20"/>
          <w:szCs w:val="20"/>
        </w:rPr>
        <w:t>The Company uses forward foreign currency exchange contracts to mitigate its risk related to exchange rate fluctuations o</w:t>
      </w:r>
      <w:r>
        <w:rPr>
          <w:rFonts w:eastAsia="Times New Roman"/>
          <w:color w:val="000000"/>
          <w:sz w:val="20"/>
          <w:szCs w:val="20"/>
        </w:rPr>
        <w:t>n inventory transactions made in an entity's non-functional currency. To the extent designated as cash flow hedges, related gains or losses on such instruments are initially deferred in equity as a component of AOCI and are subsequently recognized within c</w:t>
      </w:r>
      <w:r>
        <w:rPr>
          <w:rFonts w:eastAsia="Times New Roman"/>
          <w:color w:val="000000"/>
          <w:sz w:val="20"/>
          <w:szCs w:val="20"/>
        </w:rPr>
        <w:t>ost of goods sold in the consolidated statements of operations when the related inventory is sold.</w:t>
      </w:r>
    </w:p>
    <w:p w:rsidR="00000000" w:rsidRDefault="00BB5C2D">
      <w:pPr>
        <w:ind w:firstLine="540"/>
        <w:jc w:val="both"/>
        <w:divId w:val="1482193648"/>
        <w:rPr>
          <w:rFonts w:eastAsia="Times New Roman"/>
        </w:rPr>
      </w:pPr>
      <w:r>
        <w:rPr>
          <w:rFonts w:eastAsia="Times New Roman"/>
          <w:color w:val="000000"/>
          <w:sz w:val="20"/>
          <w:szCs w:val="20"/>
        </w:rPr>
        <w:t>If a derivative instrument is dedesignated or if hedge accounting is discontinued because the instrument is not expected to be highly effective in hedging th</w:t>
      </w:r>
      <w:r>
        <w:rPr>
          <w:rFonts w:eastAsia="Times New Roman"/>
          <w:color w:val="000000"/>
          <w:sz w:val="20"/>
          <w:szCs w:val="20"/>
        </w:rPr>
        <w:t>e designated exposure, any further gains (losses) are recognized in earnings each period within other income (expense), net. Upon discontinuance of hedge accounting, the cumulative change in fair value of the derivative instrument recorded in AOCI is recog</w:t>
      </w:r>
      <w:r>
        <w:rPr>
          <w:rFonts w:eastAsia="Times New Roman"/>
          <w:color w:val="000000"/>
          <w:sz w:val="20"/>
          <w:szCs w:val="20"/>
        </w:rPr>
        <w:t>nized in earnings when the related hedged item affects earnings, consistent with the hedging strategy, unless the related forecasted transaction is probable of not occurring, in which case the accumulated amount is immediately recognized within other incom</w:t>
      </w:r>
      <w:r>
        <w:rPr>
          <w:rFonts w:eastAsia="Times New Roman"/>
          <w:color w:val="000000"/>
          <w:sz w:val="20"/>
          <w:szCs w:val="20"/>
        </w:rPr>
        <w:t>e (expense), net.</w:t>
      </w:r>
    </w:p>
    <w:p w:rsidR="00000000" w:rsidRDefault="00BB5C2D">
      <w:pPr>
        <w:ind w:firstLine="360"/>
        <w:jc w:val="both"/>
        <w:divId w:val="1964311583"/>
        <w:rPr>
          <w:rFonts w:eastAsia="Times New Roman"/>
        </w:rPr>
      </w:pPr>
      <w:r>
        <w:rPr>
          <w:rFonts w:eastAsia="Times New Roman"/>
          <w:i/>
          <w:iCs/>
          <w:color w:val="000000"/>
          <w:sz w:val="20"/>
          <w:szCs w:val="20"/>
        </w:rPr>
        <w:t>Hedges of Net Investments in Foreign Operations</w:t>
      </w:r>
    </w:p>
    <w:p w:rsidR="00000000" w:rsidRDefault="00BB5C2D">
      <w:pPr>
        <w:ind w:firstLine="540"/>
        <w:jc w:val="both"/>
        <w:divId w:val="399789045"/>
        <w:rPr>
          <w:rFonts w:eastAsia="Times New Roman"/>
        </w:rPr>
      </w:pPr>
      <w:r>
        <w:rPr>
          <w:rFonts w:eastAsia="Times New Roman"/>
          <w:color w:val="000000"/>
          <w:sz w:val="20"/>
          <w:szCs w:val="20"/>
        </w:rPr>
        <w:t>The Company periodically uses cross-currency swap contracts to reduce risk associated with exchange rate fluctuations on certain of its net investments in foreign subsidiaries. Changes in th</w:t>
      </w:r>
      <w:r>
        <w:rPr>
          <w:rFonts w:eastAsia="Times New Roman"/>
          <w:color w:val="000000"/>
          <w:sz w:val="20"/>
          <w:szCs w:val="20"/>
        </w:rPr>
        <w:t>e fair values of such derivative instruments that are designated as hedges of net investments in foreign operations are recorded in equity as a component of AOCI in the same manner as foreign currency translation adjustments. In assessing the effectiveness</w:t>
      </w:r>
      <w:r>
        <w:rPr>
          <w:rFonts w:eastAsia="Times New Roman"/>
          <w:color w:val="000000"/>
          <w:sz w:val="20"/>
          <w:szCs w:val="20"/>
        </w:rPr>
        <w:t xml:space="preserve"> of such hedges, the Company uses a method based on changes in spot rates to measure the impact of foreign currency exchange rate fluctuations on both its foreign subsidiary net investment and the related hedging instrument. Under this method, changes in t</w:t>
      </w:r>
      <w:r>
        <w:rPr>
          <w:rFonts w:eastAsia="Times New Roman"/>
          <w:color w:val="000000"/>
          <w:sz w:val="20"/>
          <w:szCs w:val="20"/>
        </w:rPr>
        <w:t>he fair value of the hedging instrument other than those due to changes in the spot rate are initially recorded in AOCI as a translation adjustment and are amortized into earnings as interest expense using a systematic and rational method over the instrume</w:t>
      </w:r>
      <w:r>
        <w:rPr>
          <w:rFonts w:eastAsia="Times New Roman"/>
          <w:color w:val="000000"/>
          <w:sz w:val="20"/>
          <w:szCs w:val="20"/>
        </w:rPr>
        <w:t>nt's term. Changes in fair value associated with the effective portion (i.e., those due to changes in the spot rate) are recorded in AOCI as a translation adjustment and are released and recognized in earnings only upon the sale or liquidation of the hedge</w:t>
      </w:r>
      <w:r>
        <w:rPr>
          <w:rFonts w:eastAsia="Times New Roman"/>
          <w:color w:val="000000"/>
          <w:sz w:val="20"/>
          <w:szCs w:val="20"/>
        </w:rPr>
        <w:t>d net investment.</w:t>
      </w:r>
    </w:p>
    <w:p w:rsidR="00000000" w:rsidRDefault="00BB5C2D">
      <w:pPr>
        <w:ind w:firstLine="360"/>
        <w:jc w:val="both"/>
        <w:divId w:val="486096329"/>
        <w:rPr>
          <w:rFonts w:eastAsia="Times New Roman"/>
        </w:rPr>
      </w:pPr>
      <w:r>
        <w:rPr>
          <w:rFonts w:eastAsia="Times New Roman"/>
          <w:i/>
          <w:iCs/>
          <w:color w:val="000000"/>
          <w:sz w:val="20"/>
          <w:szCs w:val="20"/>
        </w:rPr>
        <w:t>Undesignated Hedges</w:t>
      </w:r>
    </w:p>
    <w:p w:rsidR="00000000" w:rsidRDefault="00BB5C2D">
      <w:pPr>
        <w:ind w:firstLine="540"/>
        <w:jc w:val="both"/>
        <w:divId w:val="1745103863"/>
        <w:rPr>
          <w:rFonts w:eastAsia="Times New Roman"/>
        </w:rPr>
      </w:pPr>
      <w:r>
        <w:rPr>
          <w:rFonts w:eastAsia="Times New Roman"/>
          <w:color w:val="000000"/>
          <w:sz w:val="20"/>
          <w:szCs w:val="20"/>
        </w:rPr>
        <w:t>The Company uses undesignated hedges primarily to hedge foreign currency exchange rate risk related to third-party and intercompany balances and exposures. Changes in the fair values of such instruments are recognized in earnings each period within other i</w:t>
      </w:r>
      <w:r>
        <w:rPr>
          <w:rFonts w:eastAsia="Times New Roman"/>
          <w:color w:val="000000"/>
          <w:sz w:val="20"/>
          <w:szCs w:val="20"/>
        </w:rPr>
        <w:t>ncome (expense), net.</w:t>
      </w:r>
    </w:p>
    <w:p w:rsidR="00000000" w:rsidRDefault="00BB5C2D">
      <w:pPr>
        <w:ind w:firstLine="540"/>
        <w:jc w:val="both"/>
        <w:divId w:val="629476614"/>
        <w:rPr>
          <w:rFonts w:eastAsia="Times New Roman"/>
        </w:rPr>
      </w:pPr>
      <w:r>
        <w:rPr>
          <w:rFonts w:eastAsia="Times New Roman"/>
          <w:color w:val="000000"/>
          <w:sz w:val="20"/>
          <w:szCs w:val="20"/>
        </w:rPr>
        <w:t>See Note 13 for further discussion of the Company's derivative financial instruments.</w:t>
      </w:r>
    </w:p>
    <w:p w:rsidR="00000000" w:rsidRDefault="00BB5C2D">
      <w:pPr>
        <w:ind w:hanging="540"/>
        <w:divId w:val="771247010"/>
        <w:rPr>
          <w:rFonts w:eastAsia="Times New Roman"/>
        </w:rPr>
      </w:pPr>
      <w:r>
        <w:rPr>
          <w:rFonts w:eastAsia="Times New Roman"/>
          <w:b/>
          <w:bCs/>
          <w:color w:val="000000"/>
          <w:sz w:val="20"/>
          <w:szCs w:val="20"/>
        </w:rPr>
        <w:t>4.    Recently Issued Accounting Standards</w:t>
      </w:r>
    </w:p>
    <w:p w:rsidR="00000000" w:rsidRDefault="00BB5C2D">
      <w:pPr>
        <w:ind w:firstLine="360"/>
        <w:jc w:val="both"/>
        <w:divId w:val="529877119"/>
        <w:rPr>
          <w:rFonts w:eastAsia="Times New Roman"/>
        </w:rPr>
      </w:pPr>
      <w:r>
        <w:rPr>
          <w:rFonts w:eastAsia="Times New Roman"/>
          <w:b/>
          <w:bCs/>
          <w:i/>
          <w:iCs/>
          <w:color w:val="000000"/>
          <w:sz w:val="20"/>
          <w:szCs w:val="20"/>
        </w:rPr>
        <w:t>Reference Rate Reform</w:t>
      </w:r>
    </w:p>
    <w:p w:rsidR="00000000" w:rsidRDefault="00BB5C2D">
      <w:pPr>
        <w:ind w:firstLine="540"/>
        <w:jc w:val="both"/>
        <w:divId w:val="1419212713"/>
        <w:rPr>
          <w:rFonts w:eastAsia="Times New Roman"/>
        </w:rPr>
      </w:pPr>
      <w:r>
        <w:rPr>
          <w:rFonts w:eastAsia="Times New Roman"/>
          <w:color w:val="000000"/>
          <w:sz w:val="20"/>
          <w:szCs w:val="20"/>
        </w:rPr>
        <w:t>In March 2020 and January 2021, the Financial Accounting Standards Board ("FASB") i</w:t>
      </w:r>
      <w:r>
        <w:rPr>
          <w:rFonts w:eastAsia="Times New Roman"/>
          <w:color w:val="000000"/>
          <w:sz w:val="20"/>
          <w:szCs w:val="20"/>
        </w:rPr>
        <w:t>ssued Accounting Standards Update ("ASU") No. 2020-04, "Facilitation of the Effects of Reference Rate Reform on Financial Reporting" ("ASU 2020-04") and ASU No. 2021-01, "Reference Rate Reform: Scope" ("ASU 2021-01"), respectively. Together, ASU 2020-04 an</w:t>
      </w:r>
      <w:r>
        <w:rPr>
          <w:rFonts w:eastAsia="Times New Roman"/>
          <w:color w:val="000000"/>
          <w:sz w:val="20"/>
          <w:szCs w:val="20"/>
        </w:rPr>
        <w:t>d ASU 2021-01 provide temporary optional expedients and exceptions for the application of U.S. GAAP, if certain criteria are met, to contract modifications, hedging relationships, and other arrangements that are expected to be impacted by the global transi</w:t>
      </w:r>
      <w:r>
        <w:rPr>
          <w:rFonts w:eastAsia="Times New Roman"/>
          <w:color w:val="000000"/>
          <w:sz w:val="20"/>
          <w:szCs w:val="20"/>
        </w:rPr>
        <w:t>tion away from certain reference rates, such as the London Interbank Offered Rate ("LIBOR") and other interbank offered rates, towards new reference rates, such as the Secured Overnight Financing Rate ("SOFR"). The guidance in ASU 2020-04 and ASU 2021-01 w</w:t>
      </w:r>
      <w:r>
        <w:rPr>
          <w:rFonts w:eastAsia="Times New Roman"/>
          <w:color w:val="000000"/>
          <w:sz w:val="20"/>
          <w:szCs w:val="20"/>
        </w:rPr>
        <w:t>as effective upon issuance and, once adopted, may be applied prospectively to contract modifications and hedging relationships through December 31, 2022. The Company is evaluating the impact that the guidance will have on its consolidated financial stateme</w:t>
      </w:r>
      <w:r>
        <w:rPr>
          <w:rFonts w:eastAsia="Times New Roman"/>
          <w:color w:val="000000"/>
          <w:sz w:val="20"/>
          <w:szCs w:val="20"/>
        </w:rPr>
        <w:t>nts and related disclosures, if adopted, and currently does not expect that it would be material.</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979340214"/>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979340214"/>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F-19</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31" style="width:0;height:1.5pt" o:hralign="center" o:hrstd="t" o:hr="t" fillcolor="#a0a0a0" stroked="f"/>
        </w:pict>
      </w:r>
    </w:p>
    <w:p w:rsidR="00000000" w:rsidRDefault="00BB5C2D">
      <w:pPr>
        <w:jc w:val="center"/>
        <w:divId w:val="320473754"/>
        <w:rPr>
          <w:rFonts w:eastAsia="Times New Roman"/>
        </w:rPr>
      </w:pPr>
    </w:p>
    <w:p w:rsidR="00000000" w:rsidRDefault="00BB5C2D">
      <w:pPr>
        <w:jc w:val="center"/>
        <w:divId w:val="320473754"/>
        <w:rPr>
          <w:rFonts w:eastAsia="Times New Roman"/>
        </w:rPr>
      </w:pPr>
      <w:r>
        <w:rPr>
          <w:rFonts w:eastAsia="Times New Roman"/>
          <w:b/>
          <w:bCs/>
          <w:color w:val="000000"/>
          <w:sz w:val="20"/>
          <w:szCs w:val="20"/>
        </w:rPr>
        <w:t>RALPH LAUREN CORPORATION</w:t>
      </w:r>
    </w:p>
    <w:p w:rsidR="00000000" w:rsidRDefault="00BB5C2D">
      <w:pPr>
        <w:jc w:val="center"/>
        <w:divId w:val="1224095385"/>
        <w:rPr>
          <w:rFonts w:eastAsia="Times New Roman"/>
        </w:rPr>
      </w:pPr>
      <w:r>
        <w:rPr>
          <w:rFonts w:eastAsia="Times New Roman"/>
          <w:b/>
          <w:bCs/>
          <w:color w:val="000000"/>
          <w:sz w:val="20"/>
          <w:szCs w:val="20"/>
        </w:rPr>
        <w:t>NOTES TO CONSOLIDATED FINANCIAL STATEMENTS (Continued)</w:t>
      </w:r>
    </w:p>
    <w:p w:rsidR="00000000" w:rsidRDefault="00BB5C2D">
      <w:pPr>
        <w:ind w:hanging="540"/>
        <w:divId w:val="1204440390"/>
        <w:rPr>
          <w:rFonts w:eastAsia="Times New Roman"/>
        </w:rPr>
      </w:pPr>
      <w:r>
        <w:rPr>
          <w:rFonts w:eastAsia="Times New Roman"/>
          <w:b/>
          <w:bCs/>
          <w:color w:val="000000"/>
          <w:sz w:val="20"/>
          <w:szCs w:val="20"/>
        </w:rPr>
        <w:t>5.    Property and Equipment</w:t>
      </w:r>
    </w:p>
    <w:p w:rsidR="00000000" w:rsidRDefault="00BB5C2D">
      <w:pPr>
        <w:ind w:firstLine="540"/>
        <w:jc w:val="both"/>
        <w:divId w:val="139662310"/>
        <w:rPr>
          <w:rFonts w:eastAsia="Times New Roman"/>
        </w:rPr>
      </w:pPr>
      <w:r>
        <w:rPr>
          <w:rFonts w:eastAsia="Times New Roman"/>
          <w:color w:val="000000"/>
          <w:sz w:val="20"/>
          <w:szCs w:val="20"/>
        </w:rPr>
        <w:t>Property and equipment, net consists of the following:</w:t>
      </w:r>
    </w:p>
    <w:tbl>
      <w:tblPr>
        <w:tblW w:w="4700" w:type="pct"/>
        <w:tblCellMar>
          <w:top w:w="15" w:type="dxa"/>
          <w:left w:w="15" w:type="dxa"/>
          <w:bottom w:w="15" w:type="dxa"/>
          <w:right w:w="15" w:type="dxa"/>
        </w:tblCellMar>
        <w:tblLook w:val="04A0" w:firstRow="1" w:lastRow="0" w:firstColumn="1" w:lastColumn="0" w:noHBand="0" w:noVBand="1"/>
      </w:tblPr>
      <w:tblGrid>
        <w:gridCol w:w="37"/>
        <w:gridCol w:w="5122"/>
        <w:gridCol w:w="36"/>
        <w:gridCol w:w="36"/>
        <w:gridCol w:w="36"/>
        <w:gridCol w:w="36"/>
        <w:gridCol w:w="122"/>
        <w:gridCol w:w="1041"/>
        <w:gridCol w:w="36"/>
        <w:gridCol w:w="36"/>
        <w:gridCol w:w="36"/>
        <w:gridCol w:w="36"/>
        <w:gridCol w:w="120"/>
        <w:gridCol w:w="1042"/>
        <w:gridCol w:w="36"/>
      </w:tblGrid>
      <w:tr w:rsidR="00000000">
        <w:trPr>
          <w:divId w:val="2019694782"/>
        </w:trPr>
        <w:tc>
          <w:tcPr>
            <w:tcW w:w="50" w:type="pct"/>
            <w:vAlign w:val="center"/>
            <w:hideMark/>
          </w:tcPr>
          <w:p w:rsidR="00000000" w:rsidRDefault="00BB5C2D">
            <w:pPr>
              <w:ind w:firstLine="540"/>
              <w:jc w:val="both"/>
              <w:rPr>
                <w:rFonts w:eastAsia="Times New Roman"/>
              </w:rPr>
            </w:pPr>
          </w:p>
        </w:tc>
        <w:tc>
          <w:tcPr>
            <w:tcW w:w="331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2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2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2019694782"/>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r>
      <w:tr w:rsidR="00000000">
        <w:trPr>
          <w:divId w:val="2019694782"/>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2019694782"/>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Land and improvements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15.3 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15.3 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019694782"/>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Buildings and improvements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480.4 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492.8 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019694782"/>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Furniture and fixtures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589.6 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608.9 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019694782"/>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Machinery and equipment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375.7 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391.8 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019694782"/>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Capitalized software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532.1 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555.2 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019694782"/>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Leasehold improvements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1,170.1 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1,207.2 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019694782"/>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Construction in progress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55.4 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34.5 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019694782"/>
        </w:trPr>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3,218.6 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3,305.7 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019694782"/>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Less: accumulated depreciation</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(2,249.1)</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(2,291.7)</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019694782"/>
        </w:trPr>
        <w:tc>
          <w:tcPr>
            <w:tcW w:w="0" w:type="auto"/>
            <w:gridSpan w:val="3"/>
            <w:shd w:val="clear" w:color="auto" w:fill="FFFFFF"/>
            <w:tcMar>
              <w:top w:w="30" w:type="dxa"/>
              <w:left w:w="24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Property and equipment, net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969.5 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1,014.0 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bl>
    <w:p w:rsidR="00000000" w:rsidRDefault="00BB5C2D">
      <w:pPr>
        <w:ind w:firstLine="540"/>
        <w:jc w:val="both"/>
        <w:divId w:val="946541693"/>
        <w:rPr>
          <w:rFonts w:eastAsia="Times New Roman"/>
        </w:rPr>
      </w:pPr>
      <w:r>
        <w:rPr>
          <w:rFonts w:eastAsia="Times New Roman"/>
          <w:color w:val="000000"/>
          <w:sz w:val="20"/>
          <w:szCs w:val="20"/>
        </w:rPr>
        <w:t>Property and equipment, net includes finance lease ROU assets, which are reflected in the table above based on their nature.</w:t>
      </w:r>
    </w:p>
    <w:p w:rsidR="00000000" w:rsidRDefault="00BB5C2D">
      <w:pPr>
        <w:ind w:firstLine="540"/>
        <w:jc w:val="both"/>
        <w:divId w:val="2086874912"/>
        <w:rPr>
          <w:rFonts w:eastAsia="Times New Roman"/>
        </w:rPr>
      </w:pPr>
      <w:r>
        <w:rPr>
          <w:rFonts w:eastAsia="Times New Roman"/>
          <w:color w:val="000000"/>
          <w:sz w:val="20"/>
          <w:szCs w:val="20"/>
        </w:rPr>
        <w:t>Depreciation expense was $211.8 million, $227.4 million, and $246.6 million during Fiscal 2022, Fiscal 2021, and Fiscal 2020, resp</w:t>
      </w:r>
      <w:r>
        <w:rPr>
          <w:rFonts w:eastAsia="Times New Roman"/>
          <w:color w:val="000000"/>
          <w:sz w:val="20"/>
          <w:szCs w:val="20"/>
        </w:rPr>
        <w:t>ectively, and was recorded primarily within SG&amp;A expenses in the consolidated statements of operations.</w:t>
      </w:r>
    </w:p>
    <w:p w:rsidR="00000000" w:rsidRDefault="00BB5C2D">
      <w:pPr>
        <w:ind w:hanging="540"/>
        <w:divId w:val="2071148860"/>
        <w:rPr>
          <w:rFonts w:eastAsia="Times New Roman"/>
        </w:rPr>
      </w:pPr>
      <w:r>
        <w:rPr>
          <w:rFonts w:eastAsia="Times New Roman"/>
          <w:b/>
          <w:bCs/>
          <w:color w:val="000000"/>
          <w:sz w:val="20"/>
          <w:szCs w:val="20"/>
        </w:rPr>
        <w:t>6.    Goodwill and Other Intangible Assets</w:t>
      </w:r>
    </w:p>
    <w:p w:rsidR="00000000" w:rsidRDefault="00BB5C2D">
      <w:pPr>
        <w:ind w:firstLine="360"/>
        <w:divId w:val="1111819641"/>
        <w:rPr>
          <w:rFonts w:eastAsia="Times New Roman"/>
        </w:rPr>
      </w:pPr>
      <w:r>
        <w:rPr>
          <w:rFonts w:eastAsia="Times New Roman"/>
          <w:b/>
          <w:bCs/>
          <w:i/>
          <w:iCs/>
          <w:color w:val="000000"/>
          <w:sz w:val="20"/>
          <w:szCs w:val="20"/>
        </w:rPr>
        <w:t>Goodwill</w:t>
      </w:r>
    </w:p>
    <w:p w:rsidR="00000000" w:rsidRDefault="00BB5C2D">
      <w:pPr>
        <w:ind w:firstLine="540"/>
        <w:jc w:val="both"/>
        <w:divId w:val="120614618"/>
        <w:rPr>
          <w:rFonts w:eastAsia="Times New Roman"/>
        </w:rPr>
      </w:pPr>
      <w:r>
        <w:rPr>
          <w:rFonts w:eastAsia="Times New Roman"/>
          <w:color w:val="000000"/>
          <w:sz w:val="20"/>
          <w:szCs w:val="20"/>
        </w:rPr>
        <w:t>The following table details the changes in goodwill for each of the Company's segments during Fiscal 2022 and Fiscal 2021:</w:t>
      </w:r>
    </w:p>
    <w:tbl>
      <w:tblPr>
        <w:tblW w:w="4700" w:type="pct"/>
        <w:tblCellMar>
          <w:top w:w="15" w:type="dxa"/>
          <w:left w:w="15" w:type="dxa"/>
          <w:bottom w:w="15" w:type="dxa"/>
          <w:right w:w="15" w:type="dxa"/>
        </w:tblCellMar>
        <w:tblLook w:val="04A0" w:firstRow="1" w:lastRow="0" w:firstColumn="1" w:lastColumn="0" w:noHBand="0" w:noVBand="1"/>
      </w:tblPr>
      <w:tblGrid>
        <w:gridCol w:w="38"/>
        <w:gridCol w:w="3630"/>
        <w:gridCol w:w="37"/>
        <w:gridCol w:w="36"/>
        <w:gridCol w:w="36"/>
        <w:gridCol w:w="36"/>
        <w:gridCol w:w="120"/>
        <w:gridCol w:w="537"/>
        <w:gridCol w:w="36"/>
        <w:gridCol w:w="36"/>
        <w:gridCol w:w="36"/>
        <w:gridCol w:w="36"/>
        <w:gridCol w:w="120"/>
        <w:gridCol w:w="537"/>
        <w:gridCol w:w="36"/>
        <w:gridCol w:w="36"/>
        <w:gridCol w:w="36"/>
        <w:gridCol w:w="36"/>
        <w:gridCol w:w="120"/>
        <w:gridCol w:w="537"/>
        <w:gridCol w:w="36"/>
        <w:gridCol w:w="36"/>
        <w:gridCol w:w="36"/>
        <w:gridCol w:w="36"/>
        <w:gridCol w:w="121"/>
        <w:gridCol w:w="671"/>
        <w:gridCol w:w="36"/>
        <w:gridCol w:w="36"/>
        <w:gridCol w:w="36"/>
        <w:gridCol w:w="36"/>
        <w:gridCol w:w="120"/>
        <w:gridCol w:w="500"/>
        <w:gridCol w:w="36"/>
      </w:tblGrid>
      <w:tr w:rsidR="00000000">
        <w:trPr>
          <w:divId w:val="430198412"/>
        </w:trPr>
        <w:tc>
          <w:tcPr>
            <w:tcW w:w="50" w:type="pct"/>
            <w:vAlign w:val="center"/>
            <w:hideMark/>
          </w:tcPr>
          <w:p w:rsidR="00000000" w:rsidRDefault="00BB5C2D">
            <w:pPr>
              <w:ind w:firstLine="540"/>
              <w:jc w:val="both"/>
              <w:rPr>
                <w:rFonts w:eastAsia="Times New Roman"/>
              </w:rPr>
            </w:pPr>
          </w:p>
        </w:tc>
        <w:tc>
          <w:tcPr>
            <w:tcW w:w="237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1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1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1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1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1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430198412"/>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North America</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Europe</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Asia</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Other Non-reportable Segments</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Total</w:t>
            </w:r>
          </w:p>
        </w:tc>
      </w:tr>
      <w:tr w:rsidR="00000000">
        <w:trPr>
          <w:divId w:val="430198412"/>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430198412"/>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Balance at March 28, 2020</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421.8 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285.1 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76.6 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132.0 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915.5 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430198412"/>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Foreign currency translation</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18.9 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0.2 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19.1 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430198412"/>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Balance at March 27, 2021</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421.8 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304.0 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132.0 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934.6 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430198412"/>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Foreign currency translation</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(18.0)</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(7.9)</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(25.9)</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430198412"/>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Balance at April 2, 2022</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421.8 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286.0 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132.0 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908.7 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bl>
    <w:p w:rsidR="00000000" w:rsidRDefault="00BB5C2D">
      <w:pPr>
        <w:ind w:firstLine="540"/>
        <w:jc w:val="both"/>
        <w:divId w:val="2076470296"/>
        <w:rPr>
          <w:rFonts w:eastAsia="Times New Roman"/>
        </w:rPr>
      </w:pPr>
      <w:r>
        <w:rPr>
          <w:rFonts w:eastAsia="Times New Roman"/>
          <w:color w:val="000000"/>
          <w:sz w:val="20"/>
          <w:szCs w:val="20"/>
        </w:rPr>
        <w:t>Based on the results of the Company's goodwill impairment testing in Fis</w:t>
      </w:r>
      <w:r>
        <w:rPr>
          <w:rFonts w:eastAsia="Times New Roman"/>
          <w:color w:val="000000"/>
          <w:sz w:val="20"/>
          <w:szCs w:val="20"/>
        </w:rPr>
        <w:t>cal 2022, Fiscal 2021, and Fiscal 2020, no goodwill impairment charges were recorded. See Note 12 for further discussion of the Company's goodwill impairment testing.</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804809677"/>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804809677"/>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F-20</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32" style="width:0;height:1.5pt" o:hralign="center" o:hrstd="t" o:hr="t" fillcolor="#a0a0a0" stroked="f"/>
        </w:pict>
      </w:r>
    </w:p>
    <w:p w:rsidR="00000000" w:rsidRDefault="00BB5C2D">
      <w:pPr>
        <w:jc w:val="center"/>
        <w:divId w:val="1235240462"/>
        <w:rPr>
          <w:rFonts w:eastAsia="Times New Roman"/>
        </w:rPr>
      </w:pPr>
    </w:p>
    <w:p w:rsidR="00000000" w:rsidRDefault="00BB5C2D">
      <w:pPr>
        <w:jc w:val="center"/>
        <w:divId w:val="1235240462"/>
        <w:rPr>
          <w:rFonts w:eastAsia="Times New Roman"/>
        </w:rPr>
      </w:pPr>
      <w:r>
        <w:rPr>
          <w:rFonts w:eastAsia="Times New Roman"/>
          <w:b/>
          <w:bCs/>
          <w:color w:val="000000"/>
          <w:sz w:val="20"/>
          <w:szCs w:val="20"/>
        </w:rPr>
        <w:t>RALPH LAUREN CORPORATION</w:t>
      </w:r>
    </w:p>
    <w:p w:rsidR="00000000" w:rsidRDefault="00BB5C2D">
      <w:pPr>
        <w:jc w:val="center"/>
        <w:divId w:val="1833832631"/>
        <w:rPr>
          <w:rFonts w:eastAsia="Times New Roman"/>
        </w:rPr>
      </w:pPr>
      <w:r>
        <w:rPr>
          <w:rFonts w:eastAsia="Times New Roman"/>
          <w:b/>
          <w:bCs/>
          <w:color w:val="000000"/>
          <w:sz w:val="20"/>
          <w:szCs w:val="20"/>
        </w:rPr>
        <w:t>NOTES TO CONSOLIDATED FINANCIAL STATEMENTS (Continued)</w:t>
      </w:r>
    </w:p>
    <w:p w:rsidR="00000000" w:rsidRDefault="00BB5C2D">
      <w:pPr>
        <w:ind w:firstLine="360"/>
        <w:divId w:val="689839704"/>
        <w:rPr>
          <w:rFonts w:eastAsia="Times New Roman"/>
        </w:rPr>
      </w:pPr>
      <w:r>
        <w:rPr>
          <w:rFonts w:eastAsia="Times New Roman"/>
          <w:b/>
          <w:bCs/>
          <w:i/>
          <w:iCs/>
          <w:color w:val="000000"/>
          <w:sz w:val="20"/>
          <w:szCs w:val="20"/>
        </w:rPr>
        <w:t>Other Intangible Assets</w:t>
      </w:r>
    </w:p>
    <w:p w:rsidR="00000000" w:rsidRDefault="00BB5C2D">
      <w:pPr>
        <w:ind w:firstLine="540"/>
        <w:jc w:val="both"/>
        <w:divId w:val="562911805"/>
        <w:rPr>
          <w:rFonts w:eastAsia="Times New Roman"/>
        </w:rPr>
      </w:pPr>
      <w:r>
        <w:rPr>
          <w:rFonts w:eastAsia="Times New Roman"/>
          <w:color w:val="000000"/>
          <w:sz w:val="20"/>
          <w:szCs w:val="20"/>
        </w:rPr>
        <w:t>Other intangible assets consist of the following:</w:t>
      </w:r>
    </w:p>
    <w:tbl>
      <w:tblPr>
        <w:tblW w:w="4729" w:type="pct"/>
        <w:tblCellMar>
          <w:top w:w="15" w:type="dxa"/>
          <w:left w:w="15" w:type="dxa"/>
          <w:bottom w:w="15" w:type="dxa"/>
          <w:right w:w="15" w:type="dxa"/>
        </w:tblCellMar>
        <w:tblLook w:val="04A0" w:firstRow="1" w:lastRow="0" w:firstColumn="1" w:lastColumn="0" w:noHBand="0" w:noVBand="1"/>
      </w:tblPr>
      <w:tblGrid>
        <w:gridCol w:w="38"/>
        <w:gridCol w:w="2857"/>
        <w:gridCol w:w="37"/>
        <w:gridCol w:w="36"/>
        <w:gridCol w:w="36"/>
        <w:gridCol w:w="36"/>
        <w:gridCol w:w="121"/>
        <w:gridCol w:w="585"/>
        <w:gridCol w:w="36"/>
        <w:gridCol w:w="36"/>
        <w:gridCol w:w="36"/>
        <w:gridCol w:w="36"/>
        <w:gridCol w:w="120"/>
        <w:gridCol w:w="584"/>
        <w:gridCol w:w="36"/>
        <w:gridCol w:w="36"/>
        <w:gridCol w:w="36"/>
        <w:gridCol w:w="36"/>
        <w:gridCol w:w="120"/>
        <w:gridCol w:w="500"/>
        <w:gridCol w:w="36"/>
        <w:gridCol w:w="36"/>
        <w:gridCol w:w="36"/>
        <w:gridCol w:w="36"/>
        <w:gridCol w:w="121"/>
        <w:gridCol w:w="585"/>
        <w:gridCol w:w="36"/>
        <w:gridCol w:w="36"/>
        <w:gridCol w:w="36"/>
        <w:gridCol w:w="36"/>
        <w:gridCol w:w="120"/>
        <w:gridCol w:w="584"/>
        <w:gridCol w:w="36"/>
        <w:gridCol w:w="36"/>
        <w:gridCol w:w="36"/>
        <w:gridCol w:w="36"/>
        <w:gridCol w:w="120"/>
        <w:gridCol w:w="500"/>
        <w:gridCol w:w="36"/>
      </w:tblGrid>
      <w:tr w:rsidR="00000000">
        <w:trPr>
          <w:divId w:val="1202745419"/>
        </w:trPr>
        <w:tc>
          <w:tcPr>
            <w:tcW w:w="50" w:type="pct"/>
            <w:vAlign w:val="center"/>
            <w:hideMark/>
          </w:tcPr>
          <w:p w:rsidR="00000000" w:rsidRDefault="00BB5C2D">
            <w:pPr>
              <w:ind w:firstLine="540"/>
              <w:jc w:val="both"/>
              <w:rPr>
                <w:rFonts w:eastAsia="Times New Roman"/>
              </w:rPr>
            </w:pPr>
          </w:p>
        </w:tc>
        <w:tc>
          <w:tcPr>
            <w:tcW w:w="216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37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37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37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37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37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37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202745419"/>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 2022</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 2021</w:t>
            </w:r>
          </w:p>
        </w:tc>
      </w:tr>
      <w:tr w:rsidR="00000000">
        <w:trPr>
          <w:divId w:val="1202745419"/>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Gross Carrying 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Accum. Amort.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Net</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Gross Carrying 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Accum. Amort.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Net</w:t>
            </w:r>
          </w:p>
        </w:tc>
      </w:tr>
      <w:tr w:rsidR="00000000">
        <w:trPr>
          <w:divId w:val="1202745419"/>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1202745419"/>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i/>
                <w:iCs/>
                <w:color w:val="000000"/>
                <w:sz w:val="20"/>
                <w:szCs w:val="20"/>
              </w:rPr>
              <w:t>Intangible assets subject to amortization:</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202745419"/>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Re-acquired licensed trademarks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228.6 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(168.8)</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59.8 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231.7 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(163.6)</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68.1 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202745419"/>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Customer relationships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245.8 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(212.3)</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33.5 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254.3 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(211.0)</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43.3 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202745419"/>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Other</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10.1 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(7.8)</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10.1 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(7.7)</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202745419"/>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ind w:hanging="180"/>
              <w:divId w:val="119492171"/>
              <w:rPr>
                <w:rFonts w:eastAsia="Times New Roman"/>
              </w:rPr>
            </w:pPr>
            <w:r>
              <w:rPr>
                <w:rFonts w:eastAsia="Times New Roman"/>
                <w:color w:val="000000"/>
                <w:sz w:val="20"/>
                <w:szCs w:val="20"/>
              </w:rPr>
              <w:t>Total intangible assets subject to amortization</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ind w:hanging="18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484.5 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(388.9)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496.1 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(382.3)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113.8 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202745419"/>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i/>
                <w:iCs/>
                <w:color w:val="000000"/>
                <w:sz w:val="20"/>
                <w:szCs w:val="20"/>
              </w:rPr>
              <w:t>Intangible assets not subject to amortization:</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202745419"/>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Trademarks and brands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202745419"/>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ind w:hanging="180"/>
              <w:divId w:val="532815577"/>
              <w:rPr>
                <w:rFonts w:eastAsia="Times New Roman"/>
              </w:rPr>
            </w:pPr>
            <w:r>
              <w:rPr>
                <w:rFonts w:eastAsia="Times New Roman"/>
                <w:color w:val="000000"/>
                <w:sz w:val="20"/>
                <w:szCs w:val="20"/>
              </w:rPr>
              <w:t>Total intangible assets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ind w:hanging="18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491.8 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(388.9)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102.9 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503.4 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w:t>
            </w:r>
            <w:r>
              <w:rPr>
                <w:rFonts w:eastAsia="Times New Roman"/>
                <w:color w:val="000000"/>
                <w:sz w:val="20"/>
                <w:szCs w:val="20"/>
              </w:rPr>
              <w:t>382.3)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bl>
    <w:p w:rsidR="00000000" w:rsidRDefault="00BB5C2D">
      <w:pPr>
        <w:ind w:firstLine="360"/>
        <w:divId w:val="346979550"/>
        <w:rPr>
          <w:rFonts w:eastAsia="Times New Roman"/>
        </w:rPr>
      </w:pPr>
      <w:r>
        <w:rPr>
          <w:rFonts w:eastAsia="Times New Roman"/>
          <w:b/>
          <w:bCs/>
          <w:i/>
          <w:iCs/>
          <w:color w:val="000000"/>
          <w:sz w:val="20"/>
          <w:szCs w:val="20"/>
        </w:rPr>
        <w:t>Amortization Expense</w:t>
      </w:r>
    </w:p>
    <w:p w:rsidR="00000000" w:rsidRDefault="00BB5C2D">
      <w:pPr>
        <w:ind w:firstLine="540"/>
        <w:jc w:val="both"/>
        <w:divId w:val="1874734637"/>
        <w:rPr>
          <w:rFonts w:eastAsia="Times New Roman"/>
        </w:rPr>
      </w:pPr>
      <w:r>
        <w:rPr>
          <w:rFonts w:eastAsia="Times New Roman"/>
          <w:color w:val="000000"/>
          <w:sz w:val="20"/>
          <w:szCs w:val="20"/>
        </w:rPr>
        <w:t>Amortization expense was $17.9 million, $20.2 million, and $22.9 million during Fiscal 2022, Fiscal 2021, and Fiscal 2020, respectively, and is recorded within SG&amp;A expenses in the consolidated statements of o</w:t>
      </w:r>
      <w:r>
        <w:rPr>
          <w:rFonts w:eastAsia="Times New Roman"/>
          <w:color w:val="000000"/>
          <w:sz w:val="20"/>
          <w:szCs w:val="20"/>
        </w:rPr>
        <w:t>perations.</w:t>
      </w:r>
    </w:p>
    <w:p w:rsidR="00000000" w:rsidRDefault="00BB5C2D">
      <w:pPr>
        <w:ind w:firstLine="540"/>
        <w:jc w:val="both"/>
        <w:divId w:val="344792965"/>
        <w:rPr>
          <w:rFonts w:eastAsia="Times New Roman"/>
        </w:rPr>
      </w:pPr>
      <w:r>
        <w:rPr>
          <w:rFonts w:eastAsia="Times New Roman"/>
          <w:color w:val="000000"/>
          <w:sz w:val="20"/>
          <w:szCs w:val="20"/>
        </w:rPr>
        <w:t>Based on the balance of the Company's finite-lived intangible assets subject to amortization as of April 2, 2022, the expected amortization expense for each of the next five fiscal years and thereafter is as follows:</w:t>
      </w:r>
    </w:p>
    <w:tbl>
      <w:tblPr>
        <w:tblW w:w="4714" w:type="pct"/>
        <w:tblCellMar>
          <w:top w:w="15" w:type="dxa"/>
          <w:left w:w="15" w:type="dxa"/>
          <w:bottom w:w="15" w:type="dxa"/>
          <w:right w:w="15" w:type="dxa"/>
        </w:tblCellMar>
        <w:tblLook w:val="04A0" w:firstRow="1" w:lastRow="0" w:firstColumn="1" w:lastColumn="0" w:noHBand="0" w:noVBand="1"/>
      </w:tblPr>
      <w:tblGrid>
        <w:gridCol w:w="39"/>
        <w:gridCol w:w="6348"/>
        <w:gridCol w:w="37"/>
        <w:gridCol w:w="36"/>
        <w:gridCol w:w="36"/>
        <w:gridCol w:w="36"/>
        <w:gridCol w:w="121"/>
        <w:gridCol w:w="1142"/>
        <w:gridCol w:w="36"/>
      </w:tblGrid>
      <w:tr w:rsidR="00000000">
        <w:trPr>
          <w:divId w:val="2019887730"/>
        </w:trPr>
        <w:tc>
          <w:tcPr>
            <w:tcW w:w="50" w:type="pct"/>
            <w:vAlign w:val="center"/>
            <w:hideMark/>
          </w:tcPr>
          <w:p w:rsidR="00000000" w:rsidRDefault="00BB5C2D">
            <w:pPr>
              <w:ind w:firstLine="540"/>
              <w:jc w:val="both"/>
              <w:rPr>
                <w:rFonts w:eastAsia="Times New Roman"/>
              </w:rPr>
            </w:pPr>
          </w:p>
        </w:tc>
        <w:tc>
          <w:tcPr>
            <w:tcW w:w="407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7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2019887730"/>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Amortization</w:t>
            </w:r>
            <w:r>
              <w:rPr>
                <w:rFonts w:eastAsia="Times New Roman"/>
                <w:b/>
                <w:bCs/>
                <w:color w:val="000000"/>
                <w:sz w:val="16"/>
                <w:szCs w:val="16"/>
              </w:rPr>
              <w:br/>
              <w:t>Expense</w:t>
            </w:r>
          </w:p>
        </w:tc>
      </w:tr>
      <w:tr w:rsidR="00000000">
        <w:trPr>
          <w:divId w:val="2019887730"/>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2019887730"/>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 xml:space="preserve">Fiscal 2023 </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14.0 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019887730"/>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 xml:space="preserve">Fiscal 2024 </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13.2 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019887730"/>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 xml:space="preserve">Fiscal 2025 </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12.9 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019887730"/>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 xml:space="preserve">Fiscal 2026 </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10.7 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019887730"/>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 xml:space="preserve">Fiscal 2027 </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019887730"/>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Fiscal 2028 and thereafter</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34.8 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019887730"/>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bl>
    <w:p w:rsidR="00000000" w:rsidRDefault="00BB5C2D">
      <w:pPr>
        <w:ind w:firstLine="540"/>
        <w:jc w:val="both"/>
        <w:divId w:val="923224001"/>
        <w:rPr>
          <w:rFonts w:eastAsia="Times New Roman"/>
        </w:rPr>
      </w:pPr>
      <w:r>
        <w:rPr>
          <w:rFonts w:eastAsia="Times New Roman"/>
          <w:color w:val="000000"/>
          <w:sz w:val="20"/>
          <w:szCs w:val="20"/>
        </w:rPr>
        <w:t>The expected future amortization expense above reflects weighted-average estimated remaining useful lives of 8.0 years for re-acquired licensed trademarks, 7.5 years for customer relationships, and 7.9 years for the Company's finite-lived intangible assets</w:t>
      </w:r>
      <w:r>
        <w:rPr>
          <w:rFonts w:eastAsia="Times New Roman"/>
          <w:color w:val="000000"/>
          <w:sz w:val="20"/>
          <w:szCs w:val="20"/>
        </w:rPr>
        <w:t xml:space="preserve"> in total.</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053310833"/>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053310833"/>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F-21</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33" style="width:0;height:1.5pt" o:hralign="center" o:hrstd="t" o:hr="t" fillcolor="#a0a0a0" stroked="f"/>
        </w:pict>
      </w:r>
    </w:p>
    <w:p w:rsidR="00000000" w:rsidRDefault="00BB5C2D">
      <w:pPr>
        <w:jc w:val="center"/>
        <w:divId w:val="584074542"/>
        <w:rPr>
          <w:rFonts w:eastAsia="Times New Roman"/>
        </w:rPr>
      </w:pPr>
    </w:p>
    <w:p w:rsidR="00000000" w:rsidRDefault="00BB5C2D">
      <w:pPr>
        <w:jc w:val="center"/>
        <w:divId w:val="584074542"/>
        <w:rPr>
          <w:rFonts w:eastAsia="Times New Roman"/>
        </w:rPr>
      </w:pPr>
      <w:r>
        <w:rPr>
          <w:rFonts w:eastAsia="Times New Roman"/>
          <w:b/>
          <w:bCs/>
          <w:color w:val="000000"/>
          <w:sz w:val="20"/>
          <w:szCs w:val="20"/>
        </w:rPr>
        <w:t>RALPH LAUREN CORPORATION</w:t>
      </w:r>
    </w:p>
    <w:p w:rsidR="00000000" w:rsidRDefault="00BB5C2D">
      <w:pPr>
        <w:jc w:val="center"/>
        <w:divId w:val="1749838646"/>
        <w:rPr>
          <w:rFonts w:eastAsia="Times New Roman"/>
        </w:rPr>
      </w:pPr>
      <w:r>
        <w:rPr>
          <w:rFonts w:eastAsia="Times New Roman"/>
          <w:b/>
          <w:bCs/>
          <w:color w:val="000000"/>
          <w:sz w:val="20"/>
          <w:szCs w:val="20"/>
        </w:rPr>
        <w:t>NOTES TO CONSOLIDATED FINANCIAL STATEMENTS (Continued)</w:t>
      </w:r>
    </w:p>
    <w:p w:rsidR="00000000" w:rsidRDefault="00BB5C2D">
      <w:pPr>
        <w:ind w:hanging="540"/>
        <w:divId w:val="570312406"/>
        <w:rPr>
          <w:rFonts w:eastAsia="Times New Roman"/>
        </w:rPr>
      </w:pPr>
      <w:r>
        <w:rPr>
          <w:rFonts w:eastAsia="Times New Roman"/>
          <w:b/>
          <w:bCs/>
          <w:color w:val="000000"/>
          <w:sz w:val="20"/>
          <w:szCs w:val="20"/>
        </w:rPr>
        <w:t>7.    Other Assets and Liabilities</w:t>
      </w:r>
    </w:p>
    <w:p w:rsidR="00000000" w:rsidRDefault="00BB5C2D">
      <w:pPr>
        <w:ind w:firstLine="540"/>
        <w:divId w:val="771124794"/>
        <w:rPr>
          <w:rFonts w:eastAsia="Times New Roman"/>
        </w:rPr>
      </w:pPr>
      <w:r>
        <w:rPr>
          <w:rFonts w:eastAsia="Times New Roman"/>
          <w:color w:val="000000"/>
          <w:sz w:val="20"/>
          <w:szCs w:val="20"/>
        </w:rPr>
        <w:t>Prepaid expenses and other current assets consist of the following:</w:t>
      </w:r>
    </w:p>
    <w:tbl>
      <w:tblPr>
        <w:tblW w:w="4700" w:type="pct"/>
        <w:tblCellMar>
          <w:top w:w="15" w:type="dxa"/>
          <w:left w:w="15" w:type="dxa"/>
          <w:bottom w:w="15" w:type="dxa"/>
          <w:right w:w="15" w:type="dxa"/>
        </w:tblCellMar>
        <w:tblLook w:val="04A0" w:firstRow="1" w:lastRow="0" w:firstColumn="1" w:lastColumn="0" w:noHBand="0" w:noVBand="1"/>
      </w:tblPr>
      <w:tblGrid>
        <w:gridCol w:w="39"/>
        <w:gridCol w:w="5120"/>
        <w:gridCol w:w="38"/>
        <w:gridCol w:w="36"/>
        <w:gridCol w:w="36"/>
        <w:gridCol w:w="36"/>
        <w:gridCol w:w="120"/>
        <w:gridCol w:w="1041"/>
        <w:gridCol w:w="36"/>
        <w:gridCol w:w="36"/>
        <w:gridCol w:w="36"/>
        <w:gridCol w:w="36"/>
        <w:gridCol w:w="120"/>
        <w:gridCol w:w="1042"/>
        <w:gridCol w:w="36"/>
      </w:tblGrid>
      <w:tr w:rsidR="00000000">
        <w:trPr>
          <w:divId w:val="1165242558"/>
        </w:trPr>
        <w:tc>
          <w:tcPr>
            <w:tcW w:w="50" w:type="pct"/>
            <w:vAlign w:val="center"/>
            <w:hideMark/>
          </w:tcPr>
          <w:p w:rsidR="00000000" w:rsidRDefault="00BB5C2D">
            <w:pPr>
              <w:ind w:firstLine="540"/>
              <w:rPr>
                <w:rFonts w:eastAsia="Times New Roman"/>
              </w:rPr>
            </w:pPr>
          </w:p>
        </w:tc>
        <w:tc>
          <w:tcPr>
            <w:tcW w:w="331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2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2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165242558"/>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r>
      <w:tr w:rsidR="00000000">
        <w:trPr>
          <w:divId w:val="1165242558"/>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1165242558"/>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Non-trade receivables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41.4 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28.9 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165242558"/>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Other taxes receivable</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26.2 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28.4 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165242558"/>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Prepaid software maintenance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16.4 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12.9 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165242558"/>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Derivative financial instruments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8.7 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5.6 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165242558"/>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Inventory return asset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165242558"/>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Prepaid advertising and marketing</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7.9 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9.5 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165242558"/>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Prepaid logistic services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7.1 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165242558"/>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Tenant allowances receivable</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6.1 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8.7 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165242558"/>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Prepaid occupancy expense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165242558"/>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Cloud computing arrangement implementation costs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4.0 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8.2 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165242558"/>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Prepaid inventory</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0.5 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165242558"/>
        </w:trPr>
        <w:tc>
          <w:tcPr>
            <w:tcW w:w="0" w:type="auto"/>
            <w:gridSpan w:val="3"/>
            <w:vAlign w:val="center"/>
            <w:hideMark/>
          </w:tcPr>
          <w:p w:rsidR="00000000" w:rsidRDefault="00BB5C2D">
            <w:pPr>
              <w:spacing w:after="100"/>
              <w:jc w:val="right"/>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r>
      <w:tr w:rsidR="00000000">
        <w:trPr>
          <w:divId w:val="1165242558"/>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Other prepaid expenses and current assets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40.4 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37.3 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165242558"/>
        </w:trPr>
        <w:tc>
          <w:tcPr>
            <w:tcW w:w="0" w:type="auto"/>
            <w:gridSpan w:val="3"/>
            <w:shd w:val="clear" w:color="auto" w:fill="CCEEFF"/>
            <w:tcMar>
              <w:top w:w="30" w:type="dxa"/>
              <w:left w:w="24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prepaid expenses and other current assets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172.5 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166.6 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bl>
    <w:p w:rsidR="00000000" w:rsidRDefault="00BB5C2D">
      <w:pPr>
        <w:divId w:val="188419525"/>
        <w:rPr>
          <w:rFonts w:eastAsia="Times New Roman"/>
        </w:rPr>
      </w:pPr>
      <w:r>
        <w:rPr>
          <w:rFonts w:eastAsia="Times New Roman"/>
          <w:color w:val="000000"/>
          <w:sz w:val="20"/>
          <w:szCs w:val="20"/>
        </w:rPr>
        <w:t>Other non-current assets consist of the following:</w:t>
      </w:r>
    </w:p>
    <w:tbl>
      <w:tblPr>
        <w:tblW w:w="4700" w:type="pct"/>
        <w:tblCellMar>
          <w:top w:w="15" w:type="dxa"/>
          <w:left w:w="15" w:type="dxa"/>
          <w:bottom w:w="15" w:type="dxa"/>
          <w:right w:w="15" w:type="dxa"/>
        </w:tblCellMar>
        <w:tblLook w:val="04A0" w:firstRow="1" w:lastRow="0" w:firstColumn="1" w:lastColumn="0" w:noHBand="0" w:noVBand="1"/>
      </w:tblPr>
      <w:tblGrid>
        <w:gridCol w:w="39"/>
        <w:gridCol w:w="5120"/>
        <w:gridCol w:w="38"/>
        <w:gridCol w:w="36"/>
        <w:gridCol w:w="36"/>
        <w:gridCol w:w="36"/>
        <w:gridCol w:w="120"/>
        <w:gridCol w:w="1041"/>
        <w:gridCol w:w="36"/>
        <w:gridCol w:w="36"/>
        <w:gridCol w:w="36"/>
        <w:gridCol w:w="36"/>
        <w:gridCol w:w="120"/>
        <w:gridCol w:w="1042"/>
        <w:gridCol w:w="36"/>
      </w:tblGrid>
      <w:tr w:rsidR="00000000">
        <w:trPr>
          <w:divId w:val="814101624"/>
        </w:trPr>
        <w:tc>
          <w:tcPr>
            <w:tcW w:w="50" w:type="pct"/>
            <w:vAlign w:val="center"/>
            <w:hideMark/>
          </w:tcPr>
          <w:p w:rsidR="00000000" w:rsidRDefault="00BB5C2D">
            <w:pPr>
              <w:rPr>
                <w:rFonts w:eastAsia="Times New Roman"/>
              </w:rPr>
            </w:pPr>
          </w:p>
        </w:tc>
        <w:tc>
          <w:tcPr>
            <w:tcW w:w="331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2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2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814101624"/>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r>
      <w:tr w:rsidR="00000000">
        <w:trPr>
          <w:divId w:val="814101624"/>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814101624"/>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Security deposits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30.6 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31.1 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814101624"/>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Derivative financial instruments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23.7 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10.2 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814101624"/>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Equity method and other investments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814101624"/>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Cloud computing arrangement implementation costs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9.7 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5.3 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814101624"/>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Restricted cash</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814101624"/>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Deferred rent assets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5.2 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814101624"/>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Other non-current assets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23.4 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22.6 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814101624"/>
        </w:trPr>
        <w:tc>
          <w:tcPr>
            <w:tcW w:w="0" w:type="auto"/>
            <w:gridSpan w:val="3"/>
            <w:shd w:val="clear" w:color="auto" w:fill="FFFFFF"/>
            <w:tcMar>
              <w:top w:w="30" w:type="dxa"/>
              <w:left w:w="24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other non-current assets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111.2 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86.4 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trPr>
          <w:jc w:val="center"/>
        </w:trPr>
        <w:tc>
          <w:tcPr>
            <w:tcW w:w="50" w:type="pct"/>
            <w:vAlign w:val="center"/>
            <w:hideMark/>
          </w:tcPr>
          <w:p w:rsidR="00000000" w:rsidRDefault="00BB5C2D">
            <w:pPr>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F-22</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34" style="width:0;height:1.5pt" o:hralign="center" o:hrstd="t" o:hr="t" fillcolor="#a0a0a0" stroked="f"/>
        </w:pict>
      </w:r>
    </w:p>
    <w:p w:rsidR="00000000" w:rsidRDefault="00BB5C2D">
      <w:pPr>
        <w:jc w:val="center"/>
        <w:divId w:val="1771969098"/>
        <w:rPr>
          <w:rFonts w:eastAsia="Times New Roman"/>
        </w:rPr>
      </w:pPr>
    </w:p>
    <w:p w:rsidR="00000000" w:rsidRDefault="00BB5C2D">
      <w:pPr>
        <w:jc w:val="center"/>
        <w:divId w:val="1771969098"/>
        <w:rPr>
          <w:rFonts w:eastAsia="Times New Roman"/>
        </w:rPr>
      </w:pPr>
      <w:r>
        <w:rPr>
          <w:rFonts w:eastAsia="Times New Roman"/>
          <w:b/>
          <w:bCs/>
          <w:color w:val="000000"/>
          <w:sz w:val="20"/>
          <w:szCs w:val="20"/>
        </w:rPr>
        <w:t>RALPH LAUREN CORPORATION</w:t>
      </w:r>
    </w:p>
    <w:p w:rsidR="00000000" w:rsidRDefault="00BB5C2D">
      <w:pPr>
        <w:jc w:val="center"/>
        <w:divId w:val="303199843"/>
        <w:rPr>
          <w:rFonts w:eastAsia="Times New Roman"/>
        </w:rPr>
      </w:pPr>
      <w:r>
        <w:rPr>
          <w:rFonts w:eastAsia="Times New Roman"/>
          <w:b/>
          <w:bCs/>
          <w:color w:val="000000"/>
          <w:sz w:val="20"/>
          <w:szCs w:val="20"/>
        </w:rPr>
        <w:t>NOTES TO CONSOLIDATED FINANCIAL STATEMENTS (Continued)</w:t>
      </w:r>
    </w:p>
    <w:p w:rsidR="00000000" w:rsidRDefault="00BB5C2D">
      <w:pPr>
        <w:ind w:firstLine="540"/>
        <w:divId w:val="405299854"/>
        <w:rPr>
          <w:rFonts w:eastAsia="Times New Roman"/>
        </w:rPr>
      </w:pPr>
      <w:r>
        <w:rPr>
          <w:rFonts w:eastAsia="Times New Roman"/>
          <w:color w:val="000000"/>
          <w:sz w:val="20"/>
          <w:szCs w:val="20"/>
        </w:rPr>
        <w:t>Accrued expenses and other current liabilities consist of the following:</w:t>
      </w:r>
    </w:p>
    <w:tbl>
      <w:tblPr>
        <w:tblW w:w="4700" w:type="pct"/>
        <w:tblCellMar>
          <w:top w:w="15" w:type="dxa"/>
          <w:left w:w="15" w:type="dxa"/>
          <w:bottom w:w="15" w:type="dxa"/>
          <w:right w:w="15" w:type="dxa"/>
        </w:tblCellMar>
        <w:tblLook w:val="04A0" w:firstRow="1" w:lastRow="0" w:firstColumn="1" w:lastColumn="0" w:noHBand="0" w:noVBand="1"/>
      </w:tblPr>
      <w:tblGrid>
        <w:gridCol w:w="40"/>
        <w:gridCol w:w="5119"/>
        <w:gridCol w:w="39"/>
        <w:gridCol w:w="36"/>
        <w:gridCol w:w="36"/>
        <w:gridCol w:w="36"/>
        <w:gridCol w:w="120"/>
        <w:gridCol w:w="1041"/>
        <w:gridCol w:w="36"/>
        <w:gridCol w:w="36"/>
        <w:gridCol w:w="36"/>
        <w:gridCol w:w="36"/>
        <w:gridCol w:w="120"/>
        <w:gridCol w:w="1041"/>
        <w:gridCol w:w="36"/>
      </w:tblGrid>
      <w:tr w:rsidR="00000000">
        <w:trPr>
          <w:divId w:val="2119373808"/>
        </w:trPr>
        <w:tc>
          <w:tcPr>
            <w:tcW w:w="50" w:type="pct"/>
            <w:vAlign w:val="center"/>
            <w:hideMark/>
          </w:tcPr>
          <w:p w:rsidR="00000000" w:rsidRDefault="00BB5C2D">
            <w:pPr>
              <w:ind w:firstLine="540"/>
              <w:rPr>
                <w:rFonts w:eastAsia="Times New Roman"/>
              </w:rPr>
            </w:pPr>
          </w:p>
        </w:tc>
        <w:tc>
          <w:tcPr>
            <w:tcW w:w="331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2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2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2119373808"/>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r>
      <w:tr w:rsidR="00000000">
        <w:trPr>
          <w:divId w:val="2119373808"/>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2119373808"/>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Accrued payroll and benefits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278.0 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223.6 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119373808"/>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Accrued inventory</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250.2 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196.1 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119373808"/>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Accrued operating expenses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223.4 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225.0 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119373808"/>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Other taxes payable</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60.9 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64.6 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119373808"/>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Accrued capital expenditures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49.6 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21.3 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119373808"/>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Dividends payable</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48.1 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119373808"/>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Restructuring reserve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30.8 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99.8 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119373808"/>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Finance lease obligations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19.8 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19.7 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119373808"/>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Deferred income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16.5 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119373808"/>
        </w:trPr>
        <w:tc>
          <w:tcPr>
            <w:tcW w:w="0" w:type="auto"/>
            <w:gridSpan w:val="3"/>
            <w:vAlign w:val="center"/>
            <w:hideMark/>
          </w:tcPr>
          <w:p w:rsidR="00000000" w:rsidRDefault="00BB5C2D">
            <w:pPr>
              <w:spacing w:after="100"/>
              <w:jc w:val="right"/>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r>
      <w:tr w:rsidR="00000000">
        <w:trPr>
          <w:divId w:val="2119373808"/>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Other accrued expenses and current liabilities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14.1 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13.3 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119373808"/>
        </w:trPr>
        <w:tc>
          <w:tcPr>
            <w:tcW w:w="0" w:type="auto"/>
            <w:gridSpan w:val="3"/>
            <w:shd w:val="clear" w:color="auto" w:fill="CCEEFF"/>
            <w:tcMar>
              <w:top w:w="30" w:type="dxa"/>
              <w:left w:w="24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accrued expenses and other current liabilities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991.4 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875.4 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bl>
    <w:p w:rsidR="00000000" w:rsidRDefault="00BB5C2D">
      <w:pPr>
        <w:ind w:firstLine="540"/>
        <w:divId w:val="2059820210"/>
        <w:rPr>
          <w:rFonts w:eastAsia="Times New Roman"/>
        </w:rPr>
      </w:pPr>
      <w:r>
        <w:rPr>
          <w:rFonts w:eastAsia="Times New Roman"/>
          <w:color w:val="000000"/>
          <w:sz w:val="20"/>
          <w:szCs w:val="20"/>
        </w:rPr>
        <w:t>Other non-current liabilities consist of the following:</w:t>
      </w:r>
    </w:p>
    <w:tbl>
      <w:tblPr>
        <w:tblW w:w="4700" w:type="pct"/>
        <w:tblCellMar>
          <w:top w:w="15" w:type="dxa"/>
          <w:left w:w="15" w:type="dxa"/>
          <w:bottom w:w="15" w:type="dxa"/>
          <w:right w:w="15" w:type="dxa"/>
        </w:tblCellMar>
        <w:tblLook w:val="04A0" w:firstRow="1" w:lastRow="0" w:firstColumn="1" w:lastColumn="0" w:noHBand="0" w:noVBand="1"/>
      </w:tblPr>
      <w:tblGrid>
        <w:gridCol w:w="38"/>
        <w:gridCol w:w="5121"/>
        <w:gridCol w:w="37"/>
        <w:gridCol w:w="36"/>
        <w:gridCol w:w="36"/>
        <w:gridCol w:w="36"/>
        <w:gridCol w:w="120"/>
        <w:gridCol w:w="1041"/>
        <w:gridCol w:w="36"/>
        <w:gridCol w:w="36"/>
        <w:gridCol w:w="36"/>
        <w:gridCol w:w="36"/>
        <w:gridCol w:w="120"/>
        <w:gridCol w:w="1043"/>
        <w:gridCol w:w="36"/>
      </w:tblGrid>
      <w:tr w:rsidR="00000000">
        <w:trPr>
          <w:divId w:val="393820181"/>
        </w:trPr>
        <w:tc>
          <w:tcPr>
            <w:tcW w:w="50" w:type="pct"/>
            <w:vAlign w:val="center"/>
            <w:hideMark/>
          </w:tcPr>
          <w:p w:rsidR="00000000" w:rsidRDefault="00BB5C2D">
            <w:pPr>
              <w:ind w:firstLine="540"/>
              <w:rPr>
                <w:rFonts w:eastAsia="Times New Roman"/>
              </w:rPr>
            </w:pPr>
          </w:p>
        </w:tc>
        <w:tc>
          <w:tcPr>
            <w:tcW w:w="331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2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2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393820181"/>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r>
      <w:tr w:rsidR="00000000">
        <w:trPr>
          <w:divId w:val="393820181"/>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393820181"/>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Deferred lease incentives and obligations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52.7 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62.4 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393820181"/>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Derivative financial instruments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18.1 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55.1 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393820181"/>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Deferred tax liabilities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12.5 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10.7 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393820181"/>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Accrued benefits and deferred compensation</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12.0 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22.4 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393820181"/>
        </w:trPr>
        <w:tc>
          <w:tcPr>
            <w:tcW w:w="0" w:type="auto"/>
            <w:gridSpan w:val="3"/>
            <w:vAlign w:val="center"/>
            <w:hideMark/>
          </w:tcPr>
          <w:p w:rsidR="00000000" w:rsidRDefault="00BB5C2D">
            <w:pPr>
              <w:spacing w:after="100"/>
              <w:jc w:val="right"/>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r>
      <w:tr w:rsidR="00000000">
        <w:trPr>
          <w:divId w:val="393820181"/>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Other non-current liabilities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36.6 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39.7 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393820181"/>
        </w:trPr>
        <w:tc>
          <w:tcPr>
            <w:tcW w:w="0" w:type="auto"/>
            <w:gridSpan w:val="3"/>
            <w:shd w:val="clear" w:color="auto" w:fill="FFFFFF"/>
            <w:tcMar>
              <w:top w:w="30" w:type="dxa"/>
              <w:left w:w="24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other non-current liabilities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131.9 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190.3 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bl>
    <w:p w:rsidR="00000000" w:rsidRDefault="00BB5C2D">
      <w:pPr>
        <w:ind w:hanging="540"/>
        <w:divId w:val="454180222"/>
        <w:rPr>
          <w:rFonts w:eastAsia="Times New Roman"/>
        </w:rPr>
      </w:pPr>
      <w:r>
        <w:rPr>
          <w:rFonts w:eastAsia="Times New Roman"/>
          <w:b/>
          <w:bCs/>
          <w:color w:val="000000"/>
          <w:sz w:val="20"/>
          <w:szCs w:val="20"/>
        </w:rPr>
        <w:t>8.    Impairment of Assets</w:t>
      </w:r>
    </w:p>
    <w:p w:rsidR="00000000" w:rsidRDefault="00BB5C2D">
      <w:pPr>
        <w:ind w:firstLine="540"/>
        <w:jc w:val="both"/>
        <w:divId w:val="601379530"/>
        <w:rPr>
          <w:rFonts w:eastAsia="Times New Roman"/>
        </w:rPr>
      </w:pPr>
      <w:r>
        <w:rPr>
          <w:rFonts w:eastAsia="Times New Roman"/>
          <w:color w:val="000000"/>
          <w:sz w:val="20"/>
          <w:szCs w:val="20"/>
          <w:shd w:val="clear" w:color="auto" w:fill="FFFFFF"/>
        </w:rPr>
        <w:t>During Fiscal 2022, the Company recorded non-cash impairment charges of $21.3 million to write-down certain long-lived assets in connection with its restructuring plans (see Note 9).</w:t>
      </w:r>
    </w:p>
    <w:p w:rsidR="00000000" w:rsidRDefault="00BB5C2D">
      <w:pPr>
        <w:ind w:firstLine="540"/>
        <w:jc w:val="both"/>
        <w:divId w:val="728453814"/>
        <w:rPr>
          <w:rFonts w:eastAsia="Times New Roman"/>
        </w:rPr>
      </w:pPr>
      <w:r>
        <w:rPr>
          <w:rFonts w:eastAsia="Times New Roman"/>
          <w:color w:val="000000"/>
          <w:sz w:val="20"/>
          <w:szCs w:val="20"/>
        </w:rPr>
        <w:t>During Fiscal 2021, the Company recorded non-cash impairment charges of $96.0 million to write-down certain long-lived assets, of which $69.4 million related to its restructuring plans (see Note 9), $17.5 million related to underperforming stores identifie</w:t>
      </w:r>
      <w:r>
        <w:rPr>
          <w:rFonts w:eastAsia="Times New Roman"/>
          <w:color w:val="000000"/>
          <w:sz w:val="20"/>
          <w:szCs w:val="20"/>
        </w:rPr>
        <w:t>d through its ongoing store portfolio evaluation and adverse impacts associated with COVID-19 business disruptions, and $9.1 million related to certain previously exited real estate locations for which the related lease agreements had not yet expired.</w:t>
      </w:r>
    </w:p>
    <w:p w:rsidR="00000000" w:rsidRDefault="00BB5C2D">
      <w:pPr>
        <w:ind w:firstLine="540"/>
        <w:jc w:val="both"/>
        <w:divId w:val="1095322340"/>
        <w:rPr>
          <w:rFonts w:eastAsia="Times New Roman"/>
        </w:rPr>
      </w:pPr>
      <w:r>
        <w:rPr>
          <w:rFonts w:eastAsia="Times New Roman"/>
          <w:color w:val="000000"/>
          <w:sz w:val="20"/>
          <w:szCs w:val="20"/>
        </w:rPr>
        <w:t>During Fiscal 2020, the Company recorded non-cash impairment charges of $31.6 million to write-down certain long-lived assets, of which $8.7 million related to its restructuring plans (see Note 9) and $22.9 million related to underperforming stores identif</w:t>
      </w:r>
      <w:r>
        <w:rPr>
          <w:rFonts w:eastAsia="Times New Roman"/>
          <w:color w:val="000000"/>
          <w:sz w:val="20"/>
          <w:szCs w:val="20"/>
        </w:rPr>
        <w:t xml:space="preserve">ied through its ongoing store portfolio evaluation and adverse impacts associated with COVID-19 business disruptions. These charges were recorded within impairment of assets in the consolidated statements of operations. In addition, the Company recorded a </w:t>
      </w:r>
      <w:r>
        <w:rPr>
          <w:rFonts w:eastAsia="Times New Roman"/>
          <w:color w:val="000000"/>
          <w:sz w:val="20"/>
          <w:szCs w:val="20"/>
        </w:rPr>
        <w:t>$7.1 million impairment charge within other income (expense), net in the consolidated statements of operations during Fiscal 2020 related to an equity method investment.</w:t>
      </w:r>
    </w:p>
    <w:p w:rsidR="00000000" w:rsidRDefault="00BB5C2D">
      <w:pPr>
        <w:ind w:firstLine="540"/>
        <w:jc w:val="both"/>
        <w:divId w:val="577831259"/>
        <w:rPr>
          <w:rFonts w:eastAsia="Times New Roman"/>
        </w:rPr>
      </w:pPr>
      <w:r>
        <w:rPr>
          <w:rFonts w:eastAsia="Times New Roman"/>
          <w:color w:val="000000"/>
          <w:sz w:val="20"/>
          <w:szCs w:val="20"/>
        </w:rPr>
        <w:t>See Note 12 for further discussion of these impairment charges recorded during the fis</w:t>
      </w:r>
      <w:r>
        <w:rPr>
          <w:rFonts w:eastAsia="Times New Roman"/>
          <w:color w:val="000000"/>
          <w:sz w:val="20"/>
          <w:szCs w:val="20"/>
        </w:rPr>
        <w:t>cal years presented.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513455446"/>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513455446"/>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F-23</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35" style="width:0;height:1.5pt" o:hralign="center" o:hrstd="t" o:hr="t" fillcolor="#a0a0a0" stroked="f"/>
        </w:pict>
      </w:r>
    </w:p>
    <w:p w:rsidR="00000000" w:rsidRDefault="00BB5C2D">
      <w:pPr>
        <w:jc w:val="center"/>
        <w:divId w:val="2094279432"/>
        <w:rPr>
          <w:rFonts w:eastAsia="Times New Roman"/>
        </w:rPr>
      </w:pPr>
    </w:p>
    <w:p w:rsidR="00000000" w:rsidRDefault="00BB5C2D">
      <w:pPr>
        <w:jc w:val="center"/>
        <w:divId w:val="2094279432"/>
        <w:rPr>
          <w:rFonts w:eastAsia="Times New Roman"/>
        </w:rPr>
      </w:pPr>
      <w:r>
        <w:rPr>
          <w:rFonts w:eastAsia="Times New Roman"/>
          <w:b/>
          <w:bCs/>
          <w:color w:val="000000"/>
          <w:sz w:val="20"/>
          <w:szCs w:val="20"/>
        </w:rPr>
        <w:t>RALPH LAUREN CORPORATION</w:t>
      </w:r>
    </w:p>
    <w:p w:rsidR="00000000" w:rsidRDefault="00BB5C2D">
      <w:pPr>
        <w:jc w:val="center"/>
        <w:divId w:val="372728755"/>
        <w:rPr>
          <w:rFonts w:eastAsia="Times New Roman"/>
        </w:rPr>
      </w:pPr>
      <w:r>
        <w:rPr>
          <w:rFonts w:eastAsia="Times New Roman"/>
          <w:b/>
          <w:bCs/>
          <w:color w:val="000000"/>
          <w:sz w:val="20"/>
          <w:szCs w:val="20"/>
        </w:rPr>
        <w:t>NOTES TO CONSOLIDATED FINANCIAL STATEMENTS (Continued)</w:t>
      </w:r>
    </w:p>
    <w:p w:rsidR="00000000" w:rsidRDefault="00BB5C2D">
      <w:pPr>
        <w:ind w:hanging="540"/>
        <w:divId w:val="1733625827"/>
        <w:rPr>
          <w:rFonts w:eastAsia="Times New Roman"/>
        </w:rPr>
      </w:pPr>
      <w:r>
        <w:rPr>
          <w:rFonts w:eastAsia="Times New Roman"/>
          <w:b/>
          <w:bCs/>
          <w:color w:val="000000"/>
          <w:sz w:val="20"/>
          <w:szCs w:val="20"/>
        </w:rPr>
        <w:t>9.    Restructuring and Other Charges, Net</w:t>
      </w:r>
    </w:p>
    <w:p w:rsidR="00000000" w:rsidRDefault="00BB5C2D">
      <w:pPr>
        <w:ind w:firstLine="540"/>
        <w:jc w:val="both"/>
        <w:divId w:val="516191295"/>
        <w:rPr>
          <w:rFonts w:eastAsia="Times New Roman"/>
        </w:rPr>
      </w:pPr>
      <w:r>
        <w:rPr>
          <w:rFonts w:eastAsia="Times New Roman"/>
          <w:color w:val="000000"/>
          <w:sz w:val="20"/>
          <w:szCs w:val="20"/>
        </w:rPr>
        <w:t>A description of significant restructuring and other activities and their related costs is prov</w:t>
      </w:r>
      <w:r>
        <w:rPr>
          <w:rFonts w:eastAsia="Times New Roman"/>
          <w:color w:val="000000"/>
          <w:sz w:val="20"/>
          <w:szCs w:val="20"/>
        </w:rPr>
        <w:t>ided below.</w:t>
      </w:r>
    </w:p>
    <w:p w:rsidR="00000000" w:rsidRDefault="00BB5C2D">
      <w:pPr>
        <w:ind w:firstLine="360"/>
        <w:jc w:val="both"/>
        <w:divId w:val="808940162"/>
        <w:rPr>
          <w:rFonts w:eastAsia="Times New Roman"/>
        </w:rPr>
      </w:pPr>
      <w:r>
        <w:rPr>
          <w:rFonts w:eastAsia="Times New Roman"/>
          <w:b/>
          <w:bCs/>
          <w:i/>
          <w:iCs/>
          <w:color w:val="000000"/>
          <w:sz w:val="20"/>
          <w:szCs w:val="20"/>
        </w:rPr>
        <w:t>Fiscal 2021 Strategic Realignment Plan</w:t>
      </w:r>
    </w:p>
    <w:p w:rsidR="00000000" w:rsidRDefault="00BB5C2D">
      <w:pPr>
        <w:ind w:firstLine="540"/>
        <w:jc w:val="both"/>
        <w:divId w:val="295112179"/>
        <w:rPr>
          <w:rFonts w:eastAsia="Times New Roman"/>
        </w:rPr>
      </w:pPr>
      <w:r>
        <w:rPr>
          <w:rFonts w:eastAsia="Times New Roman"/>
          <w:color w:val="000000"/>
          <w:sz w:val="20"/>
          <w:szCs w:val="20"/>
        </w:rPr>
        <w:t>The Company has undertaken efforts to realign its resources to support future growth and profitability, and to create a sustainable, enhanced cost structure. The key areas of the Company's initiatives unde</w:t>
      </w:r>
      <w:r>
        <w:rPr>
          <w:rFonts w:eastAsia="Times New Roman"/>
          <w:color w:val="000000"/>
          <w:sz w:val="20"/>
          <w:szCs w:val="20"/>
        </w:rPr>
        <w:t xml:space="preserve">rlying these efforts involve evaluation of its: (i) team organizational structures and ways of working; (ii) real estate footprint and related costs across its corporate offices, distribution centers, and direct-to-consumer retail and wholesale doors; and </w:t>
      </w:r>
      <w:r>
        <w:rPr>
          <w:rFonts w:eastAsia="Times New Roman"/>
          <w:color w:val="000000"/>
          <w:sz w:val="20"/>
          <w:szCs w:val="20"/>
        </w:rPr>
        <w:t>(iii) brand portfolio.</w:t>
      </w:r>
    </w:p>
    <w:p w:rsidR="00000000" w:rsidRDefault="00BB5C2D">
      <w:pPr>
        <w:ind w:firstLine="540"/>
        <w:jc w:val="both"/>
        <w:divId w:val="859050827"/>
        <w:rPr>
          <w:rFonts w:eastAsia="Times New Roman"/>
        </w:rPr>
      </w:pPr>
      <w:r>
        <w:rPr>
          <w:rFonts w:eastAsia="Times New Roman"/>
          <w:color w:val="000000"/>
          <w:sz w:val="20"/>
          <w:szCs w:val="20"/>
        </w:rPr>
        <w:t>In connection with the first initiative, on September 17, 2020, the Company's Board of Directors approved a restructuring plan (the "Fiscal 2021 Strategic Realignment Plan") to reduce its global workforce. Additionally, during a prel</w:t>
      </w:r>
      <w:r>
        <w:rPr>
          <w:rFonts w:eastAsia="Times New Roman"/>
          <w:color w:val="000000"/>
          <w:sz w:val="20"/>
          <w:szCs w:val="20"/>
        </w:rPr>
        <w:t xml:space="preserve">iminary review of its store portfolio during the second quarter of Fiscal 2021, the Company made the decision to close its Polo store on Regent Street in London. </w:t>
      </w:r>
    </w:p>
    <w:p w:rsidR="00000000" w:rsidRDefault="00BB5C2D">
      <w:pPr>
        <w:ind w:firstLine="540"/>
        <w:jc w:val="both"/>
        <w:divId w:val="834802550"/>
        <w:rPr>
          <w:rFonts w:eastAsia="Times New Roman"/>
        </w:rPr>
      </w:pPr>
      <w:r>
        <w:rPr>
          <w:rFonts w:eastAsia="Times New Roman"/>
          <w:color w:val="000000"/>
          <w:sz w:val="20"/>
          <w:szCs w:val="20"/>
        </w:rPr>
        <w:t xml:space="preserve">Shortly thereafter, on October 29, 2020, the Company announced the planned transition of its </w:t>
      </w:r>
      <w:r>
        <w:rPr>
          <w:rFonts w:eastAsia="Times New Roman"/>
          <w:color w:val="000000"/>
          <w:sz w:val="20"/>
          <w:szCs w:val="20"/>
        </w:rPr>
        <w:t>Chaps brand to a fully licensed business model, consistent with its long-term brand elevation strategy and in connection with its third initiative. Specifically, the Company entered into a multi-year licensing partnership, which took effect on August 1, 20</w:t>
      </w:r>
      <w:r>
        <w:rPr>
          <w:rFonts w:eastAsia="Times New Roman"/>
          <w:color w:val="000000"/>
          <w:sz w:val="20"/>
          <w:szCs w:val="20"/>
        </w:rPr>
        <w:t>21 following a transition period, with an affiliate of 5 Star Apparel LLC, a division of the OVED Group, to manufacture, market, and distribute Chaps menswear and womenswear. This agreement is expected to create incremental value for the Company by enablin</w:t>
      </w:r>
      <w:r>
        <w:rPr>
          <w:rFonts w:eastAsia="Times New Roman"/>
          <w:color w:val="000000"/>
          <w:sz w:val="20"/>
          <w:szCs w:val="20"/>
        </w:rPr>
        <w:t>g an even greater focus on elevating its core brands in the marketplace, reducing its direct exposure to the North America department store channel, and setting up Chaps to deliver on its potential with an experienced partner that is focused on nurturing t</w:t>
      </w:r>
      <w:r>
        <w:rPr>
          <w:rFonts w:eastAsia="Times New Roman"/>
          <w:color w:val="000000"/>
          <w:sz w:val="20"/>
          <w:szCs w:val="20"/>
        </w:rPr>
        <w:t xml:space="preserve">he brand. </w:t>
      </w:r>
    </w:p>
    <w:p w:rsidR="00000000" w:rsidRDefault="00BB5C2D">
      <w:pPr>
        <w:ind w:firstLine="540"/>
        <w:jc w:val="both"/>
        <w:divId w:val="605625008"/>
        <w:rPr>
          <w:rFonts w:eastAsia="Times New Roman"/>
        </w:rPr>
      </w:pPr>
      <w:r>
        <w:rPr>
          <w:rFonts w:eastAsia="Times New Roman"/>
          <w:color w:val="000000"/>
          <w:sz w:val="20"/>
          <w:szCs w:val="20"/>
        </w:rPr>
        <w:t xml:space="preserve">Later, on February 3, 2021, the Company's Board of Directors approved additional actions related to its real estate initiative. Specifically, the Company is in the process of further rightsizing and consolidating its global corporate offices to </w:t>
      </w:r>
      <w:r>
        <w:rPr>
          <w:rFonts w:eastAsia="Times New Roman"/>
          <w:color w:val="000000"/>
          <w:sz w:val="20"/>
          <w:szCs w:val="20"/>
        </w:rPr>
        <w:t>better align with its organizational profile and new ways of working. The Company also has closed, and may continue to close, certain of its stores to improve overall profitability. Additionally, the Company further consolidated its North America distribut</w:t>
      </w:r>
      <w:r>
        <w:rPr>
          <w:rFonts w:eastAsia="Times New Roman"/>
          <w:color w:val="000000"/>
          <w:sz w:val="20"/>
          <w:szCs w:val="20"/>
        </w:rPr>
        <w:t>ion centers in order to drive greater efficiencies, improve sustainability, and deliver a better consumer experience.</w:t>
      </w:r>
    </w:p>
    <w:p w:rsidR="00000000" w:rsidRDefault="00BB5C2D">
      <w:pPr>
        <w:ind w:firstLine="540"/>
        <w:jc w:val="both"/>
        <w:divId w:val="1796219615"/>
        <w:rPr>
          <w:rFonts w:eastAsia="Times New Roman"/>
        </w:rPr>
      </w:pPr>
      <w:r>
        <w:rPr>
          <w:rFonts w:eastAsia="Times New Roman"/>
          <w:color w:val="000000"/>
          <w:sz w:val="20"/>
          <w:szCs w:val="20"/>
        </w:rPr>
        <w:t>Finally, on June 26, 2021, in connection with its brand portfolio initiative, the Company sold its former Club Monaco business to Regent, L.P. ("Regent"), a global private equity firm, with no resulting gain or loss on sale realized during the first quarte</w:t>
      </w:r>
      <w:r>
        <w:rPr>
          <w:rFonts w:eastAsia="Times New Roman"/>
          <w:color w:val="000000"/>
          <w:sz w:val="20"/>
          <w:szCs w:val="20"/>
        </w:rPr>
        <w:t xml:space="preserve">r of Fiscal 2022. Regent acquired Club Monaco's assets and liabilities in exchange for potential future cash consideration payable to the Company, including earn-out payments based on Club Monaco meeting certain defined revenue thresholds over a five-year </w:t>
      </w:r>
      <w:r>
        <w:rPr>
          <w:rFonts w:eastAsia="Times New Roman"/>
          <w:color w:val="000000"/>
          <w:sz w:val="20"/>
          <w:szCs w:val="20"/>
        </w:rPr>
        <w:t>period. Accordingly, the Company may realize amounts in the future related to the receipt of such contingent consideration (as discussed further below). Additionally, in connection with this divestiture, the Company is providing Regent with certain operati</w:t>
      </w:r>
      <w:r>
        <w:rPr>
          <w:rFonts w:eastAsia="Times New Roman"/>
          <w:color w:val="000000"/>
          <w:sz w:val="20"/>
          <w:szCs w:val="20"/>
        </w:rPr>
        <w:t xml:space="preserve">onal support for a transitional period of approximately one year, varying by functional area.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399057320"/>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399057320"/>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F-24</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36" style="width:0;height:1.5pt" o:hralign="center" o:hrstd="t" o:hr="t" fillcolor="#a0a0a0" stroked="f"/>
        </w:pict>
      </w:r>
    </w:p>
    <w:p w:rsidR="00000000" w:rsidRDefault="00BB5C2D">
      <w:pPr>
        <w:jc w:val="center"/>
        <w:divId w:val="705986128"/>
        <w:rPr>
          <w:rFonts w:eastAsia="Times New Roman"/>
        </w:rPr>
      </w:pPr>
    </w:p>
    <w:p w:rsidR="00000000" w:rsidRDefault="00BB5C2D">
      <w:pPr>
        <w:jc w:val="center"/>
        <w:divId w:val="705986128"/>
        <w:rPr>
          <w:rFonts w:eastAsia="Times New Roman"/>
        </w:rPr>
      </w:pPr>
      <w:r>
        <w:rPr>
          <w:rFonts w:eastAsia="Times New Roman"/>
          <w:b/>
          <w:bCs/>
          <w:color w:val="000000"/>
          <w:sz w:val="20"/>
          <w:szCs w:val="20"/>
        </w:rPr>
        <w:t>RALPH LAUREN CORPORATION</w:t>
      </w:r>
    </w:p>
    <w:p w:rsidR="00000000" w:rsidRDefault="00BB5C2D">
      <w:pPr>
        <w:jc w:val="center"/>
        <w:divId w:val="1706904149"/>
        <w:rPr>
          <w:rFonts w:eastAsia="Times New Roman"/>
        </w:rPr>
      </w:pPr>
      <w:r>
        <w:rPr>
          <w:rFonts w:eastAsia="Times New Roman"/>
          <w:b/>
          <w:bCs/>
          <w:color w:val="000000"/>
          <w:sz w:val="20"/>
          <w:szCs w:val="20"/>
        </w:rPr>
        <w:t>NOTES TO CONSOLIDATED FINANCIAL STATEMENTS (Continued)</w:t>
      </w:r>
    </w:p>
    <w:p w:rsidR="00000000" w:rsidRDefault="00BB5C2D">
      <w:pPr>
        <w:ind w:firstLine="540"/>
        <w:jc w:val="both"/>
        <w:divId w:val="1931087294"/>
        <w:rPr>
          <w:rFonts w:eastAsia="Times New Roman"/>
        </w:rPr>
      </w:pPr>
      <w:r>
        <w:rPr>
          <w:rFonts w:eastAsia="Times New Roman"/>
          <w:color w:val="000000"/>
          <w:sz w:val="20"/>
          <w:szCs w:val="20"/>
        </w:rPr>
        <w:t>Actions associated with the Fiscal 2021 Strategic Realignment Plan were substantially completed by the end Fiscal 2022, with certain remai</w:t>
      </w:r>
      <w:r>
        <w:rPr>
          <w:rFonts w:eastAsia="Times New Roman"/>
          <w:color w:val="000000"/>
          <w:sz w:val="20"/>
          <w:szCs w:val="20"/>
        </w:rPr>
        <w:t>ning actions expected to be completed during Fiscal 2023. The Company now expects total charges of up to $300 million to be incurred in connection with this plan, consisting of cash-related charges of approximately $180 million and non-cash charges of appr</w:t>
      </w:r>
      <w:r>
        <w:rPr>
          <w:rFonts w:eastAsia="Times New Roman"/>
          <w:color w:val="000000"/>
          <w:sz w:val="20"/>
          <w:szCs w:val="20"/>
        </w:rPr>
        <w:t>oximately $120 million. A summary of the charges recorded in connection with the Fiscal 2021 Strategic Realignment Plan during the fiscal periods presented (inclusive of immaterial other restructuring-related charges previously recorded during the first qu</w:t>
      </w:r>
      <w:r>
        <w:rPr>
          <w:rFonts w:eastAsia="Times New Roman"/>
          <w:color w:val="000000"/>
          <w:sz w:val="20"/>
          <w:szCs w:val="20"/>
        </w:rPr>
        <w:t>arter of Fiscal 2021), as well as the cumulative charges recorded since its inception, is as follows:</w:t>
      </w:r>
    </w:p>
    <w:tbl>
      <w:tblPr>
        <w:tblW w:w="4736" w:type="pct"/>
        <w:tblCellMar>
          <w:top w:w="15" w:type="dxa"/>
          <w:left w:w="15" w:type="dxa"/>
          <w:bottom w:w="15" w:type="dxa"/>
          <w:right w:w="15" w:type="dxa"/>
        </w:tblCellMar>
        <w:tblLook w:val="04A0" w:firstRow="1" w:lastRow="0" w:firstColumn="1" w:lastColumn="0" w:noHBand="0" w:noVBand="1"/>
      </w:tblPr>
      <w:tblGrid>
        <w:gridCol w:w="38"/>
        <w:gridCol w:w="4161"/>
        <w:gridCol w:w="37"/>
        <w:gridCol w:w="36"/>
        <w:gridCol w:w="36"/>
        <w:gridCol w:w="36"/>
        <w:gridCol w:w="120"/>
        <w:gridCol w:w="734"/>
        <w:gridCol w:w="36"/>
        <w:gridCol w:w="36"/>
        <w:gridCol w:w="36"/>
        <w:gridCol w:w="36"/>
        <w:gridCol w:w="120"/>
        <w:gridCol w:w="691"/>
        <w:gridCol w:w="36"/>
        <w:gridCol w:w="36"/>
        <w:gridCol w:w="36"/>
        <w:gridCol w:w="36"/>
        <w:gridCol w:w="121"/>
        <w:gridCol w:w="765"/>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divId w:val="2130930468"/>
        </w:trPr>
        <w:tc>
          <w:tcPr>
            <w:tcW w:w="50" w:type="pct"/>
            <w:vAlign w:val="center"/>
            <w:hideMark/>
          </w:tcPr>
          <w:p w:rsidR="00000000" w:rsidRDefault="00BB5C2D">
            <w:pPr>
              <w:ind w:firstLine="540"/>
              <w:jc w:val="both"/>
              <w:rPr>
                <w:rFonts w:eastAsia="Times New Roman"/>
              </w:rPr>
            </w:pPr>
          </w:p>
        </w:tc>
        <w:tc>
          <w:tcPr>
            <w:tcW w:w="294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6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6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6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r>
      <w:tr w:rsidR="00000000">
        <w:trPr>
          <w:divId w:val="2130930468"/>
          <w:trHeight w:val="240"/>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Year Ended</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Cumulative Charges</w:t>
            </w:r>
          </w:p>
        </w:tc>
        <w:tc>
          <w:tcPr>
            <w:tcW w:w="0" w:type="auto"/>
            <w:gridSpan w:val="3"/>
            <w:vAlign w:val="center"/>
            <w:hideMark/>
          </w:tcPr>
          <w:p w:rsidR="00000000" w:rsidRDefault="00BB5C2D">
            <w:pPr>
              <w:spacing w:after="100"/>
              <w:jc w:val="center"/>
              <w:rPr>
                <w:rFonts w:eastAsia="Times New Roman"/>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r>
      <w:tr w:rsidR="00000000">
        <w:trPr>
          <w:divId w:val="2130930468"/>
          <w:trHeight w:val="420"/>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vMerge/>
            <w:tcBorders>
              <w:bottom w:val="single" w:sz="8" w:space="0" w:color="000000"/>
            </w:tcBorders>
            <w:vAlign w:val="center"/>
            <w:hideMark/>
          </w:tcPr>
          <w:p w:rsidR="00000000" w:rsidRDefault="00BB5C2D">
            <w:pPr>
              <w:spacing w:after="100"/>
              <w:rPr>
                <w:rFonts w:eastAsia="Times New Roman"/>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r>
      <w:tr w:rsidR="00000000">
        <w:trPr>
          <w:divId w:val="2130930468"/>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r>
      <w:tr w:rsidR="00000000">
        <w:trPr>
          <w:divId w:val="2130930468"/>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b/>
                <w:bCs/>
                <w:color w:val="000000"/>
                <w:sz w:val="20"/>
                <w:szCs w:val="20"/>
              </w:rPr>
              <w:t>Cash-related restructuring charges: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r>
      <w:tr w:rsidR="00000000">
        <w:trPr>
          <w:divId w:val="2130930468"/>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Severance and benefit costs (reversals)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(5.7)</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144.2 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138.5 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vAlign w:val="center"/>
            <w:hideMark/>
          </w:tcPr>
          <w:p w:rsidR="00000000" w:rsidRDefault="00BB5C2D">
            <w:pPr>
              <w:spacing w:after="100"/>
              <w:jc w:val="right"/>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r>
      <w:tr w:rsidR="00000000">
        <w:trPr>
          <w:divId w:val="2130930468"/>
        </w:trPr>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r>
      <w:tr w:rsidR="00000000">
        <w:trPr>
          <w:divId w:val="2130930468"/>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Other cash charges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14.9 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22.6 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vAlign w:val="center"/>
            <w:hideMark/>
          </w:tcPr>
          <w:p w:rsidR="00000000" w:rsidRDefault="00BB5C2D">
            <w:pPr>
              <w:spacing w:after="100"/>
              <w:jc w:val="right"/>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r>
      <w:tr w:rsidR="00000000">
        <w:trPr>
          <w:divId w:val="2130930468"/>
        </w:trPr>
        <w:tc>
          <w:tcPr>
            <w:tcW w:w="0" w:type="auto"/>
            <w:gridSpan w:val="3"/>
            <w:shd w:val="clear" w:color="auto" w:fill="FFFFFF"/>
            <w:tcMar>
              <w:top w:w="30" w:type="dxa"/>
              <w:left w:w="24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cash-related restructuring charges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159.1 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161.1 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vAlign w:val="center"/>
            <w:hideMark/>
          </w:tcPr>
          <w:p w:rsidR="00000000" w:rsidRDefault="00BB5C2D">
            <w:pPr>
              <w:spacing w:after="100"/>
              <w:jc w:val="right"/>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r>
      <w:tr w:rsidR="00000000">
        <w:trPr>
          <w:divId w:val="2130930468"/>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b/>
                <w:bCs/>
                <w:color w:val="000000"/>
                <w:sz w:val="20"/>
                <w:szCs w:val="20"/>
              </w:rPr>
              <w:t>Non-cash charges: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r>
      <w:tr w:rsidR="00000000">
        <w:trPr>
          <w:divId w:val="2130930468"/>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Impairment of assets (see Note 8)</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21.3 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69.4 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90.7 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vAlign w:val="center"/>
            <w:hideMark/>
          </w:tcPr>
          <w:p w:rsidR="00000000" w:rsidRDefault="00BB5C2D">
            <w:pPr>
              <w:spacing w:after="100"/>
              <w:jc w:val="right"/>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r>
      <w:tr w:rsidR="00000000">
        <w:trPr>
          <w:divId w:val="2130930468"/>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divId w:val="1167674983"/>
              <w:rPr>
                <w:rFonts w:eastAsia="Times New Roman"/>
              </w:rPr>
            </w:pPr>
            <w:r>
              <w:rPr>
                <w:rFonts w:eastAsia="Times New Roman"/>
                <w:color w:val="000000"/>
                <w:sz w:val="20"/>
                <w:szCs w:val="20"/>
              </w:rPr>
              <w:t>Inventory-related charge</w:t>
            </w:r>
            <w:r>
              <w:rPr>
                <w:rFonts w:eastAsia="Times New Roman"/>
                <w:color w:val="000000"/>
                <w:sz w:val="20"/>
                <w:szCs w:val="20"/>
              </w:rPr>
              <w:t>s</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vAlign w:val="center"/>
            <w:hideMark/>
          </w:tcPr>
          <w:p w:rsidR="00000000" w:rsidRDefault="00BB5C2D">
            <w:pPr>
              <w:spacing w:after="100"/>
              <w:jc w:val="right"/>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r>
      <w:tr w:rsidR="00000000">
        <w:trPr>
          <w:divId w:val="2130930468"/>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divId w:val="1807434627"/>
              <w:rPr>
                <w:rFonts w:eastAsia="Times New Roman"/>
              </w:rPr>
            </w:pPr>
            <w:r>
              <w:rPr>
                <w:rFonts w:eastAsia="Times New Roman"/>
                <w:color w:val="000000"/>
                <w:sz w:val="20"/>
                <w:szCs w:val="20"/>
              </w:rPr>
              <w:t>Accelerated stock-based compensation expens</w:t>
            </w:r>
            <w:r>
              <w:rPr>
                <w:rFonts w:eastAsia="Times New Roman"/>
                <w:color w:val="000000"/>
                <w:sz w:val="20"/>
                <w:szCs w:val="20"/>
              </w:rPr>
              <w:t>e</w:t>
            </w:r>
            <w:r>
              <w:rPr>
                <w:rFonts w:eastAsia="Times New Roman"/>
                <w:b/>
                <w:bCs/>
                <w:color w:val="000000"/>
                <w:sz w:val="13"/>
                <w:szCs w:val="13"/>
              </w:rPr>
              <w:t>(b</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vAlign w:val="center"/>
            <w:hideMark/>
          </w:tcPr>
          <w:p w:rsidR="00000000" w:rsidRDefault="00BB5C2D">
            <w:pPr>
              <w:spacing w:after="100"/>
              <w:jc w:val="right"/>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r>
      <w:tr w:rsidR="00000000">
        <w:trPr>
          <w:divId w:val="2130930468"/>
        </w:trPr>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r>
      <w:tr w:rsidR="00000000">
        <w:trPr>
          <w:divId w:val="2130930468"/>
        </w:trPr>
        <w:tc>
          <w:tcPr>
            <w:tcW w:w="0" w:type="auto"/>
            <w:gridSpan w:val="3"/>
            <w:shd w:val="clear" w:color="auto" w:fill="CCEEFF"/>
            <w:tcMar>
              <w:top w:w="30" w:type="dxa"/>
              <w:left w:w="24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non-cash charges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101.0 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vAlign w:val="center"/>
            <w:hideMark/>
          </w:tcPr>
          <w:p w:rsidR="00000000" w:rsidRDefault="00BB5C2D">
            <w:pPr>
              <w:spacing w:after="100"/>
              <w:jc w:val="right"/>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r>
      <w:tr w:rsidR="00000000">
        <w:trPr>
          <w:divId w:val="2130930468"/>
        </w:trPr>
        <w:tc>
          <w:tcPr>
            <w:tcW w:w="0" w:type="auto"/>
            <w:gridSpan w:val="3"/>
            <w:shd w:val="clear" w:color="auto" w:fill="FFFFFF"/>
            <w:tcMar>
              <w:top w:w="30" w:type="dxa"/>
              <w:left w:w="38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charges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25.3 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236.8 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262.1 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vAlign w:val="center"/>
            <w:hideMark/>
          </w:tcPr>
          <w:p w:rsidR="00000000" w:rsidRDefault="00BB5C2D">
            <w:pPr>
              <w:spacing w:after="100"/>
              <w:jc w:val="right"/>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BB5C2D">
            <w:pPr>
              <w:rPr>
                <w:rFonts w:eastAsia="Times New Roman"/>
              </w:rPr>
            </w:pPr>
          </w:p>
        </w:tc>
        <w:tc>
          <w:tcPr>
            <w:tcW w:w="494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r>
    </w:tbl>
    <w:p w:rsidR="00000000" w:rsidRDefault="00BB5C2D">
      <w:pPr>
        <w:rPr>
          <w:rFonts w:eastAsia="Times New Roman"/>
        </w:rPr>
      </w:pPr>
      <w:r>
        <w:rPr>
          <w:rFonts w:eastAsia="Times New Roman"/>
          <w:color w:val="000000"/>
          <w:sz w:val="20"/>
          <w:szCs w:val="20"/>
        </w:rPr>
        <w:t> </w:t>
      </w:r>
    </w:p>
    <w:p w:rsidR="00000000" w:rsidRDefault="00BB5C2D">
      <w:pPr>
        <w:ind w:hanging="360"/>
        <w:jc w:val="both"/>
        <w:divId w:val="1477335359"/>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Inventory-related charges are recorded within cost of goods sold in the consolidated statements of operations.</w:t>
      </w:r>
    </w:p>
    <w:p w:rsidR="00000000" w:rsidRDefault="00BB5C2D">
      <w:pPr>
        <w:ind w:hanging="360"/>
        <w:jc w:val="both"/>
        <w:divId w:val="1651448464"/>
        <w:rPr>
          <w:rFonts w:eastAsia="Times New Roman"/>
        </w:rPr>
      </w:pPr>
      <w:r>
        <w:rPr>
          <w:rFonts w:eastAsia="Times New Roman"/>
          <w:b/>
          <w:bCs/>
          <w:color w:val="000000"/>
          <w:sz w:val="13"/>
          <w:szCs w:val="13"/>
        </w:rPr>
        <w:t>(b</w:t>
      </w:r>
      <w:r>
        <w:rPr>
          <w:rFonts w:eastAsia="Times New Roman"/>
          <w:b/>
          <w:bCs/>
          <w:color w:val="000000"/>
          <w:sz w:val="13"/>
          <w:szCs w:val="13"/>
        </w:rPr>
        <w:t>)</w:t>
      </w:r>
      <w:r>
        <w:rPr>
          <w:rFonts w:eastAsia="Times New Roman"/>
          <w:color w:val="000000"/>
          <w:sz w:val="20"/>
          <w:szCs w:val="20"/>
        </w:rPr>
        <w:t>Accelerated stock-based compensation expense, which was recorded within restructuring and other charges, net in the consolidated statements of</w:t>
      </w:r>
      <w:r>
        <w:rPr>
          <w:rFonts w:eastAsia="Times New Roman"/>
          <w:color w:val="000000"/>
          <w:sz w:val="20"/>
          <w:szCs w:val="20"/>
        </w:rPr>
        <w:t xml:space="preserve"> operations, related to vesting provisions associated with certain separation agreements.</w:t>
      </w:r>
    </w:p>
    <w:p w:rsidR="00000000" w:rsidRDefault="00BB5C2D">
      <w:pPr>
        <w:ind w:firstLine="540"/>
        <w:jc w:val="both"/>
        <w:divId w:val="661933408"/>
        <w:rPr>
          <w:rFonts w:eastAsia="Times New Roman"/>
        </w:rPr>
      </w:pPr>
      <w:r>
        <w:rPr>
          <w:rFonts w:eastAsia="Times New Roman"/>
          <w:color w:val="000000"/>
          <w:sz w:val="20"/>
          <w:szCs w:val="20"/>
        </w:rPr>
        <w:t>In addition to the charges summarized in the table above, the Company recognized $4.0 million of income within restructuring and other charges, net in the consolidate</w:t>
      </w:r>
      <w:r>
        <w:rPr>
          <w:rFonts w:eastAsia="Times New Roman"/>
          <w:color w:val="000000"/>
          <w:sz w:val="20"/>
          <w:szCs w:val="20"/>
        </w:rPr>
        <w:t xml:space="preserve">d statements of operations during Fiscal 2022 primarily related to a certain revenue share clause in its agreement with Regent that entitled it to receive a portion of the sales generated by the Club Monaco business during a four-month business transition </w:t>
      </w:r>
      <w:r>
        <w:rPr>
          <w:rFonts w:eastAsia="Times New Roman"/>
          <w:color w:val="000000"/>
          <w:sz w:val="20"/>
          <w:szCs w:val="20"/>
        </w:rPr>
        <w:t>period. The Company donated this income to the Ralph Lauren Corporate Foundation, a non-profit, charitable foundation, which resulted in a related offsetting $4.0 million donation expense recorded within restructuring and other charges, net in the consolid</w:t>
      </w:r>
      <w:r>
        <w:rPr>
          <w:rFonts w:eastAsia="Times New Roman"/>
          <w:color w:val="000000"/>
          <w:sz w:val="20"/>
          <w:szCs w:val="20"/>
        </w:rPr>
        <w:t xml:space="preserve">ated statements of operations during Fiscal 2022. </w:t>
      </w:r>
    </w:p>
    <w:p w:rsidR="00000000" w:rsidRDefault="00BB5C2D">
      <w:pPr>
        <w:ind w:firstLine="360"/>
        <w:jc w:val="both"/>
        <w:divId w:val="161970867"/>
        <w:rPr>
          <w:rFonts w:eastAsia="Times New Roman"/>
        </w:rPr>
      </w:pPr>
      <w:r>
        <w:rPr>
          <w:rFonts w:eastAsia="Times New Roman"/>
          <w:color w:val="000000"/>
          <w:sz w:val="20"/>
          <w:szCs w:val="20"/>
        </w:rPr>
        <w:t>A summary of the activity in the restructuring reserve related to the Fiscal 2021 Strategic Realignment Plan is as follows:</w:t>
      </w:r>
    </w:p>
    <w:tbl>
      <w:tblPr>
        <w:tblW w:w="4736" w:type="pct"/>
        <w:tblCellMar>
          <w:top w:w="15" w:type="dxa"/>
          <w:left w:w="15" w:type="dxa"/>
          <w:bottom w:w="15" w:type="dxa"/>
          <w:right w:w="15" w:type="dxa"/>
        </w:tblCellMar>
        <w:tblLook w:val="04A0" w:firstRow="1" w:lastRow="0" w:firstColumn="1" w:lastColumn="0" w:noHBand="0" w:noVBand="1"/>
      </w:tblPr>
      <w:tblGrid>
        <w:gridCol w:w="39"/>
        <w:gridCol w:w="4532"/>
        <w:gridCol w:w="38"/>
        <w:gridCol w:w="36"/>
        <w:gridCol w:w="39"/>
        <w:gridCol w:w="36"/>
        <w:gridCol w:w="121"/>
        <w:gridCol w:w="825"/>
        <w:gridCol w:w="36"/>
        <w:gridCol w:w="36"/>
        <w:gridCol w:w="36"/>
        <w:gridCol w:w="36"/>
        <w:gridCol w:w="36"/>
        <w:gridCol w:w="36"/>
        <w:gridCol w:w="121"/>
        <w:gridCol w:w="782"/>
        <w:gridCol w:w="36"/>
        <w:gridCol w:w="36"/>
        <w:gridCol w:w="36"/>
        <w:gridCol w:w="36"/>
        <w:gridCol w:w="120"/>
        <w:gridCol w:w="782"/>
        <w:gridCol w:w="36"/>
      </w:tblGrid>
      <w:tr w:rsidR="00000000">
        <w:trPr>
          <w:divId w:val="1310475966"/>
        </w:trPr>
        <w:tc>
          <w:tcPr>
            <w:tcW w:w="50" w:type="pct"/>
            <w:vAlign w:val="center"/>
            <w:hideMark/>
          </w:tcPr>
          <w:p w:rsidR="00000000" w:rsidRDefault="00BB5C2D">
            <w:pPr>
              <w:ind w:firstLine="360"/>
              <w:jc w:val="both"/>
              <w:rPr>
                <w:rFonts w:eastAsia="Times New Roman"/>
              </w:rPr>
            </w:pPr>
          </w:p>
        </w:tc>
        <w:tc>
          <w:tcPr>
            <w:tcW w:w="294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6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6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6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310475966"/>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Severance and Benefit Costs</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Other Cash Charges</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Total</w:t>
            </w:r>
          </w:p>
        </w:tc>
      </w:tr>
      <w:tr w:rsidR="00000000">
        <w:trPr>
          <w:divId w:val="1310475966"/>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11"/>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r>
      <w:tr w:rsidR="00000000">
        <w:trPr>
          <w:divId w:val="1310475966"/>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Balance at March 28, 2020</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10475966"/>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Additions charged to expense</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144.2 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14.9 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159.1 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10475966"/>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Cash payments applied against reserve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(48.0)</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(11.7)</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(59.7)</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10475966"/>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Balance at March 27, 2021</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10475966"/>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Additions (reductions) charged to expense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(5.7)</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10475966"/>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Cash payments applied against reserve</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(60.5)</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(10.8)</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(71.3)</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10475966"/>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Non-cash adjustments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0.6 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0.6 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10475966"/>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Balance at April 2, 2022</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trPr>
          <w:jc w:val="center"/>
        </w:trPr>
        <w:tc>
          <w:tcPr>
            <w:tcW w:w="50" w:type="pct"/>
            <w:vAlign w:val="center"/>
            <w:hideMark/>
          </w:tcPr>
          <w:p w:rsidR="00000000" w:rsidRDefault="00BB5C2D">
            <w:pPr>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F-25</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37" style="width:0;height:1.5pt" o:hralign="center" o:hrstd="t" o:hr="t" fillcolor="#a0a0a0" stroked="f"/>
        </w:pict>
      </w:r>
    </w:p>
    <w:p w:rsidR="00000000" w:rsidRDefault="00BB5C2D">
      <w:pPr>
        <w:jc w:val="center"/>
        <w:divId w:val="1421637765"/>
        <w:rPr>
          <w:rFonts w:eastAsia="Times New Roman"/>
        </w:rPr>
      </w:pPr>
    </w:p>
    <w:p w:rsidR="00000000" w:rsidRDefault="00BB5C2D">
      <w:pPr>
        <w:jc w:val="center"/>
        <w:divId w:val="1421637765"/>
        <w:rPr>
          <w:rFonts w:eastAsia="Times New Roman"/>
        </w:rPr>
      </w:pPr>
      <w:r>
        <w:rPr>
          <w:rFonts w:eastAsia="Times New Roman"/>
          <w:b/>
          <w:bCs/>
          <w:color w:val="000000"/>
          <w:sz w:val="20"/>
          <w:szCs w:val="20"/>
        </w:rPr>
        <w:t>RALPH LAUREN CORPORATION</w:t>
      </w:r>
    </w:p>
    <w:p w:rsidR="00000000" w:rsidRDefault="00BB5C2D">
      <w:pPr>
        <w:jc w:val="center"/>
        <w:divId w:val="1000087810"/>
        <w:rPr>
          <w:rFonts w:eastAsia="Times New Roman"/>
        </w:rPr>
      </w:pPr>
      <w:r>
        <w:rPr>
          <w:rFonts w:eastAsia="Times New Roman"/>
          <w:b/>
          <w:bCs/>
          <w:color w:val="000000"/>
          <w:sz w:val="20"/>
          <w:szCs w:val="20"/>
        </w:rPr>
        <w:t>NOTES TO CONSOLIDATED FINANCIAL STATEMENTS (Continued)</w:t>
      </w:r>
    </w:p>
    <w:p w:rsidR="00000000" w:rsidRDefault="00BB5C2D">
      <w:pPr>
        <w:ind w:firstLine="360"/>
        <w:jc w:val="both"/>
        <w:divId w:val="1118530809"/>
        <w:rPr>
          <w:rFonts w:eastAsia="Times New Roman"/>
        </w:rPr>
      </w:pPr>
      <w:r>
        <w:rPr>
          <w:rFonts w:eastAsia="Times New Roman"/>
          <w:b/>
          <w:bCs/>
          <w:i/>
          <w:iCs/>
          <w:color w:val="000000"/>
          <w:sz w:val="20"/>
          <w:szCs w:val="20"/>
        </w:rPr>
        <w:t>Fiscal 2019 Restructuring Plan</w:t>
      </w:r>
    </w:p>
    <w:p w:rsidR="00000000" w:rsidRDefault="00BB5C2D">
      <w:pPr>
        <w:ind w:firstLine="540"/>
        <w:jc w:val="both"/>
        <w:divId w:val="899169195"/>
        <w:rPr>
          <w:rFonts w:eastAsia="Times New Roman"/>
        </w:rPr>
      </w:pPr>
      <w:r>
        <w:rPr>
          <w:rFonts w:eastAsia="Times New Roman"/>
          <w:color w:val="000000"/>
          <w:sz w:val="20"/>
          <w:szCs w:val="20"/>
        </w:rPr>
        <w:t>On June 4, 2018, the Company's Board of Directors approved a restructuring plan associated with the Company</w:t>
      </w:r>
      <w:r>
        <w:rPr>
          <w:rFonts w:eastAsia="Times New Roman"/>
          <w:color w:val="000000"/>
          <w:sz w:val="20"/>
          <w:szCs w:val="20"/>
        </w:rPr>
        <w:t>'s strategic objective of operating with discipline to drive sustainable growth (the "Fiscal 2019 Restructuring Plan"). The Fiscal 2019 Restructuring Plan included the following activities: (i) rightsizing and consolidation of the Company's global distribu</w:t>
      </w:r>
      <w:r>
        <w:rPr>
          <w:rFonts w:eastAsia="Times New Roman"/>
          <w:color w:val="000000"/>
          <w:sz w:val="20"/>
          <w:szCs w:val="20"/>
        </w:rPr>
        <w:t>tion network and corporate offices; (ii) targeted severance-related actions; and (iii) closure of certain of its stores and shop-within-shops.</w:t>
      </w:r>
    </w:p>
    <w:p w:rsidR="00000000" w:rsidRDefault="00BB5C2D">
      <w:pPr>
        <w:ind w:firstLine="540"/>
        <w:jc w:val="both"/>
        <w:divId w:val="515536420"/>
        <w:rPr>
          <w:rFonts w:eastAsia="Times New Roman"/>
        </w:rPr>
      </w:pPr>
      <w:r>
        <w:rPr>
          <w:rFonts w:eastAsia="Times New Roman"/>
          <w:color w:val="000000"/>
          <w:sz w:val="20"/>
          <w:szCs w:val="20"/>
        </w:rPr>
        <w:t>Actions associated with the Fiscal 2019 Restructuring Plan are complete and no additional charges are expected to</w:t>
      </w:r>
      <w:r>
        <w:rPr>
          <w:rFonts w:eastAsia="Times New Roman"/>
          <w:color w:val="000000"/>
          <w:sz w:val="20"/>
          <w:szCs w:val="20"/>
        </w:rPr>
        <w:t xml:space="preserve"> be incurred in connection with this plan. A summary of the charges recorded in connection with the Fiscal 2019 Restructuring Plan during the fiscal period presented, as well as the cumulative charges recorded since its inception, is as follows:</w:t>
      </w:r>
    </w:p>
    <w:tbl>
      <w:tblPr>
        <w:tblW w:w="4729" w:type="pct"/>
        <w:tblCellMar>
          <w:top w:w="15" w:type="dxa"/>
          <w:left w:w="15" w:type="dxa"/>
          <w:bottom w:w="15" w:type="dxa"/>
          <w:right w:w="15" w:type="dxa"/>
        </w:tblCellMar>
        <w:tblLook w:val="04A0" w:firstRow="1" w:lastRow="0" w:firstColumn="1" w:lastColumn="0" w:noHBand="0" w:noVBand="1"/>
      </w:tblPr>
      <w:tblGrid>
        <w:gridCol w:w="38"/>
        <w:gridCol w:w="5233"/>
        <w:gridCol w:w="37"/>
        <w:gridCol w:w="36"/>
        <w:gridCol w:w="36"/>
        <w:gridCol w:w="36"/>
        <w:gridCol w:w="36"/>
        <w:gridCol w:w="36"/>
        <w:gridCol w:w="120"/>
        <w:gridCol w:w="972"/>
        <w:gridCol w:w="36"/>
        <w:gridCol w:w="36"/>
        <w:gridCol w:w="36"/>
        <w:gridCol w:w="36"/>
        <w:gridCol w:w="121"/>
        <w:gridCol w:w="975"/>
        <w:gridCol w:w="36"/>
      </w:tblGrid>
      <w:tr w:rsidR="00000000">
        <w:trPr>
          <w:divId w:val="1826043666"/>
        </w:trPr>
        <w:tc>
          <w:tcPr>
            <w:tcW w:w="50" w:type="pct"/>
            <w:vAlign w:val="center"/>
            <w:hideMark/>
          </w:tcPr>
          <w:p w:rsidR="00000000" w:rsidRDefault="00BB5C2D">
            <w:pPr>
              <w:ind w:firstLine="540"/>
              <w:jc w:val="both"/>
              <w:rPr>
                <w:rFonts w:eastAsia="Times New Roman"/>
              </w:rPr>
            </w:pPr>
          </w:p>
        </w:tc>
        <w:tc>
          <w:tcPr>
            <w:tcW w:w="340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663"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663"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826043666"/>
          <w:trHeight w:val="240"/>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Year Ended</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Cumulative Charges</w:t>
            </w:r>
          </w:p>
        </w:tc>
      </w:tr>
      <w:tr w:rsidR="00000000">
        <w:trPr>
          <w:divId w:val="1826043666"/>
          <w:trHeight w:val="420"/>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vMerge/>
            <w:tcBorders>
              <w:bottom w:val="single" w:sz="8" w:space="0" w:color="000000"/>
            </w:tcBorders>
            <w:vAlign w:val="center"/>
            <w:hideMark/>
          </w:tcPr>
          <w:p w:rsidR="00000000" w:rsidRDefault="00BB5C2D">
            <w:pPr>
              <w:spacing w:after="100"/>
              <w:rPr>
                <w:rFonts w:eastAsia="Times New Roman"/>
              </w:rPr>
            </w:pPr>
          </w:p>
        </w:tc>
      </w:tr>
      <w:tr w:rsidR="00000000">
        <w:trPr>
          <w:divId w:val="1826043666"/>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1826043666"/>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b/>
                <w:bCs/>
                <w:color w:val="000000"/>
                <w:sz w:val="20"/>
                <w:szCs w:val="20"/>
              </w:rPr>
              <w:t>Cash-related restructuring charges: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826043666"/>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Severance and benefit costs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30.1 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90.3 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826043666"/>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Lease termination and store closure costs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0.5 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826043666"/>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Other cash charges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826043666"/>
        </w:trPr>
        <w:tc>
          <w:tcPr>
            <w:tcW w:w="0" w:type="auto"/>
            <w:gridSpan w:val="3"/>
            <w:shd w:val="clear" w:color="auto" w:fill="CCEEFF"/>
            <w:tcMar>
              <w:top w:w="30" w:type="dxa"/>
              <w:left w:w="24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cash-related restructuring charges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103.4 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826043666"/>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b/>
                <w:bCs/>
                <w:color w:val="000000"/>
                <w:sz w:val="20"/>
                <w:szCs w:val="20"/>
              </w:rPr>
              <w:t>Non-cash charges: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826043666"/>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Impairment of assets (see Note 8)</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19.0 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826043666"/>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divId w:val="1859731500"/>
              <w:rPr>
                <w:rFonts w:eastAsia="Times New Roman"/>
              </w:rPr>
            </w:pPr>
            <w:r>
              <w:rPr>
                <w:rFonts w:eastAsia="Times New Roman"/>
                <w:color w:val="000000"/>
                <w:sz w:val="20"/>
                <w:szCs w:val="20"/>
              </w:rPr>
              <w:t>Inventory-related charge</w:t>
            </w:r>
            <w:r>
              <w:rPr>
                <w:rFonts w:eastAsia="Times New Roman"/>
                <w:color w:val="000000"/>
                <w:sz w:val="20"/>
                <w:szCs w:val="20"/>
              </w:rPr>
              <w:t>s</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8.2 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826043666"/>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divId w:val="1817457206"/>
              <w:rPr>
                <w:rFonts w:eastAsia="Times New Roman"/>
              </w:rPr>
            </w:pPr>
            <w:r>
              <w:rPr>
                <w:rFonts w:eastAsia="Times New Roman"/>
                <w:color w:val="000000"/>
                <w:sz w:val="20"/>
                <w:szCs w:val="20"/>
              </w:rPr>
              <w:t>Accelerated stock-based compensation expens</w:t>
            </w:r>
            <w:r>
              <w:rPr>
                <w:rFonts w:eastAsia="Times New Roman"/>
                <w:color w:val="000000"/>
                <w:sz w:val="20"/>
                <w:szCs w:val="20"/>
              </w:rPr>
              <w:t>e</w:t>
            </w:r>
            <w:r>
              <w:rPr>
                <w:rFonts w:eastAsia="Times New Roman"/>
                <w:b/>
                <w:bCs/>
                <w:color w:val="000000"/>
                <w:sz w:val="13"/>
                <w:szCs w:val="13"/>
              </w:rPr>
              <w:t>(b</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826043666"/>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divId w:val="1592276021"/>
              <w:rPr>
                <w:rFonts w:eastAsia="Times New Roman"/>
              </w:rPr>
            </w:pPr>
            <w:r>
              <w:rPr>
                <w:rFonts w:eastAsia="Times New Roman"/>
                <w:color w:val="000000"/>
                <w:sz w:val="20"/>
                <w:szCs w:val="20"/>
              </w:rPr>
              <w:t>Loss on sale of propert</w:t>
            </w:r>
            <w:r>
              <w:rPr>
                <w:rFonts w:eastAsia="Times New Roman"/>
                <w:color w:val="000000"/>
                <w:sz w:val="20"/>
                <w:szCs w:val="20"/>
              </w:rPr>
              <w:t>y</w:t>
            </w:r>
            <w:r>
              <w:rPr>
                <w:rFonts w:eastAsia="Times New Roman"/>
                <w:b/>
                <w:bCs/>
                <w:color w:val="000000"/>
                <w:sz w:val="13"/>
                <w:szCs w:val="13"/>
              </w:rPr>
              <w:t>(c</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11.6 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826043666"/>
        </w:trPr>
        <w:tc>
          <w:tcPr>
            <w:tcW w:w="0" w:type="auto"/>
            <w:gridSpan w:val="3"/>
            <w:shd w:val="clear" w:color="auto" w:fill="CCEEFF"/>
            <w:tcMar>
              <w:top w:w="30" w:type="dxa"/>
              <w:left w:w="24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non-cash charges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826043666"/>
        </w:trPr>
        <w:tc>
          <w:tcPr>
            <w:tcW w:w="0" w:type="auto"/>
            <w:gridSpan w:val="3"/>
            <w:shd w:val="clear" w:color="auto" w:fill="FFFFFF"/>
            <w:tcMar>
              <w:top w:w="30" w:type="dxa"/>
              <w:left w:w="38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charges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145.8 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BB5C2D">
            <w:pPr>
              <w:rPr>
                <w:rFonts w:eastAsia="Times New Roman"/>
              </w:rPr>
            </w:pPr>
          </w:p>
        </w:tc>
        <w:tc>
          <w:tcPr>
            <w:tcW w:w="494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r>
    </w:tbl>
    <w:p w:rsidR="00000000" w:rsidRDefault="00BB5C2D">
      <w:pPr>
        <w:rPr>
          <w:rFonts w:eastAsia="Times New Roman"/>
        </w:rPr>
      </w:pPr>
      <w:r>
        <w:rPr>
          <w:rFonts w:eastAsia="Times New Roman"/>
          <w:color w:val="000000"/>
          <w:sz w:val="20"/>
          <w:szCs w:val="20"/>
        </w:rPr>
        <w:t> </w:t>
      </w:r>
    </w:p>
    <w:p w:rsidR="00000000" w:rsidRDefault="00BB5C2D">
      <w:pPr>
        <w:ind w:hanging="360"/>
        <w:jc w:val="both"/>
        <w:divId w:val="867377012"/>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Inventory-related charges are recorded within cost of goods sold in the consolidated statements of operations.</w:t>
      </w:r>
    </w:p>
    <w:p w:rsidR="00000000" w:rsidRDefault="00BB5C2D">
      <w:pPr>
        <w:ind w:hanging="360"/>
        <w:jc w:val="both"/>
        <w:divId w:val="1166625201"/>
        <w:rPr>
          <w:rFonts w:eastAsia="Times New Roman"/>
        </w:rPr>
      </w:pPr>
      <w:r>
        <w:rPr>
          <w:rFonts w:eastAsia="Times New Roman"/>
          <w:b/>
          <w:bCs/>
          <w:color w:val="000000"/>
          <w:sz w:val="13"/>
          <w:szCs w:val="13"/>
        </w:rPr>
        <w:t>(b</w:t>
      </w:r>
      <w:r>
        <w:rPr>
          <w:rFonts w:eastAsia="Times New Roman"/>
          <w:b/>
          <w:bCs/>
          <w:color w:val="000000"/>
          <w:sz w:val="13"/>
          <w:szCs w:val="13"/>
        </w:rPr>
        <w:t>)</w:t>
      </w:r>
      <w:r>
        <w:rPr>
          <w:rFonts w:eastAsia="Times New Roman"/>
          <w:color w:val="000000"/>
          <w:sz w:val="20"/>
          <w:szCs w:val="20"/>
        </w:rPr>
        <w:t>Accelerated stock-based compensation expense, which was recorded within restructuring and other charges, net in the consolidated statements of operations, was recorded in connection with vesting provisions associated with certain separation agreements.</w:t>
      </w:r>
    </w:p>
    <w:p w:rsidR="00000000" w:rsidRDefault="00BB5C2D">
      <w:pPr>
        <w:ind w:hanging="360"/>
        <w:jc w:val="both"/>
        <w:divId w:val="742993986"/>
        <w:rPr>
          <w:rFonts w:eastAsia="Times New Roman"/>
        </w:rPr>
      </w:pPr>
      <w:r>
        <w:rPr>
          <w:rFonts w:eastAsia="Times New Roman"/>
          <w:b/>
          <w:bCs/>
          <w:color w:val="000000"/>
          <w:sz w:val="13"/>
          <w:szCs w:val="13"/>
        </w:rPr>
        <w:t>(c</w:t>
      </w:r>
      <w:r>
        <w:rPr>
          <w:rFonts w:eastAsia="Times New Roman"/>
          <w:b/>
          <w:bCs/>
          <w:color w:val="000000"/>
          <w:sz w:val="13"/>
          <w:szCs w:val="13"/>
        </w:rPr>
        <w:t>)</w:t>
      </w:r>
      <w:r>
        <w:rPr>
          <w:rFonts w:eastAsia="Times New Roman"/>
          <w:color w:val="000000"/>
          <w:sz w:val="20"/>
          <w:szCs w:val="20"/>
        </w:rPr>
        <w:t>Loss on sale of property, which was recorded within restructuring and other charges, net in the consolidated statements of operations, was incurred in connection with the sale of one of the Company's distribution centers in North America. Total cash pro</w:t>
      </w:r>
      <w:r>
        <w:rPr>
          <w:rFonts w:eastAsia="Times New Roman"/>
          <w:color w:val="000000"/>
          <w:sz w:val="20"/>
          <w:szCs w:val="20"/>
        </w:rPr>
        <w:t>ceeds from the sale were $20.0 million.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944117689"/>
          <w:jc w:val="center"/>
        </w:trPr>
        <w:tc>
          <w:tcPr>
            <w:tcW w:w="50" w:type="pct"/>
            <w:vAlign w:val="center"/>
            <w:hideMark/>
          </w:tcPr>
          <w:p w:rsidR="00000000" w:rsidRDefault="00BB5C2D">
            <w:pPr>
              <w:ind w:hanging="36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944117689"/>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F-26</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38" style="width:0;height:1.5pt" o:hralign="center" o:hrstd="t" o:hr="t" fillcolor="#a0a0a0" stroked="f"/>
        </w:pict>
      </w:r>
    </w:p>
    <w:p w:rsidR="00000000" w:rsidRDefault="00BB5C2D">
      <w:pPr>
        <w:jc w:val="center"/>
        <w:divId w:val="827936822"/>
        <w:rPr>
          <w:rFonts w:eastAsia="Times New Roman"/>
        </w:rPr>
      </w:pPr>
    </w:p>
    <w:p w:rsidR="00000000" w:rsidRDefault="00BB5C2D">
      <w:pPr>
        <w:jc w:val="center"/>
        <w:divId w:val="827936822"/>
        <w:rPr>
          <w:rFonts w:eastAsia="Times New Roman"/>
        </w:rPr>
      </w:pPr>
      <w:r>
        <w:rPr>
          <w:rFonts w:eastAsia="Times New Roman"/>
          <w:b/>
          <w:bCs/>
          <w:color w:val="000000"/>
          <w:sz w:val="20"/>
          <w:szCs w:val="20"/>
        </w:rPr>
        <w:t>RALPH LAUREN CORPORATION</w:t>
      </w:r>
    </w:p>
    <w:p w:rsidR="00000000" w:rsidRDefault="00BB5C2D">
      <w:pPr>
        <w:jc w:val="center"/>
        <w:divId w:val="1815877094"/>
        <w:rPr>
          <w:rFonts w:eastAsia="Times New Roman"/>
        </w:rPr>
      </w:pPr>
      <w:r>
        <w:rPr>
          <w:rFonts w:eastAsia="Times New Roman"/>
          <w:b/>
          <w:bCs/>
          <w:color w:val="000000"/>
          <w:sz w:val="20"/>
          <w:szCs w:val="20"/>
        </w:rPr>
        <w:t>NOTES TO CONSOLIDATED FINANCIAL STATEMENTS (Continued)</w:t>
      </w:r>
    </w:p>
    <w:p w:rsidR="00000000" w:rsidRDefault="00BB5C2D">
      <w:pPr>
        <w:ind w:firstLine="540"/>
        <w:jc w:val="both"/>
        <w:divId w:val="916474290"/>
        <w:rPr>
          <w:rFonts w:eastAsia="Times New Roman"/>
        </w:rPr>
      </w:pPr>
      <w:r>
        <w:rPr>
          <w:rFonts w:eastAsia="Times New Roman"/>
          <w:color w:val="000000"/>
          <w:sz w:val="20"/>
          <w:szCs w:val="20"/>
        </w:rPr>
        <w:t>A summary of the activity in the restructuring reserve related to the Fiscal 2019 Restructuring Plan is as follows:</w:t>
      </w:r>
    </w:p>
    <w:tbl>
      <w:tblPr>
        <w:tblW w:w="4729" w:type="pct"/>
        <w:tblCellMar>
          <w:top w:w="15" w:type="dxa"/>
          <w:left w:w="15" w:type="dxa"/>
          <w:bottom w:w="15" w:type="dxa"/>
          <w:right w:w="15" w:type="dxa"/>
        </w:tblCellMar>
        <w:tblLook w:val="04A0" w:firstRow="1" w:lastRow="0" w:firstColumn="1" w:lastColumn="0" w:noHBand="0" w:noVBand="1"/>
      </w:tblPr>
      <w:tblGrid>
        <w:gridCol w:w="39"/>
        <w:gridCol w:w="3527"/>
        <w:gridCol w:w="38"/>
        <w:gridCol w:w="36"/>
        <w:gridCol w:w="39"/>
        <w:gridCol w:w="36"/>
        <w:gridCol w:w="121"/>
        <w:gridCol w:w="831"/>
        <w:gridCol w:w="36"/>
        <w:gridCol w:w="36"/>
        <w:gridCol w:w="36"/>
        <w:gridCol w:w="36"/>
        <w:gridCol w:w="121"/>
        <w:gridCol w:w="822"/>
        <w:gridCol w:w="36"/>
        <w:gridCol w:w="36"/>
        <w:gridCol w:w="36"/>
        <w:gridCol w:w="36"/>
        <w:gridCol w:w="121"/>
        <w:gridCol w:w="750"/>
        <w:gridCol w:w="36"/>
        <w:gridCol w:w="36"/>
        <w:gridCol w:w="36"/>
        <w:gridCol w:w="36"/>
        <w:gridCol w:w="120"/>
        <w:gridCol w:w="787"/>
        <w:gridCol w:w="36"/>
      </w:tblGrid>
      <w:tr w:rsidR="00000000">
        <w:trPr>
          <w:divId w:val="1124081172"/>
        </w:trPr>
        <w:tc>
          <w:tcPr>
            <w:tcW w:w="50" w:type="pct"/>
            <w:vAlign w:val="center"/>
            <w:hideMark/>
          </w:tcPr>
          <w:p w:rsidR="00000000" w:rsidRDefault="00BB5C2D">
            <w:pPr>
              <w:ind w:firstLine="540"/>
              <w:jc w:val="both"/>
              <w:rPr>
                <w:rFonts w:eastAsia="Times New Roman"/>
              </w:rPr>
            </w:pPr>
          </w:p>
        </w:tc>
        <w:tc>
          <w:tcPr>
            <w:tcW w:w="228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63"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63"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63"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63"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124081172"/>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Severance and Benefit Costs</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Lease Termination</w:t>
            </w:r>
            <w:r>
              <w:rPr>
                <w:rFonts w:eastAsia="Times New Roman"/>
                <w:b/>
                <w:bCs/>
                <w:color w:val="000000"/>
                <w:sz w:val="16"/>
                <w:szCs w:val="16"/>
              </w:rPr>
              <w:br/>
              <w:t>and Store</w:t>
            </w:r>
            <w:r>
              <w:rPr>
                <w:rFonts w:eastAsia="Times New Roman"/>
                <w:b/>
                <w:bCs/>
                <w:color w:val="000000"/>
                <w:sz w:val="16"/>
                <w:szCs w:val="16"/>
              </w:rPr>
              <w:br/>
              <w:t>Closure Costs</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Other Cash Charges</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Total</w:t>
            </w:r>
          </w:p>
        </w:tc>
      </w:tr>
      <w:tr w:rsidR="00000000">
        <w:trPr>
          <w:divId w:val="1124081172"/>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1124081172"/>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Balance at March 30, 2019</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41.0 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0.5 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0.1 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41.6 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124081172"/>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Additions charged to expense</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30.1 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0.5 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34.0 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124081172"/>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Cash payments applied against reserve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(47.6)</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(0.6)</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(2.9)</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(51.1)</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124081172"/>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Non-cash adjustments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(0.4)</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(0.4)</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124081172"/>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Balance at March 28, 2020</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124081172"/>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Additions charged to expense</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124081172"/>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Cash payments applied against reserve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(20.8)</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(0.6)</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(21.4)</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124081172"/>
        </w:trPr>
        <w:tc>
          <w:tcPr>
            <w:tcW w:w="0" w:type="auto"/>
            <w:gridSpan w:val="3"/>
            <w:vAlign w:val="center"/>
            <w:hideMark/>
          </w:tcPr>
          <w:p w:rsidR="00000000" w:rsidRDefault="00BB5C2D">
            <w:pPr>
              <w:spacing w:after="100"/>
              <w:jc w:val="right"/>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r>
      <w:tr w:rsidR="00000000">
        <w:trPr>
          <w:divId w:val="1124081172"/>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Balance at March 27, 2021</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124081172"/>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Additions charged to expense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124081172"/>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Cash payments applied against reserve</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124081172"/>
        </w:trPr>
        <w:tc>
          <w:tcPr>
            <w:tcW w:w="0" w:type="auto"/>
            <w:gridSpan w:val="3"/>
            <w:vAlign w:val="center"/>
            <w:hideMark/>
          </w:tcPr>
          <w:p w:rsidR="00000000" w:rsidRDefault="00BB5C2D">
            <w:pPr>
              <w:spacing w:after="100"/>
              <w:jc w:val="right"/>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r>
      <w:tr w:rsidR="00000000">
        <w:trPr>
          <w:divId w:val="1124081172"/>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Balance at April 2, 2022</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bl>
    <w:p w:rsidR="00000000" w:rsidRDefault="00BB5C2D">
      <w:pPr>
        <w:ind w:firstLine="360"/>
        <w:jc w:val="both"/>
        <w:divId w:val="1865442590"/>
        <w:rPr>
          <w:rFonts w:eastAsia="Times New Roman"/>
        </w:rPr>
      </w:pPr>
      <w:r>
        <w:rPr>
          <w:rFonts w:eastAsia="Times New Roman"/>
          <w:b/>
          <w:bCs/>
          <w:i/>
          <w:iCs/>
          <w:color w:val="000000"/>
          <w:sz w:val="20"/>
          <w:szCs w:val="20"/>
        </w:rPr>
        <w:t>Other Charges</w:t>
      </w:r>
    </w:p>
    <w:p w:rsidR="00000000" w:rsidRDefault="00BB5C2D">
      <w:pPr>
        <w:ind w:firstLine="540"/>
        <w:jc w:val="both"/>
        <w:divId w:val="1398746680"/>
        <w:rPr>
          <w:rFonts w:eastAsia="Times New Roman"/>
        </w:rPr>
      </w:pPr>
      <w:r>
        <w:rPr>
          <w:rFonts w:eastAsia="Times New Roman"/>
          <w:color w:val="000000"/>
          <w:sz w:val="20"/>
          <w:szCs w:val="20"/>
          <w:shd w:val="clear" w:color="auto" w:fill="FFFFFF"/>
        </w:rPr>
        <w:t>The Company recorded other charges of</w:t>
      </w:r>
      <w:r>
        <w:rPr>
          <w:rFonts w:eastAsia="Times New Roman"/>
          <w:color w:val="000000"/>
          <w:sz w:val="20"/>
          <w:szCs w:val="20"/>
        </w:rPr>
        <w:t xml:space="preserve"> $11.8 million, $11.4 million</w:t>
      </w:r>
      <w:r>
        <w:rPr>
          <w:rFonts w:eastAsia="Times New Roman"/>
          <w:color w:val="000000"/>
          <w:sz w:val="20"/>
          <w:szCs w:val="20"/>
        </w:rPr>
        <w:t xml:space="preserve">, and $8.8 million during Fiscal 2022, Fiscal 2021, and Fiscal 2020, respectively, </w:t>
      </w:r>
      <w:r>
        <w:rPr>
          <w:rFonts w:eastAsia="Times New Roman"/>
          <w:color w:val="000000"/>
          <w:sz w:val="20"/>
          <w:szCs w:val="20"/>
          <w:shd w:val="clear" w:color="auto" w:fill="FFFFFF"/>
        </w:rPr>
        <w:t>primarily related to rent and occupancy costs associated with certain previously exited real estate locations for which the related lease agreements have not yet expired.</w:t>
      </w:r>
    </w:p>
    <w:p w:rsidR="00000000" w:rsidRDefault="00BB5C2D">
      <w:pPr>
        <w:ind w:firstLine="540"/>
        <w:jc w:val="both"/>
        <w:divId w:val="1039236314"/>
        <w:rPr>
          <w:rFonts w:eastAsia="Times New Roman"/>
        </w:rPr>
      </w:pPr>
      <w:r>
        <w:rPr>
          <w:rFonts w:eastAsia="Times New Roman"/>
          <w:color w:val="000000"/>
          <w:sz w:val="20"/>
          <w:szCs w:val="20"/>
          <w:shd w:val="clear" w:color="auto" w:fill="FFFFFF"/>
        </w:rPr>
        <w:t>Ad</w:t>
      </w:r>
      <w:r>
        <w:rPr>
          <w:rFonts w:eastAsia="Times New Roman"/>
          <w:color w:val="000000"/>
          <w:sz w:val="20"/>
          <w:szCs w:val="20"/>
          <w:shd w:val="clear" w:color="auto" w:fill="FFFFFF"/>
        </w:rPr>
        <w:t xml:space="preserve">ditionally, during Fiscal 2022, the Company recorded a charge of </w:t>
      </w:r>
      <w:r>
        <w:rPr>
          <w:rFonts w:eastAsia="Times New Roman"/>
          <w:color w:val="000000"/>
          <w:sz w:val="20"/>
          <w:szCs w:val="20"/>
        </w:rPr>
        <w:t>$6.4 million</w:t>
      </w:r>
      <w:r>
        <w:rPr>
          <w:rFonts w:eastAsia="Times New Roman"/>
          <w:color w:val="000000"/>
          <w:sz w:val="20"/>
          <w:szCs w:val="20"/>
          <w:shd w:val="clear" w:color="auto" w:fill="FFFFFF"/>
        </w:rPr>
        <w:t xml:space="preserve"> in connection with non-income-related capital taxes resulting from Swiss tax reform (see </w:t>
      </w:r>
      <w:r>
        <w:rPr>
          <w:rFonts w:eastAsia="Times New Roman"/>
          <w:color w:val="000000"/>
          <w:sz w:val="20"/>
          <w:szCs w:val="20"/>
        </w:rPr>
        <w:t>Note 10)</w:t>
      </w:r>
      <w:r>
        <w:rPr>
          <w:rFonts w:eastAsia="Times New Roman"/>
          <w:color w:val="000000"/>
          <w:sz w:val="20"/>
          <w:szCs w:val="20"/>
          <w:shd w:val="clear" w:color="auto" w:fill="FFFFFF"/>
        </w:rPr>
        <w:t xml:space="preserve">. </w:t>
      </w:r>
      <w:r>
        <w:rPr>
          <w:rFonts w:eastAsia="Times New Roman"/>
          <w:color w:val="000000"/>
          <w:sz w:val="20"/>
          <w:szCs w:val="20"/>
        </w:rPr>
        <w:t>During Fiscal 2020, the Company also recorded other charges of $20.8 million re</w:t>
      </w:r>
      <w:r>
        <w:rPr>
          <w:rFonts w:eastAsia="Times New Roman"/>
          <w:color w:val="000000"/>
          <w:sz w:val="20"/>
          <w:szCs w:val="20"/>
        </w:rPr>
        <w:t xml:space="preserve">lated to the donation of net cash proceeds received from the sale of its corporate jet, which was paid to the Ralph Lauren Corporate Foundation. </w:t>
      </w:r>
    </w:p>
    <w:p w:rsidR="00000000" w:rsidRDefault="00BB5C2D">
      <w:pPr>
        <w:ind w:hanging="540"/>
        <w:divId w:val="1803960544"/>
        <w:rPr>
          <w:rFonts w:eastAsia="Times New Roman"/>
        </w:rPr>
      </w:pPr>
      <w:r>
        <w:rPr>
          <w:rFonts w:eastAsia="Times New Roman"/>
          <w:b/>
          <w:bCs/>
          <w:color w:val="000000"/>
          <w:sz w:val="20"/>
          <w:szCs w:val="20"/>
        </w:rPr>
        <w:t>10.    Income Taxes</w:t>
      </w:r>
    </w:p>
    <w:p w:rsidR="00000000" w:rsidRDefault="00BB5C2D">
      <w:pPr>
        <w:ind w:firstLine="360"/>
        <w:jc w:val="both"/>
        <w:divId w:val="1781335571"/>
        <w:rPr>
          <w:rFonts w:eastAsia="Times New Roman"/>
        </w:rPr>
      </w:pPr>
      <w:r>
        <w:rPr>
          <w:rFonts w:eastAsia="Times New Roman"/>
          <w:b/>
          <w:bCs/>
          <w:i/>
          <w:iCs/>
          <w:color w:val="000000"/>
          <w:sz w:val="20"/>
          <w:szCs w:val="20"/>
        </w:rPr>
        <w:t>Swiss Tax Reform</w:t>
      </w:r>
    </w:p>
    <w:p w:rsidR="00000000" w:rsidRDefault="00BB5C2D">
      <w:pPr>
        <w:ind w:firstLine="540"/>
        <w:jc w:val="both"/>
        <w:divId w:val="161742950"/>
        <w:rPr>
          <w:rFonts w:eastAsia="Times New Roman"/>
        </w:rPr>
      </w:pPr>
      <w:r>
        <w:rPr>
          <w:rFonts w:eastAsia="Times New Roman"/>
          <w:color w:val="000000"/>
          <w:sz w:val="20"/>
          <w:szCs w:val="20"/>
        </w:rPr>
        <w:t>In May 2019, a public referendum was held in Switzerland that approved the Federal Act on Tax Reform and AHV Financing (the "Swiss Tax Act"), which became effective January 1, 2020. The Swiss Tax Act eliminates certain preferential tax items at both the fe</w:t>
      </w:r>
      <w:r>
        <w:rPr>
          <w:rFonts w:eastAsia="Times New Roman"/>
          <w:color w:val="000000"/>
          <w:sz w:val="20"/>
          <w:szCs w:val="20"/>
        </w:rPr>
        <w:t>deral and cantonal levels for multinational companies, and provides the cantons with parameters for establishing local tax rates and regulations. The Swiss Tax Act also provides transitional provisions, one of which allows eligible companies to increase th</w:t>
      </w:r>
      <w:r>
        <w:rPr>
          <w:rFonts w:eastAsia="Times New Roman"/>
          <w:color w:val="000000"/>
          <w:sz w:val="20"/>
          <w:szCs w:val="20"/>
        </w:rPr>
        <w:t>e tax basis of certain assets based on the value generated by their business in previous years, and to amortize such adjustment as a tax deduction over a transitional period.</w:t>
      </w:r>
    </w:p>
    <w:p w:rsidR="00000000" w:rsidRDefault="00BB5C2D">
      <w:pPr>
        <w:ind w:firstLine="540"/>
        <w:jc w:val="both"/>
        <w:divId w:val="1604265967"/>
        <w:rPr>
          <w:rFonts w:eastAsia="Times New Roman"/>
        </w:rPr>
      </w:pPr>
      <w:r>
        <w:rPr>
          <w:rFonts w:eastAsia="Times New Roman"/>
          <w:color w:val="000000"/>
          <w:sz w:val="20"/>
          <w:szCs w:val="20"/>
        </w:rPr>
        <w:t>During the second quarter of Fiscal 2020, the Swiss Tax Act was enacted into law,</w:t>
      </w:r>
      <w:r>
        <w:rPr>
          <w:rFonts w:eastAsia="Times New Roman"/>
          <w:color w:val="000000"/>
          <w:sz w:val="20"/>
          <w:szCs w:val="20"/>
        </w:rPr>
        <w:t xml:space="preserve"> resulting in an immaterial adjustment associated with the revaluation of the Company's Swiss deferred tax assets and liabilities and the then estimated annual effective tax rate. Subsequently, as a result of additional information received from tax author</w:t>
      </w:r>
      <w:r>
        <w:rPr>
          <w:rFonts w:eastAsia="Times New Roman"/>
          <w:color w:val="000000"/>
          <w:sz w:val="20"/>
          <w:szCs w:val="20"/>
        </w:rPr>
        <w:t xml:space="preserve">ities and analyses performed related to the transitional provision noted above, the Company recorded a one-time income tax benefit and corresponding deferred tax asset of $122.9 million during Fiscal 2020, which reduced the Company's effective tax rate by </w:t>
      </w:r>
      <w:r>
        <w:rPr>
          <w:rFonts w:eastAsia="Times New Roman"/>
          <w:color w:val="000000"/>
          <w:sz w:val="20"/>
          <w:szCs w:val="20"/>
        </w:rPr>
        <w:t>3,760 basis points.</w:t>
      </w:r>
    </w:p>
    <w:p w:rsidR="00000000" w:rsidRDefault="00BB5C2D">
      <w:pPr>
        <w:ind w:firstLine="540"/>
        <w:jc w:val="both"/>
        <w:divId w:val="139614138"/>
        <w:rPr>
          <w:rFonts w:eastAsia="Times New Roman"/>
        </w:rPr>
      </w:pPr>
      <w:r>
        <w:rPr>
          <w:rFonts w:eastAsia="Times New Roman"/>
          <w:color w:val="000000"/>
          <w:sz w:val="20"/>
          <w:szCs w:val="20"/>
        </w:rPr>
        <w:t>During Fiscal 2021, the Company reduced its one-time tax benefit by $13.8 million due to new legislation enacted in connection with the European Union's anti-tax avoidance directive, which increased the Company's effective tax rate by 1</w:t>
      </w:r>
      <w:r>
        <w:rPr>
          <w:rFonts w:eastAsia="Times New Roman"/>
          <w:color w:val="000000"/>
          <w:sz w:val="20"/>
          <w:szCs w:val="20"/>
        </w:rPr>
        <w:t>,840 basis points.</w:t>
      </w:r>
    </w:p>
    <w:p w:rsidR="00000000" w:rsidRDefault="00BB5C2D">
      <w:pPr>
        <w:ind w:firstLine="540"/>
        <w:jc w:val="both"/>
        <w:divId w:val="318732473"/>
        <w:rPr>
          <w:rFonts w:eastAsia="Times New Roman"/>
        </w:rPr>
      </w:pPr>
      <w:r>
        <w:rPr>
          <w:rFonts w:eastAsia="Times New Roman"/>
          <w:color w:val="000000"/>
          <w:sz w:val="20"/>
          <w:szCs w:val="20"/>
        </w:rPr>
        <w:t>Additionally, during Fiscal 2022, the Company recorded a charge of $6.4 million within restructuring and other charges, net in the consolidated statements of operations in connection with non-income-related capital taxes resulting from S</w:t>
      </w:r>
      <w:r>
        <w:rPr>
          <w:rFonts w:eastAsia="Times New Roman"/>
          <w:color w:val="000000"/>
          <w:sz w:val="20"/>
          <w:szCs w:val="20"/>
        </w:rPr>
        <w:t xml:space="preserve">wiss Tax Reform.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9915616"/>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9915616"/>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F-27</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39" style="width:0;height:1.5pt" o:hralign="center" o:hrstd="t" o:hr="t" fillcolor="#a0a0a0" stroked="f"/>
        </w:pict>
      </w:r>
    </w:p>
    <w:p w:rsidR="00000000" w:rsidRDefault="00BB5C2D">
      <w:pPr>
        <w:jc w:val="center"/>
        <w:divId w:val="1121073817"/>
        <w:rPr>
          <w:rFonts w:eastAsia="Times New Roman"/>
        </w:rPr>
      </w:pPr>
    </w:p>
    <w:p w:rsidR="00000000" w:rsidRDefault="00BB5C2D">
      <w:pPr>
        <w:jc w:val="center"/>
        <w:divId w:val="1121073817"/>
        <w:rPr>
          <w:rFonts w:eastAsia="Times New Roman"/>
        </w:rPr>
      </w:pPr>
      <w:r>
        <w:rPr>
          <w:rFonts w:eastAsia="Times New Roman"/>
          <w:b/>
          <w:bCs/>
          <w:color w:val="000000"/>
          <w:sz w:val="20"/>
          <w:szCs w:val="20"/>
        </w:rPr>
        <w:t>RALPH LAUREN CORPORATION</w:t>
      </w:r>
    </w:p>
    <w:p w:rsidR="00000000" w:rsidRDefault="00BB5C2D">
      <w:pPr>
        <w:jc w:val="center"/>
        <w:divId w:val="1263295750"/>
        <w:rPr>
          <w:rFonts w:eastAsia="Times New Roman"/>
        </w:rPr>
      </w:pPr>
      <w:r>
        <w:rPr>
          <w:rFonts w:eastAsia="Times New Roman"/>
          <w:b/>
          <w:bCs/>
          <w:color w:val="000000"/>
          <w:sz w:val="20"/>
          <w:szCs w:val="20"/>
        </w:rPr>
        <w:t>NOTES TO CONSOLIDATED FINANCIAL STATEMENTS (Continued)</w:t>
      </w:r>
    </w:p>
    <w:p w:rsidR="00000000" w:rsidRDefault="00BB5C2D">
      <w:pPr>
        <w:ind w:firstLine="360"/>
        <w:jc w:val="both"/>
        <w:divId w:val="231087882"/>
        <w:rPr>
          <w:rFonts w:eastAsia="Times New Roman"/>
        </w:rPr>
      </w:pPr>
      <w:r>
        <w:rPr>
          <w:rFonts w:eastAsia="Times New Roman"/>
          <w:b/>
          <w:bCs/>
          <w:i/>
          <w:iCs/>
          <w:color w:val="000000"/>
          <w:sz w:val="20"/>
          <w:szCs w:val="20"/>
        </w:rPr>
        <w:t>Taxes on Income</w:t>
      </w:r>
    </w:p>
    <w:p w:rsidR="00000000" w:rsidRDefault="00BB5C2D">
      <w:pPr>
        <w:ind w:firstLine="540"/>
        <w:jc w:val="both"/>
        <w:divId w:val="1453982794"/>
        <w:rPr>
          <w:rFonts w:eastAsia="Times New Roman"/>
        </w:rPr>
      </w:pPr>
      <w:r>
        <w:rPr>
          <w:rFonts w:eastAsia="Times New Roman"/>
          <w:color w:val="000000"/>
          <w:sz w:val="20"/>
          <w:szCs w:val="20"/>
        </w:rPr>
        <w:t>Domestic and foreign pretax income (loss) are as follows:</w:t>
      </w:r>
    </w:p>
    <w:tbl>
      <w:tblPr>
        <w:tblW w:w="4722" w:type="pct"/>
        <w:tblCellMar>
          <w:top w:w="15" w:type="dxa"/>
          <w:left w:w="15" w:type="dxa"/>
          <w:bottom w:w="15" w:type="dxa"/>
          <w:right w:w="15" w:type="dxa"/>
        </w:tblCellMar>
        <w:tblLook w:val="04A0" w:firstRow="1" w:lastRow="0" w:firstColumn="1" w:lastColumn="0" w:noHBand="0" w:noVBand="1"/>
      </w:tblPr>
      <w:tblGrid>
        <w:gridCol w:w="37"/>
        <w:gridCol w:w="4713"/>
        <w:gridCol w:w="36"/>
        <w:gridCol w:w="36"/>
        <w:gridCol w:w="36"/>
        <w:gridCol w:w="36"/>
        <w:gridCol w:w="120"/>
        <w:gridCol w:w="755"/>
        <w:gridCol w:w="36"/>
        <w:gridCol w:w="36"/>
        <w:gridCol w:w="36"/>
        <w:gridCol w:w="36"/>
        <w:gridCol w:w="120"/>
        <w:gridCol w:w="755"/>
        <w:gridCol w:w="36"/>
        <w:gridCol w:w="36"/>
        <w:gridCol w:w="36"/>
        <w:gridCol w:w="36"/>
        <w:gridCol w:w="120"/>
        <w:gridCol w:w="756"/>
        <w:gridCol w:w="36"/>
      </w:tblGrid>
      <w:tr w:rsidR="00000000">
        <w:trPr>
          <w:divId w:val="826019055"/>
        </w:trPr>
        <w:tc>
          <w:tcPr>
            <w:tcW w:w="50" w:type="pct"/>
            <w:vAlign w:val="center"/>
            <w:hideMark/>
          </w:tcPr>
          <w:p w:rsidR="00000000" w:rsidRDefault="00BB5C2D">
            <w:pPr>
              <w:ind w:firstLine="540"/>
              <w:jc w:val="both"/>
              <w:rPr>
                <w:rFonts w:eastAsia="Times New Roman"/>
              </w:rPr>
            </w:pPr>
          </w:p>
        </w:tc>
        <w:tc>
          <w:tcPr>
            <w:tcW w:w="304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4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4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41"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826019055"/>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Years Ended</w:t>
            </w:r>
          </w:p>
        </w:tc>
      </w:tr>
      <w:tr w:rsidR="00000000">
        <w:trPr>
          <w:divId w:val="826019055"/>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r>
      <w:tr w:rsidR="00000000">
        <w:trPr>
          <w:divId w:val="826019055"/>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826019055"/>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Domestic</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180.7 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(285.0)</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(82.9)</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826019055"/>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Foreign</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573.9 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210.2 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409.3 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826019055"/>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income (loss) before income taxes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754.6 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(74.8)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326.4 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bl>
    <w:p w:rsidR="00000000" w:rsidRDefault="00BB5C2D">
      <w:pPr>
        <w:ind w:firstLine="540"/>
        <w:jc w:val="both"/>
        <w:divId w:val="1208949816"/>
        <w:rPr>
          <w:rFonts w:eastAsia="Times New Roman"/>
        </w:rPr>
      </w:pPr>
      <w:r>
        <w:rPr>
          <w:rFonts w:eastAsia="Times New Roman"/>
          <w:color w:val="000000"/>
          <w:sz w:val="20"/>
          <w:szCs w:val="20"/>
        </w:rPr>
        <w:t xml:space="preserve">Benefits (provisions) for current and deferred income taxes are as follows: </w:t>
      </w:r>
    </w:p>
    <w:tbl>
      <w:tblPr>
        <w:tblW w:w="4722" w:type="pct"/>
        <w:tblCellMar>
          <w:top w:w="15" w:type="dxa"/>
          <w:left w:w="15" w:type="dxa"/>
          <w:bottom w:w="15" w:type="dxa"/>
          <w:right w:w="15" w:type="dxa"/>
        </w:tblCellMar>
        <w:tblLook w:val="04A0" w:firstRow="1" w:lastRow="0" w:firstColumn="1" w:lastColumn="0" w:noHBand="0" w:noVBand="1"/>
      </w:tblPr>
      <w:tblGrid>
        <w:gridCol w:w="39"/>
        <w:gridCol w:w="4709"/>
        <w:gridCol w:w="37"/>
        <w:gridCol w:w="36"/>
        <w:gridCol w:w="36"/>
        <w:gridCol w:w="36"/>
        <w:gridCol w:w="120"/>
        <w:gridCol w:w="755"/>
        <w:gridCol w:w="36"/>
        <w:gridCol w:w="36"/>
        <w:gridCol w:w="36"/>
        <w:gridCol w:w="36"/>
        <w:gridCol w:w="120"/>
        <w:gridCol w:w="755"/>
        <w:gridCol w:w="36"/>
        <w:gridCol w:w="36"/>
        <w:gridCol w:w="36"/>
        <w:gridCol w:w="36"/>
        <w:gridCol w:w="121"/>
        <w:gridCol w:w="756"/>
        <w:gridCol w:w="36"/>
      </w:tblGrid>
      <w:tr w:rsidR="00000000">
        <w:trPr>
          <w:divId w:val="1019354726"/>
        </w:trPr>
        <w:tc>
          <w:tcPr>
            <w:tcW w:w="50" w:type="pct"/>
            <w:vAlign w:val="center"/>
            <w:hideMark/>
          </w:tcPr>
          <w:p w:rsidR="00000000" w:rsidRDefault="00BB5C2D">
            <w:pPr>
              <w:ind w:firstLine="540"/>
              <w:jc w:val="both"/>
              <w:rPr>
                <w:rFonts w:eastAsia="Times New Roman"/>
              </w:rPr>
            </w:pPr>
          </w:p>
        </w:tc>
        <w:tc>
          <w:tcPr>
            <w:tcW w:w="304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4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4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41"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019354726"/>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Years Ended</w:t>
            </w:r>
          </w:p>
        </w:tc>
      </w:tr>
      <w:tr w:rsidR="00000000">
        <w:trPr>
          <w:divId w:val="1019354726"/>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r>
      <w:tr w:rsidR="00000000">
        <w:trPr>
          <w:divId w:val="1019354726"/>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1019354726"/>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Current: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019354726"/>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Federal</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(24.2)</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38.5 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019354726"/>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State and local</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(21.6)</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(19.8)</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019354726"/>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Foreign</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(154.8)</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(50.7)</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(92.6)</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019354726"/>
        </w:trPr>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(200.6)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(110.9)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019354726"/>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Deferred:</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019354726"/>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Federal</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53.8 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(19.2)</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18.0 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019354726"/>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State and local</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8.2 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5.6 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019354726"/>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Foreign</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(15.9)</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w:t>
            </w:r>
            <w:r>
              <w:rPr>
                <w:rFonts w:eastAsia="Times New Roman"/>
                <w:color w:val="000000"/>
                <w:sz w:val="20"/>
                <w:szCs w:val="20"/>
              </w:rPr>
              <w:t>19.9)</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145.2 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019354726"/>
        </w:trPr>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(35.6)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168.8 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019354726"/>
        </w:trPr>
        <w:tc>
          <w:tcPr>
            <w:tcW w:w="0" w:type="auto"/>
            <w:gridSpan w:val="3"/>
            <w:shd w:val="clear" w:color="auto" w:fill="CCEEFF"/>
            <w:tcMar>
              <w:top w:w="30" w:type="dxa"/>
              <w:left w:w="24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income tax benefit (provision)</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(154.5)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(46.3)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trPr>
          <w:jc w:val="center"/>
        </w:trPr>
        <w:tc>
          <w:tcPr>
            <w:tcW w:w="50" w:type="pct"/>
            <w:vAlign w:val="center"/>
            <w:hideMark/>
          </w:tcPr>
          <w:p w:rsidR="00000000" w:rsidRDefault="00BB5C2D">
            <w:pPr>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F-28</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40" style="width:0;height:1.5pt" o:hralign="center" o:hrstd="t" o:hr="t" fillcolor="#a0a0a0" stroked="f"/>
        </w:pict>
      </w:r>
    </w:p>
    <w:p w:rsidR="00000000" w:rsidRDefault="00BB5C2D">
      <w:pPr>
        <w:jc w:val="center"/>
        <w:divId w:val="1155491924"/>
        <w:rPr>
          <w:rFonts w:eastAsia="Times New Roman"/>
        </w:rPr>
      </w:pPr>
    </w:p>
    <w:p w:rsidR="00000000" w:rsidRDefault="00BB5C2D">
      <w:pPr>
        <w:jc w:val="center"/>
        <w:divId w:val="1155491924"/>
        <w:rPr>
          <w:rFonts w:eastAsia="Times New Roman"/>
        </w:rPr>
      </w:pPr>
      <w:r>
        <w:rPr>
          <w:rFonts w:eastAsia="Times New Roman"/>
          <w:b/>
          <w:bCs/>
          <w:color w:val="000000"/>
          <w:sz w:val="20"/>
          <w:szCs w:val="20"/>
        </w:rPr>
        <w:t>RALPH LAUREN CORPORATION</w:t>
      </w:r>
    </w:p>
    <w:p w:rsidR="00000000" w:rsidRDefault="00BB5C2D">
      <w:pPr>
        <w:jc w:val="center"/>
        <w:divId w:val="1773435888"/>
        <w:rPr>
          <w:rFonts w:eastAsia="Times New Roman"/>
        </w:rPr>
      </w:pPr>
      <w:r>
        <w:rPr>
          <w:rFonts w:eastAsia="Times New Roman"/>
          <w:b/>
          <w:bCs/>
          <w:color w:val="000000"/>
          <w:sz w:val="20"/>
          <w:szCs w:val="20"/>
        </w:rPr>
        <w:t>NOTES TO CONSOLIDATED FINANCIAL STATEMENTS (Continued)</w:t>
      </w:r>
    </w:p>
    <w:p w:rsidR="00000000" w:rsidRDefault="00BB5C2D">
      <w:pPr>
        <w:ind w:firstLine="360"/>
        <w:divId w:val="1946839981"/>
        <w:rPr>
          <w:rFonts w:eastAsia="Times New Roman"/>
        </w:rPr>
      </w:pPr>
      <w:r>
        <w:rPr>
          <w:rFonts w:eastAsia="Times New Roman"/>
          <w:b/>
          <w:bCs/>
          <w:i/>
          <w:iCs/>
          <w:color w:val="000000"/>
          <w:sz w:val="20"/>
          <w:szCs w:val="20"/>
        </w:rPr>
        <w:t>Tax Rate Reconciliation</w:t>
      </w:r>
    </w:p>
    <w:p w:rsidR="00000000" w:rsidRDefault="00BB5C2D">
      <w:pPr>
        <w:ind w:firstLine="540"/>
        <w:jc w:val="both"/>
        <w:divId w:val="2046099526"/>
        <w:rPr>
          <w:rFonts w:eastAsia="Times New Roman"/>
        </w:rPr>
      </w:pPr>
      <w:r>
        <w:rPr>
          <w:rFonts w:eastAsia="Times New Roman"/>
          <w:color w:val="000000"/>
          <w:sz w:val="20"/>
          <w:szCs w:val="20"/>
        </w:rPr>
        <w:t>The differences between income taxes expected at the U.S. federal statutory income tax rate and income taxes provi</w:t>
      </w:r>
      <w:r>
        <w:rPr>
          <w:rFonts w:eastAsia="Times New Roman"/>
          <w:color w:val="000000"/>
          <w:sz w:val="20"/>
          <w:szCs w:val="20"/>
        </w:rPr>
        <w:t xml:space="preserve">ded are as follows: </w:t>
      </w:r>
    </w:p>
    <w:tbl>
      <w:tblPr>
        <w:tblW w:w="4722" w:type="pct"/>
        <w:tblCellMar>
          <w:top w:w="15" w:type="dxa"/>
          <w:left w:w="15" w:type="dxa"/>
          <w:bottom w:w="15" w:type="dxa"/>
          <w:right w:w="15" w:type="dxa"/>
        </w:tblCellMar>
        <w:tblLook w:val="04A0" w:firstRow="1" w:lastRow="0" w:firstColumn="1" w:lastColumn="0" w:noHBand="0" w:noVBand="1"/>
      </w:tblPr>
      <w:tblGrid>
        <w:gridCol w:w="40"/>
        <w:gridCol w:w="4578"/>
        <w:gridCol w:w="39"/>
        <w:gridCol w:w="36"/>
        <w:gridCol w:w="36"/>
        <w:gridCol w:w="36"/>
        <w:gridCol w:w="120"/>
        <w:gridCol w:w="623"/>
        <w:gridCol w:w="170"/>
        <w:gridCol w:w="36"/>
        <w:gridCol w:w="36"/>
        <w:gridCol w:w="36"/>
        <w:gridCol w:w="120"/>
        <w:gridCol w:w="624"/>
        <w:gridCol w:w="230"/>
        <w:gridCol w:w="36"/>
        <w:gridCol w:w="36"/>
        <w:gridCol w:w="36"/>
        <w:gridCol w:w="120"/>
        <w:gridCol w:w="626"/>
        <w:gridCol w:w="230"/>
      </w:tblGrid>
      <w:tr w:rsidR="00000000">
        <w:trPr>
          <w:divId w:val="694775183"/>
        </w:trPr>
        <w:tc>
          <w:tcPr>
            <w:tcW w:w="50" w:type="pct"/>
            <w:vAlign w:val="center"/>
            <w:hideMark/>
          </w:tcPr>
          <w:p w:rsidR="00000000" w:rsidRDefault="00BB5C2D">
            <w:pPr>
              <w:ind w:firstLine="540"/>
              <w:jc w:val="both"/>
              <w:rPr>
                <w:rFonts w:eastAsia="Times New Roman"/>
              </w:rPr>
            </w:pPr>
          </w:p>
        </w:tc>
        <w:tc>
          <w:tcPr>
            <w:tcW w:w="304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4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4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41"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694775183"/>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Years Ended</w:t>
            </w:r>
          </w:p>
        </w:tc>
      </w:tr>
      <w:tr w:rsidR="00000000">
        <w:trPr>
          <w:divId w:val="694775183"/>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r>
      <w:tr w:rsidR="00000000">
        <w:trPr>
          <w:divId w:val="694775183"/>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694775183"/>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Benefit (provision) for income taxes at the U.S. federal statutory rate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(158.5)</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15.7 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(68.5)</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694775183"/>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Change due to:</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694775183"/>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State and local income taxes, net of federal benefit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(14.5)</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6.1 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(1.5)</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694775183"/>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Foreign income taxed at different rates, net of U.S. foreign tax credits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(4.8)</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24.7 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694775183"/>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Deferred tax adjustments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694775183"/>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Foreign-derived intangible income benefit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20.3 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694775183"/>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Changes in valuation allowance on deferred tax assets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(34.9)</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(1.7)</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694775183"/>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Unrecognized tax benefits and settlements of tax examinations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(11.5)</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(4.6)</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(9.2)</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694775183"/>
        </w:trPr>
        <w:tc>
          <w:tcPr>
            <w:tcW w:w="0" w:type="auto"/>
            <w:gridSpan w:val="3"/>
            <w:vAlign w:val="center"/>
            <w:hideMark/>
          </w:tcPr>
          <w:p w:rsidR="00000000" w:rsidRDefault="00BB5C2D">
            <w:pPr>
              <w:spacing w:after="100"/>
              <w:jc w:val="right"/>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r>
      <w:tr w:rsidR="00000000">
        <w:trPr>
          <w:divId w:val="694775183"/>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Swiss Tax Act benefit (expense)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(13.8)</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125.3 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694775183"/>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Compensation-related adjustments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(9.4)</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(12.9)</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(10.7)</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694775183"/>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Charitable contributions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7.4 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0.2 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694775183"/>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Transfer pricing adjustments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(4.1)</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694775183"/>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Other</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6.4 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(0.4)</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(0.7)</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694775183"/>
        </w:trPr>
        <w:tc>
          <w:tcPr>
            <w:tcW w:w="0" w:type="auto"/>
            <w:gridSpan w:val="3"/>
            <w:shd w:val="clear" w:color="auto" w:fill="FFFFFF"/>
            <w:tcMar>
              <w:top w:w="30" w:type="dxa"/>
              <w:left w:w="24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income tax benefit (provision)</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(154.5)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(46.3)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694775183"/>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divId w:val="2016107472"/>
              <w:rPr>
                <w:rFonts w:eastAsia="Times New Roman"/>
              </w:rPr>
            </w:pPr>
            <w:r>
              <w:rPr>
                <w:rFonts w:eastAsia="Times New Roman"/>
                <w:color w:val="000000"/>
                <w:sz w:val="20"/>
                <w:szCs w:val="20"/>
              </w:rPr>
              <w:t>Effective tax rat</w:t>
            </w:r>
            <w:r>
              <w:rPr>
                <w:rFonts w:eastAsia="Times New Roman"/>
                <w:color w:val="000000"/>
                <w:sz w:val="20"/>
                <w:szCs w:val="20"/>
              </w:rPr>
              <w:t>e</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i/>
                <w:iCs/>
                <w:color w:val="000000"/>
                <w:sz w:val="18"/>
                <w:szCs w:val="18"/>
              </w:rPr>
              <w:t>20.5 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i/>
                <w:i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i/>
                <w:iCs/>
                <w:color w:val="000000"/>
                <w:sz w:val="18"/>
                <w:szCs w:val="18"/>
              </w:rPr>
              <w:t>(61.9 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i/>
                <w:i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i/>
                <w:iCs/>
                <w:color w:val="000000"/>
                <w:sz w:val="18"/>
                <w:szCs w:val="18"/>
              </w:rPr>
              <w:t>(17.7 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i/>
                <w:iCs/>
                <w:color w:val="000000"/>
                <w:sz w:val="18"/>
                <w:szCs w:val="18"/>
              </w:rPr>
              <w:t>%)</w:t>
            </w: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BB5C2D">
            <w:pPr>
              <w:rPr>
                <w:rFonts w:eastAsia="Times New Roman"/>
              </w:rPr>
            </w:pPr>
          </w:p>
        </w:tc>
        <w:tc>
          <w:tcPr>
            <w:tcW w:w="494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r>
    </w:tbl>
    <w:p w:rsidR="00000000" w:rsidRDefault="00BB5C2D">
      <w:pPr>
        <w:ind w:hanging="360"/>
        <w:jc w:val="both"/>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Effective tax rate is calculated by dividing the income tax benefit (provision) by income (loss) before income taxes.</w:t>
      </w:r>
    </w:p>
    <w:p w:rsidR="00000000" w:rsidRDefault="00BB5C2D">
      <w:pPr>
        <w:ind w:firstLine="540"/>
        <w:jc w:val="both"/>
        <w:divId w:val="1603217742"/>
        <w:rPr>
          <w:rFonts w:eastAsia="Times New Roman"/>
        </w:rPr>
      </w:pPr>
      <w:r>
        <w:rPr>
          <w:rFonts w:eastAsia="Times New Roman"/>
          <w:color w:val="000000"/>
          <w:sz w:val="20"/>
          <w:szCs w:val="20"/>
        </w:rPr>
        <w:t>The Company's Fiscal 2022 effective tax rate was slightly lower than the U.S. federal statutory income tax rate of 21% primarily due to fa</w:t>
      </w:r>
      <w:r>
        <w:rPr>
          <w:rFonts w:eastAsia="Times New Roman"/>
          <w:color w:val="000000"/>
          <w:sz w:val="20"/>
          <w:szCs w:val="20"/>
        </w:rPr>
        <w:t>vorable tax impacts of the foreign-derived intangible income deduction and deferred tax adjustments, partially offset by the unfavorable impacts of additional income tax reserves associated with certain income tax audits and tax impacts of compensation rel</w:t>
      </w:r>
      <w:r>
        <w:rPr>
          <w:rFonts w:eastAsia="Times New Roman"/>
          <w:color w:val="000000"/>
          <w:sz w:val="20"/>
          <w:szCs w:val="20"/>
        </w:rPr>
        <w:t>ated adjustments. The Company's Fiscal 2021 effective tax rate was unfavorable to the U.S. federal statutory income tax rate of 21% primarily due to incremental tax expense resulting from new legislation enacted in connection with the European Union's anti</w:t>
      </w:r>
      <w:r>
        <w:rPr>
          <w:rFonts w:eastAsia="Times New Roman"/>
          <w:color w:val="000000"/>
          <w:sz w:val="20"/>
          <w:szCs w:val="20"/>
        </w:rPr>
        <w:t>-tax avoidance directive, valuation allowances recorded against certain deferred tax assets as a result of significant business disruptions attributable to COVID-19, and tax impacts on stock-based compensation and other permanent adjustments, partially off</w:t>
      </w:r>
      <w:r>
        <w:rPr>
          <w:rFonts w:eastAsia="Times New Roman"/>
          <w:color w:val="000000"/>
          <w:sz w:val="20"/>
          <w:szCs w:val="20"/>
        </w:rPr>
        <w:t>set by an income tax benefit related to charitable contributions. The Company's Fiscal 2020 effective tax rate was lower than the U.S. federal statutory income tax rate of 21% primarily due to the one-time income tax benefit recorded in connection with the</w:t>
      </w:r>
      <w:r>
        <w:rPr>
          <w:rFonts w:eastAsia="Times New Roman"/>
          <w:color w:val="000000"/>
          <w:sz w:val="20"/>
          <w:szCs w:val="20"/>
        </w:rPr>
        <w:t xml:space="preserve"> Swiss Tax Act, as previously discussed, the favorable impact of the change in geographic mix of its worldwide earnings and the favorable impact of tax benefits associated with provision to tax return adjustments, partially offset by the unfavorable impact</w:t>
      </w:r>
      <w:r>
        <w:rPr>
          <w:rFonts w:eastAsia="Times New Roman"/>
          <w:color w:val="000000"/>
          <w:sz w:val="20"/>
          <w:szCs w:val="20"/>
        </w:rPr>
        <w:t xml:space="preserve"> of additional income tax reserves associated with certain income tax audits.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135172644"/>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135172644"/>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F-29</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41" style="width:0;height:1.5pt" o:hralign="center" o:hrstd="t" o:hr="t" fillcolor="#a0a0a0" stroked="f"/>
        </w:pict>
      </w:r>
    </w:p>
    <w:p w:rsidR="00000000" w:rsidRDefault="00BB5C2D">
      <w:pPr>
        <w:jc w:val="center"/>
        <w:divId w:val="569966671"/>
        <w:rPr>
          <w:rFonts w:eastAsia="Times New Roman"/>
        </w:rPr>
      </w:pPr>
    </w:p>
    <w:p w:rsidR="00000000" w:rsidRDefault="00BB5C2D">
      <w:pPr>
        <w:jc w:val="center"/>
        <w:divId w:val="569966671"/>
        <w:rPr>
          <w:rFonts w:eastAsia="Times New Roman"/>
        </w:rPr>
      </w:pPr>
      <w:r>
        <w:rPr>
          <w:rFonts w:eastAsia="Times New Roman"/>
          <w:b/>
          <w:bCs/>
          <w:color w:val="000000"/>
          <w:sz w:val="20"/>
          <w:szCs w:val="20"/>
        </w:rPr>
        <w:t>RALPH LAUREN CORPORATION</w:t>
      </w:r>
    </w:p>
    <w:p w:rsidR="00000000" w:rsidRDefault="00BB5C2D">
      <w:pPr>
        <w:jc w:val="center"/>
        <w:divId w:val="838275818"/>
        <w:rPr>
          <w:rFonts w:eastAsia="Times New Roman"/>
        </w:rPr>
      </w:pPr>
      <w:r>
        <w:rPr>
          <w:rFonts w:eastAsia="Times New Roman"/>
          <w:b/>
          <w:bCs/>
          <w:color w:val="000000"/>
          <w:sz w:val="20"/>
          <w:szCs w:val="20"/>
        </w:rPr>
        <w:t>NOTES TO CONSOLIDATED FINANCIAL STATEMENTS (Continued)</w:t>
      </w:r>
    </w:p>
    <w:p w:rsidR="00000000" w:rsidRDefault="00BB5C2D">
      <w:pPr>
        <w:ind w:firstLine="360"/>
        <w:divId w:val="1818257791"/>
        <w:rPr>
          <w:rFonts w:eastAsia="Times New Roman"/>
        </w:rPr>
      </w:pPr>
      <w:r>
        <w:rPr>
          <w:rFonts w:eastAsia="Times New Roman"/>
          <w:b/>
          <w:bCs/>
          <w:i/>
          <w:iCs/>
          <w:color w:val="000000"/>
          <w:sz w:val="20"/>
          <w:szCs w:val="20"/>
        </w:rPr>
        <w:t>Deferred Taxes</w:t>
      </w:r>
    </w:p>
    <w:p w:rsidR="00000000" w:rsidRDefault="00BB5C2D">
      <w:pPr>
        <w:ind w:firstLine="540"/>
        <w:jc w:val="both"/>
        <w:divId w:val="1495609259"/>
        <w:rPr>
          <w:rFonts w:eastAsia="Times New Roman"/>
        </w:rPr>
      </w:pPr>
      <w:r>
        <w:rPr>
          <w:rFonts w:eastAsia="Times New Roman"/>
          <w:color w:val="000000"/>
          <w:sz w:val="20"/>
          <w:szCs w:val="20"/>
        </w:rPr>
        <w:t>Significant components of the Company's deferred tax assets and liabilities are as follows:</w:t>
      </w:r>
    </w:p>
    <w:tbl>
      <w:tblPr>
        <w:tblW w:w="4729" w:type="pct"/>
        <w:tblCellMar>
          <w:top w:w="15" w:type="dxa"/>
          <w:left w:w="15" w:type="dxa"/>
          <w:bottom w:w="15" w:type="dxa"/>
          <w:right w:w="15" w:type="dxa"/>
        </w:tblCellMar>
        <w:tblLook w:val="04A0" w:firstRow="1" w:lastRow="0" w:firstColumn="1" w:lastColumn="0" w:noHBand="0" w:noVBand="1"/>
      </w:tblPr>
      <w:tblGrid>
        <w:gridCol w:w="38"/>
        <w:gridCol w:w="5170"/>
        <w:gridCol w:w="37"/>
        <w:gridCol w:w="36"/>
        <w:gridCol w:w="36"/>
        <w:gridCol w:w="36"/>
        <w:gridCol w:w="120"/>
        <w:gridCol w:w="1041"/>
        <w:gridCol w:w="36"/>
        <w:gridCol w:w="36"/>
        <w:gridCol w:w="36"/>
        <w:gridCol w:w="36"/>
        <w:gridCol w:w="120"/>
        <w:gridCol w:w="1042"/>
        <w:gridCol w:w="36"/>
      </w:tblGrid>
      <w:tr w:rsidR="00000000">
        <w:trPr>
          <w:divId w:val="1588146522"/>
        </w:trPr>
        <w:tc>
          <w:tcPr>
            <w:tcW w:w="50" w:type="pct"/>
            <w:vAlign w:val="center"/>
            <w:hideMark/>
          </w:tcPr>
          <w:p w:rsidR="00000000" w:rsidRDefault="00BB5C2D">
            <w:pPr>
              <w:ind w:firstLine="540"/>
              <w:jc w:val="both"/>
              <w:rPr>
                <w:rFonts w:eastAsia="Times New Roman"/>
              </w:rPr>
            </w:pPr>
          </w:p>
        </w:tc>
        <w:tc>
          <w:tcPr>
            <w:tcW w:w="332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588146522"/>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r>
      <w:tr w:rsidR="00000000">
        <w:trPr>
          <w:divId w:val="1588146522"/>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1588146522"/>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Lease liabilities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349.5 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406.6 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588146522"/>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Deferred income</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96.0 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588146522"/>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Net operating loss carryforwards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58.9 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59.6 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588146522"/>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Deferred compensation</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34.5 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49.7 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588146522"/>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Unrecognized tax benefits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31.7 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23.3 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588146522"/>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Receivable allowances and reserves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31.2 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30.5 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588146522"/>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Inventory basis difference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27.5 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44.9 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588146522"/>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Property and equipment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15.7 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22.8 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588146522"/>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GILTI-related carryforwards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10.6 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34.1 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588146522"/>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Accrued expenses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7.3 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13.0 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588146522"/>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Transfer pricing</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4.1 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4.1 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588146522"/>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Charitable contribution carryforwards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0.4 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18.4 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588146522"/>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Lease right-of-use assets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(273.1)</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(322.0)</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588146522"/>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Goodwill and other intangible assets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(53.9)</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(48.2)</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588146522"/>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Cumulative translation adjustment and hedges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(11.3)</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588146522"/>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Other</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7.3 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588146522"/>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Valuation allowance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(45.1)</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(72.0)</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588146522"/>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divId w:val="970283388"/>
              <w:rPr>
                <w:rFonts w:eastAsia="Times New Roman"/>
              </w:rPr>
            </w:pPr>
            <w:r>
              <w:rPr>
                <w:rFonts w:eastAsia="Times New Roman"/>
                <w:color w:val="000000"/>
                <w:sz w:val="20"/>
                <w:szCs w:val="20"/>
              </w:rPr>
              <w:t>Net deferred tax asset</w:t>
            </w:r>
            <w:r>
              <w:rPr>
                <w:rFonts w:eastAsia="Times New Roman"/>
                <w:color w:val="000000"/>
                <w:sz w:val="20"/>
                <w:szCs w:val="20"/>
              </w:rPr>
              <w:t>s</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291.3 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273.2 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BB5C2D">
            <w:pPr>
              <w:rPr>
                <w:rFonts w:eastAsia="Times New Roman"/>
              </w:rPr>
            </w:pPr>
          </w:p>
        </w:tc>
        <w:tc>
          <w:tcPr>
            <w:tcW w:w="494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r>
    </w:tbl>
    <w:p w:rsidR="00000000" w:rsidRDefault="00BB5C2D">
      <w:pPr>
        <w:ind w:hanging="360"/>
        <w:jc w:val="both"/>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 xml:space="preserve">Net deferred tax balances as of April 2, 2022 and March 27, 2021 were comprised of non-current deferred tax assets of $303.8 million and $283.9 </w:t>
      </w:r>
      <w:r>
        <w:rPr>
          <w:rFonts w:eastAsia="Times New Roman"/>
          <w:color w:val="000000"/>
          <w:sz w:val="20"/>
          <w:szCs w:val="20"/>
        </w:rPr>
        <w:t xml:space="preserve">million, respectively, recorded within deferred tax assets, and non-current deferred tax liabilities of $12.5 million and $10.7 million, respectively, recorded within other non-current liabilities in the consolidated balance sheets. </w:t>
      </w:r>
    </w:p>
    <w:p w:rsidR="00000000" w:rsidRDefault="00BB5C2D">
      <w:pPr>
        <w:ind w:firstLine="540"/>
        <w:jc w:val="both"/>
        <w:divId w:val="499542761"/>
        <w:rPr>
          <w:rFonts w:eastAsia="Times New Roman"/>
        </w:rPr>
      </w:pPr>
      <w:r>
        <w:rPr>
          <w:rFonts w:eastAsia="Times New Roman"/>
          <w:color w:val="000000"/>
          <w:sz w:val="20"/>
          <w:szCs w:val="20"/>
        </w:rPr>
        <w:t>The Company has availa</w:t>
      </w:r>
      <w:r>
        <w:rPr>
          <w:rFonts w:eastAsia="Times New Roman"/>
          <w:color w:val="000000"/>
          <w:sz w:val="20"/>
          <w:szCs w:val="20"/>
        </w:rPr>
        <w:t>ble federal, state, and foreign net operating loss carryforwards of $16.9 million, $5.8 million, and $3.8 million (all net of tax), respectively, for tax purposes to offset future taxable income. The net operating loss carryforwards expire beginning in Fis</w:t>
      </w:r>
      <w:r>
        <w:rPr>
          <w:rFonts w:eastAsia="Times New Roman"/>
          <w:color w:val="000000"/>
          <w:sz w:val="20"/>
          <w:szCs w:val="20"/>
        </w:rPr>
        <w:t xml:space="preserve">cal 2023. </w:t>
      </w:r>
    </w:p>
    <w:p w:rsidR="00000000" w:rsidRDefault="00BB5C2D">
      <w:pPr>
        <w:ind w:firstLine="540"/>
        <w:jc w:val="both"/>
        <w:divId w:val="56519999"/>
        <w:rPr>
          <w:rFonts w:eastAsia="Times New Roman"/>
        </w:rPr>
      </w:pPr>
      <w:r>
        <w:rPr>
          <w:rFonts w:eastAsia="Times New Roman"/>
          <w:color w:val="000000"/>
          <w:sz w:val="20"/>
          <w:szCs w:val="20"/>
        </w:rPr>
        <w:t>The Company also has available state and foreign net operating loss carryforwards of $4.7 million and $27.6 million (both net of tax), respectively, for which no net deferred tax asset has been recognized. A full valuation allowance has been rec</w:t>
      </w:r>
      <w:r>
        <w:rPr>
          <w:rFonts w:eastAsia="Times New Roman"/>
          <w:color w:val="000000"/>
          <w:sz w:val="20"/>
          <w:szCs w:val="20"/>
        </w:rPr>
        <w:t>orded against these carryforwards since the Company does not believe that it will more likely than not be able to utilize these carryforwards to offset future taxable income. Subsequent recognition of these deferred tax assets would result in an income tax</w:t>
      </w:r>
      <w:r>
        <w:rPr>
          <w:rFonts w:eastAsia="Times New Roman"/>
          <w:color w:val="000000"/>
          <w:sz w:val="20"/>
          <w:szCs w:val="20"/>
        </w:rPr>
        <w:t xml:space="preserve"> benefit in the year of such recognition. The valuation allowance relating to state net operating loss carryforwards decreased by $3.8 million (net of tax) as a result of changes in jurisdictions where the Company does not believe that it will more likely </w:t>
      </w:r>
      <w:r>
        <w:rPr>
          <w:rFonts w:eastAsia="Times New Roman"/>
          <w:color w:val="000000"/>
          <w:sz w:val="20"/>
          <w:szCs w:val="20"/>
        </w:rPr>
        <w:t>than not be able to utilize these carryforwards in the future. The valuation allowance relating to foreign net operating loss carryforwards increased by $0.2 million, mainly due to differences in foreign exchange rates.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550723260"/>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550723260"/>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F-30</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42" style="width:0;height:1.5pt" o:hralign="center" o:hrstd="t" o:hr="t" fillcolor="#a0a0a0" stroked="f"/>
        </w:pict>
      </w:r>
    </w:p>
    <w:p w:rsidR="00000000" w:rsidRDefault="00BB5C2D">
      <w:pPr>
        <w:jc w:val="center"/>
        <w:divId w:val="159274883"/>
        <w:rPr>
          <w:rFonts w:eastAsia="Times New Roman"/>
        </w:rPr>
      </w:pPr>
    </w:p>
    <w:p w:rsidR="00000000" w:rsidRDefault="00BB5C2D">
      <w:pPr>
        <w:jc w:val="center"/>
        <w:divId w:val="159274883"/>
        <w:rPr>
          <w:rFonts w:eastAsia="Times New Roman"/>
        </w:rPr>
      </w:pPr>
      <w:r>
        <w:rPr>
          <w:rFonts w:eastAsia="Times New Roman"/>
          <w:b/>
          <w:bCs/>
          <w:color w:val="000000"/>
          <w:sz w:val="20"/>
          <w:szCs w:val="20"/>
        </w:rPr>
        <w:t>RALPH LAUREN CORPORATION</w:t>
      </w:r>
    </w:p>
    <w:p w:rsidR="00000000" w:rsidRDefault="00BB5C2D">
      <w:pPr>
        <w:jc w:val="center"/>
        <w:divId w:val="1290824588"/>
        <w:rPr>
          <w:rFonts w:eastAsia="Times New Roman"/>
        </w:rPr>
      </w:pPr>
      <w:r>
        <w:rPr>
          <w:rFonts w:eastAsia="Times New Roman"/>
          <w:b/>
          <w:bCs/>
          <w:color w:val="000000"/>
          <w:sz w:val="20"/>
          <w:szCs w:val="20"/>
        </w:rPr>
        <w:t>NOTES TO CONSOLIDATED FINANCIAL STATEMENTS (Continued)</w:t>
      </w:r>
    </w:p>
    <w:p w:rsidR="00000000" w:rsidRDefault="00BB5C2D">
      <w:pPr>
        <w:ind w:firstLine="540"/>
        <w:jc w:val="both"/>
        <w:divId w:val="1385446802"/>
        <w:rPr>
          <w:rFonts w:eastAsia="Times New Roman"/>
        </w:rPr>
      </w:pPr>
      <w:r>
        <w:rPr>
          <w:rFonts w:eastAsia="Times New Roman"/>
          <w:color w:val="000000"/>
          <w:sz w:val="20"/>
          <w:szCs w:val="20"/>
        </w:rPr>
        <w:t>In January 2018, new U.S. tax legislation commonly referred to as the Tax Cuts and Jobs Act (the "TCJA") became effective. The TCJA signif</w:t>
      </w:r>
      <w:r>
        <w:rPr>
          <w:rFonts w:eastAsia="Times New Roman"/>
          <w:color w:val="000000"/>
          <w:sz w:val="20"/>
          <w:szCs w:val="20"/>
        </w:rPr>
        <w:t>icantly revised U.S. tax law by, among other provisions, creating a territorial tax system that included a one-time mandatory transition tax on previously deferred foreign earnings. As a result of the taxation of undistributed foreign earnings in connectio</w:t>
      </w:r>
      <w:r>
        <w:rPr>
          <w:rFonts w:eastAsia="Times New Roman"/>
          <w:color w:val="000000"/>
          <w:sz w:val="20"/>
          <w:szCs w:val="20"/>
        </w:rPr>
        <w:t>n with the TCJA, the Company reevaluated its permanent reinvestment assertion and determined that undistributed foreign earnings that were subject to the TCJA's one-time mandatory transition tax were no longer considered to be permanently reinvested, effec</w:t>
      </w:r>
      <w:r>
        <w:rPr>
          <w:rFonts w:eastAsia="Times New Roman"/>
          <w:color w:val="000000"/>
          <w:sz w:val="20"/>
          <w:szCs w:val="20"/>
        </w:rPr>
        <w:t>tive December 31, 2017. The mandatory transition tax does not apply to undistributed foreign earnings generated after December 31, 2017. Accordingly, provision has not been made for U.S. or additional foreign taxes on approximately $1.884 billion of undist</w:t>
      </w:r>
      <w:r>
        <w:rPr>
          <w:rFonts w:eastAsia="Times New Roman"/>
          <w:color w:val="000000"/>
          <w:sz w:val="20"/>
          <w:szCs w:val="20"/>
        </w:rPr>
        <w:t>ributed earnings of foreign subsidiaries generated after December 31, 2017, as such earnings are expected to be permanently reinvested. These earnings could become subject to tax if they were remitted as dividends, if foreign earnings were lent to RLC, a s</w:t>
      </w:r>
      <w:r>
        <w:rPr>
          <w:rFonts w:eastAsia="Times New Roman"/>
          <w:color w:val="000000"/>
          <w:sz w:val="20"/>
          <w:szCs w:val="20"/>
        </w:rPr>
        <w:t>ubsidiary or a U.S. affiliate of RLC, or if the stock of the subsidiaries were sold. Determination of the amount of unrecognized deferred tax liability with respect to such earnings is not practicable.</w:t>
      </w:r>
    </w:p>
    <w:p w:rsidR="00000000" w:rsidRDefault="00BB5C2D">
      <w:pPr>
        <w:ind w:firstLine="360"/>
        <w:divId w:val="753670868"/>
        <w:rPr>
          <w:rFonts w:eastAsia="Times New Roman"/>
        </w:rPr>
      </w:pPr>
      <w:r>
        <w:rPr>
          <w:rFonts w:eastAsia="Times New Roman"/>
          <w:b/>
          <w:bCs/>
          <w:i/>
          <w:iCs/>
          <w:color w:val="000000"/>
          <w:sz w:val="20"/>
          <w:szCs w:val="20"/>
        </w:rPr>
        <w:t>Uncertain Income Tax Benefits</w:t>
      </w:r>
    </w:p>
    <w:p w:rsidR="00000000" w:rsidRDefault="00BB5C2D">
      <w:pPr>
        <w:ind w:firstLine="360"/>
        <w:jc w:val="both"/>
        <w:divId w:val="1155223585"/>
        <w:rPr>
          <w:rFonts w:eastAsia="Times New Roman"/>
        </w:rPr>
      </w:pPr>
      <w:r>
        <w:rPr>
          <w:rFonts w:eastAsia="Times New Roman"/>
          <w:i/>
          <w:iCs/>
          <w:color w:val="000000"/>
          <w:sz w:val="20"/>
          <w:szCs w:val="20"/>
        </w:rPr>
        <w:t>Fiscal 2022, Fiscal 2021</w:t>
      </w:r>
      <w:r>
        <w:rPr>
          <w:rFonts w:eastAsia="Times New Roman"/>
          <w:i/>
          <w:iCs/>
          <w:color w:val="000000"/>
          <w:sz w:val="20"/>
          <w:szCs w:val="20"/>
        </w:rPr>
        <w:t>, and Fiscal 2020 Activity</w:t>
      </w:r>
    </w:p>
    <w:p w:rsidR="00000000" w:rsidRDefault="00BB5C2D">
      <w:pPr>
        <w:ind w:firstLine="540"/>
        <w:jc w:val="both"/>
        <w:divId w:val="433205984"/>
        <w:rPr>
          <w:rFonts w:eastAsia="Times New Roman"/>
        </w:rPr>
      </w:pPr>
      <w:r>
        <w:rPr>
          <w:rFonts w:eastAsia="Times New Roman"/>
          <w:color w:val="000000"/>
          <w:sz w:val="20"/>
          <w:szCs w:val="20"/>
        </w:rPr>
        <w:t>Reconciliations of the beginning and ending amounts of unrecognized tax benefits, excluding interest and penalties, for Fiscal 2022, Fiscal 2021, and Fiscal 2020 are presented below:</w:t>
      </w:r>
    </w:p>
    <w:tbl>
      <w:tblPr>
        <w:tblW w:w="4736" w:type="pct"/>
        <w:tblCellMar>
          <w:top w:w="15" w:type="dxa"/>
          <w:left w:w="15" w:type="dxa"/>
          <w:bottom w:w="15" w:type="dxa"/>
          <w:right w:w="15" w:type="dxa"/>
        </w:tblCellMar>
        <w:tblLook w:val="04A0" w:firstRow="1" w:lastRow="0" w:firstColumn="1" w:lastColumn="0" w:noHBand="0" w:noVBand="1"/>
      </w:tblPr>
      <w:tblGrid>
        <w:gridCol w:w="44"/>
        <w:gridCol w:w="4591"/>
        <w:gridCol w:w="36"/>
        <w:gridCol w:w="36"/>
        <w:gridCol w:w="36"/>
        <w:gridCol w:w="36"/>
        <w:gridCol w:w="120"/>
        <w:gridCol w:w="712"/>
        <w:gridCol w:w="36"/>
        <w:gridCol w:w="44"/>
        <w:gridCol w:w="133"/>
        <w:gridCol w:w="36"/>
        <w:gridCol w:w="120"/>
        <w:gridCol w:w="739"/>
        <w:gridCol w:w="36"/>
        <w:gridCol w:w="44"/>
        <w:gridCol w:w="134"/>
        <w:gridCol w:w="36"/>
        <w:gridCol w:w="120"/>
        <w:gridCol w:w="742"/>
        <w:gridCol w:w="36"/>
      </w:tblGrid>
      <w:tr w:rsidR="00000000">
        <w:trPr>
          <w:divId w:val="1746608601"/>
        </w:trPr>
        <w:tc>
          <w:tcPr>
            <w:tcW w:w="50" w:type="pct"/>
            <w:vAlign w:val="center"/>
            <w:hideMark/>
          </w:tcPr>
          <w:p w:rsidR="00000000" w:rsidRDefault="00BB5C2D">
            <w:pPr>
              <w:ind w:firstLine="540"/>
              <w:jc w:val="both"/>
              <w:rPr>
                <w:rFonts w:eastAsia="Times New Roman"/>
              </w:rPr>
            </w:pPr>
          </w:p>
        </w:tc>
        <w:tc>
          <w:tcPr>
            <w:tcW w:w="293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9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0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9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0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93"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746608601"/>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Years Ended</w:t>
            </w:r>
          </w:p>
        </w:tc>
      </w:tr>
      <w:tr w:rsidR="00000000">
        <w:trPr>
          <w:divId w:val="1746608601"/>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r>
      <w:tr w:rsidR="00000000">
        <w:trPr>
          <w:divId w:val="1746608601"/>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1746608601"/>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Unrecognized tax benefits beginning balance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71.4 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72.7 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65.2 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746608601"/>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Additions related to current period tax positions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21.6 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746608601"/>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Additions related to prior period tax positions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8.1 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8.8 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30.5 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746608601"/>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Reductions related to prior period tax positions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(7.6)</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(4.2)</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(18.7)</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746608601"/>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Reductions related to expiration of statutes of limitations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(2.1)</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746608601"/>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Reductions related to settlements with taxing authorities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(14.8)</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(9.6)</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(8.8)</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746608601"/>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ind w:hanging="180"/>
              <w:divId w:val="1600525601"/>
              <w:rPr>
                <w:rFonts w:eastAsia="Times New Roman"/>
              </w:rPr>
            </w:pPr>
            <w:r>
              <w:rPr>
                <w:rFonts w:eastAsia="Times New Roman"/>
                <w:color w:val="000000"/>
                <w:sz w:val="20"/>
                <w:szCs w:val="20"/>
              </w:rPr>
              <w:t>Additions (reductions) related to foreign currency translation</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ind w:hanging="18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(2.2)</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(0.3)</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746608601"/>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Unrecognized tax benefits ending balance</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71.4 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72.7 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bl>
    <w:p w:rsidR="00000000" w:rsidRDefault="00BB5C2D">
      <w:pPr>
        <w:ind w:firstLine="540"/>
        <w:jc w:val="both"/>
        <w:divId w:val="348988263"/>
        <w:rPr>
          <w:rFonts w:eastAsia="Times New Roman"/>
        </w:rPr>
      </w:pPr>
      <w:r>
        <w:rPr>
          <w:rFonts w:eastAsia="Times New Roman"/>
          <w:color w:val="000000"/>
          <w:sz w:val="20"/>
          <w:szCs w:val="20"/>
        </w:rPr>
        <w:t>The Company classifies interest and penalties related to unrecognized tax ben</w:t>
      </w:r>
      <w:r>
        <w:rPr>
          <w:rFonts w:eastAsia="Times New Roman"/>
          <w:color w:val="000000"/>
          <w:sz w:val="20"/>
          <w:szCs w:val="20"/>
        </w:rPr>
        <w:t>efits as part of its provision for income taxes. Reconciliations of the beginning and ending amounts of accrued interest and penalties related to unrecognized tax benefits for Fiscal 2022, Fiscal 2021, and Fiscal 2020 are presented below:</w:t>
      </w:r>
    </w:p>
    <w:tbl>
      <w:tblPr>
        <w:tblW w:w="4744" w:type="pct"/>
        <w:tblCellMar>
          <w:top w:w="15" w:type="dxa"/>
          <w:left w:w="15" w:type="dxa"/>
          <w:bottom w:w="15" w:type="dxa"/>
          <w:right w:w="15" w:type="dxa"/>
        </w:tblCellMar>
        <w:tblLook w:val="04A0" w:firstRow="1" w:lastRow="0" w:firstColumn="1" w:lastColumn="0" w:noHBand="0" w:noVBand="1"/>
      </w:tblPr>
      <w:tblGrid>
        <w:gridCol w:w="44"/>
        <w:gridCol w:w="4629"/>
        <w:gridCol w:w="39"/>
        <w:gridCol w:w="36"/>
        <w:gridCol w:w="36"/>
        <w:gridCol w:w="36"/>
        <w:gridCol w:w="120"/>
        <w:gridCol w:w="712"/>
        <w:gridCol w:w="36"/>
        <w:gridCol w:w="46"/>
        <w:gridCol w:w="119"/>
        <w:gridCol w:w="36"/>
        <w:gridCol w:w="120"/>
        <w:gridCol w:w="739"/>
        <w:gridCol w:w="36"/>
        <w:gridCol w:w="44"/>
        <w:gridCol w:w="121"/>
        <w:gridCol w:w="36"/>
        <w:gridCol w:w="120"/>
        <w:gridCol w:w="740"/>
        <w:gridCol w:w="36"/>
      </w:tblGrid>
      <w:tr w:rsidR="00000000">
        <w:trPr>
          <w:divId w:val="443765528"/>
        </w:trPr>
        <w:tc>
          <w:tcPr>
            <w:tcW w:w="50" w:type="pct"/>
            <w:vAlign w:val="center"/>
            <w:hideMark/>
          </w:tcPr>
          <w:p w:rsidR="00000000" w:rsidRDefault="00BB5C2D">
            <w:pPr>
              <w:ind w:firstLine="540"/>
              <w:jc w:val="both"/>
              <w:rPr>
                <w:rFonts w:eastAsia="Times New Roman"/>
              </w:rPr>
            </w:pPr>
          </w:p>
        </w:tc>
        <w:tc>
          <w:tcPr>
            <w:tcW w:w="295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91"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91"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9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443765528"/>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Years Ended</w:t>
            </w:r>
          </w:p>
        </w:tc>
      </w:tr>
      <w:tr w:rsidR="00000000">
        <w:trPr>
          <w:divId w:val="443765528"/>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r>
      <w:tr w:rsidR="00000000">
        <w:trPr>
          <w:divId w:val="443765528"/>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443765528"/>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Accrued interest and penalties beginning balance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20.0 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  </w:t>
            </w: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16.2 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13.6 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443765528"/>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Net additions charged to expense</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7.0 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443765528"/>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Reductions related to prior period tax positions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(0.9)</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(1.7)</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(1.9)</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443765528"/>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Reductions related to settlements with taxing authorities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(5.0)</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(0.3)</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443765528"/>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Additions (reductions) related to foreign currency translation</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(0.2)</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0.3 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443765528"/>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Accrued interest and penalties ending balance</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16.5 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bl>
    <w:p w:rsidR="00000000" w:rsidRDefault="00BB5C2D">
      <w:pPr>
        <w:ind w:firstLine="540"/>
        <w:jc w:val="both"/>
        <w:divId w:val="1570457443"/>
        <w:rPr>
          <w:rFonts w:eastAsia="Times New Roman"/>
        </w:rPr>
      </w:pPr>
      <w:r>
        <w:rPr>
          <w:rFonts w:eastAsia="Times New Roman"/>
          <w:color w:val="000000"/>
          <w:sz w:val="20"/>
          <w:szCs w:val="20"/>
        </w:rPr>
        <w:t xml:space="preserve">The total amount of unrecognized tax benefits, including interest and penalties, was $91.9 million and </w:t>
      </w:r>
      <w:r>
        <w:rPr>
          <w:rFonts w:eastAsia="Times New Roman"/>
          <w:color w:val="000000"/>
          <w:sz w:val="20"/>
          <w:szCs w:val="20"/>
        </w:rPr>
        <w:t>$91.4 million as of April 2, 2022 and March 27, 2021, respectively, and was included within the non-current liability for unrecognized tax benefits in the consolidated balance sheets. The total amount of unrecognized tax benefits that, if recognized, would</w:t>
      </w:r>
      <w:r>
        <w:rPr>
          <w:rFonts w:eastAsia="Times New Roman"/>
          <w:color w:val="000000"/>
          <w:sz w:val="20"/>
          <w:szCs w:val="20"/>
        </w:rPr>
        <w:t xml:space="preserve"> affect the Company's effective tax rate was $60.1 million and $68.0 million as of April 2, 2022 and March 27, 2021, respectively.</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52111947"/>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52111947"/>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F-31</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43" style="width:0;height:1.5pt" o:hralign="center" o:hrstd="t" o:hr="t" fillcolor="#a0a0a0" stroked="f"/>
        </w:pict>
      </w:r>
    </w:p>
    <w:p w:rsidR="00000000" w:rsidRDefault="00BB5C2D">
      <w:pPr>
        <w:jc w:val="center"/>
        <w:divId w:val="591745576"/>
        <w:rPr>
          <w:rFonts w:eastAsia="Times New Roman"/>
        </w:rPr>
      </w:pPr>
    </w:p>
    <w:p w:rsidR="00000000" w:rsidRDefault="00BB5C2D">
      <w:pPr>
        <w:jc w:val="center"/>
        <w:divId w:val="591745576"/>
        <w:rPr>
          <w:rFonts w:eastAsia="Times New Roman"/>
        </w:rPr>
      </w:pPr>
      <w:r>
        <w:rPr>
          <w:rFonts w:eastAsia="Times New Roman"/>
          <w:b/>
          <w:bCs/>
          <w:color w:val="000000"/>
          <w:sz w:val="20"/>
          <w:szCs w:val="20"/>
        </w:rPr>
        <w:t>RALPH LAUREN CORPORATION</w:t>
      </w:r>
    </w:p>
    <w:p w:rsidR="00000000" w:rsidRDefault="00BB5C2D">
      <w:pPr>
        <w:jc w:val="center"/>
        <w:divId w:val="819224680"/>
        <w:rPr>
          <w:rFonts w:eastAsia="Times New Roman"/>
        </w:rPr>
      </w:pPr>
      <w:r>
        <w:rPr>
          <w:rFonts w:eastAsia="Times New Roman"/>
          <w:b/>
          <w:bCs/>
          <w:color w:val="000000"/>
          <w:sz w:val="20"/>
          <w:szCs w:val="20"/>
        </w:rPr>
        <w:t>NOTES TO CONSOLIDATED FINANCIAL STATEMENTS (Continued)</w:t>
      </w:r>
    </w:p>
    <w:p w:rsidR="00000000" w:rsidRDefault="00BB5C2D">
      <w:pPr>
        <w:ind w:firstLine="360"/>
        <w:divId w:val="1875656382"/>
        <w:rPr>
          <w:rFonts w:eastAsia="Times New Roman"/>
        </w:rPr>
      </w:pPr>
      <w:r>
        <w:rPr>
          <w:rFonts w:eastAsia="Times New Roman"/>
          <w:i/>
          <w:iCs/>
          <w:color w:val="000000"/>
          <w:sz w:val="20"/>
          <w:szCs w:val="20"/>
        </w:rPr>
        <w:t>Future Changes in Unrecognized Tax Benefits</w:t>
      </w:r>
    </w:p>
    <w:p w:rsidR="00000000" w:rsidRDefault="00BB5C2D">
      <w:pPr>
        <w:ind w:firstLine="540"/>
        <w:jc w:val="both"/>
        <w:divId w:val="186411171"/>
        <w:rPr>
          <w:rFonts w:eastAsia="Times New Roman"/>
        </w:rPr>
      </w:pPr>
      <w:r>
        <w:rPr>
          <w:rFonts w:eastAsia="Times New Roman"/>
          <w:color w:val="000000"/>
          <w:sz w:val="20"/>
          <w:szCs w:val="20"/>
        </w:rPr>
        <w:t>The total amount of unrecognized tax benefits relating to the Company's tax positions is subje</w:t>
      </w:r>
      <w:r>
        <w:rPr>
          <w:rFonts w:eastAsia="Times New Roman"/>
          <w:color w:val="000000"/>
          <w:sz w:val="20"/>
          <w:szCs w:val="20"/>
        </w:rPr>
        <w:t>ct to change based on future events including, but not limited to, settlements of ongoing tax audits and assessments and the expiration of applicable statutes of limitations. Although the outcomes and timing of such events are highly uncertain, the Company</w:t>
      </w:r>
      <w:r>
        <w:rPr>
          <w:rFonts w:eastAsia="Times New Roman"/>
          <w:color w:val="000000"/>
          <w:sz w:val="20"/>
          <w:szCs w:val="20"/>
        </w:rPr>
        <w:t xml:space="preserve"> does not anticipate that the balance of gross unrecognized tax benefits, excluding interest and penalties, will change significantly during the next twelve months. However, changes in the occurrence, expected outcomes, and timing of such events could caus</w:t>
      </w:r>
      <w:r>
        <w:rPr>
          <w:rFonts w:eastAsia="Times New Roman"/>
          <w:color w:val="000000"/>
          <w:sz w:val="20"/>
          <w:szCs w:val="20"/>
        </w:rPr>
        <w:t>e the Company's current estimate to change materially in the future.</w:t>
      </w:r>
    </w:p>
    <w:p w:rsidR="00000000" w:rsidRDefault="00BB5C2D">
      <w:pPr>
        <w:ind w:firstLine="540"/>
        <w:jc w:val="both"/>
        <w:divId w:val="1425423154"/>
        <w:rPr>
          <w:rFonts w:eastAsia="Times New Roman"/>
        </w:rPr>
      </w:pPr>
      <w:r>
        <w:rPr>
          <w:rFonts w:eastAsia="Times New Roman"/>
          <w:color w:val="000000"/>
          <w:sz w:val="20"/>
          <w:szCs w:val="20"/>
        </w:rPr>
        <w:t>The Company files a consolidated U.S. federal income tax return, as well as tax returns in various state, local, and foreign jurisdictions. The Company is generally no longer subject to e</w:t>
      </w:r>
      <w:r>
        <w:rPr>
          <w:rFonts w:eastAsia="Times New Roman"/>
          <w:color w:val="000000"/>
          <w:sz w:val="20"/>
          <w:szCs w:val="20"/>
        </w:rPr>
        <w:t>xaminations by the relevant tax authorities for years prior to its fiscal year ended March 30, 2013.</w:t>
      </w:r>
    </w:p>
    <w:p w:rsidR="00000000" w:rsidRDefault="00BB5C2D">
      <w:pPr>
        <w:ind w:hanging="540"/>
        <w:divId w:val="390152378"/>
        <w:rPr>
          <w:rFonts w:eastAsia="Times New Roman"/>
        </w:rPr>
      </w:pPr>
      <w:r>
        <w:rPr>
          <w:rFonts w:eastAsia="Times New Roman"/>
          <w:b/>
          <w:bCs/>
          <w:color w:val="000000"/>
          <w:sz w:val="20"/>
          <w:szCs w:val="20"/>
        </w:rPr>
        <w:t>11.    Debt</w:t>
      </w:r>
    </w:p>
    <w:p w:rsidR="00000000" w:rsidRDefault="00BB5C2D">
      <w:pPr>
        <w:ind w:firstLine="540"/>
        <w:divId w:val="946960744"/>
        <w:rPr>
          <w:rFonts w:eastAsia="Times New Roman"/>
        </w:rPr>
      </w:pPr>
      <w:r>
        <w:rPr>
          <w:rFonts w:eastAsia="Times New Roman"/>
          <w:color w:val="000000"/>
          <w:sz w:val="20"/>
          <w:szCs w:val="20"/>
        </w:rPr>
        <w:t>Debt consists of the following:</w:t>
      </w:r>
    </w:p>
    <w:tbl>
      <w:tblPr>
        <w:tblW w:w="4736" w:type="pct"/>
        <w:tblCellMar>
          <w:top w:w="15" w:type="dxa"/>
          <w:left w:w="15" w:type="dxa"/>
          <w:bottom w:w="15" w:type="dxa"/>
          <w:right w:w="15" w:type="dxa"/>
        </w:tblCellMar>
        <w:tblLook w:val="04A0" w:firstRow="1" w:lastRow="0" w:firstColumn="1" w:lastColumn="0" w:noHBand="0" w:noVBand="1"/>
      </w:tblPr>
      <w:tblGrid>
        <w:gridCol w:w="37"/>
        <w:gridCol w:w="5496"/>
        <w:gridCol w:w="36"/>
        <w:gridCol w:w="36"/>
        <w:gridCol w:w="36"/>
        <w:gridCol w:w="36"/>
        <w:gridCol w:w="120"/>
        <w:gridCol w:w="885"/>
        <w:gridCol w:w="36"/>
        <w:gridCol w:w="36"/>
        <w:gridCol w:w="36"/>
        <w:gridCol w:w="36"/>
        <w:gridCol w:w="120"/>
        <w:gridCol w:w="885"/>
        <w:gridCol w:w="36"/>
      </w:tblGrid>
      <w:tr w:rsidR="00000000">
        <w:trPr>
          <w:divId w:val="1369255950"/>
        </w:trPr>
        <w:tc>
          <w:tcPr>
            <w:tcW w:w="50" w:type="pct"/>
            <w:vAlign w:val="center"/>
            <w:hideMark/>
          </w:tcPr>
          <w:p w:rsidR="00000000" w:rsidRDefault="00BB5C2D">
            <w:pPr>
              <w:ind w:firstLine="540"/>
              <w:rPr>
                <w:rFonts w:eastAsia="Times New Roman"/>
              </w:rPr>
            </w:pPr>
          </w:p>
        </w:tc>
        <w:tc>
          <w:tcPr>
            <w:tcW w:w="352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61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61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369255950"/>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r>
      <w:tr w:rsidR="00000000">
        <w:trPr>
          <w:divId w:val="1369255950"/>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1369255950"/>
        </w:trPr>
        <w:tc>
          <w:tcPr>
            <w:tcW w:w="0" w:type="auto"/>
            <w:gridSpan w:val="3"/>
            <w:vAlign w:val="center"/>
            <w:hideMark/>
          </w:tcPr>
          <w:p w:rsidR="00000000" w:rsidRDefault="00BB5C2D">
            <w:pPr>
              <w:spacing w:after="100"/>
              <w:jc w:val="center"/>
              <w:rPr>
                <w:rFonts w:eastAsia="Times New Roman"/>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r>
      <w:tr w:rsidR="00000000">
        <w:trPr>
          <w:divId w:val="1369255950"/>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divId w:val="904801263"/>
              <w:rPr>
                <w:rFonts w:eastAsia="Times New Roman"/>
              </w:rPr>
            </w:pPr>
            <w:r>
              <w:rPr>
                <w:rFonts w:eastAsia="Times New Roman"/>
                <w:color w:val="000000"/>
                <w:sz w:val="20"/>
                <w:szCs w:val="20"/>
              </w:rPr>
              <w:t>$400 million 3.750% Senior Note</w:t>
            </w:r>
            <w:r>
              <w:rPr>
                <w:rFonts w:eastAsia="Times New Roman"/>
                <w:color w:val="000000"/>
                <w:sz w:val="20"/>
                <w:szCs w:val="20"/>
              </w:rPr>
              <w:t>s</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397.7 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397.1 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69255950"/>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divId w:val="2074306489"/>
              <w:rPr>
                <w:rFonts w:eastAsia="Times New Roman"/>
              </w:rPr>
            </w:pPr>
            <w:r>
              <w:rPr>
                <w:rFonts w:eastAsia="Times New Roman"/>
                <w:color w:val="000000"/>
                <w:sz w:val="20"/>
                <w:szCs w:val="20"/>
              </w:rPr>
              <w:t>$500 million 1.700% Senior Note</w:t>
            </w:r>
            <w:r>
              <w:rPr>
                <w:rFonts w:eastAsia="Times New Roman"/>
                <w:color w:val="000000"/>
                <w:sz w:val="20"/>
                <w:szCs w:val="20"/>
              </w:rPr>
              <w:t>s</w:t>
            </w:r>
            <w:r>
              <w:rPr>
                <w:rFonts w:eastAsia="Times New Roman"/>
                <w:b/>
                <w:bCs/>
                <w:color w:val="000000"/>
                <w:sz w:val="13"/>
                <w:szCs w:val="13"/>
              </w:rPr>
              <w:t>(b</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499.8 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498.4 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69255950"/>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divId w:val="1167747690"/>
              <w:rPr>
                <w:rFonts w:eastAsia="Times New Roman"/>
              </w:rPr>
            </w:pPr>
            <w:r>
              <w:rPr>
                <w:rFonts w:eastAsia="Times New Roman"/>
                <w:color w:val="000000"/>
                <w:sz w:val="20"/>
                <w:szCs w:val="20"/>
              </w:rPr>
              <w:t>$750 million 2.950% Senior Note</w:t>
            </w:r>
            <w:r>
              <w:rPr>
                <w:rFonts w:eastAsia="Times New Roman"/>
                <w:color w:val="000000"/>
                <w:sz w:val="20"/>
                <w:szCs w:val="20"/>
              </w:rPr>
              <w:t>s</w:t>
            </w:r>
            <w:r>
              <w:rPr>
                <w:rFonts w:eastAsia="Times New Roman"/>
                <w:b/>
                <w:bCs/>
                <w:color w:val="000000"/>
                <w:sz w:val="13"/>
                <w:szCs w:val="13"/>
              </w:rPr>
              <w:t>(c</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738.8 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737.4 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69255950"/>
        </w:trPr>
        <w:tc>
          <w:tcPr>
            <w:tcW w:w="0" w:type="auto"/>
            <w:gridSpan w:val="3"/>
            <w:vAlign w:val="center"/>
            <w:hideMark/>
          </w:tcPr>
          <w:p w:rsidR="00000000" w:rsidRDefault="00BB5C2D">
            <w:pPr>
              <w:spacing w:after="100"/>
              <w:jc w:val="right"/>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r>
      <w:tr w:rsidR="00000000">
        <w:trPr>
          <w:divId w:val="1369255950"/>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debt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1,636.3 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1,632.9 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69255950"/>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Less: current portion of long-term debt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499.8 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69255950"/>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long-term debt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1,136.5 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1,632.9 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BB5C2D">
            <w:pPr>
              <w:rPr>
                <w:rFonts w:eastAsia="Times New Roman"/>
              </w:rPr>
            </w:pPr>
          </w:p>
        </w:tc>
        <w:tc>
          <w:tcPr>
            <w:tcW w:w="494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r>
    </w:tbl>
    <w:p w:rsidR="00000000" w:rsidRDefault="00BB5C2D">
      <w:pPr>
        <w:rPr>
          <w:rFonts w:eastAsia="Times New Roman"/>
        </w:rPr>
      </w:pPr>
      <w:r>
        <w:rPr>
          <w:rFonts w:eastAsia="Times New Roman"/>
          <w:color w:val="000000"/>
          <w:sz w:val="20"/>
          <w:szCs w:val="20"/>
        </w:rPr>
        <w:t> </w:t>
      </w:r>
    </w:p>
    <w:p w:rsidR="00000000" w:rsidRDefault="00BB5C2D">
      <w:pPr>
        <w:ind w:hanging="360"/>
        <w:jc w:val="both"/>
        <w:divId w:val="1693023241"/>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The carrying value of the 3.750% Senior Notes is presented net of unamortized debt issuance costs and original issue discount of $2.3 million and $2.9 million as of April 2, 2022 and March 27, 2021, respectively.</w:t>
      </w:r>
    </w:p>
    <w:p w:rsidR="00000000" w:rsidRDefault="00BB5C2D">
      <w:pPr>
        <w:ind w:hanging="360"/>
        <w:jc w:val="both"/>
        <w:divId w:val="173543671"/>
        <w:rPr>
          <w:rFonts w:eastAsia="Times New Roman"/>
        </w:rPr>
      </w:pPr>
      <w:r>
        <w:rPr>
          <w:rFonts w:eastAsia="Times New Roman"/>
          <w:b/>
          <w:bCs/>
          <w:color w:val="000000"/>
          <w:sz w:val="13"/>
          <w:szCs w:val="13"/>
        </w:rPr>
        <w:t>(b</w:t>
      </w:r>
      <w:r>
        <w:rPr>
          <w:rFonts w:eastAsia="Times New Roman"/>
          <w:b/>
          <w:bCs/>
          <w:color w:val="000000"/>
          <w:sz w:val="13"/>
          <w:szCs w:val="13"/>
        </w:rPr>
        <w:t>)</w:t>
      </w:r>
      <w:r>
        <w:rPr>
          <w:rFonts w:eastAsia="Times New Roman"/>
          <w:color w:val="000000"/>
          <w:sz w:val="20"/>
          <w:szCs w:val="20"/>
        </w:rPr>
        <w:t xml:space="preserve">The carrying value of the 1.700% Senior </w:t>
      </w:r>
      <w:r>
        <w:rPr>
          <w:rFonts w:eastAsia="Times New Roman"/>
          <w:color w:val="000000"/>
          <w:sz w:val="20"/>
          <w:szCs w:val="20"/>
        </w:rPr>
        <w:t>Notes is presented net of unamortized debt issuance costs and original issue discount of $0.2 million and $1.6 million as of April 2, 2022 and March 27, 2021, respectively.</w:t>
      </w:r>
    </w:p>
    <w:p w:rsidR="00000000" w:rsidRDefault="00BB5C2D">
      <w:pPr>
        <w:ind w:hanging="360"/>
        <w:jc w:val="both"/>
        <w:divId w:val="1676609774"/>
        <w:rPr>
          <w:rFonts w:eastAsia="Times New Roman"/>
        </w:rPr>
      </w:pPr>
      <w:r>
        <w:rPr>
          <w:rFonts w:eastAsia="Times New Roman"/>
          <w:b/>
          <w:bCs/>
          <w:color w:val="000000"/>
          <w:sz w:val="13"/>
          <w:szCs w:val="13"/>
        </w:rPr>
        <w:t>(c</w:t>
      </w:r>
      <w:r>
        <w:rPr>
          <w:rFonts w:eastAsia="Times New Roman"/>
          <w:b/>
          <w:bCs/>
          <w:color w:val="000000"/>
          <w:sz w:val="13"/>
          <w:szCs w:val="13"/>
        </w:rPr>
        <w:t>)</w:t>
      </w:r>
      <w:r>
        <w:rPr>
          <w:rFonts w:eastAsia="Times New Roman"/>
          <w:color w:val="000000"/>
          <w:sz w:val="20"/>
          <w:szCs w:val="20"/>
        </w:rPr>
        <w:t>The carrying value of the 2.950% Senior Notes is presented net of unamortized de</w:t>
      </w:r>
      <w:r>
        <w:rPr>
          <w:rFonts w:eastAsia="Times New Roman"/>
          <w:color w:val="000000"/>
          <w:sz w:val="20"/>
          <w:szCs w:val="20"/>
        </w:rPr>
        <w:t>bt issuance costs and original issue discount of $11.2 million and $12.6 million as of April 2, 2022 and March 27, 2021, respectively.</w:t>
      </w:r>
    </w:p>
    <w:p w:rsidR="00000000" w:rsidRDefault="00BB5C2D">
      <w:pPr>
        <w:ind w:firstLine="360"/>
        <w:divId w:val="193887791"/>
        <w:rPr>
          <w:rFonts w:eastAsia="Times New Roman"/>
        </w:rPr>
      </w:pPr>
      <w:r>
        <w:rPr>
          <w:rFonts w:eastAsia="Times New Roman"/>
          <w:b/>
          <w:bCs/>
          <w:i/>
          <w:iCs/>
          <w:color w:val="000000"/>
          <w:sz w:val="20"/>
          <w:szCs w:val="20"/>
        </w:rPr>
        <w:t>Senior Notes</w:t>
      </w:r>
    </w:p>
    <w:p w:rsidR="00000000" w:rsidRDefault="00BB5C2D">
      <w:pPr>
        <w:ind w:firstLine="540"/>
        <w:jc w:val="both"/>
        <w:divId w:val="1994678147"/>
        <w:rPr>
          <w:rFonts w:eastAsia="Times New Roman"/>
        </w:rPr>
      </w:pPr>
      <w:r>
        <w:rPr>
          <w:rFonts w:eastAsia="Times New Roman"/>
          <w:color w:val="000000"/>
          <w:sz w:val="20"/>
          <w:szCs w:val="20"/>
        </w:rPr>
        <w:t>In August 2018, the Company completed a registered public debt offering and issued $400 million aggregate pr</w:t>
      </w:r>
      <w:r>
        <w:rPr>
          <w:rFonts w:eastAsia="Times New Roman"/>
          <w:color w:val="000000"/>
          <w:sz w:val="20"/>
          <w:szCs w:val="20"/>
        </w:rPr>
        <w:t>incipal amount of unsecured senior notes due September 15, 2025, which bear interest at a fixed rate of 3.750%, payable semi-annually (the "3.750% Senior Notes"). The 3.750% Senior Notes were issued at a price equal to 99.521% of their principal amount. Th</w:t>
      </w:r>
      <w:r>
        <w:rPr>
          <w:rFonts w:eastAsia="Times New Roman"/>
          <w:color w:val="000000"/>
          <w:sz w:val="20"/>
          <w:szCs w:val="20"/>
        </w:rPr>
        <w:t>e proceeds from this offering were used for general corporate purposes, including repayment of the Company's previously outstanding $300 million principal amount of 2.125% unsecured senior notes that matured September 26, 2018 (the "2.125% Senior Notes").</w:t>
      </w:r>
    </w:p>
    <w:p w:rsidR="00000000" w:rsidRDefault="00BB5C2D">
      <w:pPr>
        <w:ind w:firstLine="540"/>
        <w:jc w:val="both"/>
        <w:divId w:val="1526165753"/>
        <w:rPr>
          <w:rFonts w:eastAsia="Times New Roman"/>
        </w:rPr>
      </w:pPr>
      <w:r>
        <w:rPr>
          <w:rFonts w:eastAsia="Times New Roman"/>
          <w:color w:val="000000"/>
          <w:sz w:val="20"/>
          <w:szCs w:val="20"/>
        </w:rPr>
        <w:t>In June 2020, the Company completed another registered public debt offering and issued an additional $500 million aggregate principal amount of unsecured senior notes due June 15, 2022, which bear interest at a fixed rate of 1.700%, payable semi-annually (</w:t>
      </w:r>
      <w:r>
        <w:rPr>
          <w:rFonts w:eastAsia="Times New Roman"/>
          <w:color w:val="000000"/>
          <w:sz w:val="20"/>
          <w:szCs w:val="20"/>
        </w:rPr>
        <w:t>the "1.700% Senior Notes"), and $750 million aggregate principal amount of unsecured senior notes due June 15, 2030, which bear interest at a fixed rate of 2.950%, payable semi-annually (the "2.950% Senior Notes"). The 1.700% Senior Notes and 2.950% Senior</w:t>
      </w:r>
      <w:r>
        <w:rPr>
          <w:rFonts w:eastAsia="Times New Roman"/>
          <w:color w:val="000000"/>
          <w:sz w:val="20"/>
          <w:szCs w:val="20"/>
        </w:rPr>
        <w:t xml:space="preserve"> Notes were issued at prices equal to 99.880% and 98.995% of their principal amounts, respectively. The proceeds from these offerings are being used for general corporate purposes, which included the repayment of $475 million previously outstanding under t</w:t>
      </w:r>
      <w:r>
        <w:rPr>
          <w:rFonts w:eastAsia="Times New Roman"/>
          <w:color w:val="000000"/>
          <w:sz w:val="20"/>
          <w:szCs w:val="20"/>
        </w:rPr>
        <w:t>he Company's Global Credit Facility (as defined below) on June 3, 2020 and repayment of its previously outstanding $300 million principal amount of 2.625% unsecured senior notes that matured August 18, 2020 (the "2.625% Senior Notes").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182933375"/>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182933375"/>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F-32</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44" style="width:0;height:1.5pt" o:hralign="center" o:hrstd="t" o:hr="t" fillcolor="#a0a0a0" stroked="f"/>
        </w:pict>
      </w:r>
    </w:p>
    <w:p w:rsidR="00000000" w:rsidRDefault="00BB5C2D">
      <w:pPr>
        <w:jc w:val="center"/>
        <w:divId w:val="140926225"/>
        <w:rPr>
          <w:rFonts w:eastAsia="Times New Roman"/>
        </w:rPr>
      </w:pPr>
    </w:p>
    <w:p w:rsidR="00000000" w:rsidRDefault="00BB5C2D">
      <w:pPr>
        <w:jc w:val="center"/>
        <w:divId w:val="140926225"/>
        <w:rPr>
          <w:rFonts w:eastAsia="Times New Roman"/>
        </w:rPr>
      </w:pPr>
      <w:r>
        <w:rPr>
          <w:rFonts w:eastAsia="Times New Roman"/>
          <w:b/>
          <w:bCs/>
          <w:color w:val="000000"/>
          <w:sz w:val="20"/>
          <w:szCs w:val="20"/>
        </w:rPr>
        <w:t>RALPH LAUREN CORPORATION</w:t>
      </w:r>
    </w:p>
    <w:p w:rsidR="00000000" w:rsidRDefault="00BB5C2D">
      <w:pPr>
        <w:jc w:val="center"/>
        <w:divId w:val="818112329"/>
        <w:rPr>
          <w:rFonts w:eastAsia="Times New Roman"/>
        </w:rPr>
      </w:pPr>
      <w:r>
        <w:rPr>
          <w:rFonts w:eastAsia="Times New Roman"/>
          <w:b/>
          <w:bCs/>
          <w:color w:val="000000"/>
          <w:sz w:val="20"/>
          <w:szCs w:val="20"/>
        </w:rPr>
        <w:t>NOTES TO CONSOLIDATED FINANCIAL STATEMENTS (Continued)</w:t>
      </w:r>
    </w:p>
    <w:p w:rsidR="00000000" w:rsidRDefault="00BB5C2D">
      <w:pPr>
        <w:ind w:firstLine="540"/>
        <w:jc w:val="both"/>
        <w:divId w:val="2144806562"/>
        <w:rPr>
          <w:rFonts w:eastAsia="Times New Roman"/>
        </w:rPr>
      </w:pPr>
      <w:r>
        <w:rPr>
          <w:rFonts w:eastAsia="Times New Roman"/>
          <w:color w:val="000000"/>
          <w:sz w:val="20"/>
          <w:szCs w:val="20"/>
        </w:rPr>
        <w:t xml:space="preserve">The Company has the option to redeem the 3.750% Senior Notes, 1.700% Senior Notes, and 2.950% Senior Notes (collectively, the "Senior Notes"), in whole or in part, at any time at a price equal to accrued and unpaid interest on the redemption date plus the </w:t>
      </w:r>
      <w:r>
        <w:rPr>
          <w:rFonts w:eastAsia="Times New Roman"/>
          <w:color w:val="000000"/>
          <w:sz w:val="20"/>
          <w:szCs w:val="20"/>
        </w:rPr>
        <w:t>greater of (i) 100% of the principal amount of the series of Senior Notes to be redeemed or (ii) the sum of the present value of Remaining Scheduled Payments, as defined in the supplemental indentures governing such Senior Notes (together with the indentur</w:t>
      </w:r>
      <w:r>
        <w:rPr>
          <w:rFonts w:eastAsia="Times New Roman"/>
          <w:color w:val="000000"/>
          <w:sz w:val="20"/>
          <w:szCs w:val="20"/>
        </w:rPr>
        <w:t>e governing the Senior Notes, the "Indenture"). The Indenture contains certain covenants that restrict the Company's ability, subject to specified exceptions, to incur certain liens; enter into sale and leaseback transactions; consolidate or merge with ano</w:t>
      </w:r>
      <w:r>
        <w:rPr>
          <w:rFonts w:eastAsia="Times New Roman"/>
          <w:color w:val="000000"/>
          <w:sz w:val="20"/>
          <w:szCs w:val="20"/>
        </w:rPr>
        <w:t>ther party; or sell, lease, or convey all or substantially all of the Company's property or assets to another party. However, the Indenture does not contain any financial covenants.</w:t>
      </w:r>
    </w:p>
    <w:p w:rsidR="00000000" w:rsidRDefault="00BB5C2D">
      <w:pPr>
        <w:ind w:firstLine="360"/>
        <w:divId w:val="403796175"/>
        <w:rPr>
          <w:rFonts w:eastAsia="Times New Roman"/>
        </w:rPr>
      </w:pPr>
      <w:r>
        <w:rPr>
          <w:rFonts w:eastAsia="Times New Roman"/>
          <w:b/>
          <w:bCs/>
          <w:i/>
          <w:iCs/>
          <w:color w:val="000000"/>
          <w:sz w:val="20"/>
          <w:szCs w:val="20"/>
        </w:rPr>
        <w:t>Commercial Paper</w:t>
      </w:r>
    </w:p>
    <w:p w:rsidR="00000000" w:rsidRDefault="00BB5C2D">
      <w:pPr>
        <w:ind w:firstLine="540"/>
        <w:jc w:val="both"/>
        <w:divId w:val="1568495256"/>
        <w:rPr>
          <w:rFonts w:eastAsia="Times New Roman"/>
        </w:rPr>
      </w:pPr>
      <w:r>
        <w:rPr>
          <w:rFonts w:eastAsia="Times New Roman"/>
          <w:color w:val="000000"/>
          <w:sz w:val="20"/>
          <w:szCs w:val="20"/>
        </w:rPr>
        <w:t>The Company has a commercial paper borrowing program that</w:t>
      </w:r>
      <w:r>
        <w:rPr>
          <w:rFonts w:eastAsia="Times New Roman"/>
          <w:color w:val="000000"/>
          <w:sz w:val="20"/>
          <w:szCs w:val="20"/>
        </w:rPr>
        <w:t xml:space="preserve"> allows it to issue up to $500 million of unsecured commercial paper notes through private placement using third-party broker-dealers (the "Commercial Paper Program").</w:t>
      </w:r>
    </w:p>
    <w:p w:rsidR="00000000" w:rsidRDefault="00BB5C2D">
      <w:pPr>
        <w:ind w:firstLine="540"/>
        <w:jc w:val="both"/>
        <w:divId w:val="531457390"/>
        <w:rPr>
          <w:rFonts w:eastAsia="Times New Roman"/>
        </w:rPr>
      </w:pPr>
      <w:r>
        <w:rPr>
          <w:rFonts w:eastAsia="Times New Roman"/>
          <w:color w:val="000000"/>
          <w:sz w:val="20"/>
          <w:szCs w:val="20"/>
        </w:rPr>
        <w:t>Borrowings under the Commercial Paper Program are supported by the Global Credit Facilit</w:t>
      </w:r>
      <w:r>
        <w:rPr>
          <w:rFonts w:eastAsia="Times New Roman"/>
          <w:color w:val="000000"/>
          <w:sz w:val="20"/>
          <w:szCs w:val="20"/>
        </w:rPr>
        <w:t>y (as defined below). Accordingly, the Company does not expect combined borrowings outstanding under the Commercial Paper Program and Global Credit Facility to exceed $500 million. Commercial Paper Program borrowings may be used to support the Company's ge</w:t>
      </w:r>
      <w:r>
        <w:rPr>
          <w:rFonts w:eastAsia="Times New Roman"/>
          <w:color w:val="000000"/>
          <w:sz w:val="20"/>
          <w:szCs w:val="20"/>
        </w:rPr>
        <w:t xml:space="preserve">neral working capital and corporate needs. Maturities of commercial paper notes vary, but cannot exceed 397 days from the date of issuance. Commercial paper notes issued under the Commercial Paper Program rank equally in seniority with the Company's other </w:t>
      </w:r>
      <w:r>
        <w:rPr>
          <w:rFonts w:eastAsia="Times New Roman"/>
          <w:color w:val="000000"/>
          <w:sz w:val="20"/>
          <w:szCs w:val="20"/>
        </w:rPr>
        <w:t>forms of unsecured indebtedness. As of both April 2, 2022 and March 27, 2021, there were no borrowings outstanding under the Commercial Paper Program.</w:t>
      </w:r>
    </w:p>
    <w:p w:rsidR="00000000" w:rsidRDefault="00BB5C2D">
      <w:pPr>
        <w:ind w:firstLine="360"/>
        <w:jc w:val="both"/>
        <w:divId w:val="1301763966"/>
        <w:rPr>
          <w:rFonts w:eastAsia="Times New Roman"/>
        </w:rPr>
      </w:pPr>
      <w:r>
        <w:rPr>
          <w:rFonts w:eastAsia="Times New Roman"/>
          <w:b/>
          <w:bCs/>
          <w:i/>
          <w:iCs/>
          <w:color w:val="000000"/>
          <w:sz w:val="20"/>
          <w:szCs w:val="20"/>
        </w:rPr>
        <w:t>Revolving Credit Facilities</w:t>
      </w:r>
    </w:p>
    <w:p w:rsidR="00000000" w:rsidRDefault="00BB5C2D">
      <w:pPr>
        <w:ind w:firstLine="360"/>
        <w:jc w:val="both"/>
        <w:divId w:val="696008579"/>
        <w:rPr>
          <w:rFonts w:eastAsia="Times New Roman"/>
        </w:rPr>
      </w:pPr>
      <w:r>
        <w:rPr>
          <w:rFonts w:eastAsia="Times New Roman"/>
          <w:i/>
          <w:iCs/>
          <w:color w:val="000000"/>
          <w:sz w:val="20"/>
          <w:szCs w:val="20"/>
        </w:rPr>
        <w:t>Global Credit Facility</w:t>
      </w:r>
    </w:p>
    <w:p w:rsidR="00000000" w:rsidRDefault="00BB5C2D">
      <w:pPr>
        <w:ind w:firstLine="540"/>
        <w:jc w:val="both"/>
        <w:divId w:val="759107790"/>
        <w:rPr>
          <w:rFonts w:eastAsia="Times New Roman"/>
        </w:rPr>
      </w:pPr>
      <w:r>
        <w:rPr>
          <w:rFonts w:eastAsia="Times New Roman"/>
          <w:color w:val="000000"/>
          <w:sz w:val="20"/>
          <w:szCs w:val="20"/>
        </w:rPr>
        <w:t>In August 2019, the Company replaced its then existing</w:t>
      </w:r>
      <w:r>
        <w:rPr>
          <w:rFonts w:eastAsia="Times New Roman"/>
          <w:color w:val="000000"/>
          <w:sz w:val="20"/>
          <w:szCs w:val="20"/>
        </w:rPr>
        <w:t xml:space="preserve"> credit facility and entered into a new credit facility that provides for a $500 million senior unsecured revolving line of credit through August 12, 2024 (the "Global Credit Facility") under terms and conditions substantially similar to those of the previ</w:t>
      </w:r>
      <w:r>
        <w:rPr>
          <w:rFonts w:eastAsia="Times New Roman"/>
          <w:color w:val="000000"/>
          <w:sz w:val="20"/>
          <w:szCs w:val="20"/>
        </w:rPr>
        <w:t>ous facility. The Global Credit Facility is also used to support the issuance of letters of credit and maintenance of the Commercial Paper Program. Borrowings under the Global Credit Facility may be denominated in U.S. Dollars and certain other currencies,</w:t>
      </w:r>
      <w:r>
        <w:rPr>
          <w:rFonts w:eastAsia="Times New Roman"/>
          <w:color w:val="000000"/>
          <w:sz w:val="20"/>
          <w:szCs w:val="20"/>
        </w:rPr>
        <w:t xml:space="preserve"> including Euros, Hong Kong Dollars, and Japanese Yen, and are guaranteed by all of the Company's domestic significant subsidiaries. In accordance with the terms of the agreement governing the Global Credit Facility, the Company has the ability to expand i</w:t>
      </w:r>
      <w:r>
        <w:rPr>
          <w:rFonts w:eastAsia="Times New Roman"/>
          <w:color w:val="000000"/>
          <w:sz w:val="20"/>
          <w:szCs w:val="20"/>
        </w:rPr>
        <w:t>ts borrowing availability under the Global Credit Facility to $1 billion, subject to the agreement of one or more new or existing lenders under the facility to increase their commitments. There are no mandatory reductions in borrowing ability throughout th</w:t>
      </w:r>
      <w:r>
        <w:rPr>
          <w:rFonts w:eastAsia="Times New Roman"/>
          <w:color w:val="000000"/>
          <w:sz w:val="20"/>
          <w:szCs w:val="20"/>
        </w:rPr>
        <w:t>e term of the Global Credit Facility.</w:t>
      </w:r>
    </w:p>
    <w:p w:rsidR="00000000" w:rsidRDefault="00BB5C2D">
      <w:pPr>
        <w:ind w:firstLine="540"/>
        <w:jc w:val="both"/>
        <w:divId w:val="996690310"/>
        <w:rPr>
          <w:rFonts w:eastAsia="Times New Roman"/>
        </w:rPr>
      </w:pPr>
      <w:r>
        <w:rPr>
          <w:rFonts w:eastAsia="Times New Roman"/>
          <w:color w:val="000000"/>
          <w:sz w:val="20"/>
          <w:szCs w:val="20"/>
        </w:rPr>
        <w:t>Under the Global Credit Facility as originally implemented, U.S. Dollar-denominated borrowings bore interest, at the Company's option, either at (a) a base rate, by reference to the greatest of: (i) the annual prime commercial lending rate of JPMorgan Chas</w:t>
      </w:r>
      <w:r>
        <w:rPr>
          <w:rFonts w:eastAsia="Times New Roman"/>
          <w:color w:val="000000"/>
          <w:sz w:val="20"/>
          <w:szCs w:val="20"/>
        </w:rPr>
        <w:t>e Bank, N.A. in effect from time to time, (ii) the weighted-average overnight Federal funds rate plus 50 basis points, or (iii) one-month LIBOR plus 100 basis points; or (b) LIBOR, adjusted for the Federal Reserve Board's Eurocurrency liabilities maximum r</w:t>
      </w:r>
      <w:r>
        <w:rPr>
          <w:rFonts w:eastAsia="Times New Roman"/>
          <w:color w:val="000000"/>
          <w:sz w:val="20"/>
          <w:szCs w:val="20"/>
        </w:rPr>
        <w:t xml:space="preserve">eserve percentage, plus a spread of 75 basis points, subject to adjustment based on the Company's credit ratings ("Adjusted LIBOR"). Foreign currency-denominated borrowings bore interest at Adjusted LIBOR. In addition to paying interest on any outstanding </w:t>
      </w:r>
      <w:r>
        <w:rPr>
          <w:rFonts w:eastAsia="Times New Roman"/>
          <w:color w:val="000000"/>
          <w:sz w:val="20"/>
          <w:szCs w:val="20"/>
        </w:rPr>
        <w:t xml:space="preserve">borrowings under the Global Credit Facility, the Company is required to pay a commitment fee to the lenders under the Global Credit Facility relating to the unutilized commitments. The current commitment fee rate of 9 basis points is subject to adjustment </w:t>
      </w:r>
      <w:r>
        <w:rPr>
          <w:rFonts w:eastAsia="Times New Roman"/>
          <w:color w:val="000000"/>
          <w:sz w:val="20"/>
          <w:szCs w:val="20"/>
        </w:rPr>
        <w:t>based on the Company's credit ratings. Certain of these provisions were amended in January 2022 and March 2022, as discussed further below.</w:t>
      </w:r>
    </w:p>
    <w:p w:rsidR="00000000" w:rsidRDefault="00BB5C2D">
      <w:pPr>
        <w:ind w:firstLine="540"/>
        <w:jc w:val="both"/>
        <w:divId w:val="1127119321"/>
        <w:rPr>
          <w:rFonts w:eastAsia="Times New Roman"/>
        </w:rPr>
      </w:pPr>
      <w:r>
        <w:rPr>
          <w:rFonts w:eastAsia="Times New Roman"/>
          <w:color w:val="000000"/>
          <w:sz w:val="20"/>
          <w:szCs w:val="20"/>
        </w:rPr>
        <w:t xml:space="preserve">The Global Credit Facility contains a number of covenants that, among other things, restrict the Company's ability, </w:t>
      </w:r>
      <w:r>
        <w:rPr>
          <w:rFonts w:eastAsia="Times New Roman"/>
          <w:color w:val="000000"/>
          <w:sz w:val="20"/>
          <w:szCs w:val="20"/>
        </w:rPr>
        <w:t>subject to specified exceptions, to incur additional debt; incur liens; sell or dispose of assets; merge with or acquire other companies; liquidate or dissolve itself; engage in businesses that are not in a related line of business; make loans, advances, o</w:t>
      </w:r>
      <w:r>
        <w:rPr>
          <w:rFonts w:eastAsia="Times New Roman"/>
          <w:color w:val="000000"/>
          <w:sz w:val="20"/>
          <w:szCs w:val="20"/>
        </w:rPr>
        <w:t xml:space="preserve">r guarantees; engage in transactions with affiliates; and make certain investments. As originally implemented, the Global Credit Facility also requires the Company to maintain a maximum ratio of Adjusted Debt to Consolidated EBITDAR (the "leverage ratio") </w:t>
      </w:r>
      <w:r>
        <w:rPr>
          <w:rFonts w:eastAsia="Times New Roman"/>
          <w:color w:val="000000"/>
          <w:sz w:val="20"/>
          <w:szCs w:val="20"/>
        </w:rPr>
        <w:t>of no greater than 4.25 as of the date of measurement for the four most recent consecutive fiscal quarters. Adjusted Debt is defined generally as consolidated debt outstanding, including finance lease obligations, plus all operating lease obligations. Cons</w:t>
      </w:r>
      <w:r>
        <w:rPr>
          <w:rFonts w:eastAsia="Times New Roman"/>
          <w:color w:val="000000"/>
          <w:sz w:val="20"/>
          <w:szCs w:val="20"/>
        </w:rPr>
        <w:t>olidated EBITDAR is defined generally as consolidated net income plus (i) income tax expense, (ii) net interest expense, (iii) depreciation and amortization expense, (iv) operating lease cost, (v) restructuring and other non-recurring expenses, and (vi) ac</w:t>
      </w:r>
      <w:r>
        <w:rPr>
          <w:rFonts w:eastAsia="Times New Roman"/>
          <w:color w:val="000000"/>
          <w:sz w:val="20"/>
          <w:szCs w:val="20"/>
        </w:rPr>
        <w:t xml:space="preserve">quisition-related costs. Certain of these requirements were temporarily amended in May 2020, as discussed below.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450858152"/>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450858152"/>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F-33</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45" style="width:0;height:1.5pt" o:hralign="center" o:hrstd="t" o:hr="t" fillcolor="#a0a0a0" stroked="f"/>
        </w:pict>
      </w:r>
    </w:p>
    <w:p w:rsidR="00000000" w:rsidRDefault="00BB5C2D">
      <w:pPr>
        <w:jc w:val="center"/>
        <w:divId w:val="1362124612"/>
        <w:rPr>
          <w:rFonts w:eastAsia="Times New Roman"/>
        </w:rPr>
      </w:pPr>
    </w:p>
    <w:p w:rsidR="00000000" w:rsidRDefault="00BB5C2D">
      <w:pPr>
        <w:jc w:val="center"/>
        <w:divId w:val="1362124612"/>
        <w:rPr>
          <w:rFonts w:eastAsia="Times New Roman"/>
        </w:rPr>
      </w:pPr>
      <w:r>
        <w:rPr>
          <w:rFonts w:eastAsia="Times New Roman"/>
          <w:b/>
          <w:bCs/>
          <w:color w:val="000000"/>
          <w:sz w:val="20"/>
          <w:szCs w:val="20"/>
        </w:rPr>
        <w:t>RALPH LAUREN CORPORATION</w:t>
      </w:r>
    </w:p>
    <w:p w:rsidR="00000000" w:rsidRDefault="00BB5C2D">
      <w:pPr>
        <w:jc w:val="center"/>
        <w:divId w:val="2106877110"/>
        <w:rPr>
          <w:rFonts w:eastAsia="Times New Roman"/>
        </w:rPr>
      </w:pPr>
      <w:r>
        <w:rPr>
          <w:rFonts w:eastAsia="Times New Roman"/>
          <w:b/>
          <w:bCs/>
          <w:color w:val="000000"/>
          <w:sz w:val="20"/>
          <w:szCs w:val="20"/>
        </w:rPr>
        <w:t>NOTES TO CONSOLIDATED FINANCIAL STATEMENTS (Continued)</w:t>
      </w:r>
    </w:p>
    <w:p w:rsidR="00000000" w:rsidRDefault="00BB5C2D">
      <w:pPr>
        <w:ind w:firstLine="540"/>
        <w:jc w:val="both"/>
        <w:divId w:val="1223980580"/>
        <w:rPr>
          <w:rFonts w:eastAsia="Times New Roman"/>
        </w:rPr>
      </w:pPr>
      <w:r>
        <w:rPr>
          <w:rFonts w:eastAsia="Times New Roman"/>
          <w:color w:val="000000"/>
          <w:sz w:val="20"/>
          <w:szCs w:val="20"/>
        </w:rPr>
        <w:t>In response to the COVID-19 pandemic, the Company entered into an amendment of its Global Credit Facility in May 2020 (the "Amendment"), w</w:t>
      </w:r>
      <w:r>
        <w:rPr>
          <w:rFonts w:eastAsia="Times New Roman"/>
          <w:color w:val="000000"/>
          <w:sz w:val="20"/>
          <w:szCs w:val="20"/>
        </w:rPr>
        <w:t>hich among its various provisions (as described in Note 11 of the Fiscal 2021 10-K), temporarily waived its leverage ratio requirement and imposed certain restrictions, including but not limited to, the amount of dividends and distributions on, or purchase</w:t>
      </w:r>
      <w:r>
        <w:rPr>
          <w:rFonts w:eastAsia="Times New Roman"/>
          <w:color w:val="000000"/>
          <w:sz w:val="20"/>
          <w:szCs w:val="20"/>
        </w:rPr>
        <w:t>s, redemptions, repurchases, retirements or acquisitions of, the Company's stock. Subsequently, in November 2021, all terms and conditions reverted back to the original credit facility agreement upon the Company satisfying certain requirements stipulated i</w:t>
      </w:r>
      <w:r>
        <w:rPr>
          <w:rFonts w:eastAsia="Times New Roman"/>
          <w:color w:val="000000"/>
          <w:sz w:val="20"/>
          <w:szCs w:val="20"/>
        </w:rPr>
        <w:t xml:space="preserve">n the Amendment. </w:t>
      </w:r>
    </w:p>
    <w:p w:rsidR="00000000" w:rsidRDefault="00BB5C2D">
      <w:pPr>
        <w:ind w:firstLine="540"/>
        <w:jc w:val="both"/>
        <w:divId w:val="1846895968"/>
        <w:rPr>
          <w:rFonts w:eastAsia="Times New Roman"/>
        </w:rPr>
      </w:pPr>
      <w:r>
        <w:rPr>
          <w:rFonts w:eastAsia="Times New Roman"/>
          <w:color w:val="000000"/>
          <w:sz w:val="20"/>
          <w:szCs w:val="20"/>
        </w:rPr>
        <w:t>In 2020 and 2021, it was publicly announced that LIBOR rates would cease to be published for U.S. Dollars on June 30, 2023 and for Euros, Japanese Yen, and certain other currencies on December 31, 2021. The U.S. federal bank regulatory ag</w:t>
      </w:r>
      <w:r>
        <w:rPr>
          <w:rFonts w:eastAsia="Times New Roman"/>
          <w:color w:val="000000"/>
          <w:sz w:val="20"/>
          <w:szCs w:val="20"/>
        </w:rPr>
        <w:t>encies jointly recommended that banks cease entering into new contracts using LIBOR as a reference rate as soon as practicable but by no later than December 31, 2021, and that new contracts entered into prior to December 31, 2021 should either use a refere</w:t>
      </w:r>
      <w:r>
        <w:rPr>
          <w:rFonts w:eastAsia="Times New Roman"/>
          <w:color w:val="000000"/>
          <w:sz w:val="20"/>
          <w:szCs w:val="20"/>
        </w:rPr>
        <w:t>nce rate other than LIBOR or include effective fallback language with a clearly-defined alternative reference rate effective upon the discontinuation of LIBOR. The Alternative Reference Rates Committee, which is a group of private-market participants conve</w:t>
      </w:r>
      <w:r>
        <w:rPr>
          <w:rFonts w:eastAsia="Times New Roman"/>
          <w:color w:val="000000"/>
          <w:sz w:val="20"/>
          <w:szCs w:val="20"/>
        </w:rPr>
        <w:t>ned by the Federal Reserve Board and the Federal Reserve Bank of New York to help ensure a successful transition from LIBOR, recommended the Secured Overnight Financing Rate published by the Federal Reserve Bank of New York ("SOFR") as the alternative to L</w:t>
      </w:r>
      <w:r>
        <w:rPr>
          <w:rFonts w:eastAsia="Times New Roman"/>
          <w:color w:val="000000"/>
          <w:sz w:val="20"/>
          <w:szCs w:val="20"/>
        </w:rPr>
        <w:t>IBOR.</w:t>
      </w:r>
    </w:p>
    <w:p w:rsidR="00000000" w:rsidRDefault="00BB5C2D">
      <w:pPr>
        <w:ind w:firstLine="540"/>
        <w:jc w:val="both"/>
        <w:divId w:val="1139566486"/>
        <w:rPr>
          <w:rFonts w:eastAsia="Times New Roman"/>
        </w:rPr>
      </w:pPr>
      <w:r>
        <w:rPr>
          <w:rFonts w:eastAsia="Times New Roman"/>
          <w:color w:val="000000"/>
          <w:sz w:val="20"/>
          <w:szCs w:val="20"/>
        </w:rPr>
        <w:t>As a result of the cessation of LIBOR, in January 2022 the Company entered into a second amendment of its Global Credit Facility (the "Second Amendment"). Under the Second Amendment, alternate rates of interest were provided for specific Eurocurrency</w:t>
      </w:r>
      <w:r>
        <w:rPr>
          <w:rFonts w:eastAsia="Times New Roman"/>
          <w:color w:val="000000"/>
          <w:sz w:val="20"/>
          <w:szCs w:val="20"/>
        </w:rPr>
        <w:t xml:space="preserve"> borrowings. Eurocurrency borrowings denominated in Euros now bear interest based on the Adjusted Euro Interbank Offered Rate, those denominated in Japanese Yen now bear interest based on the Adjusted Tokyo Interbank Offered Rate and those denominated in H</w:t>
      </w:r>
      <w:r>
        <w:rPr>
          <w:rFonts w:eastAsia="Times New Roman"/>
          <w:color w:val="000000"/>
          <w:sz w:val="20"/>
          <w:szCs w:val="20"/>
        </w:rPr>
        <w:t xml:space="preserve">ong Kong Dollars now bear interest based on the Adjusted Hong Kong Dollar Interbank Offered Rate, as each such term is defined in the Global Credit Facility as amended by the Second Amendment. </w:t>
      </w:r>
    </w:p>
    <w:p w:rsidR="00000000" w:rsidRDefault="00BB5C2D">
      <w:pPr>
        <w:ind w:firstLine="540"/>
        <w:jc w:val="both"/>
        <w:divId w:val="213271777"/>
        <w:rPr>
          <w:rFonts w:eastAsia="Times New Roman"/>
        </w:rPr>
      </w:pPr>
      <w:r>
        <w:rPr>
          <w:rFonts w:eastAsia="Times New Roman"/>
          <w:color w:val="000000"/>
          <w:sz w:val="20"/>
          <w:szCs w:val="20"/>
        </w:rPr>
        <w:t>In March 2022, the Company entered into a third amendment of i</w:t>
      </w:r>
      <w:r>
        <w:rPr>
          <w:rFonts w:eastAsia="Times New Roman"/>
          <w:color w:val="000000"/>
          <w:sz w:val="20"/>
          <w:szCs w:val="20"/>
        </w:rPr>
        <w:t>ts Global Credit Facility (the "Third Amendment"). Under the Third Amendment, an alternative rate of interest to the LIBOR rate was established for U.S. Dollar-denominated borrowings. U.S. Dollar-denominated borrowings now bear interest based on, at the Co</w:t>
      </w:r>
      <w:r>
        <w:rPr>
          <w:rFonts w:eastAsia="Times New Roman"/>
          <w:color w:val="000000"/>
          <w:sz w:val="20"/>
          <w:szCs w:val="20"/>
        </w:rPr>
        <w:t>mpany's option, either (a) a base rate, determined by reference to the greatest of: (i) the prime commercial lending rate as quoted in the Wall Street Journal in effect from time to time; (ii) the greater of the rate comprised of both overnight federal fun</w:t>
      </w:r>
      <w:r>
        <w:rPr>
          <w:rFonts w:eastAsia="Times New Roman"/>
          <w:color w:val="000000"/>
          <w:sz w:val="20"/>
          <w:szCs w:val="20"/>
        </w:rPr>
        <w:t>ds and overnight eurodollar transactions or the rate calculated based on federal funds transactions by depositary institutions, in either case determined by the Federal Reserve Bank of New York, plus 50 basis points; or (iii) the Adjusted Term SOFR Rate, a</w:t>
      </w:r>
      <w:r>
        <w:rPr>
          <w:rFonts w:eastAsia="Times New Roman"/>
          <w:color w:val="000000"/>
          <w:sz w:val="20"/>
          <w:szCs w:val="20"/>
        </w:rPr>
        <w:t>s such term is defined in the Global Credit Facility as amended by the Third Amendment, for one-month plus 100 basis points, (b) the Term SOFR Rate, as such term is defined in the Global Credit Facility as amended by the Third Amendment, plus 10 basis poin</w:t>
      </w:r>
      <w:r>
        <w:rPr>
          <w:rFonts w:eastAsia="Times New Roman"/>
          <w:color w:val="000000"/>
          <w:sz w:val="20"/>
          <w:szCs w:val="20"/>
        </w:rPr>
        <w:t>ts or (c) a rate equal to the Daily Simple SOFR Rate, as such term is defined in the Global Credit Facility, as amended by the Third Amendment, plus 10 basis points. The Third Amendment also added provisions to the Global Credit Facility to address possibl</w:t>
      </w:r>
      <w:r>
        <w:rPr>
          <w:rFonts w:eastAsia="Times New Roman"/>
          <w:color w:val="000000"/>
          <w:sz w:val="20"/>
          <w:szCs w:val="20"/>
        </w:rPr>
        <w:t>e future situations in which a reference rate for determining a relevant interest rate under the Global Credit Facility is no longer available or representative.</w:t>
      </w:r>
    </w:p>
    <w:p w:rsidR="00000000" w:rsidRDefault="00BB5C2D">
      <w:pPr>
        <w:ind w:firstLine="540"/>
        <w:jc w:val="both"/>
        <w:divId w:val="1965621468"/>
        <w:rPr>
          <w:rFonts w:eastAsia="Times New Roman"/>
        </w:rPr>
      </w:pPr>
      <w:r>
        <w:rPr>
          <w:rFonts w:eastAsia="Times New Roman"/>
          <w:color w:val="000000"/>
          <w:sz w:val="20"/>
          <w:szCs w:val="20"/>
        </w:rPr>
        <w:t>Upon the occurrence of an Event of Default under the Global Credit Facility, the lenders may c</w:t>
      </w:r>
      <w:r>
        <w:rPr>
          <w:rFonts w:eastAsia="Times New Roman"/>
          <w:color w:val="000000"/>
          <w:sz w:val="20"/>
          <w:szCs w:val="20"/>
        </w:rPr>
        <w:t>ease making loans, terminate the Global Credit Facility, and declare all amounts outstanding to be immediately due and payable. The Global Credit Facility specifies a number of events of default (many of which are subject to applicable grace periods), incl</w:t>
      </w:r>
      <w:r>
        <w:rPr>
          <w:rFonts w:eastAsia="Times New Roman"/>
          <w:color w:val="000000"/>
          <w:sz w:val="20"/>
          <w:szCs w:val="20"/>
        </w:rPr>
        <w:t>uding, among others, the failure to make timely principal, interest, and fee payments or to satisfy the covenants, including the financial covenant described above. Additionally, the Global Credit Facility provides that an Event of Default will occur if Mr</w:t>
      </w:r>
      <w:r>
        <w:rPr>
          <w:rFonts w:eastAsia="Times New Roman"/>
          <w:color w:val="000000"/>
          <w:sz w:val="20"/>
          <w:szCs w:val="20"/>
        </w:rPr>
        <w:t>. Ralph Lauren, the Company's Executive Chairman and Chief Creative Officer, and entities controlled by the Lauren family fail to maintain a specified minimum percentage of the voting power of the Company's common stock. As of April 2, 2022, no Event of De</w:t>
      </w:r>
      <w:r>
        <w:rPr>
          <w:rFonts w:eastAsia="Times New Roman"/>
          <w:color w:val="000000"/>
          <w:sz w:val="20"/>
          <w:szCs w:val="20"/>
        </w:rPr>
        <w:t>fault (as such term is defined pursuant to the Global Credit Facility) has occurred under the Company's Global Credit Facility.</w:t>
      </w:r>
    </w:p>
    <w:p w:rsidR="00000000" w:rsidRDefault="00BB5C2D">
      <w:pPr>
        <w:ind w:firstLine="540"/>
        <w:jc w:val="both"/>
        <w:divId w:val="95757009"/>
        <w:rPr>
          <w:rFonts w:eastAsia="Times New Roman"/>
        </w:rPr>
      </w:pPr>
      <w:r>
        <w:rPr>
          <w:rFonts w:eastAsia="Times New Roman"/>
          <w:color w:val="000000"/>
          <w:sz w:val="20"/>
          <w:szCs w:val="20"/>
        </w:rPr>
        <w:t xml:space="preserve">In March 2020, the Company borrowed $475.0 million under the Global Credit Facility as a preemptive action to preserve cash and </w:t>
      </w:r>
      <w:r>
        <w:rPr>
          <w:rFonts w:eastAsia="Times New Roman"/>
          <w:color w:val="000000"/>
          <w:sz w:val="20"/>
          <w:szCs w:val="20"/>
        </w:rPr>
        <w:t>strengthen its liquidity position in response to the COVID-19 pandemic, which was subsequently repaid in June 2020. As of both April 2, 2022 and March 27, 2021, there were no borrowings outstanding under the Global Credit Facility. However, the Company was</w:t>
      </w:r>
      <w:r>
        <w:rPr>
          <w:rFonts w:eastAsia="Times New Roman"/>
          <w:color w:val="000000"/>
          <w:sz w:val="20"/>
          <w:szCs w:val="20"/>
        </w:rPr>
        <w:t xml:space="preserve"> contingently liable for $9.5 million and $8.9 million of outstanding letters of credit.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06779102"/>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06779102"/>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F-34</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46" style="width:0;height:1.5pt" o:hralign="center" o:hrstd="t" o:hr="t" fillcolor="#a0a0a0" stroked="f"/>
        </w:pict>
      </w:r>
    </w:p>
    <w:p w:rsidR="00000000" w:rsidRDefault="00BB5C2D">
      <w:pPr>
        <w:jc w:val="center"/>
        <w:divId w:val="836188032"/>
        <w:rPr>
          <w:rFonts w:eastAsia="Times New Roman"/>
        </w:rPr>
      </w:pPr>
    </w:p>
    <w:p w:rsidR="00000000" w:rsidRDefault="00BB5C2D">
      <w:pPr>
        <w:jc w:val="center"/>
        <w:divId w:val="836188032"/>
        <w:rPr>
          <w:rFonts w:eastAsia="Times New Roman"/>
        </w:rPr>
      </w:pPr>
      <w:r>
        <w:rPr>
          <w:rFonts w:eastAsia="Times New Roman"/>
          <w:b/>
          <w:bCs/>
          <w:color w:val="000000"/>
          <w:sz w:val="20"/>
          <w:szCs w:val="20"/>
        </w:rPr>
        <w:t>RALPH LAUREN CORPORATION</w:t>
      </w:r>
    </w:p>
    <w:p w:rsidR="00000000" w:rsidRDefault="00BB5C2D">
      <w:pPr>
        <w:jc w:val="center"/>
        <w:divId w:val="1921868781"/>
        <w:rPr>
          <w:rFonts w:eastAsia="Times New Roman"/>
        </w:rPr>
      </w:pPr>
      <w:r>
        <w:rPr>
          <w:rFonts w:eastAsia="Times New Roman"/>
          <w:b/>
          <w:bCs/>
          <w:color w:val="000000"/>
          <w:sz w:val="20"/>
          <w:szCs w:val="20"/>
        </w:rPr>
        <w:t>NOTES TO CONSOLIDATED FINANCIAL STATEMENTS (Continued)</w:t>
      </w:r>
    </w:p>
    <w:p w:rsidR="00000000" w:rsidRDefault="00BB5C2D">
      <w:pPr>
        <w:ind w:firstLine="360"/>
        <w:jc w:val="both"/>
        <w:divId w:val="816610079"/>
        <w:rPr>
          <w:rFonts w:eastAsia="Times New Roman"/>
        </w:rPr>
      </w:pPr>
      <w:r>
        <w:rPr>
          <w:rFonts w:eastAsia="Times New Roman"/>
          <w:i/>
          <w:iCs/>
          <w:color w:val="000000"/>
          <w:sz w:val="20"/>
          <w:szCs w:val="20"/>
        </w:rPr>
        <w:t>Pan-Asia Borrowing Facilities</w:t>
      </w:r>
    </w:p>
    <w:p w:rsidR="00000000" w:rsidRDefault="00BB5C2D">
      <w:pPr>
        <w:ind w:firstLine="540"/>
        <w:jc w:val="both"/>
        <w:divId w:val="94596576"/>
        <w:rPr>
          <w:rFonts w:eastAsia="Times New Roman"/>
        </w:rPr>
      </w:pPr>
      <w:r>
        <w:rPr>
          <w:rFonts w:eastAsia="Times New Roman"/>
          <w:color w:val="000000"/>
          <w:sz w:val="20"/>
          <w:szCs w:val="20"/>
        </w:rPr>
        <w:t>Certain of the Company's subsidiaries in Asia have uncommitted credit facilities with regional branches of J</w:t>
      </w:r>
      <w:r>
        <w:rPr>
          <w:rFonts w:eastAsia="Times New Roman"/>
          <w:color w:val="000000"/>
          <w:sz w:val="20"/>
          <w:szCs w:val="20"/>
        </w:rPr>
        <w:t>PMorgan Chase in China and South Korea (the "Pan-Asia Credit Facilities"). Additionally, the Company's Japan subsidiary has an uncommitted overdraft facility with Sumitomo Mitsui Banking Corporation (the "Japan Overdraft Facility"). The Pan-Asia Credit Fac</w:t>
      </w:r>
      <w:r>
        <w:rPr>
          <w:rFonts w:eastAsia="Times New Roman"/>
          <w:color w:val="000000"/>
          <w:sz w:val="20"/>
          <w:szCs w:val="20"/>
        </w:rPr>
        <w:t>ilities and Japan Overdraft Facility (collectively, the "Pan-Asia Borrowing Facilities") are subject to annual renewal and may be used to fund general working capital needs of the Company's operations in the respective countries. Borrowings under the Pan-A</w:t>
      </w:r>
      <w:r>
        <w:rPr>
          <w:rFonts w:eastAsia="Times New Roman"/>
          <w:color w:val="000000"/>
          <w:sz w:val="20"/>
          <w:szCs w:val="20"/>
        </w:rPr>
        <w:t>sia Borrowing Facilities are guaranteed by the parent company and are granted at the sole discretion of the respective banks, subject to availability of the banks' funds and satisfaction of certain regulatory requirements. The Pan-Asia Borrowing Facilities</w:t>
      </w:r>
      <w:r>
        <w:rPr>
          <w:rFonts w:eastAsia="Times New Roman"/>
          <w:color w:val="000000"/>
          <w:sz w:val="20"/>
          <w:szCs w:val="20"/>
        </w:rPr>
        <w:t xml:space="preserve"> do not contain any financial covenants. A summary of the Company's Pan-Asia Borrowing Facilities by country is as follows:</w:t>
      </w:r>
    </w:p>
    <w:p w:rsidR="00000000" w:rsidRDefault="00BB5C2D">
      <w:pPr>
        <w:ind w:hanging="360"/>
        <w:jc w:val="both"/>
        <w:divId w:val="1565414683"/>
        <w:rPr>
          <w:rFonts w:eastAsia="Times New Roman"/>
        </w:rPr>
      </w:pPr>
      <w:r>
        <w:rPr>
          <w:rFonts w:eastAsia="Times New Roman"/>
          <w:color w:val="000000"/>
          <w:sz w:val="20"/>
          <w:szCs w:val="20"/>
        </w:rPr>
        <w:t>•</w:t>
      </w:r>
      <w:r>
        <w:rPr>
          <w:rFonts w:eastAsia="Times New Roman"/>
          <w:color w:val="000000"/>
          <w:sz w:val="20"/>
          <w:szCs w:val="20"/>
          <w:u w:val="single"/>
        </w:rPr>
        <w:t>China Credit Facility</w:t>
      </w:r>
      <w:r>
        <w:rPr>
          <w:rFonts w:eastAsia="Times New Roman"/>
          <w:color w:val="000000"/>
          <w:sz w:val="20"/>
          <w:szCs w:val="20"/>
        </w:rPr>
        <w:t xml:space="preserve"> — provides Ralph Lauren Trading (Shanghai) Co., Ltd. with a revolving line of credit of up to 50 million Chin</w:t>
      </w:r>
      <w:r>
        <w:rPr>
          <w:rFonts w:eastAsia="Times New Roman"/>
          <w:color w:val="000000"/>
          <w:sz w:val="20"/>
          <w:szCs w:val="20"/>
        </w:rPr>
        <w:t xml:space="preserve">ese Renminbi (approximately $8 million) through April 3, 2023, which is also able to be used to support bank guarantees. The Company amended the China Credit Facility during the first quarter of Fiscal 2023, whereby the borrowing capacity was increased up </w:t>
      </w:r>
      <w:r>
        <w:rPr>
          <w:rFonts w:eastAsia="Times New Roman"/>
          <w:color w:val="000000"/>
          <w:sz w:val="20"/>
          <w:szCs w:val="20"/>
        </w:rPr>
        <w:t>to 100 million Chinese Renminbi (approximately $16 million).</w:t>
      </w:r>
    </w:p>
    <w:p w:rsidR="00000000" w:rsidRDefault="00BB5C2D">
      <w:pPr>
        <w:ind w:hanging="360"/>
        <w:jc w:val="both"/>
        <w:divId w:val="14311093"/>
        <w:rPr>
          <w:rFonts w:eastAsia="Times New Roman"/>
        </w:rPr>
      </w:pPr>
      <w:r>
        <w:rPr>
          <w:rFonts w:eastAsia="Times New Roman"/>
          <w:color w:val="000000"/>
          <w:sz w:val="20"/>
          <w:szCs w:val="20"/>
        </w:rPr>
        <w:t>•</w:t>
      </w:r>
      <w:r>
        <w:rPr>
          <w:rFonts w:eastAsia="Times New Roman"/>
          <w:color w:val="000000"/>
          <w:sz w:val="20"/>
          <w:szCs w:val="20"/>
          <w:u w:val="single"/>
        </w:rPr>
        <w:t>South Korea Credit Facility</w:t>
      </w:r>
      <w:r>
        <w:rPr>
          <w:rFonts w:eastAsia="Times New Roman"/>
          <w:color w:val="000000"/>
          <w:sz w:val="20"/>
          <w:szCs w:val="20"/>
        </w:rPr>
        <w:t xml:space="preserve"> — provides Ralph Lauren (Korea) Ltd. with a revolving line of credit of up to 30 billion South Korean Won (approximately $25 million) through October 28, 2022.</w:t>
      </w:r>
    </w:p>
    <w:p w:rsidR="00000000" w:rsidRDefault="00BB5C2D">
      <w:pPr>
        <w:ind w:hanging="360"/>
        <w:jc w:val="both"/>
        <w:divId w:val="1992784141"/>
        <w:rPr>
          <w:rFonts w:eastAsia="Times New Roman"/>
        </w:rPr>
      </w:pPr>
      <w:r>
        <w:rPr>
          <w:rFonts w:eastAsia="Times New Roman"/>
          <w:color w:val="000000"/>
          <w:sz w:val="20"/>
          <w:szCs w:val="20"/>
        </w:rPr>
        <w:t>•</w:t>
      </w:r>
      <w:r>
        <w:rPr>
          <w:rFonts w:eastAsia="Times New Roman"/>
          <w:color w:val="000000"/>
          <w:sz w:val="20"/>
          <w:szCs w:val="20"/>
          <w:u w:val="single"/>
        </w:rPr>
        <w:t>Japan Overdraft Facility</w:t>
      </w:r>
      <w:r>
        <w:rPr>
          <w:rFonts w:eastAsia="Times New Roman"/>
          <w:color w:val="000000"/>
          <w:sz w:val="20"/>
          <w:szCs w:val="20"/>
        </w:rPr>
        <w:t xml:space="preserve"> — provides Ralph Lauren Corporation Japan with an overdraft amount of up to 5 billion Japanese Yen (approximately $41 million) through April 28, 2023.</w:t>
      </w:r>
    </w:p>
    <w:p w:rsidR="00000000" w:rsidRDefault="00BB5C2D">
      <w:pPr>
        <w:ind w:firstLine="540"/>
        <w:jc w:val="both"/>
        <w:divId w:val="209076232"/>
        <w:rPr>
          <w:rFonts w:eastAsia="Times New Roman"/>
        </w:rPr>
      </w:pPr>
      <w:r>
        <w:rPr>
          <w:rFonts w:eastAsia="Times New Roman"/>
          <w:color w:val="000000"/>
          <w:sz w:val="20"/>
          <w:szCs w:val="20"/>
        </w:rPr>
        <w:t>As of both April 2, 2022 and March 27, 2021, there were no borrowings outstandin</w:t>
      </w:r>
      <w:r>
        <w:rPr>
          <w:rFonts w:eastAsia="Times New Roman"/>
          <w:color w:val="000000"/>
          <w:sz w:val="20"/>
          <w:szCs w:val="20"/>
        </w:rPr>
        <w:t>g under the Pan-Asia Borrowing Facilities.</w:t>
      </w:r>
    </w:p>
    <w:p w:rsidR="00000000" w:rsidRDefault="00BB5C2D">
      <w:pPr>
        <w:ind w:hanging="540"/>
        <w:divId w:val="536547151"/>
        <w:rPr>
          <w:rFonts w:eastAsia="Times New Roman"/>
        </w:rPr>
      </w:pPr>
      <w:r>
        <w:rPr>
          <w:rFonts w:eastAsia="Times New Roman"/>
          <w:b/>
          <w:bCs/>
          <w:color w:val="000000"/>
          <w:sz w:val="20"/>
          <w:szCs w:val="20"/>
        </w:rPr>
        <w:t>12.    Fair Value Measurements</w:t>
      </w:r>
    </w:p>
    <w:p w:rsidR="00000000" w:rsidRDefault="00BB5C2D">
      <w:pPr>
        <w:ind w:firstLine="540"/>
        <w:jc w:val="both"/>
        <w:divId w:val="1427921755"/>
        <w:rPr>
          <w:rFonts w:eastAsia="Times New Roman"/>
        </w:rPr>
      </w:pPr>
      <w:r>
        <w:rPr>
          <w:rFonts w:eastAsia="Times New Roman"/>
          <w:color w:val="000000"/>
          <w:sz w:val="20"/>
          <w:szCs w:val="20"/>
        </w:rPr>
        <w:t>U.S. GAAP prescribes a three-level valuation hierarchy for disclosure of fair value measurements. The determination of the applicable level within the hierarchy for a particular asse</w:t>
      </w:r>
      <w:r>
        <w:rPr>
          <w:rFonts w:eastAsia="Times New Roman"/>
          <w:color w:val="000000"/>
          <w:sz w:val="20"/>
          <w:szCs w:val="20"/>
        </w:rPr>
        <w:t>t or liability depends on the inputs used in its valuation as of the measurement date, notably the extent to which the inputs are market-based (observable) or internally-derived (unobservable). A financial instrument's categorization within the valuation h</w:t>
      </w:r>
      <w:r>
        <w:rPr>
          <w:rFonts w:eastAsia="Times New Roman"/>
          <w:color w:val="000000"/>
          <w:sz w:val="20"/>
          <w:szCs w:val="20"/>
        </w:rPr>
        <w:t>ierarchy is based upon the lowest level of input that is significant to the fair value measurement. The three levels are defined as follows:</w:t>
      </w:r>
    </w:p>
    <w:p w:rsidR="00000000" w:rsidRDefault="00BB5C2D">
      <w:pPr>
        <w:ind w:hanging="360"/>
        <w:jc w:val="both"/>
        <w:divId w:val="1192305048"/>
        <w:rPr>
          <w:rFonts w:eastAsia="Times New Roman"/>
        </w:rPr>
      </w:pPr>
      <w:r>
        <w:rPr>
          <w:rFonts w:eastAsia="Times New Roman"/>
          <w:color w:val="000000"/>
          <w:sz w:val="20"/>
          <w:szCs w:val="20"/>
        </w:rPr>
        <w:t>•</w:t>
      </w:r>
      <w:r>
        <w:rPr>
          <w:rFonts w:eastAsia="Times New Roman"/>
          <w:color w:val="000000"/>
          <w:sz w:val="20"/>
          <w:szCs w:val="20"/>
          <w:u w:val="single"/>
        </w:rPr>
        <w:t>Level 1</w:t>
      </w:r>
      <w:r>
        <w:rPr>
          <w:rFonts w:eastAsia="Times New Roman"/>
          <w:color w:val="000000"/>
          <w:sz w:val="20"/>
          <w:szCs w:val="20"/>
        </w:rPr>
        <w:t> — inputs to the valuation methodology based on quoted prices (unadjusted) for identical assets or liabilit</w:t>
      </w:r>
      <w:r>
        <w:rPr>
          <w:rFonts w:eastAsia="Times New Roman"/>
          <w:color w:val="000000"/>
          <w:sz w:val="20"/>
          <w:szCs w:val="20"/>
        </w:rPr>
        <w:t>ies in active markets.</w:t>
      </w:r>
    </w:p>
    <w:p w:rsidR="00000000" w:rsidRDefault="00BB5C2D">
      <w:pPr>
        <w:ind w:hanging="360"/>
        <w:jc w:val="both"/>
        <w:divId w:val="1419132160"/>
        <w:rPr>
          <w:rFonts w:eastAsia="Times New Roman"/>
        </w:rPr>
      </w:pPr>
      <w:r>
        <w:rPr>
          <w:rFonts w:eastAsia="Times New Roman"/>
          <w:color w:val="000000"/>
          <w:sz w:val="20"/>
          <w:szCs w:val="20"/>
        </w:rPr>
        <w:t>•</w:t>
      </w:r>
      <w:r>
        <w:rPr>
          <w:rFonts w:eastAsia="Times New Roman"/>
          <w:color w:val="000000"/>
          <w:sz w:val="20"/>
          <w:szCs w:val="20"/>
          <w:u w:val="single"/>
        </w:rPr>
        <w:t>Level 2</w:t>
      </w:r>
      <w:r>
        <w:rPr>
          <w:rFonts w:eastAsia="Times New Roman"/>
          <w:color w:val="000000"/>
          <w:sz w:val="20"/>
          <w:szCs w:val="20"/>
        </w:rPr>
        <w:t> — inputs to the valuation methodology based on quoted prices for similar assets or liabilities in active markets for substantially the full term of the financial instrument; quoted prices for identical or similar instruments</w:t>
      </w:r>
      <w:r>
        <w:rPr>
          <w:rFonts w:eastAsia="Times New Roman"/>
          <w:color w:val="000000"/>
          <w:sz w:val="20"/>
          <w:szCs w:val="20"/>
        </w:rPr>
        <w:t xml:space="preserve"> in markets that are not active for substantially the full term of the financial instrument; and model-derived valuations whose inputs or significant value drivers are observable.</w:t>
      </w:r>
    </w:p>
    <w:p w:rsidR="00000000" w:rsidRDefault="00BB5C2D">
      <w:pPr>
        <w:ind w:hanging="360"/>
        <w:jc w:val="both"/>
        <w:divId w:val="813371917"/>
        <w:rPr>
          <w:rFonts w:eastAsia="Times New Roman"/>
        </w:rPr>
      </w:pPr>
      <w:r>
        <w:rPr>
          <w:rFonts w:eastAsia="Times New Roman"/>
          <w:color w:val="000000"/>
          <w:sz w:val="20"/>
          <w:szCs w:val="20"/>
        </w:rPr>
        <w:t>•</w:t>
      </w:r>
      <w:r>
        <w:rPr>
          <w:rFonts w:eastAsia="Times New Roman"/>
          <w:color w:val="000000"/>
          <w:sz w:val="20"/>
          <w:szCs w:val="20"/>
          <w:u w:val="single"/>
        </w:rPr>
        <w:t>Level 3</w:t>
      </w:r>
      <w:r>
        <w:rPr>
          <w:rFonts w:eastAsia="Times New Roman"/>
          <w:color w:val="000000"/>
          <w:sz w:val="20"/>
          <w:szCs w:val="20"/>
        </w:rPr>
        <w:t xml:space="preserve"> — inputs to the valuation methodology based on unobservable prices </w:t>
      </w:r>
      <w:r>
        <w:rPr>
          <w:rFonts w:eastAsia="Times New Roman"/>
          <w:color w:val="000000"/>
          <w:sz w:val="20"/>
          <w:szCs w:val="20"/>
        </w:rPr>
        <w:t>or valuation techniques that are significant to the fair value measurement.</w:t>
      </w:r>
    </w:p>
    <w:p w:rsidR="00000000" w:rsidRDefault="00BB5C2D">
      <w:pPr>
        <w:ind w:firstLine="540"/>
        <w:jc w:val="both"/>
        <w:divId w:val="158731"/>
        <w:rPr>
          <w:rFonts w:eastAsia="Times New Roman"/>
        </w:rPr>
      </w:pPr>
      <w:r>
        <w:rPr>
          <w:rFonts w:eastAsia="Times New Roman"/>
          <w:color w:val="000000"/>
          <w:sz w:val="20"/>
          <w:szCs w:val="20"/>
        </w:rPr>
        <w:t>The following table summarizes the Company's financial assets and liabilities that are measured and recorded at fair value on a recurring basis, excluding accrued interest components:</w:t>
      </w:r>
    </w:p>
    <w:tbl>
      <w:tblPr>
        <w:tblW w:w="4729" w:type="pct"/>
        <w:tblCellMar>
          <w:top w:w="15" w:type="dxa"/>
          <w:left w:w="15" w:type="dxa"/>
          <w:bottom w:w="15" w:type="dxa"/>
          <w:right w:w="15" w:type="dxa"/>
        </w:tblCellMar>
        <w:tblLook w:val="04A0" w:firstRow="1" w:lastRow="0" w:firstColumn="1" w:lastColumn="0" w:noHBand="0" w:noVBand="1"/>
      </w:tblPr>
      <w:tblGrid>
        <w:gridCol w:w="37"/>
        <w:gridCol w:w="5171"/>
        <w:gridCol w:w="36"/>
        <w:gridCol w:w="36"/>
        <w:gridCol w:w="36"/>
        <w:gridCol w:w="36"/>
        <w:gridCol w:w="120"/>
        <w:gridCol w:w="1041"/>
        <w:gridCol w:w="36"/>
        <w:gridCol w:w="36"/>
        <w:gridCol w:w="36"/>
        <w:gridCol w:w="36"/>
        <w:gridCol w:w="120"/>
        <w:gridCol w:w="1043"/>
        <w:gridCol w:w="36"/>
      </w:tblGrid>
      <w:tr w:rsidR="00000000">
        <w:trPr>
          <w:divId w:val="262609859"/>
        </w:trPr>
        <w:tc>
          <w:tcPr>
            <w:tcW w:w="50" w:type="pct"/>
            <w:vAlign w:val="center"/>
            <w:hideMark/>
          </w:tcPr>
          <w:p w:rsidR="00000000" w:rsidRDefault="00BB5C2D">
            <w:pPr>
              <w:ind w:firstLine="540"/>
              <w:jc w:val="both"/>
              <w:rPr>
                <w:rFonts w:eastAsia="Times New Roman"/>
              </w:rPr>
            </w:pPr>
          </w:p>
        </w:tc>
        <w:tc>
          <w:tcPr>
            <w:tcW w:w="332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262609859"/>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r>
      <w:tr w:rsidR="00000000">
        <w:trPr>
          <w:divId w:val="262609859"/>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262609859"/>
        </w:trPr>
        <w:tc>
          <w:tcPr>
            <w:tcW w:w="0" w:type="auto"/>
            <w:gridSpan w:val="3"/>
            <w:vAlign w:val="center"/>
            <w:hideMark/>
          </w:tcPr>
          <w:p w:rsidR="00000000" w:rsidRDefault="00BB5C2D">
            <w:pPr>
              <w:spacing w:after="100"/>
              <w:jc w:val="center"/>
              <w:rPr>
                <w:rFonts w:eastAsia="Times New Roman"/>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r>
      <w:tr w:rsidR="00000000">
        <w:trPr>
          <w:divId w:val="262609859"/>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divId w:val="433986607"/>
              <w:rPr>
                <w:rFonts w:eastAsia="Times New Roman"/>
              </w:rPr>
            </w:pPr>
            <w:r>
              <w:rPr>
                <w:rFonts w:eastAsia="Times New Roman"/>
                <w:color w:val="000000"/>
                <w:sz w:val="20"/>
                <w:szCs w:val="20"/>
              </w:rPr>
              <w:t>Derivative asset</w:t>
            </w:r>
            <w:r>
              <w:rPr>
                <w:rFonts w:eastAsia="Times New Roman"/>
                <w:color w:val="000000"/>
                <w:sz w:val="20"/>
                <w:szCs w:val="20"/>
              </w:rPr>
              <w:t>s</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32.4 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15.8 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62609859"/>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divId w:val="1134831693"/>
              <w:rPr>
                <w:rFonts w:eastAsia="Times New Roman"/>
              </w:rPr>
            </w:pPr>
            <w:r>
              <w:rPr>
                <w:rFonts w:eastAsia="Times New Roman"/>
                <w:color w:val="000000"/>
                <w:sz w:val="20"/>
                <w:szCs w:val="20"/>
              </w:rPr>
              <w:t>Derivative liabilitie</w:t>
            </w:r>
            <w:r>
              <w:rPr>
                <w:rFonts w:eastAsia="Times New Roman"/>
                <w:color w:val="000000"/>
                <w:sz w:val="20"/>
                <w:szCs w:val="20"/>
              </w:rPr>
              <w:t>s</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18.3 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55.4 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BB5C2D">
            <w:pPr>
              <w:rPr>
                <w:rFonts w:eastAsia="Times New Roman"/>
              </w:rPr>
            </w:pPr>
          </w:p>
        </w:tc>
        <w:tc>
          <w:tcPr>
            <w:tcW w:w="494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r>
    </w:tbl>
    <w:p w:rsidR="00000000" w:rsidRDefault="00BB5C2D">
      <w:pPr>
        <w:ind w:hanging="360"/>
        <w:jc w:val="both"/>
        <w:divId w:val="2084403964"/>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Based on Level 2 measurements.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389182145"/>
          <w:jc w:val="center"/>
        </w:trPr>
        <w:tc>
          <w:tcPr>
            <w:tcW w:w="50" w:type="pct"/>
            <w:vAlign w:val="center"/>
            <w:hideMark/>
          </w:tcPr>
          <w:p w:rsidR="00000000" w:rsidRDefault="00BB5C2D">
            <w:pPr>
              <w:ind w:hanging="36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389182145"/>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F-35</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47" style="width:0;height:1.5pt" o:hralign="center" o:hrstd="t" o:hr="t" fillcolor="#a0a0a0" stroked="f"/>
        </w:pict>
      </w:r>
    </w:p>
    <w:p w:rsidR="00000000" w:rsidRDefault="00BB5C2D">
      <w:pPr>
        <w:jc w:val="center"/>
        <w:divId w:val="1354459134"/>
        <w:rPr>
          <w:rFonts w:eastAsia="Times New Roman"/>
        </w:rPr>
      </w:pPr>
    </w:p>
    <w:p w:rsidR="00000000" w:rsidRDefault="00BB5C2D">
      <w:pPr>
        <w:jc w:val="center"/>
        <w:divId w:val="1354459134"/>
        <w:rPr>
          <w:rFonts w:eastAsia="Times New Roman"/>
        </w:rPr>
      </w:pPr>
      <w:r>
        <w:rPr>
          <w:rFonts w:eastAsia="Times New Roman"/>
          <w:b/>
          <w:bCs/>
          <w:color w:val="000000"/>
          <w:sz w:val="20"/>
          <w:szCs w:val="20"/>
        </w:rPr>
        <w:t>RALPH LAUREN CORPORATION</w:t>
      </w:r>
    </w:p>
    <w:p w:rsidR="00000000" w:rsidRDefault="00BB5C2D">
      <w:pPr>
        <w:jc w:val="center"/>
        <w:divId w:val="153419981"/>
        <w:rPr>
          <w:rFonts w:eastAsia="Times New Roman"/>
        </w:rPr>
      </w:pPr>
      <w:r>
        <w:rPr>
          <w:rFonts w:eastAsia="Times New Roman"/>
          <w:b/>
          <w:bCs/>
          <w:color w:val="000000"/>
          <w:sz w:val="20"/>
          <w:szCs w:val="20"/>
        </w:rPr>
        <w:t>NOTES TO CONSOLIDATED FINANCIAL STATEMENTS (Continued)</w:t>
      </w:r>
    </w:p>
    <w:p w:rsidR="00000000" w:rsidRDefault="00BB5C2D">
      <w:pPr>
        <w:ind w:firstLine="540"/>
        <w:jc w:val="both"/>
        <w:divId w:val="277831862"/>
        <w:rPr>
          <w:rFonts w:eastAsia="Times New Roman"/>
        </w:rPr>
      </w:pPr>
      <w:r>
        <w:rPr>
          <w:rFonts w:eastAsia="Times New Roman"/>
          <w:color w:val="000000"/>
          <w:sz w:val="20"/>
          <w:szCs w:val="20"/>
        </w:rPr>
        <w:t xml:space="preserve">The Company's derivative financial instruments are recorded at fair value in its consolidated balance sheets and are valued using pricing </w:t>
      </w:r>
      <w:r>
        <w:rPr>
          <w:rFonts w:eastAsia="Times New Roman"/>
          <w:color w:val="000000"/>
          <w:sz w:val="20"/>
          <w:szCs w:val="20"/>
        </w:rPr>
        <w:t>models that are primarily based on market observable external inputs, including spot and forward currency exchange rates, benchmark interest rates, and discount rates consistent with the instrument's tenor, and consider the impact of the Company's own cred</w:t>
      </w:r>
      <w:r>
        <w:rPr>
          <w:rFonts w:eastAsia="Times New Roman"/>
          <w:color w:val="000000"/>
          <w:sz w:val="20"/>
          <w:szCs w:val="20"/>
        </w:rPr>
        <w:t>it risk, if any. Changes in counterparty credit risk are also considered in the valuation of derivative financial instruments.</w:t>
      </w:r>
    </w:p>
    <w:p w:rsidR="00000000" w:rsidRDefault="00BB5C2D">
      <w:pPr>
        <w:ind w:firstLine="540"/>
        <w:jc w:val="both"/>
        <w:divId w:val="1148015538"/>
        <w:rPr>
          <w:rFonts w:eastAsia="Times New Roman"/>
        </w:rPr>
      </w:pPr>
      <w:r>
        <w:rPr>
          <w:rFonts w:eastAsia="Times New Roman"/>
          <w:color w:val="000000"/>
          <w:sz w:val="20"/>
          <w:szCs w:val="20"/>
        </w:rPr>
        <w:t>To the extent the Company invests in commercial paper, such investments are classified as available-for-sale and recorded at fair</w:t>
      </w:r>
      <w:r>
        <w:rPr>
          <w:rFonts w:eastAsia="Times New Roman"/>
          <w:color w:val="000000"/>
          <w:sz w:val="20"/>
          <w:szCs w:val="20"/>
        </w:rPr>
        <w:t xml:space="preserve"> value in its consolidated balance sheets using external pricing data, based on interest rates and credit ratings for similar issuances with the same remaining term as the Company's investments. To the extent the Company invests in bonds, such investments </w:t>
      </w:r>
      <w:r>
        <w:rPr>
          <w:rFonts w:eastAsia="Times New Roman"/>
          <w:color w:val="000000"/>
          <w:sz w:val="20"/>
          <w:szCs w:val="20"/>
        </w:rPr>
        <w:t>are also classified as available-for-sale and recorded at fair value in its consolidated balance sheets based on quoted prices in active markets.</w:t>
      </w:r>
    </w:p>
    <w:p w:rsidR="00000000" w:rsidRDefault="00BB5C2D">
      <w:pPr>
        <w:ind w:firstLine="540"/>
        <w:jc w:val="both"/>
        <w:divId w:val="1867790157"/>
        <w:rPr>
          <w:rFonts w:eastAsia="Times New Roman"/>
        </w:rPr>
      </w:pPr>
      <w:r>
        <w:rPr>
          <w:rFonts w:eastAsia="Times New Roman"/>
          <w:color w:val="000000"/>
          <w:sz w:val="20"/>
          <w:szCs w:val="20"/>
        </w:rPr>
        <w:t>The Company's cash and cash equivalents, restricted cash, and time deposits are recorded at carrying value, wh</w:t>
      </w:r>
      <w:r>
        <w:rPr>
          <w:rFonts w:eastAsia="Times New Roman"/>
          <w:color w:val="000000"/>
          <w:sz w:val="20"/>
          <w:szCs w:val="20"/>
        </w:rPr>
        <w:t>ich generally approximates fair value based on Level 1 measurements.</w:t>
      </w:r>
    </w:p>
    <w:p w:rsidR="00000000" w:rsidRDefault="00BB5C2D">
      <w:pPr>
        <w:ind w:firstLine="540"/>
        <w:jc w:val="both"/>
        <w:divId w:val="600989943"/>
        <w:rPr>
          <w:rFonts w:eastAsia="Times New Roman"/>
        </w:rPr>
      </w:pPr>
      <w:r>
        <w:rPr>
          <w:rFonts w:eastAsia="Times New Roman"/>
          <w:color w:val="000000"/>
          <w:sz w:val="20"/>
          <w:szCs w:val="20"/>
        </w:rPr>
        <w:t>The Company's debt instruments are recorded at their amortized cost in its consolidated balance sheets, which may differ from their respective fair values. The fair values of the Senior N</w:t>
      </w:r>
      <w:r>
        <w:rPr>
          <w:rFonts w:eastAsia="Times New Roman"/>
          <w:color w:val="000000"/>
          <w:sz w:val="20"/>
          <w:szCs w:val="20"/>
        </w:rPr>
        <w:t>otes are estimated based on external pricing data, including available quoted market prices, and with reference to comparable debt instruments with similar interest rates, credit ratings, and trading frequency, among other factors. The fair values of the C</w:t>
      </w:r>
      <w:r>
        <w:rPr>
          <w:rFonts w:eastAsia="Times New Roman"/>
          <w:color w:val="000000"/>
          <w:sz w:val="20"/>
          <w:szCs w:val="20"/>
        </w:rPr>
        <w:t>ompany's commercial paper notes and borrowings outstanding under its credit facilities, if any, are estimated using external pricing data, based on interest rates and credit ratings for similar issuances with the same remaining term as the Company's outsta</w:t>
      </w:r>
      <w:r>
        <w:rPr>
          <w:rFonts w:eastAsia="Times New Roman"/>
          <w:color w:val="000000"/>
          <w:sz w:val="20"/>
          <w:szCs w:val="20"/>
        </w:rPr>
        <w:t>nding borrowings. Due to their short-term nature, the fair values of the Company's commercial paper notes and borrowings outstanding under its credit facilities, if any, generally approximate their amortized cost carrying values.</w:t>
      </w:r>
    </w:p>
    <w:p w:rsidR="00000000" w:rsidRDefault="00BB5C2D">
      <w:pPr>
        <w:ind w:firstLine="540"/>
        <w:jc w:val="both"/>
        <w:divId w:val="254637085"/>
        <w:rPr>
          <w:rFonts w:eastAsia="Times New Roman"/>
        </w:rPr>
      </w:pPr>
      <w:r>
        <w:rPr>
          <w:rFonts w:eastAsia="Times New Roman"/>
          <w:color w:val="000000"/>
          <w:sz w:val="20"/>
          <w:szCs w:val="20"/>
        </w:rPr>
        <w:t>The following table summar</w:t>
      </w:r>
      <w:r>
        <w:rPr>
          <w:rFonts w:eastAsia="Times New Roman"/>
          <w:color w:val="000000"/>
          <w:sz w:val="20"/>
          <w:szCs w:val="20"/>
        </w:rPr>
        <w:t>izes the carrying values and the estimated fair values of the Company's debt instruments:</w:t>
      </w:r>
    </w:p>
    <w:tbl>
      <w:tblPr>
        <w:tblW w:w="4736" w:type="pct"/>
        <w:tblCellMar>
          <w:top w:w="15" w:type="dxa"/>
          <w:left w:w="15" w:type="dxa"/>
          <w:bottom w:w="15" w:type="dxa"/>
          <w:right w:w="15" w:type="dxa"/>
        </w:tblCellMar>
        <w:tblLook w:val="04A0" w:firstRow="1" w:lastRow="0" w:firstColumn="1" w:lastColumn="0" w:noHBand="0" w:noVBand="1"/>
      </w:tblPr>
      <w:tblGrid>
        <w:gridCol w:w="37"/>
        <w:gridCol w:w="3251"/>
        <w:gridCol w:w="36"/>
        <w:gridCol w:w="36"/>
        <w:gridCol w:w="36"/>
        <w:gridCol w:w="36"/>
        <w:gridCol w:w="121"/>
        <w:gridCol w:w="871"/>
        <w:gridCol w:w="36"/>
        <w:gridCol w:w="36"/>
        <w:gridCol w:w="36"/>
        <w:gridCol w:w="36"/>
        <w:gridCol w:w="120"/>
        <w:gridCol w:w="871"/>
        <w:gridCol w:w="36"/>
        <w:gridCol w:w="36"/>
        <w:gridCol w:w="36"/>
        <w:gridCol w:w="36"/>
        <w:gridCol w:w="121"/>
        <w:gridCol w:w="871"/>
        <w:gridCol w:w="36"/>
        <w:gridCol w:w="36"/>
        <w:gridCol w:w="36"/>
        <w:gridCol w:w="36"/>
        <w:gridCol w:w="120"/>
        <w:gridCol w:w="872"/>
        <w:gridCol w:w="36"/>
      </w:tblGrid>
      <w:tr w:rsidR="00000000">
        <w:trPr>
          <w:divId w:val="1703626325"/>
        </w:trPr>
        <w:tc>
          <w:tcPr>
            <w:tcW w:w="50" w:type="pct"/>
            <w:vAlign w:val="center"/>
            <w:hideMark/>
          </w:tcPr>
          <w:p w:rsidR="00000000" w:rsidRDefault="00BB5C2D">
            <w:pPr>
              <w:ind w:firstLine="540"/>
              <w:jc w:val="both"/>
              <w:rPr>
                <w:rFonts w:eastAsia="Times New Roman"/>
              </w:rPr>
            </w:pPr>
          </w:p>
        </w:tc>
        <w:tc>
          <w:tcPr>
            <w:tcW w:w="210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61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61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61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61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703626325"/>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 2022</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 2021</w:t>
            </w:r>
          </w:p>
        </w:tc>
      </w:tr>
      <w:tr w:rsidR="00000000">
        <w:trPr>
          <w:divId w:val="1703626325"/>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Carrying Valu</w:t>
            </w:r>
            <w:r>
              <w:rPr>
                <w:rFonts w:eastAsia="Times New Roman"/>
                <w:b/>
                <w:bCs/>
                <w:color w:val="000000"/>
                <w:sz w:val="16"/>
                <w:szCs w:val="16"/>
              </w:rPr>
              <w:t>e</w:t>
            </w:r>
            <w:r>
              <w:rPr>
                <w:rFonts w:eastAsia="Times New Roman"/>
                <w:b/>
                <w:bCs/>
                <w:color w:val="000000"/>
                <w:sz w:val="10"/>
                <w:szCs w:val="10"/>
              </w:rPr>
              <w:t>(a</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Fair Valu</w:t>
            </w:r>
            <w:r>
              <w:rPr>
                <w:rFonts w:eastAsia="Times New Roman"/>
                <w:b/>
                <w:bCs/>
                <w:color w:val="000000"/>
                <w:sz w:val="16"/>
                <w:szCs w:val="16"/>
              </w:rPr>
              <w:t>e</w:t>
            </w:r>
            <w:r>
              <w:rPr>
                <w:rFonts w:eastAsia="Times New Roman"/>
                <w:b/>
                <w:bCs/>
                <w:color w:val="000000"/>
                <w:sz w:val="10"/>
                <w:szCs w:val="10"/>
              </w:rPr>
              <w:t>(b</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Carrying Valu</w:t>
            </w:r>
            <w:r>
              <w:rPr>
                <w:rFonts w:eastAsia="Times New Roman"/>
                <w:b/>
                <w:bCs/>
                <w:color w:val="000000"/>
                <w:sz w:val="16"/>
                <w:szCs w:val="16"/>
              </w:rPr>
              <w:t>e</w:t>
            </w:r>
            <w:r>
              <w:rPr>
                <w:rFonts w:eastAsia="Times New Roman"/>
                <w:b/>
                <w:bCs/>
                <w:color w:val="000000"/>
                <w:sz w:val="10"/>
                <w:szCs w:val="10"/>
              </w:rPr>
              <w:t>(a</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Fair Valu</w:t>
            </w:r>
            <w:r>
              <w:rPr>
                <w:rFonts w:eastAsia="Times New Roman"/>
                <w:b/>
                <w:bCs/>
                <w:color w:val="000000"/>
                <w:sz w:val="16"/>
                <w:szCs w:val="16"/>
              </w:rPr>
              <w:t>e</w:t>
            </w:r>
            <w:r>
              <w:rPr>
                <w:rFonts w:eastAsia="Times New Roman"/>
                <w:b/>
                <w:bCs/>
                <w:color w:val="000000"/>
                <w:sz w:val="10"/>
                <w:szCs w:val="10"/>
              </w:rPr>
              <w:t>(b</w:t>
            </w:r>
            <w:r>
              <w:rPr>
                <w:rFonts w:eastAsia="Times New Roman"/>
                <w:b/>
                <w:bCs/>
                <w:color w:val="000000"/>
                <w:sz w:val="10"/>
                <w:szCs w:val="10"/>
              </w:rPr>
              <w:t>)</w:t>
            </w:r>
          </w:p>
        </w:tc>
      </w:tr>
      <w:tr w:rsidR="00000000">
        <w:trPr>
          <w:divId w:val="1703626325"/>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1703626325"/>
        </w:trPr>
        <w:tc>
          <w:tcPr>
            <w:tcW w:w="0" w:type="auto"/>
            <w:gridSpan w:val="3"/>
            <w:vAlign w:val="center"/>
            <w:hideMark/>
          </w:tcPr>
          <w:p w:rsidR="00000000" w:rsidRDefault="00BB5C2D">
            <w:pPr>
              <w:spacing w:after="100"/>
              <w:jc w:val="center"/>
              <w:rPr>
                <w:rFonts w:eastAsia="Times New Roman"/>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r>
      <w:tr w:rsidR="00000000">
        <w:trPr>
          <w:divId w:val="1703626325"/>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$400 million 3.750% Senior Notes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397.7 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407.9 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397.1 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443.4 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703626325"/>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$500 million 1.700% Senior Notes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499.8 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500.5 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498.4 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507.8 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703626325"/>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$750 million 2.950% Senior Notes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738.8 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721.0 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737.4 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779.4 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703626325"/>
        </w:trPr>
        <w:tc>
          <w:tcPr>
            <w:tcW w:w="0" w:type="auto"/>
            <w:gridSpan w:val="3"/>
            <w:vAlign w:val="center"/>
            <w:hideMark/>
          </w:tcPr>
          <w:p w:rsidR="00000000" w:rsidRDefault="00BB5C2D">
            <w:pPr>
              <w:spacing w:after="100"/>
              <w:jc w:val="right"/>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BB5C2D">
            <w:pPr>
              <w:rPr>
                <w:rFonts w:eastAsia="Times New Roman"/>
              </w:rPr>
            </w:pPr>
          </w:p>
        </w:tc>
        <w:tc>
          <w:tcPr>
            <w:tcW w:w="494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r>
    </w:tbl>
    <w:p w:rsidR="00000000" w:rsidRDefault="00BB5C2D">
      <w:pPr>
        <w:rPr>
          <w:rFonts w:eastAsia="Times New Roman"/>
        </w:rPr>
      </w:pPr>
      <w:r>
        <w:rPr>
          <w:rFonts w:eastAsia="Times New Roman"/>
          <w:color w:val="000000"/>
          <w:sz w:val="20"/>
          <w:szCs w:val="20"/>
        </w:rPr>
        <w:t> </w:t>
      </w:r>
    </w:p>
    <w:p w:rsidR="00000000" w:rsidRDefault="00BB5C2D">
      <w:pPr>
        <w:ind w:hanging="360"/>
        <w:jc w:val="both"/>
        <w:divId w:val="978389047"/>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See Note 11 for discussion of the carrying values of the Company's senior notes.</w:t>
      </w:r>
    </w:p>
    <w:p w:rsidR="00000000" w:rsidRDefault="00BB5C2D">
      <w:pPr>
        <w:ind w:hanging="360"/>
        <w:jc w:val="both"/>
        <w:divId w:val="754403177"/>
        <w:rPr>
          <w:rFonts w:eastAsia="Times New Roman"/>
        </w:rPr>
      </w:pPr>
      <w:r>
        <w:rPr>
          <w:rFonts w:eastAsia="Times New Roman"/>
          <w:b/>
          <w:bCs/>
          <w:color w:val="000000"/>
          <w:sz w:val="13"/>
          <w:szCs w:val="13"/>
        </w:rPr>
        <w:t>(b</w:t>
      </w:r>
      <w:r>
        <w:rPr>
          <w:rFonts w:eastAsia="Times New Roman"/>
          <w:b/>
          <w:bCs/>
          <w:color w:val="000000"/>
          <w:sz w:val="13"/>
          <w:szCs w:val="13"/>
        </w:rPr>
        <w:t>)</w:t>
      </w:r>
      <w:r>
        <w:rPr>
          <w:rFonts w:eastAsia="Times New Roman"/>
          <w:color w:val="000000"/>
          <w:sz w:val="20"/>
          <w:szCs w:val="20"/>
        </w:rPr>
        <w:t>Based on Level 2 measurements.</w:t>
      </w:r>
    </w:p>
    <w:p w:rsidR="00000000" w:rsidRDefault="00BB5C2D">
      <w:pPr>
        <w:ind w:firstLine="540"/>
        <w:jc w:val="both"/>
        <w:divId w:val="601301954"/>
        <w:rPr>
          <w:rFonts w:eastAsia="Times New Roman"/>
        </w:rPr>
      </w:pPr>
      <w:r>
        <w:rPr>
          <w:rFonts w:eastAsia="Times New Roman"/>
          <w:color w:val="000000"/>
          <w:sz w:val="20"/>
          <w:szCs w:val="20"/>
        </w:rPr>
        <w:t>Unrealized gains or losses resulting from changes in the fair value of the Company's debt instruments do not result in the realization or expenditure of cash unless the debt is retired prior to its maturity.</w:t>
      </w:r>
    </w:p>
    <w:p w:rsidR="00000000" w:rsidRDefault="00BB5C2D">
      <w:pPr>
        <w:ind w:firstLine="540"/>
        <w:jc w:val="both"/>
        <w:divId w:val="1407848185"/>
        <w:rPr>
          <w:rFonts w:eastAsia="Times New Roman"/>
        </w:rPr>
      </w:pPr>
      <w:r>
        <w:rPr>
          <w:rFonts w:eastAsia="Times New Roman"/>
          <w:b/>
          <w:bCs/>
          <w:i/>
          <w:iCs/>
          <w:color w:val="000000"/>
          <w:sz w:val="20"/>
          <w:szCs w:val="20"/>
        </w:rPr>
        <w:t>Non-financial Assets and Liabilities</w:t>
      </w:r>
    </w:p>
    <w:p w:rsidR="00000000" w:rsidRDefault="00BB5C2D">
      <w:pPr>
        <w:ind w:firstLine="540"/>
        <w:jc w:val="both"/>
        <w:divId w:val="73818955"/>
        <w:rPr>
          <w:rFonts w:eastAsia="Times New Roman"/>
        </w:rPr>
      </w:pPr>
      <w:r>
        <w:rPr>
          <w:rFonts w:eastAsia="Times New Roman"/>
          <w:color w:val="000000"/>
          <w:sz w:val="20"/>
          <w:szCs w:val="20"/>
        </w:rPr>
        <w:t>The Company's non-financial assets, which primarily consist of goodwill, other intangible assets, property and equipment, and lease-related ROU assets, are not required to be measured at fair value on a recurring basis,</w:t>
      </w:r>
      <w:r>
        <w:rPr>
          <w:rFonts w:eastAsia="Times New Roman"/>
          <w:color w:val="000000"/>
          <w:sz w:val="20"/>
          <w:szCs w:val="20"/>
        </w:rPr>
        <w:t xml:space="preserve"> and instead are reported at their amortized or depreciated cost in its consolidated balance sheet. However, on a periodic basis or whenever events or changes in circumstances indicate that they may not be fully recoverable (and at least annually for goodw</w:t>
      </w:r>
      <w:r>
        <w:rPr>
          <w:rFonts w:eastAsia="Times New Roman"/>
          <w:color w:val="000000"/>
          <w:sz w:val="20"/>
          <w:szCs w:val="20"/>
        </w:rPr>
        <w:t>ill and indefinite-lived intangible assets), the respective carrying value of non-financial assets are assessed for impairment and, if ultimately considered impaired, are adjusted and written down to their fair value, as estimated based on consideration of</w:t>
      </w:r>
      <w:r>
        <w:rPr>
          <w:rFonts w:eastAsia="Times New Roman"/>
          <w:color w:val="000000"/>
          <w:sz w:val="20"/>
          <w:szCs w:val="20"/>
        </w:rPr>
        <w:t xml:space="preserve"> external market participant assumptions and discounted cash flows.</w:t>
      </w:r>
    </w:p>
    <w:p w:rsidR="00000000" w:rsidRDefault="00BB5C2D">
      <w:pPr>
        <w:ind w:firstLine="540"/>
        <w:jc w:val="both"/>
        <w:divId w:val="1409497463"/>
        <w:rPr>
          <w:rFonts w:eastAsia="Times New Roman"/>
        </w:rPr>
      </w:pPr>
      <w:r>
        <w:rPr>
          <w:rFonts w:eastAsia="Times New Roman"/>
          <w:color w:val="000000"/>
          <w:sz w:val="20"/>
          <w:szCs w:val="20"/>
        </w:rPr>
        <w:t>During Fiscal 2022, Fiscal 2021, and Fiscal 2020, the Company recorded non-cash impairment charges to reduce the carrying values of certain long-lived assets to their estimated fair values</w:t>
      </w:r>
      <w:r>
        <w:rPr>
          <w:rFonts w:eastAsia="Times New Roman"/>
          <w:color w:val="000000"/>
          <w:sz w:val="20"/>
          <w:szCs w:val="20"/>
        </w:rPr>
        <w:t>. The fair values of these assets were determined based on Level 3 measurements, the related inputs of which included estimates of the amount and timing of the assets' net future discounted cash flows (including any potential sublease income for lease-rela</w:t>
      </w:r>
      <w:r>
        <w:rPr>
          <w:rFonts w:eastAsia="Times New Roman"/>
          <w:color w:val="000000"/>
          <w:sz w:val="20"/>
          <w:szCs w:val="20"/>
        </w:rPr>
        <w:t>ted ROU assets), based on historical experience and consideration of current trends, market conditions, and comparable sales, as applicable.</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766458134"/>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766458134"/>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F-36</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48" style="width:0;height:1.5pt" o:hralign="center" o:hrstd="t" o:hr="t" fillcolor="#a0a0a0" stroked="f"/>
        </w:pict>
      </w:r>
    </w:p>
    <w:p w:rsidR="00000000" w:rsidRDefault="00BB5C2D">
      <w:pPr>
        <w:jc w:val="center"/>
        <w:divId w:val="1912276218"/>
        <w:rPr>
          <w:rFonts w:eastAsia="Times New Roman"/>
        </w:rPr>
      </w:pPr>
    </w:p>
    <w:p w:rsidR="00000000" w:rsidRDefault="00BB5C2D">
      <w:pPr>
        <w:jc w:val="center"/>
        <w:divId w:val="1912276218"/>
        <w:rPr>
          <w:rFonts w:eastAsia="Times New Roman"/>
        </w:rPr>
      </w:pPr>
      <w:r>
        <w:rPr>
          <w:rFonts w:eastAsia="Times New Roman"/>
          <w:b/>
          <w:bCs/>
          <w:color w:val="000000"/>
          <w:sz w:val="20"/>
          <w:szCs w:val="20"/>
        </w:rPr>
        <w:t>RALPH LAUREN CORPORATION</w:t>
      </w:r>
    </w:p>
    <w:p w:rsidR="00000000" w:rsidRDefault="00BB5C2D">
      <w:pPr>
        <w:jc w:val="center"/>
        <w:divId w:val="1067924924"/>
        <w:rPr>
          <w:rFonts w:eastAsia="Times New Roman"/>
        </w:rPr>
      </w:pPr>
      <w:r>
        <w:rPr>
          <w:rFonts w:eastAsia="Times New Roman"/>
          <w:b/>
          <w:bCs/>
          <w:color w:val="000000"/>
          <w:sz w:val="20"/>
          <w:szCs w:val="20"/>
        </w:rPr>
        <w:t>NOTES TO CONSOLIDATED FINANCIAL STATEMENTS (Continued)</w:t>
      </w:r>
    </w:p>
    <w:p w:rsidR="00000000" w:rsidRDefault="00BB5C2D">
      <w:pPr>
        <w:ind w:firstLine="540"/>
        <w:jc w:val="both"/>
        <w:divId w:val="2023244768"/>
        <w:rPr>
          <w:rFonts w:eastAsia="Times New Roman"/>
        </w:rPr>
      </w:pPr>
      <w:r>
        <w:rPr>
          <w:rFonts w:eastAsia="Times New Roman"/>
          <w:color w:val="000000"/>
          <w:sz w:val="20"/>
          <w:szCs w:val="20"/>
        </w:rPr>
        <w:t>The following tables summarize non-cash impairment charges recorded by the Company during the fiscal years presented to reduce the carrying values of certain long-lived assets to their estimated fair values as of the assessment date:</w:t>
      </w:r>
    </w:p>
    <w:tbl>
      <w:tblPr>
        <w:tblW w:w="4766" w:type="pct"/>
        <w:tblCellMar>
          <w:top w:w="15" w:type="dxa"/>
          <w:left w:w="15" w:type="dxa"/>
          <w:bottom w:w="15" w:type="dxa"/>
          <w:right w:w="15" w:type="dxa"/>
        </w:tblCellMar>
        <w:tblLook w:val="04A0" w:firstRow="1" w:lastRow="0" w:firstColumn="1" w:lastColumn="0" w:noHBand="0" w:noVBand="1"/>
      </w:tblPr>
      <w:tblGrid>
        <w:gridCol w:w="39"/>
        <w:gridCol w:w="1181"/>
        <w:gridCol w:w="37"/>
        <w:gridCol w:w="36"/>
        <w:gridCol w:w="36"/>
        <w:gridCol w:w="36"/>
        <w:gridCol w:w="101"/>
        <w:gridCol w:w="946"/>
        <w:gridCol w:w="36"/>
        <w:gridCol w:w="36"/>
        <w:gridCol w:w="36"/>
        <w:gridCol w:w="36"/>
        <w:gridCol w:w="101"/>
        <w:gridCol w:w="784"/>
        <w:gridCol w:w="36"/>
        <w:gridCol w:w="36"/>
        <w:gridCol w:w="36"/>
        <w:gridCol w:w="36"/>
        <w:gridCol w:w="101"/>
        <w:gridCol w:w="946"/>
        <w:gridCol w:w="36"/>
        <w:gridCol w:w="36"/>
        <w:gridCol w:w="36"/>
        <w:gridCol w:w="36"/>
        <w:gridCol w:w="101"/>
        <w:gridCol w:w="784"/>
        <w:gridCol w:w="36"/>
        <w:gridCol w:w="36"/>
        <w:gridCol w:w="36"/>
        <w:gridCol w:w="36"/>
        <w:gridCol w:w="101"/>
        <w:gridCol w:w="946"/>
        <w:gridCol w:w="36"/>
        <w:gridCol w:w="36"/>
        <w:gridCol w:w="36"/>
        <w:gridCol w:w="36"/>
        <w:gridCol w:w="101"/>
        <w:gridCol w:w="784"/>
        <w:gridCol w:w="36"/>
      </w:tblGrid>
      <w:tr w:rsidR="00000000">
        <w:trPr>
          <w:divId w:val="1713648532"/>
        </w:trPr>
        <w:tc>
          <w:tcPr>
            <w:tcW w:w="50" w:type="pct"/>
            <w:vAlign w:val="center"/>
            <w:hideMark/>
          </w:tcPr>
          <w:p w:rsidR="00000000" w:rsidRDefault="00BB5C2D">
            <w:pPr>
              <w:ind w:firstLine="540"/>
              <w:jc w:val="both"/>
              <w:rPr>
                <w:rFonts w:eastAsia="Times New Roman"/>
              </w:rPr>
            </w:pPr>
          </w:p>
        </w:tc>
        <w:tc>
          <w:tcPr>
            <w:tcW w:w="126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2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2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2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2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2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2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713648532"/>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Years Ended</w:t>
            </w:r>
          </w:p>
        </w:tc>
      </w:tr>
      <w:tr w:rsidR="00000000">
        <w:trPr>
          <w:divId w:val="1713648532"/>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28, 2020</w:t>
            </w:r>
          </w:p>
        </w:tc>
      </w:tr>
      <w:tr w:rsidR="00000000">
        <w:trPr>
          <w:divId w:val="1713648532"/>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b/>
                <w:bCs/>
                <w:color w:val="000000"/>
                <w:sz w:val="16"/>
                <w:szCs w:val="16"/>
                <w:u w:val="single"/>
              </w:rPr>
              <w:t>Long-Lived Asset Category</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Total Impairment</w:t>
            </w:r>
            <w:r>
              <w:rPr>
                <w:rFonts w:eastAsia="Times New Roman"/>
                <w:b/>
                <w:bCs/>
                <w:color w:val="000000"/>
                <w:sz w:val="16"/>
                <w:szCs w:val="16"/>
              </w:rPr>
              <w:t>s</w:t>
            </w:r>
            <w:r>
              <w:rPr>
                <w:rFonts w:eastAsia="Times New Roman"/>
                <w:b/>
                <w:bCs/>
                <w:color w:val="000000"/>
                <w:sz w:val="10"/>
                <w:szCs w:val="10"/>
              </w:rPr>
              <w:t>(a</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 xml:space="preserve">Fair Value </w:t>
            </w:r>
            <w:r>
              <w:rPr>
                <w:rFonts w:eastAsia="Times New Roman"/>
                <w:b/>
                <w:bCs/>
                <w:color w:val="000000"/>
                <w:sz w:val="16"/>
                <w:szCs w:val="16"/>
              </w:rPr>
              <w:br/>
            </w:r>
            <w:r>
              <w:rPr>
                <w:rFonts w:eastAsia="Times New Roman"/>
                <w:b/>
                <w:bCs/>
                <w:color w:val="000000"/>
                <w:sz w:val="16"/>
                <w:szCs w:val="16"/>
              </w:rPr>
              <w:t>as of Impairment Date</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Total Impairment</w:t>
            </w:r>
            <w:r>
              <w:rPr>
                <w:rFonts w:eastAsia="Times New Roman"/>
                <w:b/>
                <w:bCs/>
                <w:color w:val="000000"/>
                <w:sz w:val="16"/>
                <w:szCs w:val="16"/>
              </w:rPr>
              <w:t>s</w:t>
            </w:r>
            <w:r>
              <w:rPr>
                <w:rFonts w:eastAsia="Times New Roman"/>
                <w:b/>
                <w:bCs/>
                <w:color w:val="000000"/>
                <w:sz w:val="10"/>
                <w:szCs w:val="10"/>
              </w:rPr>
              <w:t>(a</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 xml:space="preserve">Fair Value </w:t>
            </w:r>
            <w:r>
              <w:rPr>
                <w:rFonts w:eastAsia="Times New Roman"/>
                <w:b/>
                <w:bCs/>
                <w:color w:val="000000"/>
                <w:sz w:val="16"/>
                <w:szCs w:val="16"/>
              </w:rPr>
              <w:br/>
              <w:t>as of Impairment Date</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Total Impairment</w:t>
            </w:r>
            <w:r>
              <w:rPr>
                <w:rFonts w:eastAsia="Times New Roman"/>
                <w:b/>
                <w:bCs/>
                <w:color w:val="000000"/>
                <w:sz w:val="16"/>
                <w:szCs w:val="16"/>
              </w:rPr>
              <w:t>s</w:t>
            </w:r>
            <w:r>
              <w:rPr>
                <w:rFonts w:eastAsia="Times New Roman"/>
                <w:b/>
                <w:bCs/>
                <w:color w:val="000000"/>
                <w:sz w:val="10"/>
                <w:szCs w:val="10"/>
              </w:rPr>
              <w:t>(a</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 xml:space="preserve">Fair Value </w:t>
            </w:r>
            <w:r>
              <w:rPr>
                <w:rFonts w:eastAsia="Times New Roman"/>
                <w:b/>
                <w:bCs/>
                <w:color w:val="000000"/>
                <w:sz w:val="16"/>
                <w:szCs w:val="16"/>
              </w:rPr>
              <w:br/>
              <w:t>as of Impairment Date</w:t>
            </w:r>
          </w:p>
        </w:tc>
      </w:tr>
      <w:tr w:rsidR="00000000">
        <w:trPr>
          <w:divId w:val="1713648532"/>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1713648532"/>
        </w:trPr>
        <w:tc>
          <w:tcPr>
            <w:tcW w:w="0" w:type="auto"/>
            <w:gridSpan w:val="3"/>
            <w:shd w:val="clear" w:color="auto" w:fill="CCEEFF"/>
            <w:tcMar>
              <w:top w:w="30" w:type="dxa"/>
              <w:left w:w="290" w:type="dxa"/>
              <w:bottom w:w="30" w:type="dxa"/>
              <w:right w:w="20" w:type="dxa"/>
            </w:tcMar>
            <w:vAlign w:val="bottom"/>
            <w:hideMark/>
          </w:tcPr>
          <w:p w:rsidR="00000000" w:rsidRDefault="00BB5C2D">
            <w:pPr>
              <w:spacing w:after="100"/>
              <w:ind w:hanging="270"/>
              <w:rPr>
                <w:rFonts w:eastAsia="Times New Roman"/>
              </w:rPr>
            </w:pPr>
            <w:r>
              <w:rPr>
                <w:rFonts w:eastAsia="Times New Roman"/>
                <w:color w:val="000000"/>
                <w:sz w:val="16"/>
                <w:szCs w:val="16"/>
              </w:rPr>
              <w:t>Property and equipment, net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ind w:hanging="27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44.1 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23.5 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16.8 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2.4 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713648532"/>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ind w:hanging="270"/>
              <w:divId w:val="31345467"/>
              <w:rPr>
                <w:rFonts w:eastAsia="Times New Roman"/>
              </w:rPr>
            </w:pPr>
            <w:r>
              <w:rPr>
                <w:rFonts w:eastAsia="Times New Roman"/>
                <w:color w:val="000000"/>
                <w:sz w:val="16"/>
                <w:szCs w:val="16"/>
              </w:rPr>
              <w:t>Operating lease right-of-use asset</w:t>
            </w:r>
            <w:r>
              <w:rPr>
                <w:rFonts w:eastAsia="Times New Roman"/>
                <w:color w:val="000000"/>
                <w:sz w:val="16"/>
                <w:szCs w:val="16"/>
              </w:rPr>
              <w:t>s</w:t>
            </w:r>
            <w:r>
              <w:rPr>
                <w:rFonts w:eastAsia="Times New Roman"/>
                <w:b/>
                <w:bCs/>
                <w:color w:val="000000"/>
                <w:sz w:val="10"/>
                <w:szCs w:val="10"/>
              </w:rPr>
              <w:t>(b</w:t>
            </w:r>
            <w:r>
              <w:rPr>
                <w:rFonts w:eastAsia="Times New Roman"/>
                <w:b/>
                <w:bCs/>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ind w:hanging="27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20.3 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27.8 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51.9 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84.3 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239.9 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120.8 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713648532"/>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ind w:hanging="270"/>
              <w:divId w:val="914628617"/>
              <w:rPr>
                <w:rFonts w:eastAsia="Times New Roman"/>
              </w:rPr>
            </w:pPr>
            <w:r>
              <w:rPr>
                <w:rFonts w:eastAsia="Times New Roman"/>
                <w:color w:val="000000"/>
                <w:sz w:val="16"/>
                <w:szCs w:val="16"/>
              </w:rPr>
              <w:t>Equity method investment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ind w:hanging="27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16"/>
                <w:szCs w:val="16"/>
              </w:rPr>
              <w:t>N/A</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16"/>
                <w:szCs w:val="16"/>
              </w:rPr>
              <w:t>N/A</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7.1 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BB5C2D">
            <w:pPr>
              <w:rPr>
                <w:rFonts w:eastAsia="Times New Roman"/>
              </w:rPr>
            </w:pPr>
          </w:p>
        </w:tc>
        <w:tc>
          <w:tcPr>
            <w:tcW w:w="494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r>
    </w:tbl>
    <w:p w:rsidR="00000000" w:rsidRDefault="00BB5C2D">
      <w:pPr>
        <w:rPr>
          <w:rFonts w:eastAsia="Times New Roman"/>
        </w:rPr>
      </w:pPr>
      <w:r>
        <w:rPr>
          <w:rFonts w:eastAsia="Times New Roman"/>
          <w:color w:val="000000"/>
          <w:sz w:val="20"/>
          <w:szCs w:val="20"/>
        </w:rPr>
        <w:t> </w:t>
      </w:r>
    </w:p>
    <w:p w:rsidR="00000000" w:rsidRDefault="00BB5C2D">
      <w:pPr>
        <w:ind w:hanging="360"/>
        <w:jc w:val="both"/>
        <w:divId w:val="121963364"/>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 xml:space="preserve">Impairment of equity method investment is recorded within other income (expense), net in the consolidated statements of operations. All other impairment charges are recorded within impairments of assets in the consolidated statements of operations, unless </w:t>
      </w:r>
      <w:r>
        <w:rPr>
          <w:rFonts w:eastAsia="Times New Roman"/>
          <w:color w:val="000000"/>
          <w:sz w:val="20"/>
          <w:szCs w:val="20"/>
        </w:rPr>
        <w:t>otherwise noted.</w:t>
      </w:r>
    </w:p>
    <w:p w:rsidR="00000000" w:rsidRDefault="00BB5C2D">
      <w:pPr>
        <w:ind w:hanging="360"/>
        <w:jc w:val="both"/>
        <w:divId w:val="457533542"/>
        <w:rPr>
          <w:rFonts w:eastAsia="Times New Roman"/>
        </w:rPr>
      </w:pPr>
      <w:r>
        <w:rPr>
          <w:rFonts w:eastAsia="Times New Roman"/>
          <w:b/>
          <w:bCs/>
          <w:color w:val="000000"/>
          <w:sz w:val="13"/>
          <w:szCs w:val="13"/>
        </w:rPr>
        <w:t>(b</w:t>
      </w:r>
      <w:r>
        <w:rPr>
          <w:rFonts w:eastAsia="Times New Roman"/>
          <w:b/>
          <w:bCs/>
          <w:color w:val="000000"/>
          <w:sz w:val="13"/>
          <w:szCs w:val="13"/>
        </w:rPr>
        <w:t>)</w:t>
      </w:r>
      <w:r>
        <w:rPr>
          <w:rFonts w:eastAsia="Times New Roman"/>
          <w:color w:val="000000"/>
          <w:sz w:val="20"/>
          <w:szCs w:val="20"/>
        </w:rPr>
        <w:t>Total impairment charges for Fiscal 2020 includes $225.1 million recorded in connection with the Company's adoption of ASU No. 2016-02, "Leases" as of the beginning of Fiscal 2020 which, net of related income tax benefits, reduced its o</w:t>
      </w:r>
      <w:r>
        <w:rPr>
          <w:rFonts w:eastAsia="Times New Roman"/>
          <w:color w:val="000000"/>
          <w:sz w:val="20"/>
          <w:szCs w:val="20"/>
        </w:rPr>
        <w:t>pening retained earnings balance by $169.4 million.</w:t>
      </w:r>
    </w:p>
    <w:p w:rsidR="00000000" w:rsidRDefault="00BB5C2D">
      <w:pPr>
        <w:ind w:firstLine="540"/>
        <w:jc w:val="both"/>
        <w:divId w:val="1087194692"/>
        <w:rPr>
          <w:rFonts w:eastAsia="Times New Roman"/>
        </w:rPr>
      </w:pPr>
      <w:r>
        <w:rPr>
          <w:rFonts w:eastAsia="Times New Roman"/>
          <w:color w:val="000000"/>
          <w:sz w:val="20"/>
          <w:szCs w:val="20"/>
        </w:rPr>
        <w:t>See Note 8 for additional discussion regarding non-cash impairment charges recorded by the Company within the consolidated statements of operations during the fiscal years presented.</w:t>
      </w:r>
    </w:p>
    <w:p w:rsidR="00000000" w:rsidRDefault="00BB5C2D">
      <w:pPr>
        <w:ind w:firstLine="540"/>
        <w:jc w:val="both"/>
        <w:divId w:val="892814766"/>
        <w:rPr>
          <w:rFonts w:eastAsia="Times New Roman"/>
        </w:rPr>
      </w:pPr>
      <w:r>
        <w:rPr>
          <w:rFonts w:eastAsia="Times New Roman"/>
          <w:color w:val="000000"/>
          <w:sz w:val="20"/>
          <w:szCs w:val="20"/>
        </w:rPr>
        <w:t>No impairment charges</w:t>
      </w:r>
      <w:r>
        <w:rPr>
          <w:rFonts w:eastAsia="Times New Roman"/>
          <w:color w:val="000000"/>
          <w:sz w:val="20"/>
          <w:szCs w:val="20"/>
        </w:rPr>
        <w:t xml:space="preserve"> associated with goodwill or other intangible assets were recorded during any of the fiscal years presented. In Fiscal 2022, the Company performed its annual goodwill impairment assessment using a qualitative approach as of the beginning of the second quar</w:t>
      </w:r>
      <w:r>
        <w:rPr>
          <w:rFonts w:eastAsia="Times New Roman"/>
          <w:color w:val="000000"/>
          <w:sz w:val="20"/>
          <w:szCs w:val="20"/>
        </w:rPr>
        <w:t>ter of Fiscal 2022. In performing the assessment, the Company identified and considered the significance of relevant key factors, events, and circumstances that affected the fair values and/or carrying amounts of its reporting units with allocated goodwill</w:t>
      </w:r>
      <w:r>
        <w:rPr>
          <w:rFonts w:eastAsia="Times New Roman"/>
          <w:color w:val="000000"/>
          <w:sz w:val="20"/>
          <w:szCs w:val="20"/>
        </w:rPr>
        <w:t xml:space="preserve">. These factors included external factors such as macroeconomic, industry, and market conditions, as well as entity-specific factors, such as the Company's actual and expected financial performance. Additionally, the Company also considered the results of </w:t>
      </w:r>
      <w:r>
        <w:rPr>
          <w:rFonts w:eastAsia="Times New Roman"/>
          <w:color w:val="000000"/>
          <w:sz w:val="20"/>
          <w:szCs w:val="20"/>
        </w:rPr>
        <w:t>its most recent quantitative goodwill impairment test, which was performed as of the end of Fiscal 2020 and incorporated assumptions related to COVID-19 business disruptions, the results of which indicated that the fair values of these reporting units sign</w:t>
      </w:r>
      <w:r>
        <w:rPr>
          <w:rFonts w:eastAsia="Times New Roman"/>
          <w:color w:val="000000"/>
          <w:sz w:val="20"/>
          <w:szCs w:val="20"/>
        </w:rPr>
        <w:t>ificantly exceeded their respective carrying values. Based on the results of its qualitative goodwill impairment assessment, the Company concluded that it is not more likely than not that the fair values of its reporting units are less than their respectiv</w:t>
      </w:r>
      <w:r>
        <w:rPr>
          <w:rFonts w:eastAsia="Times New Roman"/>
          <w:color w:val="000000"/>
          <w:sz w:val="20"/>
          <w:szCs w:val="20"/>
        </w:rPr>
        <w:t xml:space="preserve">e carrying values and there were no reporting units at risk of impairment.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922255621"/>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922255621"/>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F-37</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49" style="width:0;height:1.5pt" o:hralign="center" o:hrstd="t" o:hr="t" fillcolor="#a0a0a0" stroked="f"/>
        </w:pict>
      </w:r>
    </w:p>
    <w:p w:rsidR="00000000" w:rsidRDefault="00BB5C2D">
      <w:pPr>
        <w:jc w:val="center"/>
        <w:divId w:val="1793671414"/>
        <w:rPr>
          <w:rFonts w:eastAsia="Times New Roman"/>
        </w:rPr>
      </w:pPr>
    </w:p>
    <w:p w:rsidR="00000000" w:rsidRDefault="00BB5C2D">
      <w:pPr>
        <w:jc w:val="center"/>
        <w:divId w:val="1793671414"/>
        <w:rPr>
          <w:rFonts w:eastAsia="Times New Roman"/>
        </w:rPr>
      </w:pPr>
      <w:r>
        <w:rPr>
          <w:rFonts w:eastAsia="Times New Roman"/>
          <w:b/>
          <w:bCs/>
          <w:color w:val="000000"/>
          <w:sz w:val="20"/>
          <w:szCs w:val="20"/>
        </w:rPr>
        <w:t>RALPH LAUREN CORPORATION</w:t>
      </w:r>
    </w:p>
    <w:p w:rsidR="00000000" w:rsidRDefault="00BB5C2D">
      <w:pPr>
        <w:jc w:val="center"/>
        <w:divId w:val="667513296"/>
        <w:rPr>
          <w:rFonts w:eastAsia="Times New Roman"/>
        </w:rPr>
      </w:pPr>
      <w:r>
        <w:rPr>
          <w:rFonts w:eastAsia="Times New Roman"/>
          <w:b/>
          <w:bCs/>
          <w:color w:val="000000"/>
          <w:sz w:val="20"/>
          <w:szCs w:val="20"/>
        </w:rPr>
        <w:t>NOTES TO CONSOLIDATED FINANCIAL STATEMENTS (Continued)</w:t>
      </w:r>
    </w:p>
    <w:p w:rsidR="00000000" w:rsidRDefault="00BB5C2D">
      <w:pPr>
        <w:ind w:hanging="540"/>
        <w:divId w:val="1236479078"/>
        <w:rPr>
          <w:rFonts w:eastAsia="Times New Roman"/>
        </w:rPr>
      </w:pPr>
      <w:r>
        <w:rPr>
          <w:rFonts w:eastAsia="Times New Roman"/>
          <w:b/>
          <w:bCs/>
          <w:color w:val="000000"/>
          <w:sz w:val="20"/>
          <w:szCs w:val="20"/>
        </w:rPr>
        <w:t xml:space="preserve">13.    Financial Instruments </w:t>
      </w:r>
    </w:p>
    <w:p w:rsidR="00000000" w:rsidRDefault="00BB5C2D">
      <w:pPr>
        <w:ind w:firstLine="360"/>
        <w:jc w:val="both"/>
        <w:divId w:val="1278176621"/>
        <w:rPr>
          <w:rFonts w:eastAsia="Times New Roman"/>
        </w:rPr>
      </w:pPr>
      <w:r>
        <w:rPr>
          <w:rFonts w:eastAsia="Times New Roman"/>
          <w:b/>
          <w:bCs/>
          <w:i/>
          <w:iCs/>
          <w:color w:val="000000"/>
          <w:sz w:val="20"/>
          <w:szCs w:val="20"/>
        </w:rPr>
        <w:t>Derivative Financial Instruments</w:t>
      </w:r>
    </w:p>
    <w:p w:rsidR="00000000" w:rsidRDefault="00BB5C2D">
      <w:pPr>
        <w:ind w:firstLine="540"/>
        <w:jc w:val="both"/>
        <w:divId w:val="316878800"/>
        <w:rPr>
          <w:rFonts w:eastAsia="Times New Roman"/>
        </w:rPr>
      </w:pPr>
      <w:r>
        <w:rPr>
          <w:rFonts w:eastAsia="Times New Roman"/>
          <w:color w:val="000000"/>
          <w:sz w:val="20"/>
          <w:szCs w:val="20"/>
        </w:rPr>
        <w:t>The Company is exposed to changes in foreign currency exchange rates, prima</w:t>
      </w:r>
      <w:r>
        <w:rPr>
          <w:rFonts w:eastAsia="Times New Roman"/>
          <w:color w:val="000000"/>
          <w:sz w:val="20"/>
          <w:szCs w:val="20"/>
        </w:rPr>
        <w:t>rily relating to certain anticipated cash flows and the value of the reported net assets of its international operations, as well as changes in the fair value of its fixed-rate debt obligations attributed to changes in benchmark interest rates. Accordingly</w:t>
      </w:r>
      <w:r>
        <w:rPr>
          <w:rFonts w:eastAsia="Times New Roman"/>
          <w:color w:val="000000"/>
          <w:sz w:val="20"/>
          <w:szCs w:val="20"/>
        </w:rPr>
        <w:t>, based on its assessment thereof, the Company may use derivative financial instruments to manage and mitigate such risks. The Company does not use derivatives for speculative or trading purposes.</w:t>
      </w:r>
    </w:p>
    <w:p w:rsidR="00000000" w:rsidRDefault="00BB5C2D">
      <w:pPr>
        <w:ind w:firstLine="540"/>
        <w:jc w:val="both"/>
        <w:divId w:val="1568344023"/>
        <w:rPr>
          <w:rFonts w:eastAsia="Times New Roman"/>
        </w:rPr>
      </w:pPr>
      <w:r>
        <w:rPr>
          <w:rFonts w:eastAsia="Times New Roman"/>
          <w:color w:val="000000"/>
          <w:sz w:val="20"/>
          <w:szCs w:val="20"/>
        </w:rPr>
        <w:t>The following table summarizes the Company's outstanding de</w:t>
      </w:r>
      <w:r>
        <w:rPr>
          <w:rFonts w:eastAsia="Times New Roman"/>
          <w:color w:val="000000"/>
          <w:sz w:val="20"/>
          <w:szCs w:val="20"/>
        </w:rPr>
        <w:t>rivative instruments recorded on its consolidated balance sheets as of April 2, 2022 and March 27, 2021:</w:t>
      </w:r>
    </w:p>
    <w:tbl>
      <w:tblPr>
        <w:tblW w:w="4963" w:type="pct"/>
        <w:tblCellMar>
          <w:top w:w="15" w:type="dxa"/>
          <w:left w:w="15" w:type="dxa"/>
          <w:bottom w:w="15" w:type="dxa"/>
          <w:right w:w="15" w:type="dxa"/>
        </w:tblCellMar>
        <w:tblLook w:val="04A0" w:firstRow="1" w:lastRow="0" w:firstColumn="1" w:lastColumn="0" w:noHBand="0" w:noVBand="1"/>
      </w:tblPr>
      <w:tblGrid>
        <w:gridCol w:w="48"/>
        <w:gridCol w:w="96"/>
        <w:gridCol w:w="1540"/>
        <w:gridCol w:w="37"/>
        <w:gridCol w:w="19"/>
        <w:gridCol w:w="17"/>
        <w:gridCol w:w="36"/>
        <w:gridCol w:w="36"/>
        <w:gridCol w:w="55"/>
        <w:gridCol w:w="45"/>
        <w:gridCol w:w="520"/>
        <w:gridCol w:w="36"/>
        <w:gridCol w:w="36"/>
        <w:gridCol w:w="36"/>
        <w:gridCol w:w="36"/>
        <w:gridCol w:w="100"/>
        <w:gridCol w:w="520"/>
        <w:gridCol w:w="36"/>
        <w:gridCol w:w="36"/>
        <w:gridCol w:w="36"/>
        <w:gridCol w:w="36"/>
        <w:gridCol w:w="83"/>
        <w:gridCol w:w="458"/>
        <w:gridCol w:w="36"/>
        <w:gridCol w:w="36"/>
        <w:gridCol w:w="36"/>
        <w:gridCol w:w="36"/>
        <w:gridCol w:w="100"/>
        <w:gridCol w:w="320"/>
        <w:gridCol w:w="36"/>
        <w:gridCol w:w="36"/>
        <w:gridCol w:w="36"/>
        <w:gridCol w:w="36"/>
        <w:gridCol w:w="83"/>
        <w:gridCol w:w="458"/>
        <w:gridCol w:w="36"/>
        <w:gridCol w:w="36"/>
        <w:gridCol w:w="36"/>
        <w:gridCol w:w="36"/>
        <w:gridCol w:w="100"/>
        <w:gridCol w:w="320"/>
        <w:gridCol w:w="36"/>
        <w:gridCol w:w="36"/>
        <w:gridCol w:w="36"/>
        <w:gridCol w:w="36"/>
        <w:gridCol w:w="83"/>
        <w:gridCol w:w="458"/>
        <w:gridCol w:w="36"/>
        <w:gridCol w:w="36"/>
        <w:gridCol w:w="36"/>
        <w:gridCol w:w="36"/>
        <w:gridCol w:w="100"/>
        <w:gridCol w:w="320"/>
        <w:gridCol w:w="36"/>
        <w:gridCol w:w="36"/>
        <w:gridCol w:w="36"/>
        <w:gridCol w:w="36"/>
        <w:gridCol w:w="83"/>
        <w:gridCol w:w="458"/>
        <w:gridCol w:w="36"/>
        <w:gridCol w:w="36"/>
        <w:gridCol w:w="36"/>
        <w:gridCol w:w="36"/>
        <w:gridCol w:w="100"/>
        <w:gridCol w:w="320"/>
        <w:gridCol w:w="36"/>
      </w:tblGrid>
      <w:tr w:rsidR="00000000">
        <w:trPr>
          <w:divId w:val="695351799"/>
        </w:trPr>
        <w:tc>
          <w:tcPr>
            <w:tcW w:w="50" w:type="pct"/>
            <w:vAlign w:val="center"/>
            <w:hideMark/>
          </w:tcPr>
          <w:p w:rsidR="00000000" w:rsidRDefault="00BB5C2D">
            <w:pPr>
              <w:ind w:firstLine="540"/>
              <w:jc w:val="both"/>
              <w:rPr>
                <w:rFonts w:eastAsia="Times New Roman"/>
              </w:rPr>
            </w:pPr>
          </w:p>
        </w:tc>
        <w:tc>
          <w:tcPr>
            <w:tcW w:w="1115" w:type="pct"/>
            <w:gridSpan w:val="2"/>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gridSpan w:val="2"/>
            <w:vAlign w:val="center"/>
            <w:hideMark/>
          </w:tcPr>
          <w:p w:rsidR="00000000" w:rsidRDefault="00BB5C2D">
            <w:pPr>
              <w:spacing w:after="100"/>
              <w:rPr>
                <w:rFonts w:eastAsia="Times New Roman"/>
                <w:sz w:val="20"/>
                <w:szCs w:val="20"/>
              </w:rPr>
            </w:pPr>
          </w:p>
        </w:tc>
        <w:tc>
          <w:tcPr>
            <w:tcW w:w="71"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gridSpan w:val="2"/>
            <w:vAlign w:val="center"/>
            <w:hideMark/>
          </w:tcPr>
          <w:p w:rsidR="00000000" w:rsidRDefault="00BB5C2D">
            <w:pPr>
              <w:spacing w:after="100"/>
              <w:rPr>
                <w:rFonts w:eastAsia="Times New Roman"/>
                <w:sz w:val="20"/>
                <w:szCs w:val="20"/>
              </w:rPr>
            </w:pPr>
          </w:p>
        </w:tc>
        <w:tc>
          <w:tcPr>
            <w:tcW w:w="32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32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27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27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27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27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27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27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27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27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695351799"/>
        </w:trPr>
        <w:tc>
          <w:tcPr>
            <w:tcW w:w="0" w:type="auto"/>
            <w:gridSpan w:val="4"/>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5"/>
                <w:szCs w:val="15"/>
              </w:rPr>
              <w:t> </w:t>
            </w:r>
          </w:p>
        </w:tc>
        <w:tc>
          <w:tcPr>
            <w:tcW w:w="0" w:type="auto"/>
            <w:gridSpan w:val="4"/>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0"/>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5"/>
                <w:szCs w:val="15"/>
              </w:rPr>
              <w:t>Notional Amounts</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5"/>
                <w:szCs w:val="15"/>
              </w:rPr>
              <w:t>Derivative Assets</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20"/>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5"/>
                <w:szCs w:val="15"/>
              </w:rPr>
              <w:t>Derivative Liabilities</w:t>
            </w:r>
          </w:p>
        </w:tc>
        <w:tc>
          <w:tcPr>
            <w:tcW w:w="0" w:type="auto"/>
            <w:vAlign w:val="center"/>
            <w:hideMark/>
          </w:tcPr>
          <w:p w:rsidR="00000000" w:rsidRDefault="00BB5C2D">
            <w:pPr>
              <w:spacing w:after="100"/>
              <w:rPr>
                <w:rFonts w:eastAsia="Times New Roman"/>
                <w:sz w:val="20"/>
                <w:szCs w:val="20"/>
              </w:rPr>
            </w:pPr>
          </w:p>
        </w:tc>
      </w:tr>
      <w:tr w:rsidR="00000000">
        <w:trPr>
          <w:divId w:val="695351799"/>
        </w:trPr>
        <w:tc>
          <w:tcPr>
            <w:tcW w:w="0" w:type="auto"/>
            <w:gridSpan w:val="4"/>
            <w:tcMar>
              <w:top w:w="30" w:type="dxa"/>
              <w:left w:w="20" w:type="dxa"/>
              <w:bottom w:w="30" w:type="dxa"/>
              <w:right w:w="20" w:type="dxa"/>
            </w:tcMar>
            <w:vAlign w:val="bottom"/>
            <w:hideMark/>
          </w:tcPr>
          <w:p w:rsidR="00000000" w:rsidRDefault="00BB5C2D">
            <w:pPr>
              <w:spacing w:after="100"/>
              <w:divId w:val="1169903841"/>
              <w:rPr>
                <w:rFonts w:eastAsia="Times New Roman"/>
              </w:rPr>
            </w:pPr>
            <w:r>
              <w:rPr>
                <w:rFonts w:eastAsia="Times New Roman"/>
                <w:b/>
                <w:bCs/>
                <w:color w:val="000000"/>
                <w:sz w:val="15"/>
                <w:szCs w:val="15"/>
                <w:u w:val="single"/>
              </w:rPr>
              <w:t>Derivative Instrumen</w:t>
            </w:r>
            <w:r>
              <w:rPr>
                <w:rFonts w:eastAsia="Times New Roman"/>
                <w:b/>
                <w:bCs/>
                <w:color w:val="000000"/>
                <w:sz w:val="15"/>
                <w:szCs w:val="15"/>
                <w:u w:val="single"/>
              </w:rPr>
              <w:t>t</w:t>
            </w:r>
            <w:r>
              <w:rPr>
                <w:rFonts w:eastAsia="Times New Roman"/>
                <w:b/>
                <w:bCs/>
                <w:color w:val="000000"/>
                <w:sz w:val="10"/>
                <w:szCs w:val="10"/>
              </w:rPr>
              <w:t>(a</w:t>
            </w:r>
            <w:r>
              <w:rPr>
                <w:rFonts w:eastAsia="Times New Roman"/>
                <w:b/>
                <w:bCs/>
                <w:color w:val="000000"/>
                <w:sz w:val="10"/>
                <w:szCs w:val="10"/>
              </w:rPr>
              <w:t>)</w:t>
            </w:r>
          </w:p>
        </w:tc>
        <w:tc>
          <w:tcPr>
            <w:tcW w:w="0" w:type="auto"/>
            <w:gridSpan w:val="4"/>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4"/>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5"/>
                <w:szCs w:val="15"/>
              </w:rPr>
              <w:t>April 2,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5"/>
                <w:szCs w:val="15"/>
              </w:rPr>
              <w:t>March 27, 2021</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5"/>
                <w:szCs w:val="15"/>
              </w:rPr>
              <w:t>April 2,</w:t>
            </w:r>
            <w:r>
              <w:rPr>
                <w:rFonts w:eastAsia="Times New Roman"/>
                <w:b/>
                <w:bCs/>
                <w:color w:val="000000"/>
                <w:sz w:val="15"/>
                <w:szCs w:val="15"/>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5"/>
                <w:szCs w:val="15"/>
              </w:rPr>
              <w:t>March 27,</w:t>
            </w:r>
            <w:r>
              <w:rPr>
                <w:rFonts w:eastAsia="Times New Roman"/>
                <w:b/>
                <w:bCs/>
                <w:color w:val="000000"/>
                <w:sz w:val="15"/>
                <w:szCs w:val="15"/>
              </w:rPr>
              <w:br/>
              <w:t>2021</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5"/>
                <w:szCs w:val="15"/>
              </w:rPr>
              <w:t>April 2,</w:t>
            </w:r>
            <w:r>
              <w:rPr>
                <w:rFonts w:eastAsia="Times New Roman"/>
                <w:b/>
                <w:bCs/>
                <w:color w:val="000000"/>
                <w:sz w:val="15"/>
                <w:szCs w:val="15"/>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8"/>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5"/>
                <w:szCs w:val="15"/>
              </w:rPr>
              <w:t>March 27,</w:t>
            </w:r>
            <w:r>
              <w:rPr>
                <w:rFonts w:eastAsia="Times New Roman"/>
                <w:b/>
                <w:bCs/>
                <w:color w:val="000000"/>
                <w:sz w:val="15"/>
                <w:szCs w:val="15"/>
              </w:rPr>
              <w:br/>
              <w:t>2021</w:t>
            </w:r>
          </w:p>
        </w:tc>
        <w:tc>
          <w:tcPr>
            <w:tcW w:w="0" w:type="auto"/>
            <w:vAlign w:val="center"/>
            <w:hideMark/>
          </w:tcPr>
          <w:p w:rsidR="00000000" w:rsidRDefault="00BB5C2D">
            <w:pPr>
              <w:spacing w:after="100"/>
              <w:rPr>
                <w:rFonts w:eastAsia="Times New Roman"/>
                <w:sz w:val="20"/>
                <w:szCs w:val="20"/>
              </w:rPr>
            </w:pPr>
          </w:p>
        </w:tc>
      </w:tr>
      <w:tr w:rsidR="00000000">
        <w:trPr>
          <w:divId w:val="695351799"/>
        </w:trPr>
        <w:tc>
          <w:tcPr>
            <w:tcW w:w="0" w:type="auto"/>
            <w:gridSpan w:val="4"/>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5"/>
                <w:szCs w:val="15"/>
              </w:rPr>
              <w:t> </w:t>
            </w:r>
          </w:p>
        </w:tc>
        <w:tc>
          <w:tcPr>
            <w:tcW w:w="0" w:type="auto"/>
            <w:gridSpan w:val="4"/>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4"/>
            <w:tcBorders>
              <w:top w:val="single" w:sz="8" w:space="0" w:color="000000"/>
            </w:tcBorders>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5"/>
                <w:szCs w:val="15"/>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5"/>
                <w:szCs w:val="15"/>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5"/>
                <w:szCs w:val="15"/>
              </w:rPr>
              <w:t>Balance</w:t>
            </w:r>
          </w:p>
          <w:p w:rsidR="00000000" w:rsidRDefault="00BB5C2D">
            <w:pPr>
              <w:spacing w:after="100"/>
              <w:jc w:val="center"/>
              <w:rPr>
                <w:rFonts w:eastAsia="Times New Roman"/>
              </w:rPr>
            </w:pPr>
            <w:r>
              <w:rPr>
                <w:rFonts w:eastAsia="Times New Roman"/>
                <w:b/>
                <w:bCs/>
                <w:color w:val="000000"/>
                <w:sz w:val="15"/>
                <w:szCs w:val="15"/>
              </w:rPr>
              <w:t>Sheet</w:t>
            </w:r>
          </w:p>
          <w:p w:rsidR="00000000" w:rsidRDefault="00BB5C2D">
            <w:pPr>
              <w:spacing w:after="100"/>
              <w:jc w:val="center"/>
              <w:rPr>
                <w:rFonts w:eastAsia="Times New Roman"/>
              </w:rPr>
            </w:pPr>
            <w:r>
              <w:rPr>
                <w:rFonts w:eastAsia="Times New Roman"/>
                <w:b/>
                <w:bCs/>
                <w:color w:val="000000"/>
                <w:sz w:val="15"/>
                <w:szCs w:val="15"/>
              </w:rPr>
              <w:t>Lin</w:t>
            </w:r>
            <w:r>
              <w:rPr>
                <w:rFonts w:eastAsia="Times New Roman"/>
                <w:b/>
                <w:bCs/>
                <w:color w:val="000000"/>
                <w:sz w:val="15"/>
                <w:szCs w:val="15"/>
              </w:rPr>
              <w:t>e</w:t>
            </w:r>
            <w:r>
              <w:rPr>
                <w:rFonts w:eastAsia="Times New Roman"/>
                <w:b/>
                <w:bCs/>
                <w:color w:val="000000"/>
                <w:sz w:val="10"/>
                <w:szCs w:val="10"/>
              </w:rPr>
              <w:t>(b</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5"/>
                <w:szCs w:val="15"/>
              </w:rPr>
              <w:t>Fair</w:t>
            </w:r>
            <w:r>
              <w:rPr>
                <w:rFonts w:eastAsia="Times New Roman"/>
                <w:b/>
                <w:bCs/>
                <w:color w:val="000000"/>
                <w:sz w:val="15"/>
                <w:szCs w:val="15"/>
              </w:rPr>
              <w:br/>
              <w:t>Value</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5"/>
                <w:szCs w:val="15"/>
              </w:rPr>
              <w:t>Balance</w:t>
            </w:r>
          </w:p>
          <w:p w:rsidR="00000000" w:rsidRDefault="00BB5C2D">
            <w:pPr>
              <w:spacing w:after="100"/>
              <w:jc w:val="center"/>
              <w:rPr>
                <w:rFonts w:eastAsia="Times New Roman"/>
              </w:rPr>
            </w:pPr>
            <w:r>
              <w:rPr>
                <w:rFonts w:eastAsia="Times New Roman"/>
                <w:b/>
                <w:bCs/>
                <w:color w:val="000000"/>
                <w:sz w:val="15"/>
                <w:szCs w:val="15"/>
              </w:rPr>
              <w:t>Sheet</w:t>
            </w:r>
          </w:p>
          <w:p w:rsidR="00000000" w:rsidRDefault="00BB5C2D">
            <w:pPr>
              <w:spacing w:after="100"/>
              <w:jc w:val="center"/>
              <w:rPr>
                <w:rFonts w:eastAsia="Times New Roman"/>
              </w:rPr>
            </w:pPr>
            <w:r>
              <w:rPr>
                <w:rFonts w:eastAsia="Times New Roman"/>
                <w:b/>
                <w:bCs/>
                <w:color w:val="000000"/>
                <w:sz w:val="15"/>
                <w:szCs w:val="15"/>
              </w:rPr>
              <w:t>Lin</w:t>
            </w:r>
            <w:r>
              <w:rPr>
                <w:rFonts w:eastAsia="Times New Roman"/>
                <w:b/>
                <w:bCs/>
                <w:color w:val="000000"/>
                <w:sz w:val="15"/>
                <w:szCs w:val="15"/>
              </w:rPr>
              <w:t>e</w:t>
            </w:r>
            <w:r>
              <w:rPr>
                <w:rFonts w:eastAsia="Times New Roman"/>
                <w:b/>
                <w:bCs/>
                <w:color w:val="000000"/>
                <w:sz w:val="10"/>
                <w:szCs w:val="10"/>
              </w:rPr>
              <w:t>(b</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5"/>
                <w:szCs w:val="15"/>
              </w:rPr>
              <w:t>Fair</w:t>
            </w:r>
            <w:r>
              <w:rPr>
                <w:rFonts w:eastAsia="Times New Roman"/>
                <w:b/>
                <w:bCs/>
                <w:color w:val="000000"/>
                <w:sz w:val="15"/>
                <w:szCs w:val="15"/>
              </w:rPr>
              <w:br/>
              <w:t>Value</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5"/>
                <w:szCs w:val="15"/>
              </w:rPr>
              <w:t>Balance</w:t>
            </w:r>
          </w:p>
          <w:p w:rsidR="00000000" w:rsidRDefault="00BB5C2D">
            <w:pPr>
              <w:spacing w:after="100"/>
              <w:jc w:val="center"/>
              <w:rPr>
                <w:rFonts w:eastAsia="Times New Roman"/>
              </w:rPr>
            </w:pPr>
            <w:r>
              <w:rPr>
                <w:rFonts w:eastAsia="Times New Roman"/>
                <w:b/>
                <w:bCs/>
                <w:color w:val="000000"/>
                <w:sz w:val="15"/>
                <w:szCs w:val="15"/>
              </w:rPr>
              <w:t>Sheet</w:t>
            </w:r>
          </w:p>
          <w:p w:rsidR="00000000" w:rsidRDefault="00BB5C2D">
            <w:pPr>
              <w:spacing w:after="100"/>
              <w:jc w:val="center"/>
              <w:rPr>
                <w:rFonts w:eastAsia="Times New Roman"/>
              </w:rPr>
            </w:pPr>
            <w:r>
              <w:rPr>
                <w:rFonts w:eastAsia="Times New Roman"/>
                <w:b/>
                <w:bCs/>
                <w:color w:val="000000"/>
                <w:sz w:val="15"/>
                <w:szCs w:val="15"/>
              </w:rPr>
              <w:t>Lin</w:t>
            </w:r>
            <w:r>
              <w:rPr>
                <w:rFonts w:eastAsia="Times New Roman"/>
                <w:b/>
                <w:bCs/>
                <w:color w:val="000000"/>
                <w:sz w:val="15"/>
                <w:szCs w:val="15"/>
              </w:rPr>
              <w:t>e</w:t>
            </w:r>
            <w:r>
              <w:rPr>
                <w:rFonts w:eastAsia="Times New Roman"/>
                <w:b/>
                <w:bCs/>
                <w:color w:val="000000"/>
                <w:sz w:val="10"/>
                <w:szCs w:val="10"/>
              </w:rPr>
              <w:t>(b</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5"/>
                <w:szCs w:val="15"/>
              </w:rPr>
              <w:t>Fair</w:t>
            </w:r>
            <w:r>
              <w:rPr>
                <w:rFonts w:eastAsia="Times New Roman"/>
                <w:b/>
                <w:bCs/>
                <w:color w:val="000000"/>
                <w:sz w:val="15"/>
                <w:szCs w:val="15"/>
              </w:rPr>
              <w:br/>
              <w:t>Value</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5"/>
                <w:szCs w:val="15"/>
              </w:rPr>
              <w:t>Balance</w:t>
            </w:r>
          </w:p>
          <w:p w:rsidR="00000000" w:rsidRDefault="00BB5C2D">
            <w:pPr>
              <w:spacing w:after="100"/>
              <w:jc w:val="center"/>
              <w:rPr>
                <w:rFonts w:eastAsia="Times New Roman"/>
              </w:rPr>
            </w:pPr>
            <w:r>
              <w:rPr>
                <w:rFonts w:eastAsia="Times New Roman"/>
                <w:b/>
                <w:bCs/>
                <w:color w:val="000000"/>
                <w:sz w:val="15"/>
                <w:szCs w:val="15"/>
              </w:rPr>
              <w:t>Sheet</w:t>
            </w:r>
          </w:p>
          <w:p w:rsidR="00000000" w:rsidRDefault="00BB5C2D">
            <w:pPr>
              <w:spacing w:after="100"/>
              <w:jc w:val="center"/>
              <w:rPr>
                <w:rFonts w:eastAsia="Times New Roman"/>
              </w:rPr>
            </w:pPr>
            <w:r>
              <w:rPr>
                <w:rFonts w:eastAsia="Times New Roman"/>
                <w:b/>
                <w:bCs/>
                <w:color w:val="000000"/>
                <w:sz w:val="15"/>
                <w:szCs w:val="15"/>
              </w:rPr>
              <w:t>Lin</w:t>
            </w:r>
            <w:r>
              <w:rPr>
                <w:rFonts w:eastAsia="Times New Roman"/>
                <w:b/>
                <w:bCs/>
                <w:color w:val="000000"/>
                <w:sz w:val="15"/>
                <w:szCs w:val="15"/>
              </w:rPr>
              <w:t>e</w:t>
            </w:r>
            <w:r>
              <w:rPr>
                <w:rFonts w:eastAsia="Times New Roman"/>
                <w:b/>
                <w:bCs/>
                <w:color w:val="000000"/>
                <w:sz w:val="10"/>
                <w:szCs w:val="10"/>
              </w:rPr>
              <w:t>(b</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5"/>
                <w:szCs w:val="15"/>
              </w:rPr>
              <w:t>Fair</w:t>
            </w:r>
            <w:r>
              <w:rPr>
                <w:rFonts w:eastAsia="Times New Roman"/>
                <w:b/>
                <w:bCs/>
                <w:color w:val="000000"/>
                <w:sz w:val="15"/>
                <w:szCs w:val="15"/>
              </w:rPr>
              <w:br/>
              <w:t>Value</w:t>
            </w:r>
          </w:p>
        </w:tc>
        <w:tc>
          <w:tcPr>
            <w:tcW w:w="0" w:type="auto"/>
            <w:vAlign w:val="center"/>
            <w:hideMark/>
          </w:tcPr>
          <w:p w:rsidR="00000000" w:rsidRDefault="00BB5C2D">
            <w:pPr>
              <w:spacing w:after="100"/>
              <w:rPr>
                <w:rFonts w:eastAsia="Times New Roman"/>
                <w:sz w:val="20"/>
                <w:szCs w:val="20"/>
              </w:rPr>
            </w:pPr>
          </w:p>
        </w:tc>
      </w:tr>
      <w:tr w:rsidR="00000000">
        <w:trPr>
          <w:divId w:val="695351799"/>
        </w:trPr>
        <w:tc>
          <w:tcPr>
            <w:tcW w:w="0" w:type="auto"/>
            <w:gridSpan w:val="4"/>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4"/>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57"/>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4"/>
                <w:szCs w:val="14"/>
              </w:rPr>
              <w:t>(millions)</w:t>
            </w:r>
          </w:p>
        </w:tc>
        <w:tc>
          <w:tcPr>
            <w:tcW w:w="0" w:type="auto"/>
            <w:vAlign w:val="center"/>
            <w:hideMark/>
          </w:tcPr>
          <w:p w:rsidR="00000000" w:rsidRDefault="00BB5C2D">
            <w:pPr>
              <w:spacing w:after="100"/>
              <w:rPr>
                <w:rFonts w:eastAsia="Times New Roman"/>
                <w:sz w:val="20"/>
                <w:szCs w:val="20"/>
              </w:rPr>
            </w:pPr>
          </w:p>
        </w:tc>
      </w:tr>
      <w:tr w:rsidR="00000000">
        <w:trPr>
          <w:divId w:val="695351799"/>
        </w:trPr>
        <w:tc>
          <w:tcPr>
            <w:tcW w:w="0" w:type="auto"/>
            <w:gridSpan w:val="4"/>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u w:val="single"/>
              </w:rPr>
              <w:t>Designated Hedges:</w:t>
            </w:r>
          </w:p>
        </w:tc>
        <w:tc>
          <w:tcPr>
            <w:tcW w:w="0" w:type="auto"/>
            <w:gridSpan w:val="4"/>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r>
      <w:tr w:rsidR="00BB5C2D">
        <w:trPr>
          <w:divId w:val="695351799"/>
        </w:trPr>
        <w:tc>
          <w:tcPr>
            <w:tcW w:w="0" w:type="auto"/>
            <w:gridSpan w:val="4"/>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FC — Cash flow hedges</w:t>
            </w:r>
          </w:p>
        </w:tc>
        <w:tc>
          <w:tcPr>
            <w:tcW w:w="0" w:type="auto"/>
            <w:gridSpan w:val="4"/>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236.5 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168.9 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16"/>
                <w:szCs w:val="16"/>
              </w:rPr>
              <w:t>PP</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6.6 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16"/>
                <w:szCs w:val="16"/>
              </w:rPr>
              <w:t>PP</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5.0 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695351799"/>
        </w:trPr>
        <w:tc>
          <w:tcPr>
            <w:tcW w:w="0" w:type="auto"/>
            <w:gridSpan w:val="4"/>
            <w:vAlign w:val="center"/>
            <w:hideMark/>
          </w:tcPr>
          <w:p w:rsidR="00000000" w:rsidRDefault="00BB5C2D">
            <w:pPr>
              <w:spacing w:after="100"/>
              <w:jc w:val="right"/>
              <w:rPr>
                <w:rFonts w:eastAsia="Times New Roman"/>
                <w:sz w:val="20"/>
                <w:szCs w:val="20"/>
              </w:rPr>
            </w:pPr>
          </w:p>
        </w:tc>
        <w:tc>
          <w:tcPr>
            <w:tcW w:w="0" w:type="auto"/>
            <w:gridSpan w:val="4"/>
            <w:vAlign w:val="center"/>
            <w:hideMark/>
          </w:tcPr>
          <w:p w:rsidR="00000000" w:rsidRDefault="00BB5C2D">
            <w:pPr>
              <w:spacing w:after="100"/>
              <w:rPr>
                <w:rFonts w:eastAsia="Times New Roman"/>
                <w:sz w:val="20"/>
                <w:szCs w:val="20"/>
              </w:rPr>
            </w:pPr>
          </w:p>
        </w:tc>
        <w:tc>
          <w:tcPr>
            <w:tcW w:w="0" w:type="auto"/>
            <w:gridSpan w:val="4"/>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2"/>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r>
      <w:tr w:rsidR="00BB5C2D">
        <w:trPr>
          <w:divId w:val="695351799"/>
        </w:trPr>
        <w:tc>
          <w:tcPr>
            <w:tcW w:w="0" w:type="auto"/>
            <w:gridSpan w:val="4"/>
            <w:shd w:val="clear" w:color="auto" w:fill="CCEEFF"/>
            <w:tcMar>
              <w:top w:w="30" w:type="dxa"/>
              <w:left w:w="20" w:type="dxa"/>
              <w:bottom w:w="30" w:type="dxa"/>
              <w:right w:w="20" w:type="dxa"/>
            </w:tcMar>
            <w:vAlign w:val="bottom"/>
            <w:hideMark/>
          </w:tcPr>
          <w:p w:rsidR="00000000" w:rsidRDefault="00BB5C2D">
            <w:pPr>
              <w:spacing w:after="100"/>
              <w:divId w:val="1976911143"/>
              <w:rPr>
                <w:rFonts w:eastAsia="Times New Roman"/>
              </w:rPr>
            </w:pPr>
            <w:r>
              <w:rPr>
                <w:rFonts w:eastAsia="Times New Roman"/>
                <w:color w:val="000000"/>
                <w:sz w:val="16"/>
                <w:szCs w:val="16"/>
              </w:rPr>
              <w:t>Net investment hedge</w:t>
            </w:r>
            <w:r>
              <w:rPr>
                <w:rFonts w:eastAsia="Times New Roman"/>
                <w:color w:val="000000"/>
                <w:sz w:val="16"/>
                <w:szCs w:val="16"/>
              </w:rPr>
              <w:t>s</w:t>
            </w:r>
            <w:r>
              <w:rPr>
                <w:rFonts w:eastAsia="Times New Roman"/>
                <w:b/>
                <w:bCs/>
                <w:color w:val="000000"/>
                <w:sz w:val="10"/>
                <w:szCs w:val="10"/>
              </w:rPr>
              <w:t>(c</w:t>
            </w:r>
            <w:r>
              <w:rPr>
                <w:rFonts w:eastAsia="Times New Roman"/>
                <w:b/>
                <w:bCs/>
                <w:color w:val="000000"/>
                <w:sz w:val="10"/>
                <w:szCs w:val="10"/>
              </w:rPr>
              <w:t>)</w:t>
            </w:r>
          </w:p>
        </w:tc>
        <w:tc>
          <w:tcPr>
            <w:tcW w:w="0" w:type="auto"/>
            <w:gridSpan w:val="4"/>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700.0 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723.2 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16"/>
                <w:szCs w:val="16"/>
              </w:rPr>
              <w:t>ONCA</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23.7 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16"/>
                <w:szCs w:val="16"/>
              </w:rPr>
              <w:t>ONCA</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10.2 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16"/>
                <w:szCs w:val="16"/>
              </w:rPr>
              <w:t>ONCL</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18.1 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16"/>
                <w:szCs w:val="16"/>
              </w:rPr>
              <w:t>ONCL</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55.1 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BB5C2D">
        <w:trPr>
          <w:divId w:val="695351799"/>
        </w:trPr>
        <w:tc>
          <w:tcPr>
            <w:tcW w:w="0" w:type="auto"/>
            <w:gridSpan w:val="4"/>
            <w:shd w:val="clear" w:color="auto" w:fill="FFFFFF"/>
            <w:tcMar>
              <w:top w:w="30" w:type="dxa"/>
              <w:left w:w="38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Total Designated Hedges</w:t>
            </w:r>
          </w:p>
        </w:tc>
        <w:tc>
          <w:tcPr>
            <w:tcW w:w="0" w:type="auto"/>
            <w:gridSpan w:val="4"/>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936.5 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892.1 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30.3 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55.1 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695351799"/>
        </w:trPr>
        <w:tc>
          <w:tcPr>
            <w:tcW w:w="0" w:type="auto"/>
            <w:gridSpan w:val="4"/>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u w:val="single"/>
              </w:rPr>
              <w:t>Undesignated Hedges:</w:t>
            </w:r>
          </w:p>
        </w:tc>
        <w:tc>
          <w:tcPr>
            <w:tcW w:w="0" w:type="auto"/>
            <w:gridSpan w:val="4"/>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4"/>
            <w:tcBorders>
              <w:top w:val="single" w:sz="8" w:space="0" w:color="000000"/>
            </w:tcBorders>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vAlign w:val="center"/>
            <w:hideMark/>
          </w:tcPr>
          <w:p w:rsidR="00000000" w:rsidRDefault="00BB5C2D">
            <w:pPr>
              <w:spacing w:after="100"/>
              <w:rPr>
                <w:rFonts w:eastAsia="Times New Roman"/>
                <w:sz w:val="20"/>
                <w:szCs w:val="20"/>
              </w:rPr>
            </w:pPr>
          </w:p>
        </w:tc>
      </w:tr>
      <w:tr w:rsidR="00BB5C2D">
        <w:trPr>
          <w:divId w:val="695351799"/>
        </w:trPr>
        <w:tc>
          <w:tcPr>
            <w:tcW w:w="0" w:type="auto"/>
            <w:gridSpan w:val="4"/>
            <w:shd w:val="clear" w:color="auto" w:fill="FFFFFF"/>
            <w:tcMar>
              <w:top w:w="30" w:type="dxa"/>
              <w:left w:w="20" w:type="dxa"/>
              <w:bottom w:w="30" w:type="dxa"/>
              <w:right w:w="20" w:type="dxa"/>
            </w:tcMar>
            <w:vAlign w:val="bottom"/>
            <w:hideMark/>
          </w:tcPr>
          <w:p w:rsidR="00000000" w:rsidRDefault="00BB5C2D">
            <w:pPr>
              <w:spacing w:after="100"/>
              <w:divId w:val="60298166"/>
              <w:rPr>
                <w:rFonts w:eastAsia="Times New Roman"/>
              </w:rPr>
            </w:pPr>
            <w:r>
              <w:rPr>
                <w:rFonts w:eastAsia="Times New Roman"/>
                <w:color w:val="000000"/>
                <w:sz w:val="16"/>
                <w:szCs w:val="16"/>
              </w:rPr>
              <w:t>FC — Undesignated hedge</w:t>
            </w:r>
            <w:r>
              <w:rPr>
                <w:rFonts w:eastAsia="Times New Roman"/>
                <w:color w:val="000000"/>
                <w:sz w:val="16"/>
                <w:szCs w:val="16"/>
              </w:rPr>
              <w:t>s</w:t>
            </w:r>
            <w:r>
              <w:rPr>
                <w:rFonts w:eastAsia="Times New Roman"/>
                <w:b/>
                <w:bCs/>
                <w:color w:val="000000"/>
                <w:sz w:val="10"/>
                <w:szCs w:val="10"/>
              </w:rPr>
              <w:t>(d</w:t>
            </w:r>
            <w:r>
              <w:rPr>
                <w:rFonts w:eastAsia="Times New Roman"/>
                <w:b/>
                <w:bCs/>
                <w:color w:val="000000"/>
                <w:sz w:val="10"/>
                <w:szCs w:val="10"/>
              </w:rPr>
              <w:t>)</w:t>
            </w:r>
          </w:p>
        </w:tc>
        <w:tc>
          <w:tcPr>
            <w:tcW w:w="0" w:type="auto"/>
            <w:gridSpan w:val="4"/>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225.0 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242.4 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16"/>
                <w:szCs w:val="16"/>
              </w:rPr>
              <w:t>PP</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2.1 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16"/>
                <w:szCs w:val="16"/>
              </w:rPr>
              <w:t>PP</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0.6 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16"/>
                <w:szCs w:val="16"/>
              </w:rPr>
              <w:t>AE</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0.2 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16"/>
                <w:szCs w:val="16"/>
              </w:rPr>
              <w:t>AE</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0.3 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BB5C2D">
        <w:trPr>
          <w:divId w:val="695351799"/>
        </w:trPr>
        <w:tc>
          <w:tcPr>
            <w:tcW w:w="0" w:type="auto"/>
            <w:gridSpan w:val="4"/>
            <w:shd w:val="clear" w:color="auto" w:fill="CCEEFF"/>
            <w:tcMar>
              <w:top w:w="30" w:type="dxa"/>
              <w:left w:w="38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Total Hedges</w:t>
            </w:r>
          </w:p>
        </w:tc>
        <w:tc>
          <w:tcPr>
            <w:tcW w:w="0" w:type="auto"/>
            <w:gridSpan w:val="4"/>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1,161.5 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1,134.5 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32.4 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55.4 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blPrEx>
          <w:tblW w:w="972" w:type="pct"/>
        </w:tblPrEx>
        <w:trPr>
          <w:gridAfter w:val="57"/>
        </w:trPr>
        <w:tc>
          <w:tcPr>
            <w:tcW w:w="50" w:type="pct"/>
            <w:gridSpan w:val="2"/>
            <w:vAlign w:val="center"/>
            <w:hideMark/>
          </w:tcPr>
          <w:p w:rsidR="00000000" w:rsidRDefault="00BB5C2D">
            <w:pPr>
              <w:rPr>
                <w:rFonts w:eastAsia="Times New Roman"/>
              </w:rPr>
            </w:pPr>
          </w:p>
        </w:tc>
        <w:tc>
          <w:tcPr>
            <w:tcW w:w="4945" w:type="pct"/>
            <w:gridSpan w:val="3"/>
            <w:vAlign w:val="center"/>
            <w:hideMark/>
          </w:tcPr>
          <w:p w:rsidR="00000000" w:rsidRDefault="00BB5C2D">
            <w:pPr>
              <w:spacing w:after="100"/>
              <w:rPr>
                <w:rFonts w:eastAsia="Times New Roman"/>
                <w:sz w:val="20"/>
                <w:szCs w:val="20"/>
              </w:rPr>
            </w:pPr>
          </w:p>
        </w:tc>
        <w:tc>
          <w:tcPr>
            <w:tcW w:w="5" w:type="pct"/>
            <w:gridSpan w:val="4"/>
            <w:vAlign w:val="center"/>
            <w:hideMark/>
          </w:tcPr>
          <w:p w:rsidR="00000000" w:rsidRDefault="00BB5C2D">
            <w:pPr>
              <w:spacing w:after="100"/>
              <w:rPr>
                <w:rFonts w:eastAsia="Times New Roman"/>
                <w:sz w:val="20"/>
                <w:szCs w:val="20"/>
              </w:rPr>
            </w:pPr>
          </w:p>
        </w:tc>
      </w:tr>
      <w:tr w:rsidR="00000000">
        <w:tblPrEx>
          <w:tblW w:w="972" w:type="pct"/>
        </w:tblPrEx>
        <w:trPr>
          <w:gridAfter w:val="57"/>
          <w:trHeight w:val="60"/>
        </w:trPr>
        <w:tc>
          <w:tcPr>
            <w:tcW w:w="0" w:type="auto"/>
            <w:gridSpan w:val="9"/>
            <w:tcBorders>
              <w:bottom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r>
    </w:tbl>
    <w:p w:rsidR="00000000" w:rsidRDefault="00BB5C2D">
      <w:pPr>
        <w:ind w:hanging="360"/>
        <w:jc w:val="both"/>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FC = Forward foreign currency exchange contracts.</w:t>
      </w:r>
    </w:p>
    <w:p w:rsidR="00000000" w:rsidRDefault="00BB5C2D">
      <w:pPr>
        <w:ind w:hanging="360"/>
        <w:jc w:val="both"/>
        <w:divId w:val="340157643"/>
        <w:rPr>
          <w:rFonts w:eastAsia="Times New Roman"/>
        </w:rPr>
      </w:pPr>
      <w:r>
        <w:rPr>
          <w:rFonts w:eastAsia="Times New Roman"/>
          <w:b/>
          <w:bCs/>
          <w:color w:val="000000"/>
          <w:sz w:val="13"/>
          <w:szCs w:val="13"/>
        </w:rPr>
        <w:t>(b</w:t>
      </w:r>
      <w:r>
        <w:rPr>
          <w:rFonts w:eastAsia="Times New Roman"/>
          <w:b/>
          <w:bCs/>
          <w:color w:val="000000"/>
          <w:sz w:val="13"/>
          <w:szCs w:val="13"/>
        </w:rPr>
        <w:t>)</w:t>
      </w:r>
      <w:r>
        <w:rPr>
          <w:rFonts w:eastAsia="Times New Roman"/>
          <w:color w:val="000000"/>
          <w:sz w:val="20"/>
          <w:szCs w:val="20"/>
        </w:rPr>
        <w:t>PP = Prepaid expenses and other current assets; AE = Accrued expenses and other current liabilities; ONCA = Other non-current assets; ONCL = Other non-current liabilities.</w:t>
      </w:r>
    </w:p>
    <w:p w:rsidR="00000000" w:rsidRDefault="00BB5C2D">
      <w:pPr>
        <w:ind w:hanging="360"/>
        <w:jc w:val="both"/>
        <w:divId w:val="1543246998"/>
        <w:rPr>
          <w:rFonts w:eastAsia="Times New Roman"/>
        </w:rPr>
      </w:pPr>
      <w:r>
        <w:rPr>
          <w:rFonts w:eastAsia="Times New Roman"/>
          <w:b/>
          <w:bCs/>
          <w:color w:val="000000"/>
          <w:sz w:val="13"/>
          <w:szCs w:val="13"/>
        </w:rPr>
        <w:t>(c</w:t>
      </w:r>
      <w:r>
        <w:rPr>
          <w:rFonts w:eastAsia="Times New Roman"/>
          <w:b/>
          <w:bCs/>
          <w:color w:val="000000"/>
          <w:sz w:val="13"/>
          <w:szCs w:val="13"/>
        </w:rPr>
        <w:t>)</w:t>
      </w:r>
      <w:r>
        <w:rPr>
          <w:rFonts w:eastAsia="Times New Roman"/>
          <w:color w:val="000000"/>
          <w:sz w:val="20"/>
          <w:szCs w:val="20"/>
        </w:rPr>
        <w:t>Includes cross-currency swaps designated as hedges of the Company's net investmen</w:t>
      </w:r>
      <w:r>
        <w:rPr>
          <w:rFonts w:eastAsia="Times New Roman"/>
          <w:color w:val="000000"/>
          <w:sz w:val="20"/>
          <w:szCs w:val="20"/>
        </w:rPr>
        <w:t>t in certain foreign operations.</w:t>
      </w:r>
    </w:p>
    <w:p w:rsidR="00000000" w:rsidRDefault="00BB5C2D">
      <w:pPr>
        <w:ind w:hanging="360"/>
        <w:jc w:val="both"/>
        <w:divId w:val="1280991412"/>
        <w:rPr>
          <w:rFonts w:eastAsia="Times New Roman"/>
        </w:rPr>
      </w:pPr>
      <w:r>
        <w:rPr>
          <w:rFonts w:eastAsia="Times New Roman"/>
          <w:b/>
          <w:bCs/>
          <w:color w:val="000000"/>
          <w:sz w:val="13"/>
          <w:szCs w:val="13"/>
        </w:rPr>
        <w:t>(d</w:t>
      </w:r>
      <w:r>
        <w:rPr>
          <w:rFonts w:eastAsia="Times New Roman"/>
          <w:b/>
          <w:bCs/>
          <w:color w:val="000000"/>
          <w:sz w:val="13"/>
          <w:szCs w:val="13"/>
        </w:rPr>
        <w:t>)</w:t>
      </w:r>
      <w:r>
        <w:rPr>
          <w:rFonts w:eastAsia="Times New Roman"/>
          <w:color w:val="000000"/>
          <w:sz w:val="20"/>
          <w:szCs w:val="20"/>
        </w:rPr>
        <w:t>Relates to third-party and intercompany foreign currency-denominated exposures and balances.</w:t>
      </w:r>
    </w:p>
    <w:p w:rsidR="00000000" w:rsidRDefault="00BB5C2D">
      <w:pPr>
        <w:ind w:firstLine="540"/>
        <w:jc w:val="both"/>
        <w:divId w:val="144854455"/>
        <w:rPr>
          <w:rFonts w:eastAsia="Times New Roman"/>
        </w:rPr>
      </w:pPr>
      <w:r>
        <w:rPr>
          <w:rFonts w:eastAsia="Times New Roman"/>
          <w:color w:val="000000"/>
          <w:sz w:val="20"/>
          <w:szCs w:val="20"/>
        </w:rPr>
        <w:t xml:space="preserve">The Company presents the fair values of its derivative assets and liabilities recorded on its consolidated balance sheets on a </w:t>
      </w:r>
      <w:r>
        <w:rPr>
          <w:rFonts w:eastAsia="Times New Roman"/>
          <w:color w:val="000000"/>
          <w:sz w:val="20"/>
          <w:szCs w:val="20"/>
        </w:rPr>
        <w:t>gross basis, even when they are subject to master netting arrangements. However, if the Company were to offset and record the asset and liability balances of all of its derivative instruments on a net basis in accordance with the terms of each of its maste</w:t>
      </w:r>
      <w:r>
        <w:rPr>
          <w:rFonts w:eastAsia="Times New Roman"/>
          <w:color w:val="000000"/>
          <w:sz w:val="20"/>
          <w:szCs w:val="20"/>
        </w:rPr>
        <w:t>r netting arrangements, spread across nine separate counterparties, the amounts presented in the consolidated balance sheets as of April 2, 2022 and March 27, 2021 would be adjusted from the current gross presentation as detailed in the following table:</w:t>
      </w:r>
    </w:p>
    <w:tbl>
      <w:tblPr>
        <w:tblW w:w="4985" w:type="pct"/>
        <w:tblCellMar>
          <w:top w:w="15" w:type="dxa"/>
          <w:left w:w="15" w:type="dxa"/>
          <w:bottom w:w="15" w:type="dxa"/>
          <w:right w:w="15" w:type="dxa"/>
        </w:tblCellMar>
        <w:tblLook w:val="04A0" w:firstRow="1" w:lastRow="0" w:firstColumn="1" w:lastColumn="0" w:noHBand="0" w:noVBand="1"/>
      </w:tblPr>
      <w:tblGrid>
        <w:gridCol w:w="37"/>
        <w:gridCol w:w="1953"/>
        <w:gridCol w:w="36"/>
        <w:gridCol w:w="36"/>
        <w:gridCol w:w="45"/>
        <w:gridCol w:w="36"/>
        <w:gridCol w:w="101"/>
        <w:gridCol w:w="799"/>
        <w:gridCol w:w="36"/>
        <w:gridCol w:w="36"/>
        <w:gridCol w:w="36"/>
        <w:gridCol w:w="36"/>
        <w:gridCol w:w="101"/>
        <w:gridCol w:w="833"/>
        <w:gridCol w:w="36"/>
        <w:gridCol w:w="36"/>
        <w:gridCol w:w="36"/>
        <w:gridCol w:w="36"/>
        <w:gridCol w:w="101"/>
        <w:gridCol w:w="760"/>
        <w:gridCol w:w="36"/>
        <w:gridCol w:w="36"/>
        <w:gridCol w:w="36"/>
        <w:gridCol w:w="36"/>
        <w:gridCol w:w="101"/>
        <w:gridCol w:w="787"/>
        <w:gridCol w:w="36"/>
        <w:gridCol w:w="36"/>
        <w:gridCol w:w="36"/>
        <w:gridCol w:w="36"/>
        <w:gridCol w:w="101"/>
        <w:gridCol w:w="835"/>
        <w:gridCol w:w="36"/>
        <w:gridCol w:w="36"/>
        <w:gridCol w:w="36"/>
        <w:gridCol w:w="36"/>
        <w:gridCol w:w="101"/>
        <w:gridCol w:w="762"/>
        <w:gridCol w:w="36"/>
      </w:tblGrid>
      <w:tr w:rsidR="00000000">
        <w:trPr>
          <w:divId w:val="1788620138"/>
        </w:trPr>
        <w:tc>
          <w:tcPr>
            <w:tcW w:w="50" w:type="pct"/>
            <w:vAlign w:val="center"/>
            <w:hideMark/>
          </w:tcPr>
          <w:p w:rsidR="00000000" w:rsidRDefault="00BB5C2D">
            <w:pPr>
              <w:ind w:firstLine="540"/>
              <w:jc w:val="both"/>
              <w:rPr>
                <w:rFonts w:eastAsia="Times New Roman"/>
              </w:rPr>
            </w:pPr>
          </w:p>
        </w:tc>
        <w:tc>
          <w:tcPr>
            <w:tcW w:w="120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0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53"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0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41"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0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53"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0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788620138"/>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4"/>
                <w:szCs w:val="14"/>
              </w:rPr>
              <w:t>April 2, 2022</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4"/>
                <w:szCs w:val="14"/>
              </w:rPr>
              <w:t>March 27, 2021</w:t>
            </w:r>
          </w:p>
        </w:tc>
      </w:tr>
      <w:tr w:rsidR="00000000">
        <w:trPr>
          <w:divId w:val="1788620138"/>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4"/>
                <w:szCs w:val="14"/>
              </w:rPr>
              <w:t>Gross Amounts Presented in the Balance Sheet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4"/>
                <w:szCs w:val="14"/>
              </w:rPr>
              <w:t>Gross Amounts Not Offset in the Balance Sheet that are Subject to Master Netting Agreements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4"/>
                <w:szCs w:val="14"/>
              </w:rPr>
              <w:t>Net</w:t>
            </w:r>
            <w:r>
              <w:rPr>
                <w:rFonts w:eastAsia="Times New Roman"/>
                <w:b/>
                <w:bCs/>
                <w:color w:val="000000"/>
                <w:sz w:val="14"/>
                <w:szCs w:val="14"/>
              </w:rPr>
              <w:br/>
              <w:t>Amount</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4"/>
                <w:szCs w:val="14"/>
              </w:rPr>
              <w:t>Gross Amounts Presented in the Balance Sheet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4"/>
                <w:szCs w:val="14"/>
              </w:rPr>
              <w:t>Gross Amounts Not Offset in the Balance Sheet that are Subject to Master Netting Agreements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4"/>
                <w:szCs w:val="14"/>
              </w:rPr>
              <w:t>Net</w:t>
            </w:r>
            <w:r>
              <w:rPr>
                <w:rFonts w:eastAsia="Times New Roman"/>
                <w:b/>
                <w:bCs/>
                <w:color w:val="000000"/>
                <w:sz w:val="14"/>
                <w:szCs w:val="14"/>
              </w:rPr>
              <w:br/>
              <w:t>Amount</w:t>
            </w:r>
          </w:p>
        </w:tc>
      </w:tr>
      <w:tr w:rsidR="00000000">
        <w:trPr>
          <w:divId w:val="1788620138"/>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4"/>
                <w:szCs w:val="14"/>
              </w:rPr>
              <w:t>(millions)</w:t>
            </w:r>
          </w:p>
        </w:tc>
      </w:tr>
      <w:tr w:rsidR="00000000">
        <w:trPr>
          <w:divId w:val="1788620138"/>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Derivative assets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32.4 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(0.2)</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32.2 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15.8 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(0.3)</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15.5 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788620138"/>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Derivative liabilities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18.3 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(0.2)</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18.1 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55.4 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(0.3)</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55.1 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trPr>
          <w:jc w:val="center"/>
        </w:trPr>
        <w:tc>
          <w:tcPr>
            <w:tcW w:w="50" w:type="pct"/>
            <w:vAlign w:val="center"/>
            <w:hideMark/>
          </w:tcPr>
          <w:p w:rsidR="00000000" w:rsidRDefault="00BB5C2D">
            <w:pPr>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F-38</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50" style="width:0;height:1.5pt" o:hralign="center" o:hrstd="t" o:hr="t" fillcolor="#a0a0a0" stroked="f"/>
        </w:pict>
      </w:r>
    </w:p>
    <w:p w:rsidR="00000000" w:rsidRDefault="00BB5C2D">
      <w:pPr>
        <w:jc w:val="center"/>
        <w:divId w:val="1971010636"/>
        <w:rPr>
          <w:rFonts w:eastAsia="Times New Roman"/>
        </w:rPr>
      </w:pPr>
    </w:p>
    <w:p w:rsidR="00000000" w:rsidRDefault="00BB5C2D">
      <w:pPr>
        <w:jc w:val="center"/>
        <w:divId w:val="1971010636"/>
        <w:rPr>
          <w:rFonts w:eastAsia="Times New Roman"/>
        </w:rPr>
      </w:pPr>
      <w:r>
        <w:rPr>
          <w:rFonts w:eastAsia="Times New Roman"/>
          <w:b/>
          <w:bCs/>
          <w:color w:val="000000"/>
          <w:sz w:val="20"/>
          <w:szCs w:val="20"/>
        </w:rPr>
        <w:t>RALPH LAUREN CORPORATION</w:t>
      </w:r>
    </w:p>
    <w:p w:rsidR="00000000" w:rsidRDefault="00BB5C2D">
      <w:pPr>
        <w:jc w:val="center"/>
        <w:divId w:val="494343329"/>
        <w:rPr>
          <w:rFonts w:eastAsia="Times New Roman"/>
        </w:rPr>
      </w:pPr>
      <w:r>
        <w:rPr>
          <w:rFonts w:eastAsia="Times New Roman"/>
          <w:b/>
          <w:bCs/>
          <w:color w:val="000000"/>
          <w:sz w:val="20"/>
          <w:szCs w:val="20"/>
        </w:rPr>
        <w:t>NOTES TO CONSOLIDATED FINANCIAL STATEMENTS (Continued)</w:t>
      </w:r>
    </w:p>
    <w:p w:rsidR="00000000" w:rsidRDefault="00BB5C2D">
      <w:pPr>
        <w:ind w:firstLine="540"/>
        <w:jc w:val="both"/>
        <w:divId w:val="1338456310"/>
        <w:rPr>
          <w:rFonts w:eastAsia="Times New Roman"/>
        </w:rPr>
      </w:pPr>
      <w:r>
        <w:rPr>
          <w:rFonts w:eastAsia="Times New Roman"/>
          <w:color w:val="000000"/>
          <w:sz w:val="20"/>
          <w:szCs w:val="20"/>
        </w:rPr>
        <w:t>The Company's master netting arrangements do not require cash collateral to be pledged by the Company or its counterparties. See Note 3 fo</w:t>
      </w:r>
      <w:r>
        <w:rPr>
          <w:rFonts w:eastAsia="Times New Roman"/>
          <w:color w:val="000000"/>
          <w:sz w:val="20"/>
          <w:szCs w:val="20"/>
        </w:rPr>
        <w:t>r further discussion of the Company's master netting arrangements.</w:t>
      </w:r>
    </w:p>
    <w:p w:rsidR="00000000" w:rsidRDefault="00BB5C2D">
      <w:pPr>
        <w:ind w:firstLine="540"/>
        <w:jc w:val="both"/>
        <w:divId w:val="996151765"/>
        <w:rPr>
          <w:rFonts w:eastAsia="Times New Roman"/>
        </w:rPr>
      </w:pPr>
      <w:r>
        <w:rPr>
          <w:rFonts w:eastAsia="Times New Roman"/>
          <w:color w:val="000000"/>
          <w:sz w:val="20"/>
          <w:szCs w:val="20"/>
        </w:rPr>
        <w:t>The following tables summarize the pretax impact of gains and losses from the Company's designated derivative instruments on its consolidated financial statements for the fiscal years prese</w:t>
      </w:r>
      <w:r>
        <w:rPr>
          <w:rFonts w:eastAsia="Times New Roman"/>
          <w:color w:val="000000"/>
          <w:sz w:val="20"/>
          <w:szCs w:val="20"/>
        </w:rPr>
        <w:t>nted:</w:t>
      </w:r>
    </w:p>
    <w:tbl>
      <w:tblPr>
        <w:tblW w:w="4254" w:type="pct"/>
        <w:tblCellMar>
          <w:top w:w="15" w:type="dxa"/>
          <w:left w:w="15" w:type="dxa"/>
          <w:bottom w:w="15" w:type="dxa"/>
          <w:right w:w="15" w:type="dxa"/>
        </w:tblCellMar>
        <w:tblLook w:val="04A0" w:firstRow="1" w:lastRow="0" w:firstColumn="1" w:lastColumn="0" w:noHBand="0" w:noVBand="1"/>
      </w:tblPr>
      <w:tblGrid>
        <w:gridCol w:w="38"/>
        <w:gridCol w:w="4624"/>
        <w:gridCol w:w="37"/>
        <w:gridCol w:w="36"/>
        <w:gridCol w:w="48"/>
        <w:gridCol w:w="36"/>
        <w:gridCol w:w="100"/>
        <w:gridCol w:w="566"/>
        <w:gridCol w:w="36"/>
        <w:gridCol w:w="36"/>
        <w:gridCol w:w="36"/>
        <w:gridCol w:w="36"/>
        <w:gridCol w:w="100"/>
        <w:gridCol w:w="528"/>
        <w:gridCol w:w="36"/>
        <w:gridCol w:w="36"/>
        <w:gridCol w:w="36"/>
        <w:gridCol w:w="36"/>
        <w:gridCol w:w="101"/>
        <w:gridCol w:w="529"/>
        <w:gridCol w:w="36"/>
      </w:tblGrid>
      <w:tr w:rsidR="00000000">
        <w:trPr>
          <w:divId w:val="1342318166"/>
        </w:trPr>
        <w:tc>
          <w:tcPr>
            <w:tcW w:w="50" w:type="pct"/>
            <w:vAlign w:val="center"/>
            <w:hideMark/>
          </w:tcPr>
          <w:p w:rsidR="00000000" w:rsidRDefault="00BB5C2D">
            <w:pPr>
              <w:ind w:firstLine="540"/>
              <w:jc w:val="both"/>
              <w:rPr>
                <w:rFonts w:eastAsia="Times New Roman"/>
              </w:rPr>
            </w:pPr>
          </w:p>
        </w:tc>
        <w:tc>
          <w:tcPr>
            <w:tcW w:w="331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6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3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3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3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3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3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342318166"/>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Gains (Losses)</w:t>
            </w:r>
            <w:r>
              <w:rPr>
                <w:rFonts w:eastAsia="Times New Roman"/>
                <w:b/>
                <w:bCs/>
                <w:color w:val="000000"/>
                <w:sz w:val="16"/>
                <w:szCs w:val="16"/>
              </w:rPr>
              <w:br/>
              <w:t>Recognized in OCI</w:t>
            </w:r>
          </w:p>
        </w:tc>
      </w:tr>
      <w:tr w:rsidR="00000000">
        <w:trPr>
          <w:divId w:val="1342318166"/>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Years Ended</w:t>
            </w:r>
          </w:p>
        </w:tc>
      </w:tr>
      <w:tr w:rsidR="00000000">
        <w:trPr>
          <w:divId w:val="1342318166"/>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r>
      <w:tr w:rsidR="00000000">
        <w:trPr>
          <w:divId w:val="1342318166"/>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1342318166"/>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u w:val="single"/>
              </w:rPr>
              <w:t>Designated Hedges: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342318166"/>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FC — Cash flow hedges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9.0 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(3.5)</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24.0 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42318166"/>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divId w:val="630668419"/>
              <w:rPr>
                <w:rFonts w:eastAsia="Times New Roman"/>
              </w:rPr>
            </w:pPr>
            <w:r>
              <w:rPr>
                <w:rFonts w:eastAsia="Times New Roman"/>
                <w:color w:val="000000"/>
                <w:sz w:val="16"/>
                <w:szCs w:val="16"/>
              </w:rPr>
              <w:t>Net investment hedges — effective portio</w:t>
            </w:r>
            <w:r>
              <w:rPr>
                <w:rFonts w:eastAsia="Times New Roman"/>
                <w:color w:val="000000"/>
                <w:sz w:val="16"/>
                <w:szCs w:val="16"/>
              </w:rPr>
              <w:t>n</w:t>
            </w:r>
            <w:r>
              <w:rPr>
                <w:rFonts w:eastAsia="Times New Roman"/>
                <w:b/>
                <w:bCs/>
                <w:color w:val="000000"/>
                <w:sz w:val="10"/>
                <w:szCs w:val="1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46.8 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(35.5)</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7.7 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42318166"/>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xml:space="preserve">Net investment hedges — </w:t>
            </w:r>
            <w:r>
              <w:rPr>
                <w:rFonts w:eastAsia="Times New Roman"/>
                <w:color w:val="000000"/>
                <w:sz w:val="16"/>
                <w:szCs w:val="16"/>
              </w:rPr>
              <w:t>portion excluded from assessment of hedge effectiveness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3.6 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(50.8)</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30.7 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42318166"/>
        </w:trPr>
        <w:tc>
          <w:tcPr>
            <w:tcW w:w="0" w:type="auto"/>
            <w:gridSpan w:val="3"/>
            <w:shd w:val="clear" w:color="auto" w:fill="CCEEFF"/>
            <w:tcMar>
              <w:top w:w="30" w:type="dxa"/>
              <w:left w:w="245"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Total Designated Hedges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59.4 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(89.8)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62.4 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628"/>
        <w:gridCol w:w="144"/>
        <w:gridCol w:w="144"/>
        <w:gridCol w:w="144"/>
        <w:gridCol w:w="144"/>
        <w:gridCol w:w="144"/>
        <w:gridCol w:w="770"/>
        <w:gridCol w:w="144"/>
        <w:gridCol w:w="144"/>
        <w:gridCol w:w="144"/>
        <w:gridCol w:w="144"/>
        <w:gridCol w:w="144"/>
        <w:gridCol w:w="770"/>
        <w:gridCol w:w="144"/>
        <w:gridCol w:w="144"/>
        <w:gridCol w:w="144"/>
        <w:gridCol w:w="144"/>
        <w:gridCol w:w="144"/>
        <w:gridCol w:w="770"/>
        <w:gridCol w:w="144"/>
        <w:gridCol w:w="144"/>
        <w:gridCol w:w="144"/>
        <w:gridCol w:w="144"/>
        <w:gridCol w:w="144"/>
        <w:gridCol w:w="770"/>
        <w:gridCol w:w="144"/>
        <w:gridCol w:w="144"/>
        <w:gridCol w:w="144"/>
        <w:gridCol w:w="144"/>
        <w:gridCol w:w="144"/>
        <w:gridCol w:w="770"/>
        <w:gridCol w:w="144"/>
        <w:gridCol w:w="144"/>
        <w:gridCol w:w="144"/>
        <w:gridCol w:w="144"/>
        <w:gridCol w:w="144"/>
        <w:gridCol w:w="770"/>
        <w:gridCol w:w="144"/>
      </w:tblGrid>
      <w:tr w:rsidR="00000000">
        <w:trPr>
          <w:jc w:val="center"/>
        </w:trPr>
        <w:tc>
          <w:tcPr>
            <w:tcW w:w="50" w:type="pct"/>
            <w:vAlign w:val="center"/>
            <w:hideMark/>
          </w:tcPr>
          <w:p w:rsidR="00000000" w:rsidRDefault="00BB5C2D">
            <w:pPr>
              <w:rPr>
                <w:rFonts w:eastAsia="Times New Roman"/>
              </w:rPr>
            </w:pPr>
          </w:p>
        </w:tc>
        <w:tc>
          <w:tcPr>
            <w:tcW w:w="158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6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6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6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6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6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6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Location and Amount of Gains (Losses)</w:t>
            </w:r>
            <w:r>
              <w:rPr>
                <w:rFonts w:eastAsia="Times New Roman"/>
                <w:b/>
                <w:bCs/>
                <w:color w:val="000000"/>
                <w:sz w:val="16"/>
                <w:szCs w:val="16"/>
              </w:rPr>
              <w:br/>
            </w:r>
            <w:r>
              <w:rPr>
                <w:rFonts w:eastAsia="Times New Roman"/>
                <w:b/>
                <w:bCs/>
                <w:color w:val="000000"/>
                <w:sz w:val="16"/>
                <w:szCs w:val="16"/>
              </w:rPr>
              <w:t>from Cash Flow Hedges Reclassified from AOCI to Earnings</w:t>
            </w:r>
          </w:p>
        </w:tc>
      </w:tr>
      <w:tr w:rsidR="00000000">
        <w:trPr>
          <w:jc w:val="center"/>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Years Ended</w:t>
            </w:r>
          </w:p>
        </w:tc>
      </w:tr>
      <w:tr w:rsidR="00000000">
        <w:trPr>
          <w:jc w:val="center"/>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28, 2020</w:t>
            </w:r>
          </w:p>
        </w:tc>
      </w:tr>
      <w:tr w:rsidR="00000000">
        <w:trPr>
          <w:jc w:val="center"/>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Cost of</w:t>
            </w:r>
            <w:r>
              <w:rPr>
                <w:rFonts w:eastAsia="Times New Roman"/>
                <w:b/>
                <w:bCs/>
                <w:color w:val="000000"/>
                <w:sz w:val="16"/>
                <w:szCs w:val="16"/>
              </w:rPr>
              <w:br/>
            </w:r>
            <w:r>
              <w:rPr>
                <w:rFonts w:eastAsia="Times New Roman"/>
                <w:b/>
                <w:bCs/>
                <w:color w:val="000000"/>
                <w:sz w:val="16"/>
                <w:szCs w:val="16"/>
              </w:rPr>
              <w:t>goods sold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Other income (expense), net</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Cost of</w:t>
            </w:r>
            <w:r>
              <w:rPr>
                <w:rFonts w:eastAsia="Times New Roman"/>
                <w:b/>
                <w:bCs/>
                <w:color w:val="000000"/>
                <w:sz w:val="16"/>
                <w:szCs w:val="16"/>
              </w:rPr>
              <w:br/>
              <w:t>goods sold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Other income (expense), net</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Cost of</w:t>
            </w:r>
            <w:r>
              <w:rPr>
                <w:rFonts w:eastAsia="Times New Roman"/>
                <w:b/>
                <w:bCs/>
                <w:color w:val="000000"/>
                <w:sz w:val="16"/>
                <w:szCs w:val="16"/>
              </w:rPr>
              <w:br/>
              <w:t>goods sold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Other income (expense), net</w:t>
            </w:r>
          </w:p>
        </w:tc>
      </w:tr>
      <w:tr w:rsidR="00000000">
        <w:trPr>
          <w:jc w:val="center"/>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divId w:val="1305037899"/>
              <w:rPr>
                <w:rFonts w:eastAsia="Times New Roman"/>
              </w:rPr>
            </w:pPr>
            <w:r>
              <w:rPr>
                <w:rFonts w:eastAsia="Times New Roman"/>
                <w:b/>
                <w:bCs/>
                <w:color w:val="000000"/>
                <w:sz w:val="16"/>
                <w:szCs w:val="16"/>
              </w:rPr>
              <w:t>Total amounts presented in the consolidated statements of operations in which the effects of related cash flow hedges are recorded</w:t>
            </w:r>
            <w:r>
              <w:rPr>
                <w:rFonts w:eastAsia="Times New Roman"/>
                <w:color w:val="000000"/>
                <w:sz w:val="16"/>
                <w:szCs w:val="16"/>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(2,071.0)</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4.7 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(1,539.4)</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7.6 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(2,506.5)</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(7.4)</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b/>
                <w:bCs/>
                <w:color w:val="000000"/>
                <w:sz w:val="16"/>
                <w:szCs w:val="16"/>
              </w:rPr>
              <w:t>Effects of cash flow hedging:</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FC — Cash flow hedges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3.8 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12.6 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(0.3)</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24.9 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1.1 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bl>
    <w:p w:rsidR="00000000" w:rsidRDefault="00BB5C2D">
      <w:pPr>
        <w:divId w:val="1452893408"/>
        <w:rPr>
          <w:rFonts w:eastAsia="Times New Roman"/>
          <w:vanish/>
        </w:rPr>
      </w:pPr>
    </w:p>
    <w:tbl>
      <w:tblPr>
        <w:tblW w:w="4985" w:type="pct"/>
        <w:tblCellMar>
          <w:top w:w="15" w:type="dxa"/>
          <w:left w:w="15" w:type="dxa"/>
          <w:bottom w:w="15" w:type="dxa"/>
          <w:right w:w="15" w:type="dxa"/>
        </w:tblCellMar>
        <w:tblLook w:val="04A0" w:firstRow="1" w:lastRow="0" w:firstColumn="1" w:lastColumn="0" w:noHBand="0" w:noVBand="1"/>
      </w:tblPr>
      <w:tblGrid>
        <w:gridCol w:w="45"/>
        <w:gridCol w:w="4636"/>
        <w:gridCol w:w="37"/>
        <w:gridCol w:w="36"/>
        <w:gridCol w:w="53"/>
        <w:gridCol w:w="36"/>
        <w:gridCol w:w="100"/>
        <w:gridCol w:w="563"/>
        <w:gridCol w:w="36"/>
        <w:gridCol w:w="36"/>
        <w:gridCol w:w="36"/>
        <w:gridCol w:w="36"/>
        <w:gridCol w:w="101"/>
        <w:gridCol w:w="532"/>
        <w:gridCol w:w="37"/>
        <w:gridCol w:w="36"/>
        <w:gridCol w:w="36"/>
        <w:gridCol w:w="36"/>
        <w:gridCol w:w="101"/>
        <w:gridCol w:w="532"/>
        <w:gridCol w:w="37"/>
        <w:gridCol w:w="36"/>
        <w:gridCol w:w="36"/>
        <w:gridCol w:w="36"/>
        <w:gridCol w:w="60"/>
        <w:gridCol w:w="979"/>
        <w:gridCol w:w="36"/>
      </w:tblGrid>
      <w:tr w:rsidR="00000000">
        <w:trPr>
          <w:divId w:val="1452893408"/>
        </w:trPr>
        <w:tc>
          <w:tcPr>
            <w:tcW w:w="50" w:type="pct"/>
            <w:vAlign w:val="center"/>
            <w:hideMark/>
          </w:tcPr>
          <w:p w:rsidR="00000000" w:rsidRDefault="00BB5C2D">
            <w:pPr>
              <w:jc w:val="center"/>
              <w:rPr>
                <w:rFonts w:eastAsia="Times New Roman"/>
              </w:rPr>
            </w:pPr>
          </w:p>
        </w:tc>
        <w:tc>
          <w:tcPr>
            <w:tcW w:w="281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36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36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36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641"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452893408"/>
          <w:trHeight w:val="420"/>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Gains (Losses) from Net Investment Hedges Recognized in Earnings</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Location of</w:t>
            </w:r>
            <w:r>
              <w:rPr>
                <w:rFonts w:eastAsia="Times New Roman"/>
                <w:b/>
                <w:bCs/>
                <w:color w:val="000000"/>
                <w:sz w:val="16"/>
                <w:szCs w:val="16"/>
              </w:rPr>
              <w:br/>
              <w:t>Gains (Losses) Recognized in Earnings</w:t>
            </w:r>
          </w:p>
        </w:tc>
      </w:tr>
      <w:tr w:rsidR="00000000">
        <w:trPr>
          <w:divId w:val="1452893408"/>
          <w:trHeight w:val="240"/>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vMerge/>
            <w:vAlign w:val="center"/>
            <w:hideMark/>
          </w:tcPr>
          <w:p w:rsidR="00000000" w:rsidRDefault="00BB5C2D">
            <w:pPr>
              <w:spacing w:after="100"/>
              <w:rPr>
                <w:rFonts w:eastAsia="Times New Roman"/>
              </w:rPr>
            </w:pPr>
          </w:p>
        </w:tc>
      </w:tr>
      <w:tr w:rsidR="00000000">
        <w:trPr>
          <w:divId w:val="1452893408"/>
          <w:trHeight w:val="420"/>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vMerge/>
            <w:vAlign w:val="center"/>
            <w:hideMark/>
          </w:tcPr>
          <w:p w:rsidR="00000000" w:rsidRDefault="00BB5C2D">
            <w:pPr>
              <w:spacing w:after="100"/>
              <w:rPr>
                <w:rFonts w:eastAsia="Times New Roman"/>
              </w:rPr>
            </w:pPr>
          </w:p>
        </w:tc>
      </w:tr>
      <w:tr w:rsidR="00000000">
        <w:trPr>
          <w:divId w:val="1452893408"/>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452893408"/>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u w:val="single"/>
              </w:rPr>
              <w:t>Net Investment Hedges: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452893408"/>
        </w:trPr>
        <w:tc>
          <w:tcPr>
            <w:tcW w:w="0" w:type="auto"/>
            <w:gridSpan w:val="3"/>
            <w:tcMar>
              <w:top w:w="30" w:type="dxa"/>
              <w:left w:w="20" w:type="dxa"/>
              <w:bottom w:w="30" w:type="dxa"/>
              <w:right w:w="20" w:type="dxa"/>
            </w:tcMar>
            <w:vAlign w:val="bottom"/>
            <w:hideMark/>
          </w:tcPr>
          <w:p w:rsidR="00000000" w:rsidRDefault="00BB5C2D">
            <w:pPr>
              <w:spacing w:after="100"/>
              <w:ind w:hanging="180"/>
              <w:divId w:val="182399272"/>
              <w:rPr>
                <w:rFonts w:eastAsia="Times New Roman"/>
              </w:rPr>
            </w:pPr>
            <w:r>
              <w:rPr>
                <w:rFonts w:eastAsia="Times New Roman"/>
                <w:color w:val="000000"/>
                <w:sz w:val="16"/>
                <w:szCs w:val="16"/>
              </w:rPr>
              <w:t>Net investment hedges — portion excluded from assessment of hedge effectivenes</w:t>
            </w:r>
            <w:r>
              <w:rPr>
                <w:rFonts w:eastAsia="Times New Roman"/>
                <w:color w:val="000000"/>
                <w:sz w:val="16"/>
                <w:szCs w:val="16"/>
              </w:rPr>
              <w:t>s</w:t>
            </w:r>
            <w:r>
              <w:rPr>
                <w:rFonts w:eastAsia="Times New Roman"/>
                <w:b/>
                <w:bCs/>
                <w:color w:val="000000"/>
                <w:sz w:val="10"/>
                <w:szCs w:val="10"/>
              </w:rPr>
              <w:t>(a</w:t>
            </w:r>
            <w:r>
              <w:rPr>
                <w:rFonts w:eastAsia="Times New Roman"/>
                <w:b/>
                <w:bCs/>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ind w:hanging="18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11.9 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11.3 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19.0 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Interest expense</w:t>
            </w:r>
          </w:p>
        </w:tc>
      </w:tr>
      <w:tr w:rsidR="00000000">
        <w:trPr>
          <w:divId w:val="1452893408"/>
        </w:trPr>
        <w:tc>
          <w:tcPr>
            <w:tcW w:w="0" w:type="auto"/>
            <w:gridSpan w:val="3"/>
            <w:shd w:val="clear" w:color="auto" w:fill="CCEEFF"/>
            <w:tcMar>
              <w:top w:w="30" w:type="dxa"/>
              <w:left w:w="245"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Total Net Investment Hedges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19.0 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BB5C2D">
            <w:pPr>
              <w:rPr>
                <w:rFonts w:eastAsia="Times New Roman"/>
              </w:rPr>
            </w:pPr>
          </w:p>
        </w:tc>
        <w:tc>
          <w:tcPr>
            <w:tcW w:w="494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r>
    </w:tbl>
    <w:p w:rsidR="00000000" w:rsidRDefault="00BB5C2D">
      <w:pPr>
        <w:ind w:hanging="360"/>
        <w:jc w:val="both"/>
        <w:divId w:val="1411777222"/>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Amounts recognized in OCI relating to the effective portion of the Company's net investment hedges would be recognized in earnings only upon the sale or liquidation of the hedged net investment.</w:t>
      </w:r>
    </w:p>
    <w:p w:rsidR="00000000" w:rsidRDefault="00BB5C2D">
      <w:pPr>
        <w:ind w:firstLine="540"/>
        <w:jc w:val="both"/>
        <w:divId w:val="1733384786"/>
        <w:rPr>
          <w:rFonts w:eastAsia="Times New Roman"/>
        </w:rPr>
      </w:pPr>
      <w:r>
        <w:rPr>
          <w:rFonts w:eastAsia="Times New Roman"/>
          <w:color w:val="000000"/>
          <w:sz w:val="20"/>
          <w:szCs w:val="20"/>
          <w:shd w:val="clear" w:color="auto" w:fill="FFFFFF"/>
        </w:rPr>
        <w:t>As of April 2, 2022, it is estimated that $10.0 million of pr</w:t>
      </w:r>
      <w:r>
        <w:rPr>
          <w:rFonts w:eastAsia="Times New Roman"/>
          <w:color w:val="000000"/>
          <w:sz w:val="20"/>
          <w:szCs w:val="20"/>
          <w:shd w:val="clear" w:color="auto" w:fill="FFFFFF"/>
        </w:rPr>
        <w:t>etax n</w:t>
      </w:r>
      <w:r>
        <w:rPr>
          <w:rFonts w:eastAsia="Times New Roman"/>
          <w:color w:val="000000"/>
          <w:sz w:val="20"/>
          <w:szCs w:val="20"/>
        </w:rPr>
        <w:t>et gains on both outstanding and matured derivative instruments designated and qualifying as cash flow hedges deferred in AOCI will be recognized in earnings over the next twelve months. Amounts ultimately recognized in earnings will depend on exchan</w:t>
      </w:r>
      <w:r>
        <w:rPr>
          <w:rFonts w:eastAsia="Times New Roman"/>
          <w:color w:val="000000"/>
          <w:sz w:val="20"/>
          <w:szCs w:val="20"/>
        </w:rPr>
        <w:t>ge rates in effect when outstanding derivative instruments are settled.</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2041085720"/>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2041085720"/>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F-39</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51" style="width:0;height:1.5pt" o:hralign="center" o:hrstd="t" o:hr="t" fillcolor="#a0a0a0" stroked="f"/>
        </w:pict>
      </w:r>
    </w:p>
    <w:p w:rsidR="00000000" w:rsidRDefault="00BB5C2D">
      <w:pPr>
        <w:jc w:val="center"/>
        <w:divId w:val="1292980152"/>
        <w:rPr>
          <w:rFonts w:eastAsia="Times New Roman"/>
        </w:rPr>
      </w:pPr>
    </w:p>
    <w:p w:rsidR="00000000" w:rsidRDefault="00BB5C2D">
      <w:pPr>
        <w:jc w:val="center"/>
        <w:divId w:val="1292980152"/>
        <w:rPr>
          <w:rFonts w:eastAsia="Times New Roman"/>
        </w:rPr>
      </w:pPr>
      <w:r>
        <w:rPr>
          <w:rFonts w:eastAsia="Times New Roman"/>
          <w:b/>
          <w:bCs/>
          <w:color w:val="000000"/>
          <w:sz w:val="20"/>
          <w:szCs w:val="20"/>
        </w:rPr>
        <w:t>RALPH LAUREN CORPORATION</w:t>
      </w:r>
    </w:p>
    <w:p w:rsidR="00000000" w:rsidRDefault="00BB5C2D">
      <w:pPr>
        <w:jc w:val="center"/>
        <w:divId w:val="49234410"/>
        <w:rPr>
          <w:rFonts w:eastAsia="Times New Roman"/>
        </w:rPr>
      </w:pPr>
      <w:r>
        <w:rPr>
          <w:rFonts w:eastAsia="Times New Roman"/>
          <w:b/>
          <w:bCs/>
          <w:color w:val="000000"/>
          <w:sz w:val="20"/>
          <w:szCs w:val="20"/>
        </w:rPr>
        <w:t>NOTES TO CONSOLIDATED FINANCIAL STATEMENTS (Continued)</w:t>
      </w:r>
    </w:p>
    <w:p w:rsidR="00000000" w:rsidRDefault="00BB5C2D">
      <w:pPr>
        <w:ind w:firstLine="540"/>
        <w:jc w:val="both"/>
        <w:divId w:val="1831368462"/>
        <w:rPr>
          <w:rFonts w:eastAsia="Times New Roman"/>
        </w:rPr>
      </w:pPr>
      <w:r>
        <w:rPr>
          <w:rFonts w:eastAsia="Times New Roman"/>
          <w:color w:val="000000"/>
          <w:sz w:val="20"/>
          <w:szCs w:val="20"/>
        </w:rPr>
        <w:t>The following table summarizes the pretax impact of gains and losses from the Company's undesignated derivative instruments on its consoli</w:t>
      </w:r>
      <w:r>
        <w:rPr>
          <w:rFonts w:eastAsia="Times New Roman"/>
          <w:color w:val="000000"/>
          <w:sz w:val="20"/>
          <w:szCs w:val="20"/>
        </w:rPr>
        <w:t>dated financial statements for the fiscal years presented:</w:t>
      </w:r>
    </w:p>
    <w:tbl>
      <w:tblPr>
        <w:tblW w:w="4978" w:type="pct"/>
        <w:tblCellMar>
          <w:top w:w="15" w:type="dxa"/>
          <w:left w:w="15" w:type="dxa"/>
          <w:bottom w:w="15" w:type="dxa"/>
          <w:right w:w="15" w:type="dxa"/>
        </w:tblCellMar>
        <w:tblLook w:val="04A0" w:firstRow="1" w:lastRow="0" w:firstColumn="1" w:lastColumn="0" w:noHBand="0" w:noVBand="1"/>
      </w:tblPr>
      <w:tblGrid>
        <w:gridCol w:w="45"/>
        <w:gridCol w:w="4209"/>
        <w:gridCol w:w="38"/>
        <w:gridCol w:w="36"/>
        <w:gridCol w:w="55"/>
        <w:gridCol w:w="36"/>
        <w:gridCol w:w="101"/>
        <w:gridCol w:w="562"/>
        <w:gridCol w:w="37"/>
        <w:gridCol w:w="36"/>
        <w:gridCol w:w="36"/>
        <w:gridCol w:w="36"/>
        <w:gridCol w:w="101"/>
        <w:gridCol w:w="531"/>
        <w:gridCol w:w="36"/>
        <w:gridCol w:w="36"/>
        <w:gridCol w:w="36"/>
        <w:gridCol w:w="36"/>
        <w:gridCol w:w="101"/>
        <w:gridCol w:w="531"/>
        <w:gridCol w:w="37"/>
        <w:gridCol w:w="36"/>
        <w:gridCol w:w="36"/>
        <w:gridCol w:w="36"/>
        <w:gridCol w:w="44"/>
        <w:gridCol w:w="1409"/>
        <w:gridCol w:w="36"/>
      </w:tblGrid>
      <w:tr w:rsidR="00000000">
        <w:trPr>
          <w:divId w:val="1043791918"/>
        </w:trPr>
        <w:tc>
          <w:tcPr>
            <w:tcW w:w="50" w:type="pct"/>
            <w:vAlign w:val="center"/>
            <w:hideMark/>
          </w:tcPr>
          <w:p w:rsidR="00000000" w:rsidRDefault="00BB5C2D">
            <w:pPr>
              <w:ind w:firstLine="540"/>
              <w:jc w:val="both"/>
              <w:rPr>
                <w:rFonts w:eastAsia="Times New Roman"/>
              </w:rPr>
            </w:pPr>
          </w:p>
        </w:tc>
        <w:tc>
          <w:tcPr>
            <w:tcW w:w="256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363"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363"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363"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89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043791918"/>
          <w:trHeight w:val="420"/>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Gains (Losses)</w:t>
            </w:r>
            <w:r>
              <w:rPr>
                <w:rFonts w:eastAsia="Times New Roman"/>
                <w:b/>
                <w:bCs/>
                <w:color w:val="000000"/>
                <w:sz w:val="16"/>
                <w:szCs w:val="16"/>
              </w:rPr>
              <w:br/>
              <w:t>Recognized in Earnings</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Location of</w:t>
            </w:r>
            <w:r>
              <w:rPr>
                <w:rFonts w:eastAsia="Times New Roman"/>
                <w:b/>
                <w:bCs/>
                <w:color w:val="000000"/>
                <w:sz w:val="16"/>
                <w:szCs w:val="16"/>
              </w:rPr>
              <w:br/>
              <w:t>Gains (Losses)</w:t>
            </w:r>
            <w:r>
              <w:rPr>
                <w:rFonts w:eastAsia="Times New Roman"/>
                <w:b/>
                <w:bCs/>
                <w:color w:val="000000"/>
                <w:sz w:val="16"/>
                <w:szCs w:val="16"/>
              </w:rPr>
              <w:br/>
              <w:t>Recognized</w:t>
            </w:r>
            <w:r>
              <w:rPr>
                <w:rFonts w:eastAsia="Times New Roman"/>
                <w:b/>
                <w:bCs/>
                <w:color w:val="000000"/>
                <w:sz w:val="16"/>
                <w:szCs w:val="16"/>
              </w:rPr>
              <w:br/>
              <w:t>in Earnings</w:t>
            </w:r>
          </w:p>
        </w:tc>
      </w:tr>
      <w:tr w:rsidR="00000000">
        <w:trPr>
          <w:divId w:val="1043791918"/>
          <w:trHeight w:val="240"/>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vMerge/>
            <w:vAlign w:val="center"/>
            <w:hideMark/>
          </w:tcPr>
          <w:p w:rsidR="00000000" w:rsidRDefault="00BB5C2D">
            <w:pPr>
              <w:spacing w:after="100"/>
              <w:rPr>
                <w:rFonts w:eastAsia="Times New Roman"/>
              </w:rPr>
            </w:pPr>
          </w:p>
        </w:tc>
      </w:tr>
      <w:tr w:rsidR="00000000">
        <w:trPr>
          <w:divId w:val="1043791918"/>
          <w:trHeight w:val="420"/>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vMerge/>
            <w:vAlign w:val="center"/>
            <w:hideMark/>
          </w:tcPr>
          <w:p w:rsidR="00000000" w:rsidRDefault="00BB5C2D">
            <w:pPr>
              <w:spacing w:after="100"/>
              <w:rPr>
                <w:rFonts w:eastAsia="Times New Roman"/>
              </w:rPr>
            </w:pPr>
          </w:p>
        </w:tc>
      </w:tr>
      <w:tr w:rsidR="00000000">
        <w:trPr>
          <w:divId w:val="1043791918"/>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r>
      <w:tr w:rsidR="00000000">
        <w:trPr>
          <w:divId w:val="1043791918"/>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u w:val="single"/>
              </w:rPr>
              <w:t>Undesignated Hedges: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043791918"/>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FC — Undesignated hedges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6.9 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(0.8)</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16.0 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Other income (expense), net</w:t>
            </w:r>
          </w:p>
        </w:tc>
      </w:tr>
      <w:tr w:rsidR="00000000">
        <w:trPr>
          <w:divId w:val="1043791918"/>
        </w:trPr>
        <w:tc>
          <w:tcPr>
            <w:tcW w:w="0" w:type="auto"/>
            <w:gridSpan w:val="3"/>
            <w:shd w:val="clear" w:color="auto" w:fill="CCEEFF"/>
            <w:tcMar>
              <w:top w:w="30" w:type="dxa"/>
              <w:left w:w="245"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Total Undesignated Hedges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(0.8)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6"/>
                <w:szCs w:val="16"/>
              </w:rPr>
              <w:t>16.0 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bl>
    <w:p w:rsidR="00000000" w:rsidRDefault="00BB5C2D">
      <w:pPr>
        <w:ind w:firstLine="360"/>
        <w:jc w:val="both"/>
        <w:divId w:val="2033189922"/>
        <w:rPr>
          <w:rFonts w:eastAsia="Times New Roman"/>
        </w:rPr>
      </w:pPr>
      <w:r>
        <w:rPr>
          <w:rFonts w:eastAsia="Times New Roman"/>
          <w:b/>
          <w:bCs/>
          <w:i/>
          <w:iCs/>
          <w:color w:val="000000"/>
          <w:sz w:val="20"/>
          <w:szCs w:val="20"/>
        </w:rPr>
        <w:t>Risk Management Strategies</w:t>
      </w:r>
    </w:p>
    <w:p w:rsidR="00000000" w:rsidRDefault="00BB5C2D">
      <w:pPr>
        <w:ind w:firstLine="360"/>
        <w:jc w:val="both"/>
        <w:divId w:val="155650883"/>
        <w:rPr>
          <w:rFonts w:eastAsia="Times New Roman"/>
        </w:rPr>
      </w:pPr>
      <w:r>
        <w:rPr>
          <w:rFonts w:eastAsia="Times New Roman"/>
          <w:i/>
          <w:iCs/>
          <w:color w:val="000000"/>
          <w:sz w:val="20"/>
          <w:szCs w:val="20"/>
        </w:rPr>
        <w:t>Forwar</w:t>
      </w:r>
      <w:r>
        <w:rPr>
          <w:rFonts w:eastAsia="Times New Roman"/>
          <w:i/>
          <w:iCs/>
          <w:color w:val="000000"/>
          <w:sz w:val="20"/>
          <w:szCs w:val="20"/>
        </w:rPr>
        <w:t>d Foreign Currency Exchange Contracts</w:t>
      </w:r>
    </w:p>
    <w:p w:rsidR="00000000" w:rsidRDefault="00BB5C2D">
      <w:pPr>
        <w:ind w:firstLine="540"/>
        <w:jc w:val="both"/>
        <w:divId w:val="388501047"/>
        <w:rPr>
          <w:rFonts w:eastAsia="Times New Roman"/>
        </w:rPr>
      </w:pPr>
      <w:r>
        <w:rPr>
          <w:rFonts w:eastAsia="Times New Roman"/>
          <w:color w:val="000000"/>
          <w:sz w:val="20"/>
          <w:szCs w:val="20"/>
        </w:rPr>
        <w:t>The Company uses forward foreign currency exchange contracts to mitigate its risk related to exchange rate fluctuations on inventory transactions made in an entity's non-functional currency, the settlement of foreign c</w:t>
      </w:r>
      <w:r>
        <w:rPr>
          <w:rFonts w:eastAsia="Times New Roman"/>
          <w:color w:val="000000"/>
          <w:sz w:val="20"/>
          <w:szCs w:val="20"/>
        </w:rPr>
        <w:t xml:space="preserve">urrency-denominated balances, and the translation of certain foreign operations' net assets into U.S. dollars. As part of its overall strategy for managing the level of exposure to such exchange rate risk, relating primarily to the Euro, the Japanese Yen, </w:t>
      </w:r>
      <w:r>
        <w:rPr>
          <w:rFonts w:eastAsia="Times New Roman"/>
          <w:color w:val="000000"/>
          <w:sz w:val="20"/>
          <w:szCs w:val="20"/>
        </w:rPr>
        <w:t>the South Korean Won, the Australian Dollar, the Canadian Dollar, the British Pound Sterling, the Swiss Franc, and the Chinese Renminbi, the Company generally hedges a portion of its related exposures anticipated over the next twelve months using forward f</w:t>
      </w:r>
      <w:r>
        <w:rPr>
          <w:rFonts w:eastAsia="Times New Roman"/>
          <w:color w:val="000000"/>
          <w:sz w:val="20"/>
          <w:szCs w:val="20"/>
        </w:rPr>
        <w:t>oreign currency exchange contracts with maturities of two months to one year to provide continuing coverage over the period of the respective exposure.</w:t>
      </w:r>
    </w:p>
    <w:p w:rsidR="00000000" w:rsidRDefault="00BB5C2D">
      <w:pPr>
        <w:ind w:firstLine="360"/>
        <w:jc w:val="both"/>
        <w:divId w:val="1464889210"/>
        <w:rPr>
          <w:rFonts w:eastAsia="Times New Roman"/>
        </w:rPr>
      </w:pPr>
      <w:r>
        <w:rPr>
          <w:rFonts w:eastAsia="Times New Roman"/>
          <w:i/>
          <w:iCs/>
          <w:color w:val="000000"/>
          <w:sz w:val="20"/>
          <w:szCs w:val="20"/>
        </w:rPr>
        <w:t>Cross-Currency Swap Contracts</w:t>
      </w:r>
    </w:p>
    <w:p w:rsidR="00000000" w:rsidRDefault="00BB5C2D">
      <w:pPr>
        <w:ind w:firstLine="540"/>
        <w:jc w:val="both"/>
        <w:divId w:val="1002664070"/>
        <w:rPr>
          <w:rFonts w:eastAsia="Times New Roman"/>
        </w:rPr>
      </w:pPr>
      <w:r>
        <w:rPr>
          <w:rFonts w:eastAsia="Times New Roman"/>
          <w:color w:val="000000"/>
          <w:sz w:val="20"/>
          <w:szCs w:val="20"/>
        </w:rPr>
        <w:t>The Company periodically designates pay-fixed rate, receive fixed-rate cro</w:t>
      </w:r>
      <w:r>
        <w:rPr>
          <w:rFonts w:eastAsia="Times New Roman"/>
          <w:color w:val="000000"/>
          <w:sz w:val="20"/>
          <w:szCs w:val="20"/>
        </w:rPr>
        <w:t xml:space="preserve">ss-currency swap contracts as hedges of its net investment in certain of its European subsidiaries. </w:t>
      </w:r>
    </w:p>
    <w:p w:rsidR="00000000" w:rsidRDefault="00BB5C2D">
      <w:pPr>
        <w:ind w:firstLine="540"/>
        <w:jc w:val="both"/>
        <w:divId w:val="1886983323"/>
        <w:rPr>
          <w:rFonts w:eastAsia="Times New Roman"/>
        </w:rPr>
      </w:pPr>
      <w:r>
        <w:rPr>
          <w:rFonts w:eastAsia="Times New Roman"/>
          <w:color w:val="000000"/>
          <w:sz w:val="20"/>
          <w:szCs w:val="20"/>
        </w:rPr>
        <w:t>The Company's pay-fixed rate, receive-fixed rate cross-currency swap contracts swap U.S. Dollar-denominated fixed interest rate payments based on the contr</w:t>
      </w:r>
      <w:r>
        <w:rPr>
          <w:rFonts w:eastAsia="Times New Roman"/>
          <w:color w:val="000000"/>
          <w:sz w:val="20"/>
          <w:szCs w:val="20"/>
        </w:rPr>
        <w:t>act's notional amount and the fixed rate of interest payable on certain of the Company's senior notes for Euro-denominated fixed interest rate payments, thereby economically converting a portion of its fixed-rate U.S. Dollar-denominated senior note obligat</w:t>
      </w:r>
      <w:r>
        <w:rPr>
          <w:rFonts w:eastAsia="Times New Roman"/>
          <w:color w:val="000000"/>
          <w:sz w:val="20"/>
          <w:szCs w:val="20"/>
        </w:rPr>
        <w:t>ions to fixed-rate Euro-denominated obligations.</w:t>
      </w:r>
    </w:p>
    <w:p w:rsidR="00000000" w:rsidRDefault="00BB5C2D">
      <w:pPr>
        <w:ind w:firstLine="540"/>
        <w:jc w:val="both"/>
        <w:divId w:val="483593652"/>
        <w:rPr>
          <w:rFonts w:eastAsia="Times New Roman"/>
        </w:rPr>
      </w:pPr>
      <w:r>
        <w:rPr>
          <w:rFonts w:eastAsia="Times New Roman"/>
          <w:color w:val="000000"/>
          <w:sz w:val="20"/>
          <w:szCs w:val="20"/>
        </w:rPr>
        <w:t>See Note 3 for further discussion of the Company's accounting policies relating to its derivative financial instruments.</w:t>
      </w:r>
    </w:p>
    <w:p w:rsidR="00000000" w:rsidRDefault="00BB5C2D">
      <w:pPr>
        <w:ind w:firstLine="360"/>
        <w:jc w:val="both"/>
        <w:divId w:val="884409545"/>
        <w:rPr>
          <w:rFonts w:eastAsia="Times New Roman"/>
        </w:rPr>
      </w:pPr>
      <w:r>
        <w:rPr>
          <w:rFonts w:eastAsia="Times New Roman"/>
          <w:b/>
          <w:bCs/>
          <w:i/>
          <w:iCs/>
          <w:color w:val="000000"/>
          <w:sz w:val="20"/>
          <w:szCs w:val="20"/>
        </w:rPr>
        <w:t>Investments</w:t>
      </w:r>
    </w:p>
    <w:p w:rsidR="00000000" w:rsidRDefault="00BB5C2D">
      <w:pPr>
        <w:ind w:firstLine="540"/>
        <w:jc w:val="both"/>
        <w:divId w:val="307705190"/>
        <w:rPr>
          <w:rFonts w:eastAsia="Times New Roman"/>
        </w:rPr>
      </w:pPr>
      <w:r>
        <w:rPr>
          <w:rFonts w:eastAsia="Times New Roman"/>
          <w:color w:val="000000"/>
          <w:sz w:val="20"/>
          <w:szCs w:val="20"/>
        </w:rPr>
        <w:t>The Company's short-term investments as of April 2, 2022 and March 27, 2021, were $734.6 million and $197.5 million, respectively, and consisted of time deposits.</w:t>
      </w:r>
    </w:p>
    <w:p w:rsidR="00000000" w:rsidRDefault="00BB5C2D">
      <w:pPr>
        <w:ind w:firstLine="540"/>
        <w:jc w:val="both"/>
        <w:divId w:val="719209634"/>
        <w:rPr>
          <w:rFonts w:eastAsia="Times New Roman"/>
        </w:rPr>
      </w:pPr>
      <w:r>
        <w:rPr>
          <w:rFonts w:eastAsia="Times New Roman"/>
          <w:color w:val="000000"/>
          <w:sz w:val="20"/>
          <w:szCs w:val="20"/>
        </w:rPr>
        <w:t>No significant realized or unrealized gains or losses on available-for-sale investments or im</w:t>
      </w:r>
      <w:r>
        <w:rPr>
          <w:rFonts w:eastAsia="Times New Roman"/>
          <w:color w:val="000000"/>
          <w:sz w:val="20"/>
          <w:szCs w:val="20"/>
        </w:rPr>
        <w:t>pairment charges were recorded during any of the fiscal years presented.</w:t>
      </w:r>
    </w:p>
    <w:p w:rsidR="00000000" w:rsidRDefault="00BB5C2D">
      <w:pPr>
        <w:ind w:firstLine="540"/>
        <w:jc w:val="both"/>
        <w:divId w:val="334069741"/>
        <w:rPr>
          <w:rFonts w:eastAsia="Times New Roman"/>
        </w:rPr>
      </w:pPr>
      <w:r>
        <w:rPr>
          <w:rFonts w:eastAsia="Times New Roman"/>
          <w:color w:val="000000"/>
          <w:sz w:val="20"/>
          <w:szCs w:val="20"/>
        </w:rPr>
        <w:t>Refer to Note 3 for further discussion of the Company's accounting policies relating to its investments.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777717076"/>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777717076"/>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F-40</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52" style="width:0;height:1.5pt" o:hralign="center" o:hrstd="t" o:hr="t" fillcolor="#a0a0a0" stroked="f"/>
        </w:pict>
      </w:r>
    </w:p>
    <w:p w:rsidR="00000000" w:rsidRDefault="00BB5C2D">
      <w:pPr>
        <w:jc w:val="center"/>
        <w:divId w:val="1966963123"/>
        <w:rPr>
          <w:rFonts w:eastAsia="Times New Roman"/>
        </w:rPr>
      </w:pPr>
    </w:p>
    <w:p w:rsidR="00000000" w:rsidRDefault="00BB5C2D">
      <w:pPr>
        <w:jc w:val="center"/>
        <w:divId w:val="1966963123"/>
        <w:rPr>
          <w:rFonts w:eastAsia="Times New Roman"/>
        </w:rPr>
      </w:pPr>
      <w:r>
        <w:rPr>
          <w:rFonts w:eastAsia="Times New Roman"/>
          <w:b/>
          <w:bCs/>
          <w:color w:val="000000"/>
          <w:sz w:val="20"/>
          <w:szCs w:val="20"/>
        </w:rPr>
        <w:t>RALPH LAUREN CORPORATION</w:t>
      </w:r>
    </w:p>
    <w:p w:rsidR="00000000" w:rsidRDefault="00BB5C2D">
      <w:pPr>
        <w:jc w:val="center"/>
        <w:divId w:val="1702508394"/>
        <w:rPr>
          <w:rFonts w:eastAsia="Times New Roman"/>
        </w:rPr>
      </w:pPr>
      <w:r>
        <w:rPr>
          <w:rFonts w:eastAsia="Times New Roman"/>
          <w:b/>
          <w:bCs/>
          <w:color w:val="000000"/>
          <w:sz w:val="20"/>
          <w:szCs w:val="20"/>
        </w:rPr>
        <w:t>NOTES TO CONSOLIDATED FINANCIAL STATEMENTS (Continued)</w:t>
      </w:r>
    </w:p>
    <w:p w:rsidR="00000000" w:rsidRDefault="00BB5C2D">
      <w:pPr>
        <w:ind w:hanging="540"/>
        <w:divId w:val="1821456044"/>
        <w:rPr>
          <w:rFonts w:eastAsia="Times New Roman"/>
        </w:rPr>
      </w:pPr>
      <w:r>
        <w:rPr>
          <w:rFonts w:eastAsia="Times New Roman"/>
          <w:b/>
          <w:bCs/>
          <w:color w:val="000000"/>
          <w:sz w:val="20"/>
          <w:szCs w:val="20"/>
        </w:rPr>
        <w:t>14.    Leases</w:t>
      </w:r>
    </w:p>
    <w:p w:rsidR="00000000" w:rsidRDefault="00BB5C2D">
      <w:pPr>
        <w:ind w:firstLine="540"/>
        <w:jc w:val="both"/>
        <w:divId w:val="158430127"/>
        <w:rPr>
          <w:rFonts w:eastAsia="Times New Roman"/>
        </w:rPr>
      </w:pPr>
      <w:r>
        <w:rPr>
          <w:rFonts w:eastAsia="Times New Roman"/>
          <w:color w:val="000000"/>
          <w:sz w:val="20"/>
          <w:szCs w:val="20"/>
        </w:rPr>
        <w:t>The following table summarizes ROU assets and lease liabilities recorded on the consolidated balance sheet:</w:t>
      </w:r>
    </w:p>
    <w:tbl>
      <w:tblPr>
        <w:tblW w:w="4692" w:type="pct"/>
        <w:tblCellMar>
          <w:top w:w="15" w:type="dxa"/>
          <w:left w:w="15" w:type="dxa"/>
          <w:bottom w:w="15" w:type="dxa"/>
          <w:right w:w="15" w:type="dxa"/>
        </w:tblCellMar>
        <w:tblLook w:val="04A0" w:firstRow="1" w:lastRow="0" w:firstColumn="1" w:lastColumn="0" w:noHBand="0" w:noVBand="1"/>
      </w:tblPr>
      <w:tblGrid>
        <w:gridCol w:w="40"/>
        <w:gridCol w:w="2396"/>
        <w:gridCol w:w="38"/>
        <w:gridCol w:w="36"/>
        <w:gridCol w:w="76"/>
        <w:gridCol w:w="36"/>
        <w:gridCol w:w="120"/>
        <w:gridCol w:w="844"/>
        <w:gridCol w:w="36"/>
        <w:gridCol w:w="36"/>
        <w:gridCol w:w="36"/>
        <w:gridCol w:w="36"/>
        <w:gridCol w:w="120"/>
        <w:gridCol w:w="811"/>
        <w:gridCol w:w="36"/>
        <w:gridCol w:w="36"/>
        <w:gridCol w:w="36"/>
        <w:gridCol w:w="36"/>
        <w:gridCol w:w="39"/>
        <w:gridCol w:w="2912"/>
        <w:gridCol w:w="38"/>
      </w:tblGrid>
      <w:tr w:rsidR="00000000">
        <w:trPr>
          <w:divId w:val="443038030"/>
        </w:trPr>
        <w:tc>
          <w:tcPr>
            <w:tcW w:w="50" w:type="pct"/>
            <w:vAlign w:val="center"/>
            <w:hideMark/>
          </w:tcPr>
          <w:p w:rsidR="00000000" w:rsidRDefault="00BB5C2D">
            <w:pPr>
              <w:ind w:firstLine="540"/>
              <w:jc w:val="both"/>
              <w:rPr>
                <w:rFonts w:eastAsia="Times New Roman"/>
              </w:rPr>
            </w:pPr>
          </w:p>
        </w:tc>
        <w:tc>
          <w:tcPr>
            <w:tcW w:w="156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7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6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6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91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443038030"/>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Location Recorded on Balance Sheet</w:t>
            </w:r>
          </w:p>
        </w:tc>
      </w:tr>
      <w:tr w:rsidR="00000000">
        <w:trPr>
          <w:divId w:val="443038030"/>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443038030"/>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b/>
                <w:bCs/>
                <w:color w:val="000000"/>
                <w:sz w:val="20"/>
                <w:szCs w:val="20"/>
              </w:rPr>
              <w:t>Assets: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443038030"/>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Operating leases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1,111.3 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1,239.5 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Operating lease right-of-use assets</w:t>
            </w:r>
          </w:p>
        </w:tc>
      </w:tr>
      <w:tr w:rsidR="00000000">
        <w:trPr>
          <w:divId w:val="443038030"/>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Finance lease</w:t>
            </w:r>
            <w:r>
              <w:rPr>
                <w:rFonts w:eastAsia="Times New Roman"/>
                <w:color w:val="000000"/>
                <w:sz w:val="20"/>
                <w:szCs w:val="20"/>
              </w:rPr>
              <w:t>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299.4 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331.6 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Property and equipment, net</w:t>
            </w:r>
          </w:p>
        </w:tc>
      </w:tr>
      <w:tr w:rsidR="00000000">
        <w:trPr>
          <w:divId w:val="443038030"/>
        </w:trPr>
        <w:tc>
          <w:tcPr>
            <w:tcW w:w="0" w:type="auto"/>
            <w:gridSpan w:val="3"/>
            <w:shd w:val="clear" w:color="auto" w:fill="CCEEFF"/>
            <w:tcMar>
              <w:top w:w="30" w:type="dxa"/>
              <w:left w:w="24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lease assets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1,410.7 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1,571.1 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443038030"/>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443038030"/>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divId w:val="844979177"/>
              <w:rPr>
                <w:rFonts w:eastAsia="Times New Roman"/>
              </w:rPr>
            </w:pPr>
            <w:r>
              <w:rPr>
                <w:rFonts w:eastAsia="Times New Roman"/>
                <w:color w:val="000000"/>
                <w:sz w:val="20"/>
                <w:szCs w:val="20"/>
                <w:u w:val="single"/>
              </w:rPr>
              <w:t>Operating leases</w:t>
            </w: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443038030"/>
        </w:trPr>
        <w:tc>
          <w:tcPr>
            <w:tcW w:w="0" w:type="auto"/>
            <w:gridSpan w:val="3"/>
            <w:shd w:val="clear" w:color="auto" w:fill="FFFFFF"/>
            <w:tcMar>
              <w:top w:w="30" w:type="dxa"/>
              <w:left w:w="24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Current portion</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262.0 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302.9 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Current operating lease liabilities</w:t>
            </w:r>
          </w:p>
        </w:tc>
      </w:tr>
      <w:tr w:rsidR="00000000">
        <w:trPr>
          <w:divId w:val="443038030"/>
        </w:trPr>
        <w:tc>
          <w:tcPr>
            <w:tcW w:w="0" w:type="auto"/>
            <w:gridSpan w:val="3"/>
            <w:shd w:val="clear" w:color="auto" w:fill="CCEEFF"/>
            <w:tcMar>
              <w:top w:w="30" w:type="dxa"/>
              <w:left w:w="24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Non-current portion</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1,132.2 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1,294.5 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divId w:val="563685428"/>
              <w:rPr>
                <w:rFonts w:eastAsia="Times New Roman"/>
              </w:rPr>
            </w:pPr>
            <w:r>
              <w:rPr>
                <w:rFonts w:eastAsia="Times New Roman"/>
                <w:color w:val="000000"/>
                <w:sz w:val="20"/>
                <w:szCs w:val="20"/>
              </w:rPr>
              <w:t xml:space="preserve">Long-term </w:t>
            </w:r>
            <w:r>
              <w:rPr>
                <w:rFonts w:eastAsia="Times New Roman"/>
                <w:color w:val="000000"/>
                <w:sz w:val="19"/>
                <w:szCs w:val="19"/>
              </w:rPr>
              <w:t>operating lease liabilities</w:t>
            </w:r>
          </w:p>
        </w:tc>
      </w:tr>
      <w:tr w:rsidR="00000000">
        <w:trPr>
          <w:divId w:val="443038030"/>
        </w:trPr>
        <w:tc>
          <w:tcPr>
            <w:tcW w:w="0" w:type="auto"/>
            <w:gridSpan w:val="3"/>
            <w:shd w:val="clear" w:color="auto" w:fill="FFFFFF"/>
            <w:tcMar>
              <w:top w:w="30" w:type="dxa"/>
              <w:left w:w="38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operating lease liabilities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1,394.2 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1,597.4 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443038030"/>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divId w:val="1664308426"/>
              <w:rPr>
                <w:rFonts w:eastAsia="Times New Roman"/>
              </w:rPr>
            </w:pPr>
            <w:r>
              <w:rPr>
                <w:rFonts w:eastAsia="Times New Roman"/>
                <w:color w:val="000000"/>
                <w:sz w:val="20"/>
                <w:szCs w:val="20"/>
                <w:u w:val="single"/>
              </w:rPr>
              <w:t>Finance leases</w:t>
            </w: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443038030"/>
        </w:trPr>
        <w:tc>
          <w:tcPr>
            <w:tcW w:w="0" w:type="auto"/>
            <w:gridSpan w:val="3"/>
            <w:shd w:val="clear" w:color="auto" w:fill="FFFFFF"/>
            <w:tcMar>
              <w:top w:w="30" w:type="dxa"/>
              <w:left w:w="24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Current portio</w:t>
            </w:r>
            <w:r>
              <w:rPr>
                <w:rFonts w:eastAsia="Times New Roman"/>
                <w:color w:val="000000"/>
                <w:sz w:val="20"/>
                <w:szCs w:val="20"/>
              </w:rPr>
              <w:t>n</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19.8 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19.7 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Accrued expenses and other current liabilities</w:t>
            </w:r>
          </w:p>
        </w:tc>
      </w:tr>
      <w:tr w:rsidR="00000000">
        <w:trPr>
          <w:divId w:val="443038030"/>
        </w:trPr>
        <w:tc>
          <w:tcPr>
            <w:tcW w:w="0" w:type="auto"/>
            <w:gridSpan w:val="3"/>
            <w:shd w:val="clear" w:color="auto" w:fill="CCEEFF"/>
            <w:tcMar>
              <w:top w:w="30" w:type="dxa"/>
              <w:left w:w="24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Non-current portion</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341.6 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370.5 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Long-term finance lease liabilities</w:t>
            </w:r>
          </w:p>
        </w:tc>
      </w:tr>
      <w:tr w:rsidR="00000000">
        <w:trPr>
          <w:divId w:val="443038030"/>
        </w:trPr>
        <w:tc>
          <w:tcPr>
            <w:tcW w:w="0" w:type="auto"/>
            <w:gridSpan w:val="3"/>
            <w:shd w:val="clear" w:color="auto" w:fill="FFFFFF"/>
            <w:tcMar>
              <w:top w:w="30" w:type="dxa"/>
              <w:left w:w="38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finance lease liabilities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361.4 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390.2 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443038030"/>
        </w:trPr>
        <w:tc>
          <w:tcPr>
            <w:tcW w:w="0" w:type="auto"/>
            <w:gridSpan w:val="3"/>
            <w:shd w:val="clear" w:color="auto" w:fill="CCEEFF"/>
            <w:tcMar>
              <w:top w:w="30" w:type="dxa"/>
              <w:left w:w="51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lease liabilities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1,755.6 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1,987.6 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bl>
    <w:p w:rsidR="00000000" w:rsidRDefault="00BB5C2D">
      <w:pPr>
        <w:ind w:firstLine="540"/>
        <w:jc w:val="both"/>
        <w:divId w:val="2041858726"/>
        <w:rPr>
          <w:rFonts w:eastAsia="Times New Roman"/>
        </w:rPr>
      </w:pPr>
      <w:r>
        <w:rPr>
          <w:rFonts w:eastAsia="Times New Roman"/>
          <w:color w:val="000000"/>
          <w:sz w:val="20"/>
          <w:szCs w:val="20"/>
        </w:rPr>
        <w:t>The following table summarizes the composition of total lease cost during the fiscal periods presented:</w:t>
      </w:r>
    </w:p>
    <w:tbl>
      <w:tblPr>
        <w:tblW w:w="4722" w:type="pct"/>
        <w:tblCellMar>
          <w:top w:w="15" w:type="dxa"/>
          <w:left w:w="15" w:type="dxa"/>
          <w:bottom w:w="15" w:type="dxa"/>
          <w:right w:w="15" w:type="dxa"/>
        </w:tblCellMar>
        <w:tblLook w:val="04A0" w:firstRow="1" w:lastRow="0" w:firstColumn="1" w:lastColumn="0" w:noHBand="0" w:noVBand="1"/>
      </w:tblPr>
      <w:tblGrid>
        <w:gridCol w:w="44"/>
        <w:gridCol w:w="2045"/>
        <w:gridCol w:w="37"/>
        <w:gridCol w:w="36"/>
        <w:gridCol w:w="73"/>
        <w:gridCol w:w="36"/>
        <w:gridCol w:w="120"/>
        <w:gridCol w:w="840"/>
        <w:gridCol w:w="36"/>
        <w:gridCol w:w="36"/>
        <w:gridCol w:w="36"/>
        <w:gridCol w:w="36"/>
        <w:gridCol w:w="120"/>
        <w:gridCol w:w="803"/>
        <w:gridCol w:w="36"/>
        <w:gridCol w:w="36"/>
        <w:gridCol w:w="36"/>
        <w:gridCol w:w="36"/>
        <w:gridCol w:w="120"/>
        <w:gridCol w:w="803"/>
        <w:gridCol w:w="36"/>
        <w:gridCol w:w="36"/>
        <w:gridCol w:w="36"/>
        <w:gridCol w:w="36"/>
        <w:gridCol w:w="39"/>
        <w:gridCol w:w="2258"/>
        <w:gridCol w:w="38"/>
      </w:tblGrid>
      <w:tr w:rsidR="00000000">
        <w:trPr>
          <w:divId w:val="398794429"/>
        </w:trPr>
        <w:tc>
          <w:tcPr>
            <w:tcW w:w="50" w:type="pct"/>
            <w:vAlign w:val="center"/>
            <w:hideMark/>
          </w:tcPr>
          <w:p w:rsidR="00000000" w:rsidRDefault="00BB5C2D">
            <w:pPr>
              <w:ind w:firstLine="540"/>
              <w:jc w:val="both"/>
              <w:rPr>
                <w:rFonts w:eastAsia="Times New Roman"/>
              </w:rPr>
            </w:pPr>
          </w:p>
        </w:tc>
        <w:tc>
          <w:tcPr>
            <w:tcW w:w="133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7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6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6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6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93"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398794429"/>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398794429"/>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Location Recorded in Earnings</w:t>
            </w:r>
          </w:p>
        </w:tc>
      </w:tr>
      <w:tr w:rsidR="00000000">
        <w:trPr>
          <w:divId w:val="398794429"/>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398794429"/>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Operating lease cost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300.2 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323.5 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322.0 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divId w:val="1675454018"/>
              <w:rPr>
                <w:rFonts w:eastAsia="Times New Roman"/>
              </w:rPr>
            </w:pPr>
            <w:r>
              <w:rPr>
                <w:rFonts w:eastAsia="Times New Roman"/>
                <w:b/>
                <w:bCs/>
                <w:color w:val="000000"/>
                <w:sz w:val="13"/>
                <w:szCs w:val="13"/>
              </w:rPr>
              <w:t>(a</w:t>
            </w:r>
            <w:r>
              <w:rPr>
                <w:rFonts w:eastAsia="Times New Roman"/>
                <w:b/>
                <w:bCs/>
                <w:color w:val="000000"/>
                <w:sz w:val="13"/>
                <w:szCs w:val="13"/>
              </w:rPr>
              <w:t>)</w:t>
            </w:r>
          </w:p>
        </w:tc>
      </w:tr>
      <w:tr w:rsidR="00000000">
        <w:trPr>
          <w:divId w:val="398794429"/>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divId w:val="655300069"/>
              <w:rPr>
                <w:rFonts w:eastAsia="Times New Roman"/>
              </w:rPr>
            </w:pPr>
            <w:r>
              <w:rPr>
                <w:rFonts w:eastAsia="Times New Roman"/>
                <w:color w:val="000000"/>
                <w:sz w:val="20"/>
                <w:szCs w:val="20"/>
                <w:u w:val="single"/>
              </w:rPr>
              <w:t>Finance lease costs</w:t>
            </w: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398794429"/>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Depreciation of leased assets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26.1 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20.5 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18.1 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SG&amp;A expenses</w:t>
            </w:r>
          </w:p>
        </w:tc>
      </w:tr>
      <w:tr w:rsidR="00000000">
        <w:trPr>
          <w:divId w:val="398794429"/>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Accretion of lease liabilities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12.2 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9.7 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8.1 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Interest expense</w:t>
            </w:r>
          </w:p>
        </w:tc>
      </w:tr>
      <w:tr w:rsidR="00000000">
        <w:trPr>
          <w:divId w:val="398794429"/>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Variable lease cost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291.2 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224.7 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298.0 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divId w:val="2107342629"/>
              <w:rPr>
                <w:rFonts w:eastAsia="Times New Roman"/>
              </w:rPr>
            </w:pPr>
            <w:r>
              <w:rPr>
                <w:rFonts w:eastAsia="Times New Roman"/>
                <w:b/>
                <w:bCs/>
                <w:color w:val="000000"/>
                <w:sz w:val="13"/>
                <w:szCs w:val="13"/>
              </w:rPr>
              <w:t>(b</w:t>
            </w:r>
            <w:r>
              <w:rPr>
                <w:rFonts w:eastAsia="Times New Roman"/>
                <w:b/>
                <w:bCs/>
                <w:color w:val="000000"/>
                <w:sz w:val="13"/>
                <w:szCs w:val="13"/>
              </w:rPr>
              <w:t>)</w:t>
            </w:r>
          </w:p>
        </w:tc>
      </w:tr>
      <w:tr w:rsidR="00000000">
        <w:trPr>
          <w:divId w:val="398794429"/>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Short-term lease cost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SG&amp;A expenses</w:t>
            </w:r>
          </w:p>
        </w:tc>
      </w:tr>
      <w:tr w:rsidR="00000000">
        <w:trPr>
          <w:divId w:val="398794429"/>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Sublease income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(6.7)</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(2.9)</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Restructuring and other charges, net</w:t>
            </w:r>
          </w:p>
        </w:tc>
      </w:tr>
      <w:tr w:rsidR="00000000">
        <w:trPr>
          <w:divId w:val="398794429"/>
        </w:trPr>
        <w:tc>
          <w:tcPr>
            <w:tcW w:w="0" w:type="auto"/>
            <w:gridSpan w:val="3"/>
            <w:shd w:val="clear" w:color="auto" w:fill="FFFFFF"/>
            <w:tcMar>
              <w:top w:w="30" w:type="dxa"/>
              <w:left w:w="24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lease cost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626.6 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581.5 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648.8 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BB5C2D">
            <w:pPr>
              <w:rPr>
                <w:rFonts w:eastAsia="Times New Roman"/>
              </w:rPr>
            </w:pPr>
          </w:p>
        </w:tc>
        <w:tc>
          <w:tcPr>
            <w:tcW w:w="494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r>
    </w:tbl>
    <w:p w:rsidR="00000000" w:rsidRDefault="00BB5C2D">
      <w:pPr>
        <w:rPr>
          <w:rFonts w:eastAsia="Times New Roman"/>
        </w:rPr>
      </w:pPr>
      <w:r>
        <w:rPr>
          <w:rFonts w:eastAsia="Times New Roman"/>
          <w:color w:val="000000"/>
          <w:sz w:val="20"/>
          <w:szCs w:val="20"/>
        </w:rPr>
        <w:t> </w:t>
      </w:r>
    </w:p>
    <w:p w:rsidR="00000000" w:rsidRDefault="00BB5C2D">
      <w:pPr>
        <w:ind w:hanging="360"/>
        <w:jc w:val="both"/>
        <w:divId w:val="35356122"/>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 xml:space="preserve">During Fiscal 2022, $3.3 million was included within cost of goods sold, $276.2 million was included within SG&amp;A expenses, and $20.7 </w:t>
      </w:r>
      <w:r>
        <w:rPr>
          <w:rFonts w:eastAsia="Times New Roman"/>
          <w:color w:val="000000"/>
          <w:sz w:val="20"/>
          <w:szCs w:val="20"/>
        </w:rPr>
        <w:t>million was included within restructuring and other charges, net. During Fiscal 2021, $3.4 million was included within cost of goods sold, $307.0 million was included within SG&amp;A expenses, and $13.1 million was included within restructuring and other charg</w:t>
      </w:r>
      <w:r>
        <w:rPr>
          <w:rFonts w:eastAsia="Times New Roman"/>
          <w:color w:val="000000"/>
          <w:sz w:val="20"/>
          <w:szCs w:val="20"/>
        </w:rPr>
        <w:t>es, net. During Fiscal 2020, $4.4 million was included within cost of goods sold, $307.3 million was included within SG&amp;A expenses, and $10.3 million was included within restructuring and other charges, net.</w:t>
      </w:r>
    </w:p>
    <w:p w:rsidR="00000000" w:rsidRDefault="00BB5C2D">
      <w:pPr>
        <w:ind w:hanging="360"/>
        <w:jc w:val="both"/>
        <w:divId w:val="996611436"/>
        <w:rPr>
          <w:rFonts w:eastAsia="Times New Roman"/>
        </w:rPr>
      </w:pPr>
      <w:r>
        <w:rPr>
          <w:rFonts w:eastAsia="Times New Roman"/>
          <w:b/>
          <w:bCs/>
          <w:color w:val="000000"/>
          <w:sz w:val="13"/>
          <w:szCs w:val="13"/>
        </w:rPr>
        <w:t>(b</w:t>
      </w:r>
      <w:r>
        <w:rPr>
          <w:rFonts w:eastAsia="Times New Roman"/>
          <w:b/>
          <w:bCs/>
          <w:color w:val="000000"/>
          <w:sz w:val="13"/>
          <w:szCs w:val="13"/>
        </w:rPr>
        <w:t>)</w:t>
      </w:r>
      <w:r>
        <w:rPr>
          <w:rFonts w:eastAsia="Times New Roman"/>
          <w:color w:val="000000"/>
          <w:sz w:val="20"/>
          <w:szCs w:val="20"/>
        </w:rPr>
        <w:t>During Fiscal 2022, $4.6 million was included</w:t>
      </w:r>
      <w:r>
        <w:rPr>
          <w:rFonts w:eastAsia="Times New Roman"/>
          <w:color w:val="000000"/>
          <w:sz w:val="20"/>
          <w:szCs w:val="20"/>
        </w:rPr>
        <w:t xml:space="preserve"> within cost of goods sold, $288.6 million was included within SG&amp;A expenses, and a benefit of $2.0 million was included within restructuring and other charges, net. During Fiscal 2021, $4.5 million was included within cost of goods sold and $220.2 million</w:t>
      </w:r>
      <w:r>
        <w:rPr>
          <w:rFonts w:eastAsia="Times New Roman"/>
          <w:color w:val="000000"/>
          <w:sz w:val="20"/>
          <w:szCs w:val="20"/>
        </w:rPr>
        <w:t xml:space="preserve"> was included within SG&amp;A expenses. During Fiscal 2020, $4.7 million was included within cost of goods sold, $290.3 million was included within SG&amp;A expenses, and $3.0 million was included within restructuring and other charges, net.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582493584"/>
          <w:jc w:val="center"/>
        </w:trPr>
        <w:tc>
          <w:tcPr>
            <w:tcW w:w="50" w:type="pct"/>
            <w:vAlign w:val="center"/>
            <w:hideMark/>
          </w:tcPr>
          <w:p w:rsidR="00000000" w:rsidRDefault="00BB5C2D">
            <w:pPr>
              <w:ind w:hanging="36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582493584"/>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F-41</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53" style="width:0;height:1.5pt" o:hralign="center" o:hrstd="t" o:hr="t" fillcolor="#a0a0a0" stroked="f"/>
        </w:pict>
      </w:r>
    </w:p>
    <w:p w:rsidR="00000000" w:rsidRDefault="00BB5C2D">
      <w:pPr>
        <w:jc w:val="center"/>
        <w:divId w:val="1406031426"/>
        <w:rPr>
          <w:rFonts w:eastAsia="Times New Roman"/>
        </w:rPr>
      </w:pPr>
    </w:p>
    <w:p w:rsidR="00000000" w:rsidRDefault="00BB5C2D">
      <w:pPr>
        <w:jc w:val="center"/>
        <w:divId w:val="1406031426"/>
        <w:rPr>
          <w:rFonts w:eastAsia="Times New Roman"/>
        </w:rPr>
      </w:pPr>
      <w:r>
        <w:rPr>
          <w:rFonts w:eastAsia="Times New Roman"/>
          <w:b/>
          <w:bCs/>
          <w:color w:val="000000"/>
          <w:sz w:val="20"/>
          <w:szCs w:val="20"/>
        </w:rPr>
        <w:t>RALPH LAUREN CORPORATION</w:t>
      </w:r>
    </w:p>
    <w:p w:rsidR="00000000" w:rsidRDefault="00BB5C2D">
      <w:pPr>
        <w:jc w:val="center"/>
        <w:divId w:val="1584143988"/>
        <w:rPr>
          <w:rFonts w:eastAsia="Times New Roman"/>
        </w:rPr>
      </w:pPr>
      <w:r>
        <w:rPr>
          <w:rFonts w:eastAsia="Times New Roman"/>
          <w:b/>
          <w:bCs/>
          <w:color w:val="000000"/>
          <w:sz w:val="20"/>
          <w:szCs w:val="20"/>
        </w:rPr>
        <w:t>NOTES TO CONSOLIDATED FINANCIAL STATEMENTS (Continued)</w:t>
      </w:r>
    </w:p>
    <w:p w:rsidR="00000000" w:rsidRDefault="00BB5C2D">
      <w:pPr>
        <w:ind w:firstLine="540"/>
        <w:jc w:val="both"/>
        <w:divId w:val="1446735126"/>
        <w:rPr>
          <w:rFonts w:eastAsia="Times New Roman"/>
        </w:rPr>
      </w:pPr>
      <w:r>
        <w:rPr>
          <w:rFonts w:eastAsia="Times New Roman"/>
          <w:color w:val="000000"/>
          <w:sz w:val="20"/>
          <w:szCs w:val="20"/>
        </w:rPr>
        <w:t>The following table summarizes certain cash flow information related to the Company's leases:</w:t>
      </w:r>
    </w:p>
    <w:tbl>
      <w:tblPr>
        <w:tblW w:w="4707" w:type="pct"/>
        <w:tblCellMar>
          <w:top w:w="15" w:type="dxa"/>
          <w:left w:w="15" w:type="dxa"/>
          <w:bottom w:w="15" w:type="dxa"/>
          <w:right w:w="15" w:type="dxa"/>
        </w:tblCellMar>
        <w:tblLook w:val="04A0" w:firstRow="1" w:lastRow="0" w:firstColumn="1" w:lastColumn="0" w:noHBand="0" w:noVBand="1"/>
      </w:tblPr>
      <w:tblGrid>
        <w:gridCol w:w="37"/>
        <w:gridCol w:w="4505"/>
        <w:gridCol w:w="36"/>
        <w:gridCol w:w="36"/>
        <w:gridCol w:w="66"/>
        <w:gridCol w:w="36"/>
        <w:gridCol w:w="120"/>
        <w:gridCol w:w="834"/>
        <w:gridCol w:w="36"/>
        <w:gridCol w:w="36"/>
        <w:gridCol w:w="36"/>
        <w:gridCol w:w="36"/>
        <w:gridCol w:w="120"/>
        <w:gridCol w:w="792"/>
        <w:gridCol w:w="36"/>
        <w:gridCol w:w="36"/>
        <w:gridCol w:w="36"/>
        <w:gridCol w:w="36"/>
        <w:gridCol w:w="120"/>
        <w:gridCol w:w="793"/>
        <w:gridCol w:w="36"/>
      </w:tblGrid>
      <w:tr w:rsidR="00000000">
        <w:trPr>
          <w:divId w:val="1359353066"/>
        </w:trPr>
        <w:tc>
          <w:tcPr>
            <w:tcW w:w="50" w:type="pct"/>
            <w:vAlign w:val="center"/>
            <w:hideMark/>
          </w:tcPr>
          <w:p w:rsidR="00000000" w:rsidRDefault="00BB5C2D">
            <w:pPr>
              <w:ind w:firstLine="540"/>
              <w:jc w:val="both"/>
              <w:rPr>
                <w:rFonts w:eastAsia="Times New Roman"/>
              </w:rPr>
            </w:pPr>
          </w:p>
        </w:tc>
        <w:tc>
          <w:tcPr>
            <w:tcW w:w="291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7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6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6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6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359353066"/>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Year Ended</w:t>
            </w:r>
          </w:p>
        </w:tc>
      </w:tr>
      <w:tr w:rsidR="00000000">
        <w:trPr>
          <w:divId w:val="1359353066"/>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r>
      <w:tr w:rsidR="00000000">
        <w:trPr>
          <w:divId w:val="1359353066"/>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1359353066"/>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b/>
                <w:bCs/>
                <w:color w:val="000000"/>
                <w:sz w:val="20"/>
                <w:szCs w:val="20"/>
              </w:rPr>
              <w:t>Cash paid for amounts included in the measurement of lease liabilities: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359353066"/>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Operating cash flows from operating leases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384.6 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360.6 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383.9 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59353066"/>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Operating cash flows from finance leases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59353066"/>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Financing cash flows from finance leases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23.1 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13.9 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13.6 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bl>
    <w:p w:rsidR="00000000" w:rsidRDefault="00BB5C2D">
      <w:pPr>
        <w:ind w:firstLine="540"/>
        <w:jc w:val="both"/>
        <w:divId w:val="1366521593"/>
        <w:rPr>
          <w:rFonts w:eastAsia="Times New Roman"/>
        </w:rPr>
      </w:pPr>
      <w:r>
        <w:rPr>
          <w:rFonts w:eastAsia="Times New Roman"/>
          <w:color w:val="000000"/>
          <w:sz w:val="20"/>
          <w:szCs w:val="20"/>
        </w:rPr>
        <w:t>See Note 21 for supplemental non-cash information related to ROU assets recorded in connection with the recognition of new lease liabilities.</w:t>
      </w:r>
    </w:p>
    <w:p w:rsidR="00000000" w:rsidRDefault="00BB5C2D">
      <w:pPr>
        <w:ind w:firstLine="540"/>
        <w:jc w:val="both"/>
        <w:divId w:val="1369068122"/>
        <w:rPr>
          <w:rFonts w:eastAsia="Times New Roman"/>
        </w:rPr>
      </w:pPr>
      <w:r>
        <w:rPr>
          <w:rFonts w:eastAsia="Times New Roman"/>
          <w:color w:val="000000"/>
          <w:sz w:val="20"/>
          <w:szCs w:val="20"/>
        </w:rPr>
        <w:t>The following table presents a maturity analysis summary of contractual cash payments for the Company's lease liab</w:t>
      </w:r>
      <w:r>
        <w:rPr>
          <w:rFonts w:eastAsia="Times New Roman"/>
          <w:color w:val="000000"/>
          <w:sz w:val="20"/>
          <w:szCs w:val="20"/>
        </w:rPr>
        <w:t>ilities recorded on the consolidated balance sheet as of April 2, 2022:</w:t>
      </w:r>
    </w:p>
    <w:tbl>
      <w:tblPr>
        <w:tblW w:w="4707" w:type="pct"/>
        <w:tblCellMar>
          <w:top w:w="15" w:type="dxa"/>
          <w:left w:w="15" w:type="dxa"/>
          <w:bottom w:w="15" w:type="dxa"/>
          <w:right w:w="15" w:type="dxa"/>
        </w:tblCellMar>
        <w:tblLook w:val="04A0" w:firstRow="1" w:lastRow="0" w:firstColumn="1" w:lastColumn="0" w:noHBand="0" w:noVBand="1"/>
      </w:tblPr>
      <w:tblGrid>
        <w:gridCol w:w="39"/>
        <w:gridCol w:w="5542"/>
        <w:gridCol w:w="38"/>
        <w:gridCol w:w="36"/>
        <w:gridCol w:w="70"/>
        <w:gridCol w:w="36"/>
        <w:gridCol w:w="120"/>
        <w:gridCol w:w="838"/>
        <w:gridCol w:w="36"/>
        <w:gridCol w:w="36"/>
        <w:gridCol w:w="36"/>
        <w:gridCol w:w="36"/>
        <w:gridCol w:w="120"/>
        <w:gridCol w:w="800"/>
        <w:gridCol w:w="36"/>
      </w:tblGrid>
      <w:tr w:rsidR="00000000">
        <w:trPr>
          <w:divId w:val="734815130"/>
        </w:trPr>
        <w:tc>
          <w:tcPr>
            <w:tcW w:w="50" w:type="pct"/>
            <w:vAlign w:val="center"/>
            <w:hideMark/>
          </w:tcPr>
          <w:p w:rsidR="00000000" w:rsidRDefault="00BB5C2D">
            <w:pPr>
              <w:ind w:firstLine="540"/>
              <w:jc w:val="both"/>
              <w:rPr>
                <w:rFonts w:eastAsia="Times New Roman"/>
              </w:rPr>
            </w:pPr>
          </w:p>
        </w:tc>
        <w:tc>
          <w:tcPr>
            <w:tcW w:w="357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7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6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6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734815130"/>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 2022</w:t>
            </w:r>
          </w:p>
        </w:tc>
      </w:tr>
      <w:tr w:rsidR="00000000">
        <w:trPr>
          <w:divId w:val="734815130"/>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Operating</w:t>
            </w:r>
            <w:r>
              <w:rPr>
                <w:rFonts w:eastAsia="Times New Roman"/>
                <w:b/>
                <w:bCs/>
                <w:color w:val="000000"/>
                <w:sz w:val="16"/>
                <w:szCs w:val="16"/>
              </w:rPr>
              <w:br/>
              <w:t>Leases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Finance</w:t>
            </w:r>
            <w:r>
              <w:rPr>
                <w:rFonts w:eastAsia="Times New Roman"/>
                <w:b/>
                <w:bCs/>
                <w:color w:val="000000"/>
                <w:sz w:val="16"/>
                <w:szCs w:val="16"/>
              </w:rPr>
              <w:br/>
              <w:t>Leases</w:t>
            </w:r>
          </w:p>
        </w:tc>
      </w:tr>
      <w:tr w:rsidR="00000000">
        <w:trPr>
          <w:divId w:val="734815130"/>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734815130"/>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Fiscal 2023</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286.1 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32.5 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734815130"/>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Fiscal 2024</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276.6 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34.3 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734815130"/>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Fiscal 2025</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230.7 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34.8 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734815130"/>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Fiscal 2026</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162.9 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35.1 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734815130"/>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Fiscal 2027</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141.4 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34.6 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734815130"/>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Fiscal 2028 and thereafter</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396.5 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276.1 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734815130"/>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lease payments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1,494.2 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447.4 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734815130"/>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Less: interest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(100.0)</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(86.0)</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734815130"/>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lease liabilities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1,394.2 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361.4 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bl>
    <w:p w:rsidR="00000000" w:rsidRDefault="00BB5C2D">
      <w:pPr>
        <w:ind w:firstLine="540"/>
        <w:jc w:val="both"/>
        <w:divId w:val="938608957"/>
        <w:rPr>
          <w:rFonts w:eastAsia="Times New Roman"/>
        </w:rPr>
      </w:pPr>
      <w:r>
        <w:rPr>
          <w:rFonts w:eastAsia="Times New Roman"/>
          <w:color w:val="000000"/>
          <w:sz w:val="20"/>
          <w:szCs w:val="20"/>
        </w:rPr>
        <w:t>Additionally, the Company has $23.9 million of future payment obligations relating to executed lease agreements for which the related lease terms had not yet commenced as of the end of Fiscal 2022, and, therefore, are not recorded on the consolidated bala</w:t>
      </w:r>
      <w:r>
        <w:rPr>
          <w:rFonts w:eastAsia="Times New Roman"/>
          <w:color w:val="000000"/>
          <w:sz w:val="20"/>
          <w:szCs w:val="20"/>
        </w:rPr>
        <w:t>nce sheet as of April 2, 2022.</w:t>
      </w:r>
    </w:p>
    <w:p w:rsidR="00000000" w:rsidRDefault="00BB5C2D">
      <w:pPr>
        <w:ind w:firstLine="540"/>
        <w:jc w:val="both"/>
        <w:divId w:val="2081294199"/>
        <w:rPr>
          <w:rFonts w:eastAsia="Times New Roman"/>
        </w:rPr>
      </w:pPr>
      <w:r>
        <w:rPr>
          <w:rFonts w:eastAsia="Times New Roman"/>
          <w:color w:val="000000"/>
          <w:sz w:val="20"/>
          <w:szCs w:val="20"/>
        </w:rPr>
        <w:t>The following table summarizes the weighted-average remaining lease terms and weighted-average discount rates related to the Company's operating and finance leases recorded on the consolidated balance sheet:</w:t>
      </w:r>
    </w:p>
    <w:tbl>
      <w:tblPr>
        <w:tblW w:w="4700" w:type="pct"/>
        <w:tblCellMar>
          <w:top w:w="15" w:type="dxa"/>
          <w:left w:w="15" w:type="dxa"/>
          <w:bottom w:w="15" w:type="dxa"/>
          <w:right w:w="15" w:type="dxa"/>
        </w:tblCellMar>
        <w:tblLook w:val="04A0" w:firstRow="1" w:lastRow="0" w:firstColumn="1" w:lastColumn="0" w:noHBand="0" w:noVBand="1"/>
      </w:tblPr>
      <w:tblGrid>
        <w:gridCol w:w="37"/>
        <w:gridCol w:w="3426"/>
        <w:gridCol w:w="36"/>
        <w:gridCol w:w="36"/>
        <w:gridCol w:w="48"/>
        <w:gridCol w:w="36"/>
        <w:gridCol w:w="60"/>
        <w:gridCol w:w="765"/>
        <w:gridCol w:w="187"/>
        <w:gridCol w:w="36"/>
        <w:gridCol w:w="36"/>
        <w:gridCol w:w="36"/>
        <w:gridCol w:w="47"/>
        <w:gridCol w:w="717"/>
        <w:gridCol w:w="187"/>
        <w:gridCol w:w="36"/>
        <w:gridCol w:w="36"/>
        <w:gridCol w:w="36"/>
        <w:gridCol w:w="60"/>
        <w:gridCol w:w="704"/>
        <w:gridCol w:w="187"/>
        <w:gridCol w:w="36"/>
        <w:gridCol w:w="36"/>
        <w:gridCol w:w="36"/>
        <w:gridCol w:w="47"/>
        <w:gridCol w:w="717"/>
        <w:gridCol w:w="187"/>
      </w:tblGrid>
      <w:tr w:rsidR="00000000">
        <w:trPr>
          <w:divId w:val="872573139"/>
        </w:trPr>
        <w:tc>
          <w:tcPr>
            <w:tcW w:w="50" w:type="pct"/>
            <w:vAlign w:val="center"/>
            <w:hideMark/>
          </w:tcPr>
          <w:p w:rsidR="00000000" w:rsidRDefault="00BB5C2D">
            <w:pPr>
              <w:ind w:firstLine="540"/>
              <w:jc w:val="both"/>
              <w:rPr>
                <w:rFonts w:eastAsia="Times New Roman"/>
              </w:rPr>
            </w:pPr>
          </w:p>
        </w:tc>
        <w:tc>
          <w:tcPr>
            <w:tcW w:w="225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7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6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6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6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6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872573139"/>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 2022</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 2021</w:t>
            </w:r>
          </w:p>
        </w:tc>
      </w:tr>
      <w:tr w:rsidR="00000000">
        <w:trPr>
          <w:divId w:val="872573139"/>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Operating</w:t>
            </w:r>
            <w:r>
              <w:rPr>
                <w:rFonts w:eastAsia="Times New Roman"/>
                <w:b/>
                <w:bCs/>
                <w:color w:val="000000"/>
                <w:sz w:val="16"/>
                <w:szCs w:val="16"/>
              </w:rPr>
              <w:br/>
              <w:t>Leases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Finance</w:t>
            </w:r>
            <w:r>
              <w:rPr>
                <w:rFonts w:eastAsia="Times New Roman"/>
                <w:b/>
                <w:bCs/>
                <w:color w:val="000000"/>
                <w:sz w:val="16"/>
                <w:szCs w:val="16"/>
              </w:rPr>
              <w:br/>
              <w:t>Leases</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Operating</w:t>
            </w:r>
            <w:r>
              <w:rPr>
                <w:rFonts w:eastAsia="Times New Roman"/>
                <w:b/>
                <w:bCs/>
                <w:color w:val="000000"/>
                <w:sz w:val="16"/>
                <w:szCs w:val="16"/>
              </w:rPr>
              <w:br/>
              <w:t>Leases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Finance</w:t>
            </w:r>
            <w:r>
              <w:rPr>
                <w:rFonts w:eastAsia="Times New Roman"/>
                <w:b/>
                <w:bCs/>
                <w:color w:val="000000"/>
                <w:sz w:val="16"/>
                <w:szCs w:val="16"/>
              </w:rPr>
              <w:br/>
              <w:t>Leases</w:t>
            </w:r>
          </w:p>
        </w:tc>
      </w:tr>
      <w:tr w:rsidR="00000000">
        <w:trPr>
          <w:divId w:val="872573139"/>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Weighted-average remaining lease term (years)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20"/>
                <w:szCs w:val="20"/>
              </w:rPr>
              <w:t>6.8</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20"/>
                <w:szCs w:val="20"/>
              </w:rPr>
              <w:t>13.5</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20"/>
                <w:szCs w:val="20"/>
              </w:rPr>
              <w:t>6.9</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20"/>
                <w:szCs w:val="20"/>
              </w:rPr>
              <w:t>14.2</w:t>
            </w:r>
          </w:p>
        </w:tc>
      </w:tr>
      <w:tr w:rsidR="00000000">
        <w:trPr>
          <w:divId w:val="872573139"/>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Weighted-average discount rate</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r>
    </w:tbl>
    <w:p w:rsidR="00000000" w:rsidRDefault="00BB5C2D">
      <w:pPr>
        <w:ind w:firstLine="540"/>
        <w:jc w:val="both"/>
        <w:divId w:val="109249382"/>
        <w:rPr>
          <w:rFonts w:eastAsia="Times New Roman"/>
        </w:rPr>
      </w:pPr>
      <w:r>
        <w:rPr>
          <w:rFonts w:eastAsia="Times New Roman"/>
          <w:color w:val="000000"/>
          <w:sz w:val="20"/>
          <w:szCs w:val="20"/>
        </w:rPr>
        <w:t>See Note 3 for discussion of the Company's accounting policies related to leases.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38693536"/>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38693536"/>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F-42</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54" style="width:0;height:1.5pt" o:hralign="center" o:hrstd="t" o:hr="t" fillcolor="#a0a0a0" stroked="f"/>
        </w:pict>
      </w:r>
    </w:p>
    <w:p w:rsidR="00000000" w:rsidRDefault="00BB5C2D">
      <w:pPr>
        <w:jc w:val="center"/>
        <w:divId w:val="328100547"/>
        <w:rPr>
          <w:rFonts w:eastAsia="Times New Roman"/>
        </w:rPr>
      </w:pPr>
    </w:p>
    <w:p w:rsidR="00000000" w:rsidRDefault="00BB5C2D">
      <w:pPr>
        <w:jc w:val="center"/>
        <w:divId w:val="328100547"/>
        <w:rPr>
          <w:rFonts w:eastAsia="Times New Roman"/>
        </w:rPr>
      </w:pPr>
      <w:r>
        <w:rPr>
          <w:rFonts w:eastAsia="Times New Roman"/>
          <w:b/>
          <w:bCs/>
          <w:color w:val="000000"/>
          <w:sz w:val="20"/>
          <w:szCs w:val="20"/>
        </w:rPr>
        <w:t>RALPH LAUREN CORPORATION</w:t>
      </w:r>
    </w:p>
    <w:p w:rsidR="00000000" w:rsidRDefault="00BB5C2D">
      <w:pPr>
        <w:jc w:val="center"/>
        <w:divId w:val="1155103943"/>
        <w:rPr>
          <w:rFonts w:eastAsia="Times New Roman"/>
        </w:rPr>
      </w:pPr>
      <w:r>
        <w:rPr>
          <w:rFonts w:eastAsia="Times New Roman"/>
          <w:b/>
          <w:bCs/>
          <w:color w:val="000000"/>
          <w:sz w:val="20"/>
          <w:szCs w:val="20"/>
        </w:rPr>
        <w:t>NOTES TO CONSOLIDATED FINANCIAL STATEMENTS (Continued)</w:t>
      </w:r>
    </w:p>
    <w:p w:rsidR="00000000" w:rsidRDefault="00BB5C2D">
      <w:pPr>
        <w:ind w:hanging="540"/>
        <w:divId w:val="1887718290"/>
        <w:rPr>
          <w:rFonts w:eastAsia="Times New Roman"/>
        </w:rPr>
      </w:pPr>
      <w:r>
        <w:rPr>
          <w:rFonts w:eastAsia="Times New Roman"/>
          <w:b/>
          <w:bCs/>
          <w:color w:val="000000"/>
          <w:sz w:val="20"/>
          <w:szCs w:val="20"/>
        </w:rPr>
        <w:t>15.    Commitments and Contingencies</w:t>
      </w:r>
    </w:p>
    <w:p w:rsidR="00000000" w:rsidRDefault="00BB5C2D">
      <w:pPr>
        <w:ind w:firstLine="360"/>
        <w:divId w:val="868300450"/>
        <w:rPr>
          <w:rFonts w:eastAsia="Times New Roman"/>
        </w:rPr>
      </w:pPr>
      <w:r>
        <w:rPr>
          <w:rFonts w:eastAsia="Times New Roman"/>
          <w:b/>
          <w:bCs/>
          <w:i/>
          <w:iCs/>
          <w:color w:val="000000"/>
          <w:sz w:val="20"/>
          <w:szCs w:val="20"/>
        </w:rPr>
        <w:t>TCJA Mandatory Transition Tax</w:t>
      </w:r>
    </w:p>
    <w:p w:rsidR="00000000" w:rsidRDefault="00BB5C2D">
      <w:pPr>
        <w:ind w:firstLine="540"/>
        <w:jc w:val="both"/>
        <w:divId w:val="2120877678"/>
        <w:rPr>
          <w:rFonts w:eastAsia="Times New Roman"/>
        </w:rPr>
      </w:pPr>
      <w:r>
        <w:rPr>
          <w:rFonts w:eastAsia="Times New Roman"/>
          <w:color w:val="000000"/>
          <w:sz w:val="20"/>
          <w:szCs w:val="20"/>
        </w:rPr>
        <w:t>In connection with the TCJA's provision that subjects previously deferred foreign earnings to a one-time mandatory transition tax, the Company had a remaining related income tax payable obligation of $112.8 million as of April 2, 2022, which is expected to</w:t>
      </w:r>
      <w:r>
        <w:rPr>
          <w:rFonts w:eastAsia="Times New Roman"/>
          <w:color w:val="000000"/>
          <w:sz w:val="20"/>
          <w:szCs w:val="20"/>
        </w:rPr>
        <w:t xml:space="preserve"> be paid as follows: </w:t>
      </w:r>
    </w:p>
    <w:tbl>
      <w:tblPr>
        <w:tblW w:w="4736" w:type="pct"/>
        <w:tblCellMar>
          <w:top w:w="15" w:type="dxa"/>
          <w:left w:w="15" w:type="dxa"/>
          <w:bottom w:w="15" w:type="dxa"/>
          <w:right w:w="15" w:type="dxa"/>
        </w:tblCellMar>
        <w:tblLook w:val="04A0" w:firstRow="1" w:lastRow="0" w:firstColumn="1" w:lastColumn="0" w:noHBand="0" w:noVBand="1"/>
      </w:tblPr>
      <w:tblGrid>
        <w:gridCol w:w="40"/>
        <w:gridCol w:w="6273"/>
        <w:gridCol w:w="36"/>
        <w:gridCol w:w="36"/>
        <w:gridCol w:w="36"/>
        <w:gridCol w:w="36"/>
        <w:gridCol w:w="121"/>
        <w:gridCol w:w="1253"/>
        <w:gridCol w:w="36"/>
      </w:tblGrid>
      <w:tr w:rsidR="00000000">
        <w:trPr>
          <w:divId w:val="1103846761"/>
        </w:trPr>
        <w:tc>
          <w:tcPr>
            <w:tcW w:w="50" w:type="pct"/>
            <w:vAlign w:val="center"/>
            <w:hideMark/>
          </w:tcPr>
          <w:p w:rsidR="00000000" w:rsidRDefault="00BB5C2D">
            <w:pPr>
              <w:ind w:firstLine="540"/>
              <w:jc w:val="both"/>
              <w:rPr>
                <w:rFonts w:eastAsia="Times New Roman"/>
              </w:rPr>
            </w:pPr>
          </w:p>
        </w:tc>
        <w:tc>
          <w:tcPr>
            <w:tcW w:w="4011"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84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103846761"/>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Mandatory Transition</w:t>
            </w:r>
          </w:p>
          <w:p w:rsidR="00000000" w:rsidRDefault="00BB5C2D">
            <w:pPr>
              <w:spacing w:after="100"/>
              <w:jc w:val="center"/>
              <w:rPr>
                <w:rFonts w:eastAsia="Times New Roman"/>
              </w:rPr>
            </w:pPr>
            <w:r>
              <w:rPr>
                <w:rFonts w:eastAsia="Times New Roman"/>
                <w:b/>
                <w:bCs/>
                <w:color w:val="000000"/>
                <w:sz w:val="16"/>
                <w:szCs w:val="16"/>
              </w:rPr>
              <w:t>Tax Payment</w:t>
            </w:r>
            <w:r>
              <w:rPr>
                <w:rFonts w:eastAsia="Times New Roman"/>
                <w:b/>
                <w:bCs/>
                <w:color w:val="000000"/>
                <w:sz w:val="16"/>
                <w:szCs w:val="16"/>
              </w:rPr>
              <w:t>s</w:t>
            </w:r>
            <w:r>
              <w:rPr>
                <w:rFonts w:eastAsia="Times New Roman"/>
                <w:b/>
                <w:bCs/>
                <w:color w:val="000000"/>
                <w:sz w:val="10"/>
                <w:szCs w:val="10"/>
              </w:rPr>
              <w:t>(a</w:t>
            </w:r>
            <w:r>
              <w:rPr>
                <w:rFonts w:eastAsia="Times New Roman"/>
                <w:b/>
                <w:bCs/>
                <w:color w:val="000000"/>
                <w:sz w:val="10"/>
                <w:szCs w:val="10"/>
              </w:rPr>
              <w:t>)</w:t>
            </w:r>
          </w:p>
        </w:tc>
      </w:tr>
      <w:tr w:rsidR="00000000">
        <w:trPr>
          <w:divId w:val="1103846761"/>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1103846761"/>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Fiscal 2023</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13.9 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103846761"/>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Fiscal 2024</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24.7 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103846761"/>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Fiscal 2025</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33.0 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103846761"/>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Fiscal 2026</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41.2 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103846761"/>
        </w:trPr>
        <w:tc>
          <w:tcPr>
            <w:tcW w:w="0" w:type="auto"/>
            <w:gridSpan w:val="3"/>
            <w:vAlign w:val="center"/>
            <w:hideMark/>
          </w:tcPr>
          <w:p w:rsidR="00000000" w:rsidRDefault="00BB5C2D">
            <w:pPr>
              <w:spacing w:after="100"/>
              <w:jc w:val="right"/>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r>
      <w:tr w:rsidR="00000000">
        <w:trPr>
          <w:divId w:val="1103846761"/>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mandatory transition tax payments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112.8 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BB5C2D">
            <w:pPr>
              <w:rPr>
                <w:rFonts w:eastAsia="Times New Roman"/>
              </w:rPr>
            </w:pPr>
          </w:p>
        </w:tc>
        <w:tc>
          <w:tcPr>
            <w:tcW w:w="494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r>
    </w:tbl>
    <w:p w:rsidR="00000000" w:rsidRDefault="00BB5C2D">
      <w:pPr>
        <w:ind w:hanging="360"/>
        <w:jc w:val="both"/>
        <w:divId w:val="541752307"/>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Included within current and non-current income tax payable in the consolidated balance sheets based upon the estimated timing of payments.</w:t>
      </w:r>
    </w:p>
    <w:p w:rsidR="00000000" w:rsidRDefault="00BB5C2D">
      <w:pPr>
        <w:ind w:firstLine="360"/>
        <w:divId w:val="887885288"/>
        <w:rPr>
          <w:rFonts w:eastAsia="Times New Roman"/>
        </w:rPr>
      </w:pPr>
      <w:r>
        <w:rPr>
          <w:rFonts w:eastAsia="Times New Roman"/>
          <w:b/>
          <w:bCs/>
          <w:i/>
          <w:iCs/>
          <w:color w:val="000000"/>
          <w:sz w:val="20"/>
          <w:szCs w:val="20"/>
        </w:rPr>
        <w:t>Employee Agreements</w:t>
      </w:r>
    </w:p>
    <w:p w:rsidR="00000000" w:rsidRDefault="00BB5C2D">
      <w:pPr>
        <w:ind w:firstLine="540"/>
        <w:jc w:val="both"/>
        <w:divId w:val="2026131772"/>
        <w:rPr>
          <w:rFonts w:eastAsia="Times New Roman"/>
        </w:rPr>
      </w:pPr>
      <w:r>
        <w:rPr>
          <w:rFonts w:eastAsia="Times New Roman"/>
          <w:color w:val="000000"/>
          <w:sz w:val="20"/>
          <w:szCs w:val="20"/>
        </w:rPr>
        <w:t>The Company has employment agreements with certain executives in the normal course of business wh</w:t>
      </w:r>
      <w:r>
        <w:rPr>
          <w:rFonts w:eastAsia="Times New Roman"/>
          <w:color w:val="000000"/>
          <w:sz w:val="20"/>
          <w:szCs w:val="20"/>
        </w:rPr>
        <w:t>ich provide for compensation and certain other benefits. These agreements also provide for severance payments under certain circumstances.</w:t>
      </w:r>
    </w:p>
    <w:p w:rsidR="00000000" w:rsidRDefault="00BB5C2D">
      <w:pPr>
        <w:ind w:firstLine="360"/>
        <w:divId w:val="209077826"/>
        <w:rPr>
          <w:rFonts w:eastAsia="Times New Roman"/>
        </w:rPr>
      </w:pPr>
      <w:r>
        <w:rPr>
          <w:rFonts w:eastAsia="Times New Roman"/>
          <w:b/>
          <w:bCs/>
          <w:i/>
          <w:iCs/>
          <w:color w:val="000000"/>
          <w:sz w:val="20"/>
          <w:szCs w:val="20"/>
        </w:rPr>
        <w:t>Other Commitments</w:t>
      </w:r>
    </w:p>
    <w:p w:rsidR="00000000" w:rsidRDefault="00BB5C2D">
      <w:pPr>
        <w:ind w:firstLine="540"/>
        <w:jc w:val="both"/>
        <w:divId w:val="2020737134"/>
        <w:rPr>
          <w:rFonts w:eastAsia="Times New Roman"/>
        </w:rPr>
      </w:pPr>
      <w:r>
        <w:rPr>
          <w:rFonts w:eastAsia="Times New Roman"/>
          <w:color w:val="000000"/>
          <w:sz w:val="20"/>
          <w:szCs w:val="20"/>
        </w:rPr>
        <w:t>Other off-balance sheet firm commitments amounted to $1.339 billion as of April 2, 2022, including inventory purchase commitments of $916.0 million, lease commitments related to lease agreements for which the related lease terms have not yet commenced of $</w:t>
      </w:r>
      <w:r>
        <w:rPr>
          <w:rFonts w:eastAsia="Times New Roman"/>
          <w:color w:val="000000"/>
          <w:sz w:val="20"/>
          <w:szCs w:val="20"/>
        </w:rPr>
        <w:t>23.9 million, outstanding letters of credit of $9.5 million, interest payments related to the Company's debt of $244.9 million, and other commitments of $144.9 million, comprised of the Company's legally-binding obligations under sponsorship, licensing, an</w:t>
      </w:r>
      <w:r>
        <w:rPr>
          <w:rFonts w:eastAsia="Times New Roman"/>
          <w:color w:val="000000"/>
          <w:sz w:val="20"/>
          <w:szCs w:val="20"/>
        </w:rPr>
        <w:t>d other marketing and advertising agreements, information technology-related service agreements, and pension-related obligations.</w:t>
      </w:r>
    </w:p>
    <w:p w:rsidR="00000000" w:rsidRDefault="00BB5C2D">
      <w:pPr>
        <w:ind w:firstLine="360"/>
        <w:jc w:val="both"/>
        <w:divId w:val="1896817996"/>
        <w:rPr>
          <w:rFonts w:eastAsia="Times New Roman"/>
        </w:rPr>
      </w:pPr>
      <w:r>
        <w:rPr>
          <w:rFonts w:eastAsia="Times New Roman"/>
          <w:b/>
          <w:bCs/>
          <w:i/>
          <w:iCs/>
          <w:color w:val="000000"/>
          <w:sz w:val="20"/>
          <w:szCs w:val="20"/>
        </w:rPr>
        <w:t>Other Matters</w:t>
      </w:r>
    </w:p>
    <w:p w:rsidR="00000000" w:rsidRDefault="00BB5C2D">
      <w:pPr>
        <w:ind w:firstLine="540"/>
        <w:jc w:val="both"/>
        <w:divId w:val="1939633885"/>
        <w:rPr>
          <w:rFonts w:eastAsia="Times New Roman"/>
        </w:rPr>
      </w:pPr>
      <w:r>
        <w:rPr>
          <w:rFonts w:eastAsia="Times New Roman"/>
          <w:color w:val="000000"/>
          <w:sz w:val="20"/>
          <w:szCs w:val="20"/>
        </w:rPr>
        <w:t>The Company is involved, from time to time, in litigation, other legal claims, and proceedings involving matters associated with or incidental to its business, including, among other things, matters involving credit card fraud, trademark and other intellec</w:t>
      </w:r>
      <w:r>
        <w:rPr>
          <w:rFonts w:eastAsia="Times New Roman"/>
          <w:color w:val="000000"/>
          <w:sz w:val="20"/>
          <w:szCs w:val="20"/>
        </w:rPr>
        <w:t xml:space="preserve">tual property, licensing, importation and exportation of its products, taxation, unclaimed property, leases, and employee relations. The Company believes at present that the resolution of currently pending matters will not individually or in the aggregate </w:t>
      </w:r>
      <w:r>
        <w:rPr>
          <w:rFonts w:eastAsia="Times New Roman"/>
          <w:color w:val="000000"/>
          <w:sz w:val="20"/>
          <w:szCs w:val="20"/>
        </w:rPr>
        <w:t xml:space="preserve">have a material adverse effect on its consolidated financial statements. However, the Company's assessment of any current litigation or other legal claims could potentially change in light of the discovery of facts not presently known or determinations by </w:t>
      </w:r>
      <w:r>
        <w:rPr>
          <w:rFonts w:eastAsia="Times New Roman"/>
          <w:color w:val="000000"/>
          <w:sz w:val="20"/>
          <w:szCs w:val="20"/>
        </w:rPr>
        <w:t>judges, juries, or other finders of fact which are not in accord with management's evaluation of the possible liability or outcome of such litigation or claims.</w:t>
      </w:r>
    </w:p>
    <w:p w:rsidR="00000000" w:rsidRDefault="00BB5C2D">
      <w:pPr>
        <w:ind w:firstLine="540"/>
        <w:jc w:val="both"/>
        <w:divId w:val="575364810"/>
        <w:rPr>
          <w:rFonts w:eastAsia="Times New Roman"/>
        </w:rPr>
      </w:pPr>
      <w:r>
        <w:rPr>
          <w:rFonts w:eastAsia="Times New Roman"/>
          <w:color w:val="000000"/>
          <w:sz w:val="20"/>
          <w:szCs w:val="20"/>
        </w:rPr>
        <w:t>In the normal course of business, the Company may enter into certain guarantees or other agreem</w:t>
      </w:r>
      <w:r>
        <w:rPr>
          <w:rFonts w:eastAsia="Times New Roman"/>
          <w:color w:val="000000"/>
          <w:sz w:val="20"/>
          <w:szCs w:val="20"/>
        </w:rPr>
        <w:t xml:space="preserve">ents that provide general indemnifications. The Company has not made any significant indemnification payments under such agreements in the past and does not currently anticipate incurring any material indemnification payments.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462960938"/>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462960938"/>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F-43</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55" style="width:0;height:1.5pt" o:hralign="center" o:hrstd="t" o:hr="t" fillcolor="#a0a0a0" stroked="f"/>
        </w:pict>
      </w:r>
    </w:p>
    <w:p w:rsidR="00000000" w:rsidRDefault="00BB5C2D">
      <w:pPr>
        <w:jc w:val="center"/>
        <w:divId w:val="338626446"/>
        <w:rPr>
          <w:rFonts w:eastAsia="Times New Roman"/>
        </w:rPr>
      </w:pPr>
    </w:p>
    <w:p w:rsidR="00000000" w:rsidRDefault="00BB5C2D">
      <w:pPr>
        <w:jc w:val="center"/>
        <w:divId w:val="338626446"/>
        <w:rPr>
          <w:rFonts w:eastAsia="Times New Roman"/>
        </w:rPr>
      </w:pPr>
      <w:r>
        <w:rPr>
          <w:rFonts w:eastAsia="Times New Roman"/>
          <w:b/>
          <w:bCs/>
          <w:color w:val="000000"/>
          <w:sz w:val="20"/>
          <w:szCs w:val="20"/>
        </w:rPr>
        <w:t>RALPH LAUREN CORPORATION</w:t>
      </w:r>
    </w:p>
    <w:p w:rsidR="00000000" w:rsidRDefault="00BB5C2D">
      <w:pPr>
        <w:jc w:val="center"/>
        <w:divId w:val="227955615"/>
        <w:rPr>
          <w:rFonts w:eastAsia="Times New Roman"/>
        </w:rPr>
      </w:pPr>
      <w:r>
        <w:rPr>
          <w:rFonts w:eastAsia="Times New Roman"/>
          <w:b/>
          <w:bCs/>
          <w:color w:val="000000"/>
          <w:sz w:val="20"/>
          <w:szCs w:val="20"/>
        </w:rPr>
        <w:t>NOTES TO CONSOLIDATED FINANCIAL STATEMENTS (Continued)</w:t>
      </w:r>
    </w:p>
    <w:p w:rsidR="00000000" w:rsidRDefault="00BB5C2D">
      <w:pPr>
        <w:ind w:hanging="540"/>
        <w:divId w:val="1857887940"/>
        <w:rPr>
          <w:rFonts w:eastAsia="Times New Roman"/>
        </w:rPr>
      </w:pPr>
      <w:r>
        <w:rPr>
          <w:rFonts w:eastAsia="Times New Roman"/>
          <w:b/>
          <w:bCs/>
          <w:color w:val="000000"/>
          <w:sz w:val="20"/>
          <w:szCs w:val="20"/>
        </w:rPr>
        <w:t>16.    Equity</w:t>
      </w:r>
    </w:p>
    <w:p w:rsidR="00000000" w:rsidRDefault="00BB5C2D">
      <w:pPr>
        <w:ind w:firstLine="270"/>
        <w:jc w:val="both"/>
        <w:divId w:val="1598906115"/>
        <w:rPr>
          <w:rFonts w:eastAsia="Times New Roman"/>
        </w:rPr>
      </w:pPr>
      <w:r>
        <w:rPr>
          <w:rFonts w:eastAsia="Times New Roman"/>
          <w:b/>
          <w:bCs/>
          <w:i/>
          <w:iCs/>
          <w:color w:val="000000"/>
          <w:sz w:val="20"/>
          <w:szCs w:val="20"/>
        </w:rPr>
        <w:t>Capital Stock</w:t>
      </w:r>
    </w:p>
    <w:p w:rsidR="00000000" w:rsidRDefault="00BB5C2D">
      <w:pPr>
        <w:ind w:firstLine="540"/>
        <w:jc w:val="both"/>
        <w:divId w:val="147133261"/>
        <w:rPr>
          <w:rFonts w:eastAsia="Times New Roman"/>
        </w:rPr>
      </w:pPr>
      <w:r>
        <w:rPr>
          <w:rFonts w:eastAsia="Times New Roman"/>
          <w:color w:val="000000"/>
          <w:sz w:val="20"/>
          <w:szCs w:val="20"/>
        </w:rPr>
        <w:t>The Company's capital stock consists of two classes of common stock. There are 500 million shares of Class A c</w:t>
      </w:r>
      <w:r>
        <w:rPr>
          <w:rFonts w:eastAsia="Times New Roman"/>
          <w:color w:val="000000"/>
          <w:sz w:val="20"/>
          <w:szCs w:val="20"/>
        </w:rPr>
        <w:t>ommon stock and 100 million shares of Class B common stock authorized to be issued. Shares of Class A and Class B common stock have substantially identical rights, except with respect to voting rights. Holders of Class A common stock are entitled to one vo</w:t>
      </w:r>
      <w:r>
        <w:rPr>
          <w:rFonts w:eastAsia="Times New Roman"/>
          <w:color w:val="000000"/>
          <w:sz w:val="20"/>
          <w:szCs w:val="20"/>
        </w:rPr>
        <w:t xml:space="preserve">te per share and holders of Class B common stock are entitled to ten votes per share. Holders of both classes of stock vote together as a single class on all matters presented to the stockholders for their approval, except with respect to the election and </w:t>
      </w:r>
      <w:r>
        <w:rPr>
          <w:rFonts w:eastAsia="Times New Roman"/>
          <w:color w:val="000000"/>
          <w:sz w:val="20"/>
          <w:szCs w:val="20"/>
        </w:rPr>
        <w:t>removal of directors or as otherwise required by applicable law. All outstanding shares of Class B common stock are owned by Mr. Ralph Lauren, the Company's Executive Chairman and Chief Creative Officer, and entities controlled by the Lauren family, and ar</w:t>
      </w:r>
      <w:r>
        <w:rPr>
          <w:rFonts w:eastAsia="Times New Roman"/>
          <w:color w:val="000000"/>
          <w:sz w:val="20"/>
          <w:szCs w:val="20"/>
        </w:rPr>
        <w:t>e convertible at any time into shares of Class A common stock on a one-for-one basis.</w:t>
      </w:r>
    </w:p>
    <w:p w:rsidR="00000000" w:rsidRDefault="00BB5C2D">
      <w:pPr>
        <w:ind w:firstLine="360"/>
        <w:jc w:val="both"/>
        <w:divId w:val="1828011897"/>
        <w:rPr>
          <w:rFonts w:eastAsia="Times New Roman"/>
        </w:rPr>
      </w:pPr>
      <w:r>
        <w:rPr>
          <w:rFonts w:eastAsia="Times New Roman"/>
          <w:b/>
          <w:bCs/>
          <w:i/>
          <w:iCs/>
          <w:color w:val="000000"/>
          <w:sz w:val="20"/>
          <w:szCs w:val="20"/>
        </w:rPr>
        <w:t>Class B Common Stock Conversions</w:t>
      </w:r>
    </w:p>
    <w:p w:rsidR="00000000" w:rsidRDefault="00BB5C2D">
      <w:pPr>
        <w:ind w:firstLine="540"/>
        <w:jc w:val="both"/>
        <w:divId w:val="685139374"/>
        <w:rPr>
          <w:rFonts w:eastAsia="Times New Roman"/>
        </w:rPr>
      </w:pPr>
      <w:r>
        <w:rPr>
          <w:rFonts w:eastAsia="Times New Roman"/>
          <w:color w:val="000000"/>
          <w:sz w:val="20"/>
          <w:szCs w:val="20"/>
        </w:rPr>
        <w:t>During Fiscal 2020, the Lauren Family, L.L.C., a limited liability company managed by the children of Mr. Ralph Lauren, converted 1.0 million shares of Class B common stock into an equal number of shares of Class A common stock pursuant to the terms of the</w:t>
      </w:r>
      <w:r>
        <w:rPr>
          <w:rFonts w:eastAsia="Times New Roman"/>
          <w:color w:val="000000"/>
          <w:sz w:val="20"/>
          <w:szCs w:val="20"/>
        </w:rPr>
        <w:t xml:space="preserve"> security. These conversions occurred in advance of a sales plan providing for the sale of such shares of Class A common stock pursuant to Rule 10b5-1 subject to the conditions set forth therein. These transactions resulted in a reclassification within equ</w:t>
      </w:r>
      <w:r>
        <w:rPr>
          <w:rFonts w:eastAsia="Times New Roman"/>
          <w:color w:val="000000"/>
          <w:sz w:val="20"/>
          <w:szCs w:val="20"/>
        </w:rPr>
        <w:t>ity and had no effect on the consolidated balance sheet.</w:t>
      </w:r>
    </w:p>
    <w:p w:rsidR="00000000" w:rsidRDefault="00BB5C2D">
      <w:pPr>
        <w:ind w:firstLine="360"/>
        <w:jc w:val="both"/>
        <w:divId w:val="1703675185"/>
        <w:rPr>
          <w:rFonts w:eastAsia="Times New Roman"/>
        </w:rPr>
      </w:pPr>
      <w:r>
        <w:rPr>
          <w:rFonts w:eastAsia="Times New Roman"/>
          <w:b/>
          <w:bCs/>
          <w:i/>
          <w:iCs/>
          <w:color w:val="000000"/>
          <w:sz w:val="20"/>
          <w:szCs w:val="20"/>
        </w:rPr>
        <w:t>Common Stock Repurchase Program</w:t>
      </w:r>
    </w:p>
    <w:p w:rsidR="00000000" w:rsidRDefault="00BB5C2D">
      <w:pPr>
        <w:ind w:firstLine="540"/>
        <w:jc w:val="both"/>
        <w:divId w:val="1096024490"/>
        <w:rPr>
          <w:rFonts w:eastAsia="Times New Roman"/>
        </w:rPr>
      </w:pPr>
      <w:r>
        <w:rPr>
          <w:rFonts w:eastAsia="Times New Roman"/>
          <w:color w:val="000000"/>
          <w:sz w:val="20"/>
          <w:szCs w:val="20"/>
        </w:rPr>
        <w:t>Repurchases of shares of the Company's Class A common stock are subject to overall business and market conditions, as well as other potential factors such as the tempo</w:t>
      </w:r>
      <w:r>
        <w:rPr>
          <w:rFonts w:eastAsia="Times New Roman"/>
          <w:color w:val="000000"/>
          <w:sz w:val="20"/>
          <w:szCs w:val="20"/>
        </w:rPr>
        <w:t xml:space="preserve">rary restrictions previously in place under the Company's Global Credit Facility. Accordingly, in response to business disruptions related to the COVID-19 pandemic, effective beginning in the first quarter of Fiscal 2021, the Company temporarily suspended </w:t>
      </w:r>
      <w:r>
        <w:rPr>
          <w:rFonts w:eastAsia="Times New Roman"/>
          <w:color w:val="000000"/>
          <w:sz w:val="20"/>
          <w:szCs w:val="20"/>
        </w:rPr>
        <w:t>its common stock repurchase program as a preemptive action to preserve cash and strengthen its liquidity position. However, the Company resumed activities under its Class A common stock repurchase program during the third quarter of Fiscal 2022 as restrict</w:t>
      </w:r>
      <w:r>
        <w:rPr>
          <w:rFonts w:eastAsia="Times New Roman"/>
          <w:color w:val="000000"/>
          <w:sz w:val="20"/>
          <w:szCs w:val="20"/>
        </w:rPr>
        <w:t>ions under its Global Credit Facility were lifted (see Note 11) and overall business and market conditions have improved since the COVID-19 pandemic first emerged.</w:t>
      </w:r>
    </w:p>
    <w:p w:rsidR="00000000" w:rsidRDefault="00BB5C2D">
      <w:pPr>
        <w:ind w:firstLine="540"/>
        <w:jc w:val="both"/>
        <w:divId w:val="1463376690"/>
        <w:rPr>
          <w:rFonts w:eastAsia="Times New Roman"/>
        </w:rPr>
      </w:pPr>
      <w:r>
        <w:rPr>
          <w:rFonts w:eastAsia="Times New Roman"/>
          <w:color w:val="000000"/>
          <w:sz w:val="20"/>
          <w:szCs w:val="20"/>
        </w:rPr>
        <w:t>A summary of the Company's repurchases of Class A common stock under its common stock repurc</w:t>
      </w:r>
      <w:r>
        <w:rPr>
          <w:rFonts w:eastAsia="Times New Roman"/>
          <w:color w:val="000000"/>
          <w:sz w:val="20"/>
          <w:szCs w:val="20"/>
        </w:rPr>
        <w:t>hase program is as follows:</w:t>
      </w:r>
    </w:p>
    <w:tbl>
      <w:tblPr>
        <w:tblW w:w="4780" w:type="pct"/>
        <w:tblCellMar>
          <w:top w:w="15" w:type="dxa"/>
          <w:left w:w="15" w:type="dxa"/>
          <w:bottom w:w="15" w:type="dxa"/>
          <w:right w:w="15" w:type="dxa"/>
        </w:tblCellMar>
        <w:tblLook w:val="04A0" w:firstRow="1" w:lastRow="0" w:firstColumn="1" w:lastColumn="0" w:noHBand="0" w:noVBand="1"/>
      </w:tblPr>
      <w:tblGrid>
        <w:gridCol w:w="37"/>
        <w:gridCol w:w="3925"/>
        <w:gridCol w:w="36"/>
        <w:gridCol w:w="36"/>
        <w:gridCol w:w="42"/>
        <w:gridCol w:w="36"/>
        <w:gridCol w:w="120"/>
        <w:gridCol w:w="1076"/>
        <w:gridCol w:w="36"/>
        <w:gridCol w:w="36"/>
        <w:gridCol w:w="36"/>
        <w:gridCol w:w="36"/>
        <w:gridCol w:w="121"/>
        <w:gridCol w:w="1034"/>
        <w:gridCol w:w="36"/>
        <w:gridCol w:w="36"/>
        <w:gridCol w:w="36"/>
        <w:gridCol w:w="36"/>
        <w:gridCol w:w="120"/>
        <w:gridCol w:w="1034"/>
        <w:gridCol w:w="36"/>
      </w:tblGrid>
      <w:tr w:rsidR="00000000">
        <w:trPr>
          <w:divId w:val="1632592610"/>
        </w:trPr>
        <w:tc>
          <w:tcPr>
            <w:tcW w:w="50" w:type="pct"/>
            <w:vAlign w:val="center"/>
            <w:hideMark/>
          </w:tcPr>
          <w:p w:rsidR="00000000" w:rsidRDefault="00BB5C2D">
            <w:pPr>
              <w:ind w:firstLine="540"/>
              <w:jc w:val="both"/>
              <w:rPr>
                <w:rFonts w:eastAsia="Times New Roman"/>
              </w:rPr>
            </w:pPr>
          </w:p>
        </w:tc>
        <w:tc>
          <w:tcPr>
            <w:tcW w:w="250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0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0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0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632592610"/>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Years Ended</w:t>
            </w:r>
          </w:p>
        </w:tc>
      </w:tr>
      <w:tr w:rsidR="00000000">
        <w:trPr>
          <w:divId w:val="1632592610"/>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r>
      <w:tr w:rsidR="00000000">
        <w:trPr>
          <w:divId w:val="1632592610"/>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(in millions)</w:t>
            </w:r>
          </w:p>
        </w:tc>
      </w:tr>
      <w:tr w:rsidR="00000000">
        <w:trPr>
          <w:divId w:val="1632592610"/>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Cost of shares repurchased</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450.5 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650.3 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632592610"/>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Number of shares repurchased</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6.2 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bl>
    <w:p w:rsidR="00000000" w:rsidRDefault="00BB5C2D">
      <w:pPr>
        <w:ind w:firstLine="540"/>
        <w:jc w:val="both"/>
        <w:divId w:val="612438101"/>
        <w:rPr>
          <w:rFonts w:eastAsia="Times New Roman"/>
        </w:rPr>
      </w:pPr>
      <w:r>
        <w:rPr>
          <w:rFonts w:eastAsia="Times New Roman"/>
          <w:color w:val="000000"/>
          <w:sz w:val="20"/>
          <w:szCs w:val="20"/>
        </w:rPr>
        <w:t>On February 2, 2022, the Company's Board of Directors approved an expansion of the Company's existing common stock repurchase program that allows it to repurchase up to an additional $1.500 billion of i</w:t>
      </w:r>
      <w:r>
        <w:rPr>
          <w:rFonts w:eastAsia="Times New Roman"/>
          <w:color w:val="000000"/>
          <w:sz w:val="20"/>
          <w:szCs w:val="20"/>
        </w:rPr>
        <w:t>ts Class A common stock. As of April 2, 2022, the remaining availability under the Company's Class A common stock repurchase program was approximately $1.629 billion.</w:t>
      </w:r>
    </w:p>
    <w:p w:rsidR="00000000" w:rsidRDefault="00BB5C2D">
      <w:pPr>
        <w:ind w:firstLine="540"/>
        <w:jc w:val="both"/>
        <w:divId w:val="626744263"/>
        <w:rPr>
          <w:rFonts w:eastAsia="Times New Roman"/>
        </w:rPr>
      </w:pPr>
      <w:r>
        <w:rPr>
          <w:rFonts w:eastAsia="Times New Roman"/>
          <w:color w:val="000000"/>
          <w:sz w:val="20"/>
          <w:szCs w:val="20"/>
        </w:rPr>
        <w:t xml:space="preserve">In addition, during Fiscal 2022, Fiscal 2021, and Fiscal 2020, 0.4 million, 0.5 million, </w:t>
      </w:r>
      <w:r>
        <w:rPr>
          <w:rFonts w:eastAsia="Times New Roman"/>
          <w:color w:val="000000"/>
          <w:sz w:val="20"/>
          <w:szCs w:val="20"/>
        </w:rPr>
        <w:t xml:space="preserve">and 0.4 million shares of Class A common stock, respectively, at a cost of $42.1 million, $37.7 million, and $44.5 million, respectively, were surrendered to or withheld by the Company in satisfaction of withholding taxes in connection with the vesting of </w:t>
      </w:r>
      <w:r>
        <w:rPr>
          <w:rFonts w:eastAsia="Times New Roman"/>
          <w:color w:val="000000"/>
          <w:sz w:val="20"/>
          <w:szCs w:val="20"/>
        </w:rPr>
        <w:t>awards under the Company's long-term stock incentive plans.</w:t>
      </w:r>
    </w:p>
    <w:p w:rsidR="00000000" w:rsidRDefault="00BB5C2D">
      <w:pPr>
        <w:ind w:firstLine="540"/>
        <w:jc w:val="both"/>
        <w:divId w:val="282351800"/>
        <w:rPr>
          <w:rFonts w:eastAsia="Times New Roman"/>
        </w:rPr>
      </w:pPr>
      <w:r>
        <w:rPr>
          <w:rFonts w:eastAsia="Times New Roman"/>
          <w:color w:val="000000"/>
          <w:sz w:val="20"/>
          <w:szCs w:val="20"/>
        </w:rPr>
        <w:t>Repurchased and surrendered shares are accounted for as treasury stock at cost and held in treasury for future use.</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692805560"/>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692805560"/>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F-44</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56" style="width:0;height:1.5pt" o:hralign="center" o:hrstd="t" o:hr="t" fillcolor="#a0a0a0" stroked="f"/>
        </w:pict>
      </w:r>
    </w:p>
    <w:p w:rsidR="00000000" w:rsidRDefault="00BB5C2D">
      <w:pPr>
        <w:jc w:val="center"/>
        <w:divId w:val="166330402"/>
        <w:rPr>
          <w:rFonts w:eastAsia="Times New Roman"/>
        </w:rPr>
      </w:pPr>
    </w:p>
    <w:p w:rsidR="00000000" w:rsidRDefault="00BB5C2D">
      <w:pPr>
        <w:jc w:val="center"/>
        <w:divId w:val="166330402"/>
        <w:rPr>
          <w:rFonts w:eastAsia="Times New Roman"/>
        </w:rPr>
      </w:pPr>
      <w:r>
        <w:rPr>
          <w:rFonts w:eastAsia="Times New Roman"/>
          <w:b/>
          <w:bCs/>
          <w:color w:val="000000"/>
          <w:sz w:val="20"/>
          <w:szCs w:val="20"/>
        </w:rPr>
        <w:t>RALPH LAUREN CORPORATION</w:t>
      </w:r>
    </w:p>
    <w:p w:rsidR="00000000" w:rsidRDefault="00BB5C2D">
      <w:pPr>
        <w:jc w:val="center"/>
        <w:divId w:val="893077309"/>
        <w:rPr>
          <w:rFonts w:eastAsia="Times New Roman"/>
        </w:rPr>
      </w:pPr>
      <w:r>
        <w:rPr>
          <w:rFonts w:eastAsia="Times New Roman"/>
          <w:b/>
          <w:bCs/>
          <w:color w:val="000000"/>
          <w:sz w:val="20"/>
          <w:szCs w:val="20"/>
        </w:rPr>
        <w:t>NOTES TO CONSOLIDATED FINANCIAL STATEMENTS (Continued)</w:t>
      </w:r>
    </w:p>
    <w:p w:rsidR="00000000" w:rsidRDefault="00BB5C2D">
      <w:pPr>
        <w:ind w:firstLine="360"/>
        <w:jc w:val="both"/>
        <w:divId w:val="450711750"/>
        <w:rPr>
          <w:rFonts w:eastAsia="Times New Roman"/>
        </w:rPr>
      </w:pPr>
      <w:r>
        <w:rPr>
          <w:rFonts w:eastAsia="Times New Roman"/>
          <w:b/>
          <w:bCs/>
          <w:i/>
          <w:iCs/>
          <w:color w:val="000000"/>
          <w:sz w:val="20"/>
          <w:szCs w:val="20"/>
        </w:rPr>
        <w:t>Dividends</w:t>
      </w:r>
    </w:p>
    <w:p w:rsidR="00000000" w:rsidRDefault="00BB5C2D">
      <w:pPr>
        <w:ind w:firstLine="540"/>
        <w:jc w:val="both"/>
        <w:divId w:val="1221864987"/>
        <w:rPr>
          <w:rFonts w:eastAsia="Times New Roman"/>
        </w:rPr>
      </w:pPr>
      <w:r>
        <w:rPr>
          <w:rFonts w:eastAsia="Times New Roman"/>
          <w:color w:val="000000"/>
          <w:sz w:val="20"/>
          <w:szCs w:val="20"/>
        </w:rPr>
        <w:t>Except as discussed below, the Company has maintained a regular quarterly cash dividend program on its common stock since 2003.</w:t>
      </w:r>
    </w:p>
    <w:p w:rsidR="00000000" w:rsidRDefault="00BB5C2D">
      <w:pPr>
        <w:ind w:firstLine="540"/>
        <w:jc w:val="both"/>
        <w:divId w:val="1514418689"/>
        <w:rPr>
          <w:rFonts w:eastAsia="Times New Roman"/>
        </w:rPr>
      </w:pPr>
      <w:r>
        <w:rPr>
          <w:rFonts w:eastAsia="Times New Roman"/>
          <w:color w:val="000000"/>
          <w:sz w:val="20"/>
          <w:szCs w:val="20"/>
        </w:rPr>
        <w:t>In response to business disruptions related to the COVID-19 pandemic, effective beginning in the first quarter of Fiscal 2021 the Company temporarily suspended its quarterly cash dividend program as a preemptive action to preserve cash and strengthen its l</w:t>
      </w:r>
      <w:r>
        <w:rPr>
          <w:rFonts w:eastAsia="Times New Roman"/>
          <w:color w:val="000000"/>
          <w:sz w:val="20"/>
          <w:szCs w:val="20"/>
        </w:rPr>
        <w:t>iquidity position. On May 19, 2021, the Company's Board of Directors approved the reinstatement of its quarterly cash dividend program at the pre-pandemic amount of $0.6875 per share. Dividends paid amounted to $150.0 million, $49.8 million, and $203.9 mil</w:t>
      </w:r>
      <w:r>
        <w:rPr>
          <w:rFonts w:eastAsia="Times New Roman"/>
          <w:color w:val="000000"/>
          <w:sz w:val="20"/>
          <w:szCs w:val="20"/>
        </w:rPr>
        <w:t>lion for Fiscal 2022, Fiscal 2021, and Fiscal 2020, respectively.</w:t>
      </w:r>
    </w:p>
    <w:p w:rsidR="00000000" w:rsidRDefault="00BB5C2D">
      <w:pPr>
        <w:ind w:firstLine="540"/>
        <w:jc w:val="both"/>
        <w:divId w:val="1688170025"/>
        <w:rPr>
          <w:rFonts w:eastAsia="Times New Roman"/>
        </w:rPr>
      </w:pPr>
      <w:r>
        <w:rPr>
          <w:rFonts w:eastAsia="Times New Roman"/>
          <w:color w:val="000000"/>
          <w:sz w:val="20"/>
          <w:szCs w:val="20"/>
        </w:rPr>
        <w:t>On May 18, 2022, the Company's Board of Directors approved an increase to the Company's quarterly cash dividend on its common stock from $0.6875 to $0.75 per share. The first quarterly divid</w:t>
      </w:r>
      <w:r>
        <w:rPr>
          <w:rFonts w:eastAsia="Times New Roman"/>
          <w:color w:val="000000"/>
          <w:sz w:val="20"/>
          <w:szCs w:val="20"/>
        </w:rPr>
        <w:t>end declared to reflect this increase will be payable to shareholders of record at the close of business on July 1, 2022 and will be paid on July 15, 2022.</w:t>
      </w:r>
    </w:p>
    <w:p w:rsidR="00000000" w:rsidRDefault="00BB5C2D">
      <w:pPr>
        <w:ind w:firstLine="540"/>
        <w:jc w:val="both"/>
        <w:divId w:val="1174303197"/>
        <w:rPr>
          <w:rFonts w:eastAsia="Times New Roman"/>
        </w:rPr>
      </w:pPr>
      <w:r>
        <w:rPr>
          <w:rFonts w:eastAsia="Times New Roman"/>
          <w:color w:val="000000"/>
          <w:sz w:val="20"/>
          <w:szCs w:val="20"/>
        </w:rPr>
        <w:t xml:space="preserve">The Company intends to continue to pay regular dividends on outstanding shares of its common stock. </w:t>
      </w:r>
      <w:r>
        <w:rPr>
          <w:rFonts w:eastAsia="Times New Roman"/>
          <w:color w:val="000000"/>
          <w:sz w:val="20"/>
          <w:szCs w:val="20"/>
        </w:rPr>
        <w:t>However, any decision to declare and pay dividends in the future will ultimately be made at the discretion of the Company's Board of Directors and will depend on the Company's results of operations, cash requirements, financial condition, and other factors</w:t>
      </w:r>
      <w:r>
        <w:rPr>
          <w:rFonts w:eastAsia="Times New Roman"/>
          <w:color w:val="000000"/>
          <w:sz w:val="20"/>
          <w:szCs w:val="20"/>
        </w:rPr>
        <w:t xml:space="preserve"> that the Board of Directors may deem relevant, including economic and market conditions.</w:t>
      </w:r>
    </w:p>
    <w:p w:rsidR="00000000" w:rsidRDefault="00BB5C2D">
      <w:pPr>
        <w:ind w:hanging="540"/>
        <w:jc w:val="both"/>
        <w:divId w:val="1704863745"/>
        <w:rPr>
          <w:rFonts w:eastAsia="Times New Roman"/>
        </w:rPr>
      </w:pPr>
      <w:r>
        <w:rPr>
          <w:rFonts w:eastAsia="Times New Roman"/>
          <w:b/>
          <w:bCs/>
          <w:color w:val="000000"/>
          <w:sz w:val="20"/>
          <w:szCs w:val="20"/>
        </w:rPr>
        <w:t>17.    Accumulated Other Comprehensive Income (Loss)</w:t>
      </w:r>
    </w:p>
    <w:p w:rsidR="00000000" w:rsidRDefault="00BB5C2D">
      <w:pPr>
        <w:ind w:firstLine="540"/>
        <w:jc w:val="both"/>
        <w:divId w:val="1150176532"/>
        <w:rPr>
          <w:rFonts w:eastAsia="Times New Roman"/>
        </w:rPr>
      </w:pPr>
      <w:r>
        <w:rPr>
          <w:rFonts w:eastAsia="Times New Roman"/>
          <w:color w:val="000000"/>
          <w:sz w:val="20"/>
          <w:szCs w:val="20"/>
        </w:rPr>
        <w:t>The following table presents OCI activity, net of tax, accumulated in equity:</w:t>
      </w:r>
    </w:p>
    <w:tbl>
      <w:tblPr>
        <w:tblW w:w="4773" w:type="pct"/>
        <w:tblCellMar>
          <w:top w:w="15" w:type="dxa"/>
          <w:left w:w="15" w:type="dxa"/>
          <w:bottom w:w="15" w:type="dxa"/>
          <w:right w:w="15" w:type="dxa"/>
        </w:tblCellMar>
        <w:tblLook w:val="04A0" w:firstRow="1" w:lastRow="0" w:firstColumn="1" w:lastColumn="0" w:noHBand="0" w:noVBand="1"/>
      </w:tblPr>
      <w:tblGrid>
        <w:gridCol w:w="40"/>
        <w:gridCol w:w="3417"/>
        <w:gridCol w:w="39"/>
        <w:gridCol w:w="36"/>
        <w:gridCol w:w="36"/>
        <w:gridCol w:w="36"/>
        <w:gridCol w:w="111"/>
        <w:gridCol w:w="800"/>
        <w:gridCol w:w="36"/>
        <w:gridCol w:w="36"/>
        <w:gridCol w:w="36"/>
        <w:gridCol w:w="36"/>
        <w:gridCol w:w="111"/>
        <w:gridCol w:w="800"/>
        <w:gridCol w:w="36"/>
        <w:gridCol w:w="36"/>
        <w:gridCol w:w="36"/>
        <w:gridCol w:w="36"/>
        <w:gridCol w:w="111"/>
        <w:gridCol w:w="801"/>
        <w:gridCol w:w="36"/>
        <w:gridCol w:w="36"/>
        <w:gridCol w:w="36"/>
        <w:gridCol w:w="36"/>
        <w:gridCol w:w="111"/>
        <w:gridCol w:w="1012"/>
        <w:gridCol w:w="36"/>
      </w:tblGrid>
      <w:tr w:rsidR="00000000">
        <w:trPr>
          <w:divId w:val="1006983772"/>
        </w:trPr>
        <w:tc>
          <w:tcPr>
            <w:tcW w:w="50" w:type="pct"/>
            <w:vAlign w:val="center"/>
            <w:hideMark/>
          </w:tcPr>
          <w:p w:rsidR="00000000" w:rsidRDefault="00BB5C2D">
            <w:pPr>
              <w:ind w:firstLine="540"/>
              <w:jc w:val="both"/>
              <w:rPr>
                <w:rFonts w:eastAsia="Times New Roman"/>
              </w:rPr>
            </w:pPr>
          </w:p>
        </w:tc>
        <w:tc>
          <w:tcPr>
            <w:tcW w:w="221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8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8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8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8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006983772"/>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Foreign Currency Translation Gains (Losses</w:t>
            </w:r>
            <w:r>
              <w:rPr>
                <w:rFonts w:eastAsia="Times New Roman"/>
                <w:b/>
                <w:bCs/>
                <w:color w:val="000000"/>
                <w:sz w:val="16"/>
                <w:szCs w:val="16"/>
              </w:rPr>
              <w:t>)</w:t>
            </w:r>
            <w:r>
              <w:rPr>
                <w:rFonts w:eastAsia="Times New Roman"/>
                <w:b/>
                <w:bCs/>
                <w:color w:val="000000"/>
                <w:sz w:val="10"/>
                <w:szCs w:val="10"/>
              </w:rPr>
              <w:t>(a</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Net Unrealized Gains (Losses) on Cash Flow Hedge</w:t>
            </w:r>
            <w:r>
              <w:rPr>
                <w:rFonts w:eastAsia="Times New Roman"/>
                <w:b/>
                <w:bCs/>
                <w:color w:val="000000"/>
                <w:sz w:val="16"/>
                <w:szCs w:val="16"/>
              </w:rPr>
              <w:t>s</w:t>
            </w:r>
            <w:r>
              <w:rPr>
                <w:rFonts w:eastAsia="Times New Roman"/>
                <w:b/>
                <w:bCs/>
                <w:color w:val="000000"/>
                <w:sz w:val="10"/>
                <w:szCs w:val="10"/>
              </w:rPr>
              <w:t>(b</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Net Unrealized Gains (Losses) on Defined Benefit Plan</w:t>
            </w:r>
            <w:r>
              <w:rPr>
                <w:rFonts w:eastAsia="Times New Roman"/>
                <w:b/>
                <w:bCs/>
                <w:color w:val="000000"/>
                <w:sz w:val="16"/>
                <w:szCs w:val="16"/>
              </w:rPr>
              <w:t>s</w:t>
            </w:r>
            <w:r>
              <w:rPr>
                <w:rFonts w:eastAsia="Times New Roman"/>
                <w:b/>
                <w:bCs/>
                <w:color w:val="000000"/>
                <w:sz w:val="10"/>
                <w:szCs w:val="10"/>
              </w:rPr>
              <w:t>(c</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Total Accumulated Other Comprehensive Income (Loss</w:t>
            </w:r>
            <w:r>
              <w:rPr>
                <w:rFonts w:eastAsia="Times New Roman"/>
                <w:b/>
                <w:bCs/>
                <w:color w:val="000000"/>
                <w:sz w:val="16"/>
                <w:szCs w:val="16"/>
              </w:rPr>
              <w:t>)</w:t>
            </w:r>
            <w:r>
              <w:rPr>
                <w:rFonts w:eastAsia="Times New Roman"/>
                <w:b/>
                <w:bCs/>
                <w:color w:val="000000"/>
                <w:sz w:val="10"/>
                <w:szCs w:val="10"/>
              </w:rPr>
              <w:t>(d</w:t>
            </w:r>
            <w:r>
              <w:rPr>
                <w:rFonts w:eastAsia="Times New Roman"/>
                <w:b/>
                <w:bCs/>
                <w:color w:val="000000"/>
                <w:sz w:val="10"/>
                <w:szCs w:val="10"/>
              </w:rPr>
              <w:t>)</w:t>
            </w:r>
          </w:p>
        </w:tc>
      </w:tr>
      <w:tr w:rsidR="00000000">
        <w:trPr>
          <w:divId w:val="1006983772"/>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1006983772"/>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Balance at March 30, 2019</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(118.5)</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20.2 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(5.1)</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(103.4)</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006983772"/>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Other comprehensive income (loss), net of tax:</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006983772"/>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ind w:hanging="180"/>
              <w:divId w:val="276908836"/>
              <w:rPr>
                <w:rFonts w:eastAsia="Times New Roman"/>
              </w:rPr>
            </w:pPr>
            <w:r>
              <w:rPr>
                <w:rFonts w:eastAsia="Times New Roman"/>
                <w:color w:val="000000"/>
                <w:sz w:val="18"/>
                <w:szCs w:val="18"/>
              </w:rPr>
              <w:t>OCI before reclassifications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ind w:hanging="18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(7.0)</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21.2 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(1.6)</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12.6 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006983772"/>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ind w:hanging="180"/>
              <w:divId w:val="1187407168"/>
              <w:rPr>
                <w:rFonts w:eastAsia="Times New Roman"/>
              </w:rPr>
            </w:pPr>
            <w:r>
              <w:rPr>
                <w:rFonts w:eastAsia="Times New Roman"/>
                <w:color w:val="000000"/>
                <w:sz w:val="18"/>
                <w:szCs w:val="18"/>
              </w:rPr>
              <w:t>Amounts reclassified from AOCI to earnings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(4.9)</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(23.4)</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0.9 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(27.4)</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006983772"/>
        </w:trPr>
        <w:tc>
          <w:tcPr>
            <w:tcW w:w="0" w:type="auto"/>
            <w:gridSpan w:val="3"/>
            <w:shd w:val="clear" w:color="auto" w:fill="CCEEFF"/>
            <w:tcMar>
              <w:top w:w="30" w:type="dxa"/>
              <w:left w:w="290" w:type="dxa"/>
              <w:bottom w:w="30" w:type="dxa"/>
              <w:right w:w="20" w:type="dxa"/>
            </w:tcMar>
            <w:vAlign w:val="bottom"/>
            <w:hideMark/>
          </w:tcPr>
          <w:p w:rsidR="00000000" w:rsidRDefault="00BB5C2D">
            <w:pPr>
              <w:spacing w:after="100"/>
              <w:ind w:hanging="180"/>
              <w:rPr>
                <w:rFonts w:eastAsia="Times New Roman"/>
              </w:rPr>
            </w:pPr>
            <w:r>
              <w:rPr>
                <w:rFonts w:eastAsia="Times New Roman"/>
                <w:color w:val="000000"/>
                <w:sz w:val="18"/>
                <w:szCs w:val="18"/>
              </w:rPr>
              <w:t>Other comprehensive loss, net of tax</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ind w:hanging="18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(11.9)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(2.2)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(14.8)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006983772"/>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Balance at March 28, 2020</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(130.4)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18.0 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(5.8)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(118.2)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006983772"/>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Other comprehensive income (loss), net of tax:</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006983772"/>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ind w:hanging="180"/>
              <w:divId w:val="1532956822"/>
              <w:rPr>
                <w:rFonts w:eastAsia="Times New Roman"/>
              </w:rPr>
            </w:pPr>
            <w:r>
              <w:rPr>
                <w:rFonts w:eastAsia="Times New Roman"/>
                <w:color w:val="000000"/>
                <w:sz w:val="18"/>
                <w:szCs w:val="18"/>
              </w:rPr>
              <w:t>OCI before reclassifications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7.2 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(3.0)</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3.3 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7.5 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006983772"/>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ind w:hanging="180"/>
              <w:divId w:val="1296645135"/>
              <w:rPr>
                <w:rFonts w:eastAsia="Times New Roman"/>
              </w:rPr>
            </w:pPr>
            <w:r>
              <w:rPr>
                <w:rFonts w:eastAsia="Times New Roman"/>
                <w:color w:val="000000"/>
                <w:sz w:val="18"/>
                <w:szCs w:val="18"/>
              </w:rPr>
              <w:t>Amounts reclassified from AOCI to earnings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ind w:hanging="18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(10.4)</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0.3 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(10.1)</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006983772"/>
        </w:trPr>
        <w:tc>
          <w:tcPr>
            <w:tcW w:w="0" w:type="auto"/>
            <w:gridSpan w:val="3"/>
            <w:shd w:val="clear" w:color="auto" w:fill="FFFFFF"/>
            <w:tcMar>
              <w:top w:w="30" w:type="dxa"/>
              <w:left w:w="290" w:type="dxa"/>
              <w:bottom w:w="30" w:type="dxa"/>
              <w:right w:w="20" w:type="dxa"/>
            </w:tcMar>
            <w:vAlign w:val="bottom"/>
            <w:hideMark/>
          </w:tcPr>
          <w:p w:rsidR="00000000" w:rsidRDefault="00BB5C2D">
            <w:pPr>
              <w:spacing w:after="100"/>
              <w:ind w:hanging="180"/>
              <w:rPr>
                <w:rFonts w:eastAsia="Times New Roman"/>
              </w:rPr>
            </w:pPr>
            <w:r>
              <w:rPr>
                <w:rFonts w:eastAsia="Times New Roman"/>
                <w:color w:val="000000"/>
                <w:sz w:val="18"/>
                <w:szCs w:val="18"/>
              </w:rPr>
              <w:t>Other comprehensive income (loss), net of tax</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ind w:hanging="18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(13.4)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006983772"/>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Balance at March 27, 2021</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(123.2)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(2.2)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(120.8)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006983772"/>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Other comprehensive income (loss), net of tax:</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006983772"/>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ind w:hanging="180"/>
              <w:divId w:val="756756943"/>
              <w:rPr>
                <w:rFonts w:eastAsia="Times New Roman"/>
              </w:rPr>
            </w:pPr>
            <w:r>
              <w:rPr>
                <w:rFonts w:eastAsia="Times New Roman"/>
                <w:color w:val="000000"/>
                <w:sz w:val="18"/>
                <w:szCs w:val="18"/>
              </w:rPr>
              <w:t>OCI before reclassifications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ind w:hanging="18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(66.5)</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7.7 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2.2 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(56.6)</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006983772"/>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ind w:hanging="180"/>
              <w:divId w:val="1885947698"/>
              <w:rPr>
                <w:rFonts w:eastAsia="Times New Roman"/>
              </w:rPr>
            </w:pPr>
            <w:r>
              <w:rPr>
                <w:rFonts w:eastAsia="Times New Roman"/>
                <w:color w:val="000000"/>
                <w:sz w:val="18"/>
                <w:szCs w:val="18"/>
              </w:rPr>
              <w:t>Amounts reclassified from AOCI to earnings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(3.3)</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0.4 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(2.9)</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006983772"/>
        </w:trPr>
        <w:tc>
          <w:tcPr>
            <w:tcW w:w="0" w:type="auto"/>
            <w:gridSpan w:val="3"/>
            <w:shd w:val="clear" w:color="auto" w:fill="CCEEFF"/>
            <w:tcMar>
              <w:top w:w="30" w:type="dxa"/>
              <w:left w:w="290" w:type="dxa"/>
              <w:bottom w:w="30" w:type="dxa"/>
              <w:right w:w="20" w:type="dxa"/>
            </w:tcMar>
            <w:vAlign w:val="bottom"/>
            <w:hideMark/>
          </w:tcPr>
          <w:p w:rsidR="00000000" w:rsidRDefault="00BB5C2D">
            <w:pPr>
              <w:spacing w:after="100"/>
              <w:ind w:hanging="180"/>
              <w:rPr>
                <w:rFonts w:eastAsia="Times New Roman"/>
              </w:rPr>
            </w:pPr>
            <w:r>
              <w:rPr>
                <w:rFonts w:eastAsia="Times New Roman"/>
                <w:color w:val="000000"/>
                <w:sz w:val="18"/>
                <w:szCs w:val="18"/>
              </w:rPr>
              <w:t>Other comprehensive income (loss), net of tax</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ind w:hanging="18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(66.5)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(59.5)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006983772"/>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8"/>
                <w:szCs w:val="18"/>
              </w:rPr>
              <w:t>Balance at April 2, 2022</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(189.7)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0.4 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18"/>
                <w:szCs w:val="18"/>
              </w:rPr>
              <w:t>(</w:t>
            </w:r>
            <w:r>
              <w:rPr>
                <w:rFonts w:eastAsia="Times New Roman"/>
                <w:color w:val="000000"/>
                <w:sz w:val="18"/>
                <w:szCs w:val="18"/>
              </w:rPr>
              <w:t>180.3)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BB5C2D">
            <w:pPr>
              <w:rPr>
                <w:rFonts w:eastAsia="Times New Roman"/>
              </w:rPr>
            </w:pPr>
          </w:p>
        </w:tc>
        <w:tc>
          <w:tcPr>
            <w:tcW w:w="494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r>
    </w:tbl>
    <w:p w:rsidR="00000000" w:rsidRDefault="00BB5C2D">
      <w:pPr>
        <w:ind w:hanging="360"/>
        <w:jc w:val="both"/>
        <w:divId w:val="1737629051"/>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OCI before reclassifications to earnings related to foreign currency translation gains (losses) includes income tax provisions of $17.7 million and $9.2 million for Fiscal 2022 and Fiscal 2020, respectively, and includes an income tax benefit of $22.1 mill</w:t>
      </w:r>
      <w:r>
        <w:rPr>
          <w:rFonts w:eastAsia="Times New Roman"/>
          <w:color w:val="000000"/>
          <w:sz w:val="20"/>
          <w:szCs w:val="20"/>
        </w:rPr>
        <w:t>ion for Fiscal 2021. OCI before reclassifications to earnings includes gains of $38.1 million (net of a $12.3 million income tax provision) and $29.0 million (net of a $9.4 million income tax provision) for Fiscal 2022 and Fiscal 2020, respectively, and in</w:t>
      </w:r>
      <w:r>
        <w:rPr>
          <w:rFonts w:eastAsia="Times New Roman"/>
          <w:color w:val="000000"/>
          <w:sz w:val="20"/>
          <w:szCs w:val="20"/>
        </w:rPr>
        <w:t>cludes a loss of $65.6 million (net of a $20.7 million income tax benefit) for Fiscal 2021, related to changes in the fair values of instruments designated as hedges of the Company's net investment in certain foreign operations (see Note 13). Amounts recla</w:t>
      </w:r>
      <w:r>
        <w:rPr>
          <w:rFonts w:eastAsia="Times New Roman"/>
          <w:color w:val="000000"/>
          <w:sz w:val="20"/>
          <w:szCs w:val="20"/>
        </w:rPr>
        <w:t>ssified from AOCI to earnings related to foreign currency translation gains (losses) during Fiscal 2020 relate to the reclassification to retained earnings of income tax effects stranded in AOCI.</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781411683"/>
          <w:jc w:val="center"/>
        </w:trPr>
        <w:tc>
          <w:tcPr>
            <w:tcW w:w="50" w:type="pct"/>
            <w:vAlign w:val="center"/>
            <w:hideMark/>
          </w:tcPr>
          <w:p w:rsidR="00000000" w:rsidRDefault="00BB5C2D">
            <w:pPr>
              <w:ind w:hanging="36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781411683"/>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F-45</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57" style="width:0;height:1.5pt" o:hralign="center" o:hrstd="t" o:hr="t" fillcolor="#a0a0a0" stroked="f"/>
        </w:pict>
      </w:r>
    </w:p>
    <w:p w:rsidR="00000000" w:rsidRDefault="00BB5C2D">
      <w:pPr>
        <w:jc w:val="center"/>
        <w:divId w:val="465513150"/>
        <w:rPr>
          <w:rFonts w:eastAsia="Times New Roman"/>
        </w:rPr>
      </w:pPr>
    </w:p>
    <w:p w:rsidR="00000000" w:rsidRDefault="00BB5C2D">
      <w:pPr>
        <w:jc w:val="center"/>
        <w:divId w:val="465513150"/>
        <w:rPr>
          <w:rFonts w:eastAsia="Times New Roman"/>
        </w:rPr>
      </w:pPr>
      <w:r>
        <w:rPr>
          <w:rFonts w:eastAsia="Times New Roman"/>
          <w:b/>
          <w:bCs/>
          <w:color w:val="000000"/>
          <w:sz w:val="20"/>
          <w:szCs w:val="20"/>
        </w:rPr>
        <w:t>RALPH LAUREN CORPORATION</w:t>
      </w:r>
    </w:p>
    <w:p w:rsidR="00000000" w:rsidRDefault="00BB5C2D">
      <w:pPr>
        <w:jc w:val="center"/>
        <w:divId w:val="635528530"/>
        <w:rPr>
          <w:rFonts w:eastAsia="Times New Roman"/>
        </w:rPr>
      </w:pPr>
      <w:r>
        <w:rPr>
          <w:rFonts w:eastAsia="Times New Roman"/>
          <w:b/>
          <w:bCs/>
          <w:color w:val="000000"/>
          <w:sz w:val="20"/>
          <w:szCs w:val="20"/>
        </w:rPr>
        <w:t>NOTES TO CONSOLIDATED FINANCIAL STATEMENTS (Continued)</w:t>
      </w:r>
    </w:p>
    <w:p w:rsidR="00000000" w:rsidRDefault="00BB5C2D">
      <w:pPr>
        <w:ind w:hanging="360"/>
        <w:jc w:val="both"/>
        <w:divId w:val="1144542012"/>
        <w:rPr>
          <w:rFonts w:eastAsia="Times New Roman"/>
        </w:rPr>
      </w:pPr>
      <w:r>
        <w:rPr>
          <w:rFonts w:eastAsia="Times New Roman"/>
          <w:b/>
          <w:bCs/>
          <w:color w:val="000000"/>
          <w:sz w:val="13"/>
          <w:szCs w:val="13"/>
        </w:rPr>
        <w:t>(b</w:t>
      </w:r>
      <w:r>
        <w:rPr>
          <w:rFonts w:eastAsia="Times New Roman"/>
          <w:b/>
          <w:bCs/>
          <w:color w:val="000000"/>
          <w:sz w:val="13"/>
          <w:szCs w:val="13"/>
        </w:rPr>
        <w:t>)</w:t>
      </w:r>
      <w:r>
        <w:rPr>
          <w:rFonts w:eastAsia="Times New Roman"/>
          <w:color w:val="000000"/>
          <w:sz w:val="20"/>
          <w:szCs w:val="20"/>
        </w:rPr>
        <w:t>OCI before reclassifications to earnings related to net unrealized gains (losses) on cash flow hedges are presented net of income tax p</w:t>
      </w:r>
      <w:r>
        <w:rPr>
          <w:rFonts w:eastAsia="Times New Roman"/>
          <w:color w:val="000000"/>
          <w:sz w:val="20"/>
          <w:szCs w:val="20"/>
        </w:rPr>
        <w:t>rovisions of $1.3 million and $2.8 million for Fiscal 2022 and Fiscal 2020, respectively, and are presented net of an income tax benefit of $0.5 million for Fiscal 2021. The tax effects on amounts reclassified from AOCI to earnings are presented in a table</w:t>
      </w:r>
      <w:r>
        <w:rPr>
          <w:rFonts w:eastAsia="Times New Roman"/>
          <w:color w:val="000000"/>
          <w:sz w:val="20"/>
          <w:szCs w:val="20"/>
        </w:rPr>
        <w:t xml:space="preserve"> below.</w:t>
      </w:r>
    </w:p>
    <w:p w:rsidR="00000000" w:rsidRDefault="00BB5C2D">
      <w:pPr>
        <w:ind w:hanging="360"/>
        <w:jc w:val="both"/>
        <w:divId w:val="1444377266"/>
        <w:rPr>
          <w:rFonts w:eastAsia="Times New Roman"/>
        </w:rPr>
      </w:pPr>
      <w:r>
        <w:rPr>
          <w:rFonts w:eastAsia="Times New Roman"/>
          <w:b/>
          <w:bCs/>
          <w:color w:val="000000"/>
          <w:sz w:val="13"/>
          <w:szCs w:val="13"/>
        </w:rPr>
        <w:t>(c</w:t>
      </w:r>
      <w:r>
        <w:rPr>
          <w:rFonts w:eastAsia="Times New Roman"/>
          <w:b/>
          <w:bCs/>
          <w:color w:val="000000"/>
          <w:sz w:val="13"/>
          <w:szCs w:val="13"/>
        </w:rPr>
        <w:t>)</w:t>
      </w:r>
      <w:r>
        <w:rPr>
          <w:rFonts w:eastAsia="Times New Roman"/>
          <w:color w:val="000000"/>
          <w:sz w:val="20"/>
          <w:szCs w:val="20"/>
        </w:rPr>
        <w:t xml:space="preserve">OCI before reclassifications to earnings related to net unrealized gains (losses) on defined benefit plans are presented net of an income tax provision of $1.2 million for Fiscal 2021. The tax effects on OCI before reclassifications to earnings </w:t>
      </w:r>
      <w:r>
        <w:rPr>
          <w:rFonts w:eastAsia="Times New Roman"/>
          <w:color w:val="000000"/>
          <w:sz w:val="20"/>
          <w:szCs w:val="20"/>
        </w:rPr>
        <w:t>were immaterial for the other periods presented, and were immaterial for amounts reclassified from AOCI to earnings for all periods presented.</w:t>
      </w:r>
    </w:p>
    <w:p w:rsidR="00000000" w:rsidRDefault="00BB5C2D">
      <w:pPr>
        <w:ind w:hanging="360"/>
        <w:jc w:val="both"/>
        <w:divId w:val="1254168129"/>
        <w:rPr>
          <w:rFonts w:eastAsia="Times New Roman"/>
        </w:rPr>
      </w:pPr>
      <w:r>
        <w:rPr>
          <w:rFonts w:eastAsia="Times New Roman"/>
          <w:b/>
          <w:bCs/>
          <w:color w:val="000000"/>
          <w:sz w:val="13"/>
          <w:szCs w:val="13"/>
        </w:rPr>
        <w:t>(d</w:t>
      </w:r>
      <w:r>
        <w:rPr>
          <w:rFonts w:eastAsia="Times New Roman"/>
          <w:b/>
          <w:bCs/>
          <w:color w:val="000000"/>
          <w:sz w:val="13"/>
          <w:szCs w:val="13"/>
        </w:rPr>
        <w:t>)</w:t>
      </w:r>
      <w:r>
        <w:rPr>
          <w:rFonts w:eastAsia="Times New Roman"/>
          <w:color w:val="000000"/>
          <w:sz w:val="20"/>
          <w:szCs w:val="20"/>
        </w:rPr>
        <w:t>The Company generally releases income tax effects from AOCI when the corresponding pretax AOCI items are recla</w:t>
      </w:r>
      <w:r>
        <w:rPr>
          <w:rFonts w:eastAsia="Times New Roman"/>
          <w:color w:val="000000"/>
          <w:sz w:val="20"/>
          <w:szCs w:val="20"/>
        </w:rPr>
        <w:t xml:space="preserve">ssified to earnings. </w:t>
      </w:r>
    </w:p>
    <w:p w:rsidR="00000000" w:rsidRDefault="00BB5C2D">
      <w:pPr>
        <w:ind w:firstLine="540"/>
        <w:jc w:val="both"/>
        <w:divId w:val="1022321234"/>
        <w:rPr>
          <w:rFonts w:eastAsia="Times New Roman"/>
        </w:rPr>
      </w:pPr>
      <w:r>
        <w:rPr>
          <w:rFonts w:eastAsia="Times New Roman"/>
          <w:color w:val="000000"/>
          <w:sz w:val="20"/>
          <w:szCs w:val="20"/>
        </w:rPr>
        <w:t>The following table presents reclassifications from AOCI to earnings for cash flow hedges, by component:</w:t>
      </w:r>
    </w:p>
    <w:tbl>
      <w:tblPr>
        <w:tblW w:w="4722" w:type="pct"/>
        <w:tblCellMar>
          <w:top w:w="15" w:type="dxa"/>
          <w:left w:w="15" w:type="dxa"/>
          <w:bottom w:w="15" w:type="dxa"/>
          <w:right w:w="15" w:type="dxa"/>
        </w:tblCellMar>
        <w:tblLook w:val="04A0" w:firstRow="1" w:lastRow="0" w:firstColumn="1" w:lastColumn="0" w:noHBand="0" w:noVBand="1"/>
      </w:tblPr>
      <w:tblGrid>
        <w:gridCol w:w="37"/>
        <w:gridCol w:w="2963"/>
        <w:gridCol w:w="36"/>
        <w:gridCol w:w="36"/>
        <w:gridCol w:w="36"/>
        <w:gridCol w:w="36"/>
        <w:gridCol w:w="120"/>
        <w:gridCol w:w="646"/>
        <w:gridCol w:w="36"/>
        <w:gridCol w:w="36"/>
        <w:gridCol w:w="36"/>
        <w:gridCol w:w="36"/>
        <w:gridCol w:w="120"/>
        <w:gridCol w:w="646"/>
        <w:gridCol w:w="36"/>
        <w:gridCol w:w="36"/>
        <w:gridCol w:w="36"/>
        <w:gridCol w:w="36"/>
        <w:gridCol w:w="120"/>
        <w:gridCol w:w="623"/>
        <w:gridCol w:w="36"/>
        <w:gridCol w:w="36"/>
        <w:gridCol w:w="36"/>
        <w:gridCol w:w="36"/>
        <w:gridCol w:w="37"/>
        <w:gridCol w:w="1920"/>
        <w:gridCol w:w="36"/>
      </w:tblGrid>
      <w:tr w:rsidR="00000000">
        <w:trPr>
          <w:divId w:val="607929485"/>
        </w:trPr>
        <w:tc>
          <w:tcPr>
            <w:tcW w:w="50" w:type="pct"/>
            <w:vAlign w:val="center"/>
            <w:hideMark/>
          </w:tcPr>
          <w:p w:rsidR="00000000" w:rsidRDefault="00BB5C2D">
            <w:pPr>
              <w:ind w:firstLine="540"/>
              <w:jc w:val="both"/>
              <w:rPr>
                <w:rFonts w:eastAsia="Times New Roman"/>
              </w:rPr>
            </w:pPr>
          </w:p>
        </w:tc>
        <w:tc>
          <w:tcPr>
            <w:tcW w:w="191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63"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63"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4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27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607929485"/>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607929485"/>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Location of Gains (Losses)</w:t>
            </w:r>
          </w:p>
          <w:p w:rsidR="00000000" w:rsidRDefault="00BB5C2D">
            <w:pPr>
              <w:spacing w:after="100"/>
              <w:jc w:val="center"/>
              <w:rPr>
                <w:rFonts w:eastAsia="Times New Roman"/>
              </w:rPr>
            </w:pPr>
            <w:r>
              <w:rPr>
                <w:rFonts w:eastAsia="Times New Roman"/>
                <w:b/>
                <w:bCs/>
                <w:color w:val="000000"/>
                <w:sz w:val="16"/>
                <w:szCs w:val="16"/>
              </w:rPr>
              <w:t>Reclassified from AOC</w:t>
            </w:r>
            <w:r>
              <w:rPr>
                <w:rFonts w:eastAsia="Times New Roman"/>
                <w:b/>
                <w:bCs/>
                <w:color w:val="000000"/>
                <w:sz w:val="16"/>
                <w:szCs w:val="16"/>
              </w:rPr>
              <w:t>I</w:t>
            </w:r>
            <w:r>
              <w:rPr>
                <w:rFonts w:eastAsia="Times New Roman"/>
                <w:b/>
                <w:bCs/>
                <w:color w:val="000000"/>
                <w:sz w:val="10"/>
                <w:szCs w:val="10"/>
              </w:rPr>
              <w:t xml:space="preserve"> </w:t>
            </w:r>
            <w:r>
              <w:rPr>
                <w:rFonts w:eastAsia="Times New Roman"/>
                <w:b/>
                <w:bCs/>
                <w:color w:val="000000"/>
                <w:sz w:val="16"/>
                <w:szCs w:val="16"/>
              </w:rPr>
              <w:t>to Earnings</w:t>
            </w:r>
          </w:p>
        </w:tc>
      </w:tr>
      <w:tr w:rsidR="00000000">
        <w:trPr>
          <w:divId w:val="607929485"/>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607929485"/>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ind w:hanging="180"/>
              <w:divId w:val="2101827708"/>
              <w:rPr>
                <w:rFonts w:eastAsia="Times New Roman"/>
              </w:rPr>
            </w:pPr>
            <w:r>
              <w:rPr>
                <w:rFonts w:eastAsia="Times New Roman"/>
                <w:b/>
                <w:bCs/>
                <w:color w:val="000000"/>
                <w:sz w:val="19"/>
                <w:szCs w:val="19"/>
              </w:rPr>
              <w:t>Gains (losses) on cash flow hedge</w:t>
            </w:r>
            <w:r>
              <w:rPr>
                <w:rFonts w:eastAsia="Times New Roman"/>
                <w:b/>
                <w:bCs/>
                <w:color w:val="000000"/>
                <w:sz w:val="19"/>
                <w:szCs w:val="19"/>
              </w:rPr>
              <w:t>s</w:t>
            </w:r>
            <w:r>
              <w:rPr>
                <w:rFonts w:eastAsia="Times New Roman"/>
                <w:b/>
                <w:bCs/>
                <w:color w:val="000000"/>
                <w:sz w:val="12"/>
                <w:szCs w:val="12"/>
              </w:rPr>
              <w:t>(a</w:t>
            </w:r>
            <w:r>
              <w:rPr>
                <w:rFonts w:eastAsia="Times New Roman"/>
                <w:b/>
                <w:bCs/>
                <w:color w:val="000000"/>
                <w:sz w:val="12"/>
                <w:szCs w:val="12"/>
              </w:rPr>
              <w:t>)</w:t>
            </w:r>
            <w:r>
              <w:rPr>
                <w:rFonts w:eastAsia="Times New Roman"/>
                <w:b/>
                <w:bCs/>
                <w:color w:val="000000"/>
                <w:sz w:val="19"/>
                <w:szCs w:val="19"/>
              </w:rPr>
              <w: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607929485"/>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ind w:hanging="360"/>
              <w:divId w:val="478115618"/>
              <w:rPr>
                <w:rFonts w:eastAsia="Times New Roman"/>
              </w:rPr>
            </w:pPr>
            <w:r>
              <w:rPr>
                <w:rFonts w:eastAsia="Times New Roman"/>
                <w:color w:val="000000"/>
                <w:sz w:val="19"/>
                <w:szCs w:val="19"/>
              </w:rPr>
              <w:t>    FC — Cash flow hedges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ind w:hanging="36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12.6 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24.9 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9"/>
                <w:szCs w:val="19"/>
              </w:rPr>
              <w:t>Cost of goods sold</w:t>
            </w:r>
          </w:p>
        </w:tc>
      </w:tr>
      <w:tr w:rsidR="00000000">
        <w:trPr>
          <w:divId w:val="607929485"/>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ind w:hanging="360"/>
              <w:divId w:val="40523419"/>
              <w:rPr>
                <w:rFonts w:eastAsia="Times New Roman"/>
              </w:rPr>
            </w:pPr>
            <w:r>
              <w:rPr>
                <w:rFonts w:eastAsia="Times New Roman"/>
                <w:color w:val="000000"/>
                <w:sz w:val="19"/>
                <w:szCs w:val="19"/>
              </w:rPr>
              <w:t>    FC — Cash flow hedges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ind w:hanging="36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(0.3)</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9"/>
                <w:szCs w:val="19"/>
              </w:rPr>
              <w:t>Other income (expense), net</w:t>
            </w:r>
          </w:p>
        </w:tc>
      </w:tr>
      <w:tr w:rsidR="00000000">
        <w:trPr>
          <w:divId w:val="607929485"/>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9"/>
                <w:szCs w:val="19"/>
              </w:rPr>
              <w:t>    Tax effect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(0.5)</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(1.9)</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9"/>
                <w:szCs w:val="19"/>
              </w:rPr>
              <w:t>Income tax benefit (provision)</w:t>
            </w:r>
          </w:p>
        </w:tc>
      </w:tr>
      <w:tr w:rsidR="00000000">
        <w:trPr>
          <w:divId w:val="607929485"/>
        </w:trPr>
        <w:tc>
          <w:tcPr>
            <w:tcW w:w="0" w:type="auto"/>
            <w:gridSpan w:val="3"/>
            <w:shd w:val="clear" w:color="auto" w:fill="CCEEFF"/>
            <w:tcMar>
              <w:top w:w="30" w:type="dxa"/>
              <w:left w:w="380" w:type="dxa"/>
              <w:bottom w:w="30" w:type="dxa"/>
              <w:right w:w="20" w:type="dxa"/>
            </w:tcMar>
            <w:vAlign w:val="bottom"/>
            <w:hideMark/>
          </w:tcPr>
          <w:p w:rsidR="00000000" w:rsidRDefault="00BB5C2D">
            <w:pPr>
              <w:spacing w:after="100"/>
              <w:rPr>
                <w:rFonts w:eastAsia="Times New Roman"/>
              </w:rPr>
            </w:pPr>
            <w:r>
              <w:rPr>
                <w:rFonts w:eastAsia="Times New Roman"/>
                <w:color w:val="000000"/>
                <w:sz w:val="19"/>
                <w:szCs w:val="19"/>
              </w:rPr>
              <w:t>Net of tax</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BB5C2D">
            <w:pPr>
              <w:rPr>
                <w:rFonts w:eastAsia="Times New Roman"/>
              </w:rPr>
            </w:pPr>
          </w:p>
        </w:tc>
        <w:tc>
          <w:tcPr>
            <w:tcW w:w="494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r>
    </w:tbl>
    <w:p w:rsidR="00000000" w:rsidRDefault="00BB5C2D">
      <w:pPr>
        <w:ind w:hanging="360"/>
        <w:jc w:val="both"/>
        <w:divId w:val="520319968"/>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FC = Forward foreign currency exchange contracts.</w:t>
      </w:r>
    </w:p>
    <w:p w:rsidR="00000000" w:rsidRDefault="00BB5C2D">
      <w:pPr>
        <w:ind w:hanging="540"/>
        <w:divId w:val="2048025404"/>
        <w:rPr>
          <w:rFonts w:eastAsia="Times New Roman"/>
        </w:rPr>
      </w:pPr>
      <w:r>
        <w:rPr>
          <w:rFonts w:eastAsia="Times New Roman"/>
          <w:b/>
          <w:bCs/>
          <w:color w:val="000000"/>
          <w:sz w:val="20"/>
          <w:szCs w:val="20"/>
        </w:rPr>
        <w:t>18.    Stock-based Compensation</w:t>
      </w:r>
    </w:p>
    <w:p w:rsidR="00000000" w:rsidRDefault="00BB5C2D">
      <w:pPr>
        <w:ind w:firstLine="360"/>
        <w:jc w:val="both"/>
        <w:divId w:val="444155145"/>
        <w:rPr>
          <w:rFonts w:eastAsia="Times New Roman"/>
        </w:rPr>
      </w:pPr>
      <w:r>
        <w:rPr>
          <w:rFonts w:eastAsia="Times New Roman"/>
          <w:b/>
          <w:bCs/>
          <w:i/>
          <w:iCs/>
          <w:color w:val="000000"/>
          <w:sz w:val="20"/>
          <w:szCs w:val="20"/>
        </w:rPr>
        <w:t>Long-term Stock Incentive Plans</w:t>
      </w:r>
    </w:p>
    <w:p w:rsidR="00000000" w:rsidRDefault="00BB5C2D">
      <w:pPr>
        <w:ind w:firstLine="540"/>
        <w:jc w:val="both"/>
        <w:divId w:val="34278948"/>
        <w:rPr>
          <w:rFonts w:eastAsia="Times New Roman"/>
        </w:rPr>
      </w:pPr>
      <w:r>
        <w:rPr>
          <w:rFonts w:eastAsia="Times New Roman"/>
          <w:color w:val="000000"/>
          <w:sz w:val="20"/>
          <w:szCs w:val="20"/>
        </w:rPr>
        <w:t>On August 1, 2019, the Company's shareholders approved the 2019 Long-Term Stock Incentive Plan (the "2019 Incentive Plan"), which replaced the Company's Amended and Restated 2010 Long-Term Stock Incentive Plan (the "2010 Incentive Plan"). The 2019 Incentiv</w:t>
      </w:r>
      <w:r>
        <w:rPr>
          <w:rFonts w:eastAsia="Times New Roman"/>
          <w:color w:val="000000"/>
          <w:sz w:val="20"/>
          <w:szCs w:val="20"/>
        </w:rPr>
        <w:t>e Plan provided for 1.2 million of new shares authorized for issuance to the participants, in addition to the approximately 3.0 million shares that remained available for issuance under the 2010 Incentive Plan as of August 1, 2019. In addition, any outstan</w:t>
      </w:r>
      <w:r>
        <w:rPr>
          <w:rFonts w:eastAsia="Times New Roman"/>
          <w:color w:val="000000"/>
          <w:sz w:val="20"/>
          <w:szCs w:val="20"/>
        </w:rPr>
        <w:t xml:space="preserve">ding awards under the 2010 Incentive Plan or the Company's 1997 Long-Term Stock Incentive Plan (the "1997 Incentive Plan") that expire, are forfeited, or are surrendered to the Company in satisfaction of taxes, will become available for issuance under the </w:t>
      </w:r>
      <w:r>
        <w:rPr>
          <w:rFonts w:eastAsia="Times New Roman"/>
          <w:color w:val="000000"/>
          <w:sz w:val="20"/>
          <w:szCs w:val="20"/>
        </w:rPr>
        <w:t>2019 Incentive Plan. The 2019 Incentive Plan became effective August 1, 2019 and no further grants will be made under the 2010 Incentive Plan. Outstanding awards issued prior to August 1, 2019 will continue to remain subject to the terms of the 2010 Incent</w:t>
      </w:r>
      <w:r>
        <w:rPr>
          <w:rFonts w:eastAsia="Times New Roman"/>
          <w:color w:val="000000"/>
          <w:sz w:val="20"/>
          <w:szCs w:val="20"/>
        </w:rPr>
        <w:t>ive Plan or 1997 Incentive Plan, as applicable. As of April 2, 2022, 3.2 million shares remained available for future issuance under the Company's incentive plans.</w:t>
      </w:r>
    </w:p>
    <w:p w:rsidR="00000000" w:rsidRDefault="00BB5C2D">
      <w:pPr>
        <w:ind w:firstLine="540"/>
        <w:jc w:val="both"/>
        <w:divId w:val="122777451"/>
        <w:rPr>
          <w:rFonts w:eastAsia="Times New Roman"/>
        </w:rPr>
      </w:pPr>
      <w:r>
        <w:rPr>
          <w:rFonts w:eastAsia="Times New Roman"/>
          <w:color w:val="000000"/>
          <w:sz w:val="20"/>
          <w:szCs w:val="20"/>
        </w:rPr>
        <w:t>Stock-based compensation awards that may be made under the 2019 Incentive Plan include, but are not limited to, (i) RSUs, (ii) restricted stock, and (iii) stock options. During the fiscal periods presented, annual grants consisted entirely of RSUs. For RSU</w:t>
      </w:r>
      <w:r>
        <w:rPr>
          <w:rFonts w:eastAsia="Times New Roman"/>
          <w:color w:val="000000"/>
          <w:sz w:val="20"/>
          <w:szCs w:val="20"/>
        </w:rPr>
        <w:t>s granted to retirement-eligible employees, or employees who become retirement-eligible prior to the end of the awards' respective stated vesting periods, vesting continues post-retirement for all or a portion of the remaining unvested RSUs.</w:t>
      </w:r>
    </w:p>
    <w:p w:rsidR="00000000" w:rsidRDefault="00BB5C2D">
      <w:pPr>
        <w:ind w:firstLine="360"/>
        <w:jc w:val="both"/>
        <w:divId w:val="150105028"/>
        <w:rPr>
          <w:rFonts w:eastAsia="Times New Roman"/>
        </w:rPr>
      </w:pPr>
      <w:r>
        <w:rPr>
          <w:rFonts w:eastAsia="Times New Roman"/>
          <w:b/>
          <w:bCs/>
          <w:i/>
          <w:iCs/>
          <w:color w:val="000000"/>
          <w:sz w:val="20"/>
          <w:szCs w:val="20"/>
        </w:rPr>
        <w:t>Impact on Resu</w:t>
      </w:r>
      <w:r>
        <w:rPr>
          <w:rFonts w:eastAsia="Times New Roman"/>
          <w:b/>
          <w:bCs/>
          <w:i/>
          <w:iCs/>
          <w:color w:val="000000"/>
          <w:sz w:val="20"/>
          <w:szCs w:val="20"/>
        </w:rPr>
        <w:t>lts</w:t>
      </w:r>
    </w:p>
    <w:p w:rsidR="00000000" w:rsidRDefault="00BB5C2D">
      <w:pPr>
        <w:ind w:firstLine="540"/>
        <w:jc w:val="both"/>
        <w:divId w:val="1876890201"/>
        <w:rPr>
          <w:rFonts w:eastAsia="Times New Roman"/>
        </w:rPr>
      </w:pPr>
      <w:r>
        <w:rPr>
          <w:rFonts w:eastAsia="Times New Roman"/>
          <w:color w:val="000000"/>
          <w:sz w:val="20"/>
          <w:szCs w:val="20"/>
        </w:rPr>
        <w:t>A summary of total stock-based compensation expense and the related income tax benefits recognized is as follows:</w:t>
      </w:r>
    </w:p>
    <w:tbl>
      <w:tblPr>
        <w:tblW w:w="4736" w:type="pct"/>
        <w:tblCellMar>
          <w:top w:w="15" w:type="dxa"/>
          <w:left w:w="15" w:type="dxa"/>
          <w:bottom w:w="15" w:type="dxa"/>
          <w:right w:w="15" w:type="dxa"/>
        </w:tblCellMar>
        <w:tblLook w:val="04A0" w:firstRow="1" w:lastRow="0" w:firstColumn="1" w:lastColumn="0" w:noHBand="0" w:noVBand="1"/>
      </w:tblPr>
      <w:tblGrid>
        <w:gridCol w:w="37"/>
        <w:gridCol w:w="4372"/>
        <w:gridCol w:w="36"/>
        <w:gridCol w:w="36"/>
        <w:gridCol w:w="36"/>
        <w:gridCol w:w="36"/>
        <w:gridCol w:w="120"/>
        <w:gridCol w:w="876"/>
        <w:gridCol w:w="36"/>
        <w:gridCol w:w="36"/>
        <w:gridCol w:w="36"/>
        <w:gridCol w:w="36"/>
        <w:gridCol w:w="120"/>
        <w:gridCol w:w="877"/>
        <w:gridCol w:w="36"/>
        <w:gridCol w:w="36"/>
        <w:gridCol w:w="36"/>
        <w:gridCol w:w="36"/>
        <w:gridCol w:w="120"/>
        <w:gridCol w:w="877"/>
        <w:gridCol w:w="36"/>
      </w:tblGrid>
      <w:tr w:rsidR="00000000">
        <w:trPr>
          <w:divId w:val="1926958932"/>
        </w:trPr>
        <w:tc>
          <w:tcPr>
            <w:tcW w:w="50" w:type="pct"/>
            <w:vAlign w:val="center"/>
            <w:hideMark/>
          </w:tcPr>
          <w:p w:rsidR="00000000" w:rsidRDefault="00BB5C2D">
            <w:pPr>
              <w:ind w:firstLine="540"/>
              <w:jc w:val="both"/>
              <w:rPr>
                <w:rFonts w:eastAsia="Times New Roman"/>
              </w:rPr>
            </w:pPr>
          </w:p>
        </w:tc>
        <w:tc>
          <w:tcPr>
            <w:tcW w:w="281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61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61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61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926958932"/>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Years Ended</w:t>
            </w:r>
          </w:p>
        </w:tc>
      </w:tr>
      <w:tr w:rsidR="00000000">
        <w:trPr>
          <w:divId w:val="1926958932"/>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r>
      <w:tr w:rsidR="00000000">
        <w:trPr>
          <w:divId w:val="1926958932"/>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1926958932"/>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divId w:val="1843622403"/>
              <w:rPr>
                <w:rFonts w:eastAsia="Times New Roman"/>
              </w:rPr>
            </w:pPr>
            <w:r>
              <w:rPr>
                <w:rFonts w:eastAsia="Times New Roman"/>
                <w:color w:val="000000"/>
                <w:sz w:val="20"/>
                <w:szCs w:val="20"/>
              </w:rPr>
              <w:t>Compensation expens</w:t>
            </w:r>
            <w:r>
              <w:rPr>
                <w:rFonts w:eastAsia="Times New Roman"/>
                <w:color w:val="000000"/>
                <w:sz w:val="20"/>
                <w:szCs w:val="20"/>
              </w:rPr>
              <w:t>e</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81.7 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72.7 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100.6 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926958932"/>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Income tax benefit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(13.0)</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(12.4)</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(15.3)</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trPr>
          <w:jc w:val="center"/>
        </w:trPr>
        <w:tc>
          <w:tcPr>
            <w:tcW w:w="50" w:type="pct"/>
            <w:vAlign w:val="center"/>
            <w:hideMark/>
          </w:tcPr>
          <w:p w:rsidR="00000000" w:rsidRDefault="00BB5C2D">
            <w:pPr>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F-46</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58" style="width:0;height:1.5pt" o:hralign="center" o:hrstd="t" o:hr="t" fillcolor="#a0a0a0" stroked="f"/>
        </w:pict>
      </w:r>
    </w:p>
    <w:p w:rsidR="00000000" w:rsidRDefault="00BB5C2D">
      <w:pPr>
        <w:jc w:val="center"/>
        <w:divId w:val="3555323"/>
        <w:rPr>
          <w:rFonts w:eastAsia="Times New Roman"/>
        </w:rPr>
      </w:pPr>
    </w:p>
    <w:p w:rsidR="00000000" w:rsidRDefault="00BB5C2D">
      <w:pPr>
        <w:jc w:val="center"/>
        <w:divId w:val="3555323"/>
        <w:rPr>
          <w:rFonts w:eastAsia="Times New Roman"/>
        </w:rPr>
      </w:pPr>
      <w:r>
        <w:rPr>
          <w:rFonts w:eastAsia="Times New Roman"/>
          <w:b/>
          <w:bCs/>
          <w:color w:val="000000"/>
          <w:sz w:val="20"/>
          <w:szCs w:val="20"/>
        </w:rPr>
        <w:t>RALPH LAUREN CORPORATION</w:t>
      </w:r>
    </w:p>
    <w:p w:rsidR="00000000" w:rsidRDefault="00BB5C2D">
      <w:pPr>
        <w:jc w:val="center"/>
        <w:divId w:val="1487553761"/>
        <w:rPr>
          <w:rFonts w:eastAsia="Times New Roman"/>
        </w:rPr>
      </w:pPr>
      <w:r>
        <w:rPr>
          <w:rFonts w:eastAsia="Times New Roman"/>
          <w:b/>
          <w:bCs/>
          <w:color w:val="000000"/>
          <w:sz w:val="20"/>
          <w:szCs w:val="20"/>
        </w:rPr>
        <w:t>NOTES TO CONSOLIDATED FINANCIAL STATEMENTS (Continued)</w:t>
      </w:r>
    </w:p>
    <w:tbl>
      <w:tblPr>
        <w:tblW w:w="972" w:type="pct"/>
        <w:tblCellMar>
          <w:top w:w="15" w:type="dxa"/>
          <w:left w:w="15" w:type="dxa"/>
          <w:bottom w:w="15" w:type="dxa"/>
          <w:right w:w="15" w:type="dxa"/>
        </w:tblCellMar>
        <w:tblLook w:val="04A0" w:firstRow="1" w:lastRow="0" w:firstColumn="1" w:lastColumn="0" w:noHBand="0" w:noVBand="1"/>
      </w:tblPr>
      <w:tblGrid>
        <w:gridCol w:w="36"/>
        <w:gridCol w:w="1543"/>
        <w:gridCol w:w="36"/>
      </w:tblGrid>
      <w:tr w:rsidR="00000000">
        <w:trPr>
          <w:divId w:val="21634997"/>
        </w:trPr>
        <w:tc>
          <w:tcPr>
            <w:tcW w:w="50" w:type="pct"/>
            <w:vAlign w:val="center"/>
            <w:hideMark/>
          </w:tcPr>
          <w:p w:rsidR="00000000" w:rsidRDefault="00BB5C2D">
            <w:pPr>
              <w:jc w:val="center"/>
              <w:rPr>
                <w:rFonts w:eastAsia="Times New Roman"/>
              </w:rPr>
            </w:pPr>
          </w:p>
        </w:tc>
        <w:tc>
          <w:tcPr>
            <w:tcW w:w="494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21634997"/>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r>
    </w:tbl>
    <w:p w:rsidR="00000000" w:rsidRDefault="00BB5C2D">
      <w:pPr>
        <w:ind w:hanging="360"/>
        <w:jc w:val="both"/>
        <w:divId w:val="1883008079"/>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 xml:space="preserve">Fiscal 2022 and Fiscal 2020 include $2.0 million and $3.6 </w:t>
      </w:r>
      <w:r>
        <w:rPr>
          <w:rFonts w:eastAsia="Times New Roman"/>
          <w:color w:val="000000"/>
          <w:sz w:val="20"/>
          <w:szCs w:val="20"/>
        </w:rPr>
        <w:t>million, respectively, of accelerated stock-based compensation expense recorded within restructuring and other charges, net in the consolidated statements of operations (see Note 9). All other stock-based compensation expense was recorded within SG&amp;A expen</w:t>
      </w:r>
      <w:r>
        <w:rPr>
          <w:rFonts w:eastAsia="Times New Roman"/>
          <w:color w:val="000000"/>
          <w:sz w:val="20"/>
          <w:szCs w:val="20"/>
        </w:rPr>
        <w:t>ses.</w:t>
      </w:r>
    </w:p>
    <w:p w:rsidR="00000000" w:rsidRDefault="00BB5C2D">
      <w:pPr>
        <w:ind w:firstLine="540"/>
        <w:jc w:val="both"/>
        <w:divId w:val="1037923618"/>
        <w:rPr>
          <w:rFonts w:eastAsia="Times New Roman"/>
        </w:rPr>
      </w:pPr>
      <w:r>
        <w:rPr>
          <w:rFonts w:eastAsia="Times New Roman"/>
          <w:color w:val="000000"/>
          <w:sz w:val="20"/>
          <w:szCs w:val="20"/>
        </w:rPr>
        <w:t xml:space="preserve">The Company issues its annual grants of stock-based compensation awards in the first half of each fiscal year. Due to the timing of the annual grants and other factors, including the timing and magnitude of forfeiture and performance goal achievement </w:t>
      </w:r>
      <w:r>
        <w:rPr>
          <w:rFonts w:eastAsia="Times New Roman"/>
          <w:color w:val="000000"/>
          <w:sz w:val="20"/>
          <w:szCs w:val="20"/>
        </w:rPr>
        <w:t>adjustments, as well as changes to the size and composition of the eligible employee population, stock-based compensation expense recognized during any given fiscal period is not indicative of the level of compensation expense expected to be incurred in fu</w:t>
      </w:r>
      <w:r>
        <w:rPr>
          <w:rFonts w:eastAsia="Times New Roman"/>
          <w:color w:val="000000"/>
          <w:sz w:val="20"/>
          <w:szCs w:val="20"/>
        </w:rPr>
        <w:t>ture periods.</w:t>
      </w:r>
    </w:p>
    <w:p w:rsidR="00000000" w:rsidRDefault="00BB5C2D">
      <w:pPr>
        <w:ind w:firstLine="360"/>
        <w:jc w:val="both"/>
        <w:divId w:val="1224563426"/>
        <w:rPr>
          <w:rFonts w:eastAsia="Times New Roman"/>
        </w:rPr>
      </w:pPr>
      <w:r>
        <w:rPr>
          <w:rFonts w:eastAsia="Times New Roman"/>
          <w:b/>
          <w:bCs/>
          <w:i/>
          <w:iCs/>
          <w:color w:val="000000"/>
          <w:sz w:val="20"/>
          <w:szCs w:val="20"/>
        </w:rPr>
        <w:t>Service-based RSUs</w:t>
      </w:r>
    </w:p>
    <w:p w:rsidR="00000000" w:rsidRDefault="00BB5C2D">
      <w:pPr>
        <w:ind w:firstLine="540"/>
        <w:jc w:val="both"/>
        <w:divId w:val="837889077"/>
        <w:rPr>
          <w:rFonts w:eastAsia="Times New Roman"/>
        </w:rPr>
      </w:pPr>
      <w:r>
        <w:rPr>
          <w:rFonts w:eastAsia="Times New Roman"/>
          <w:color w:val="000000"/>
          <w:sz w:val="20"/>
          <w:szCs w:val="20"/>
        </w:rPr>
        <w:t>Service-based RSUs granted to certain of the Company's senior executives and other employees, as well as non-employee directors, generally vest over a three-year period, subject to the employee's continuing employment (exce</w:t>
      </w:r>
      <w:r>
        <w:rPr>
          <w:rFonts w:eastAsia="Times New Roman"/>
          <w:color w:val="000000"/>
          <w:sz w:val="20"/>
          <w:szCs w:val="20"/>
        </w:rPr>
        <w:t>pt for awards granted to retirement-eligible employees, or employees who become retirement-eligible prior to the end of the awards' respective stated vesting periods, as previously discussed). The fair values of service-based RSUs are based on the fair val</w:t>
      </w:r>
      <w:r>
        <w:rPr>
          <w:rFonts w:eastAsia="Times New Roman"/>
          <w:color w:val="000000"/>
          <w:sz w:val="20"/>
          <w:szCs w:val="20"/>
        </w:rPr>
        <w:t>ue of the Company's Class A common stock on the date of grant, adjusted to reflect the absence of dividends for any awards for which dividend equivalent amounts do not accrue while outstanding and unvested.</w:t>
      </w:r>
    </w:p>
    <w:p w:rsidR="00000000" w:rsidRDefault="00BB5C2D">
      <w:pPr>
        <w:ind w:firstLine="540"/>
        <w:jc w:val="both"/>
        <w:divId w:val="281615382"/>
        <w:rPr>
          <w:rFonts w:eastAsia="Times New Roman"/>
        </w:rPr>
      </w:pPr>
      <w:r>
        <w:rPr>
          <w:rFonts w:eastAsia="Times New Roman"/>
          <w:color w:val="000000"/>
          <w:sz w:val="20"/>
          <w:szCs w:val="20"/>
        </w:rPr>
        <w:t>A summary of service-based RSU activity during Fi</w:t>
      </w:r>
      <w:r>
        <w:rPr>
          <w:rFonts w:eastAsia="Times New Roman"/>
          <w:color w:val="000000"/>
          <w:sz w:val="20"/>
          <w:szCs w:val="20"/>
        </w:rPr>
        <w:t>scal 2022 is as follows:</w:t>
      </w:r>
    </w:p>
    <w:tbl>
      <w:tblPr>
        <w:tblW w:w="4729" w:type="pct"/>
        <w:tblCellMar>
          <w:top w:w="15" w:type="dxa"/>
          <w:left w:w="15" w:type="dxa"/>
          <w:bottom w:w="15" w:type="dxa"/>
          <w:right w:w="15" w:type="dxa"/>
        </w:tblCellMar>
        <w:tblLook w:val="04A0" w:firstRow="1" w:lastRow="0" w:firstColumn="1" w:lastColumn="0" w:noHBand="0" w:noVBand="1"/>
      </w:tblPr>
      <w:tblGrid>
        <w:gridCol w:w="44"/>
        <w:gridCol w:w="5842"/>
        <w:gridCol w:w="36"/>
        <w:gridCol w:w="36"/>
        <w:gridCol w:w="36"/>
        <w:gridCol w:w="36"/>
        <w:gridCol w:w="75"/>
        <w:gridCol w:w="759"/>
        <w:gridCol w:w="36"/>
        <w:gridCol w:w="36"/>
        <w:gridCol w:w="36"/>
        <w:gridCol w:w="36"/>
        <w:gridCol w:w="121"/>
        <w:gridCol w:w="691"/>
        <w:gridCol w:w="36"/>
      </w:tblGrid>
      <w:tr w:rsidR="00000000">
        <w:trPr>
          <w:divId w:val="1605841355"/>
        </w:trPr>
        <w:tc>
          <w:tcPr>
            <w:tcW w:w="50" w:type="pct"/>
            <w:vAlign w:val="center"/>
            <w:hideMark/>
          </w:tcPr>
          <w:p w:rsidR="00000000" w:rsidRDefault="00BB5C2D">
            <w:pPr>
              <w:ind w:firstLine="540"/>
              <w:jc w:val="both"/>
              <w:rPr>
                <w:rFonts w:eastAsia="Times New Roman"/>
              </w:rPr>
            </w:pPr>
          </w:p>
        </w:tc>
        <w:tc>
          <w:tcPr>
            <w:tcW w:w="373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0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0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605841355"/>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Service-</w:t>
            </w:r>
            <w:r>
              <w:rPr>
                <w:rFonts w:eastAsia="Times New Roman"/>
                <w:b/>
                <w:bCs/>
                <w:color w:val="000000"/>
                <w:sz w:val="16"/>
                <w:szCs w:val="16"/>
              </w:rPr>
              <w:br/>
              <w:t>based RSUs</w:t>
            </w:r>
          </w:p>
        </w:tc>
      </w:tr>
      <w:tr w:rsidR="00000000">
        <w:trPr>
          <w:divId w:val="1605841355"/>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Number of</w:t>
            </w:r>
            <w:r>
              <w:rPr>
                <w:rFonts w:eastAsia="Times New Roman"/>
                <w:b/>
                <w:bCs/>
                <w:color w:val="000000"/>
                <w:sz w:val="16"/>
                <w:szCs w:val="16"/>
              </w:rPr>
              <w:b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Weighted-Average Grant Date Fair Value</w:t>
            </w:r>
          </w:p>
        </w:tc>
      </w:tr>
      <w:tr w:rsidR="00000000">
        <w:trPr>
          <w:divId w:val="1605841355"/>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(thousands)</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605841355"/>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Nonvested at March 27, 2021</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1,809 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77.20 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605841355"/>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Granted</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555 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117.33 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605841355"/>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Vested</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(617)</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86.76 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605841355"/>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Forfeited</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(181)</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82.32 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605841355"/>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Nonvested at April 2, 2022</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1,566 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87.07 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bl>
    <w:tbl>
      <w:tblPr>
        <w:tblW w:w="4736" w:type="pct"/>
        <w:tblCellMar>
          <w:top w:w="15" w:type="dxa"/>
          <w:left w:w="15" w:type="dxa"/>
          <w:bottom w:w="15" w:type="dxa"/>
          <w:right w:w="15" w:type="dxa"/>
        </w:tblCellMar>
        <w:tblLook w:val="04A0" w:firstRow="1" w:lastRow="0" w:firstColumn="1" w:lastColumn="0" w:noHBand="0" w:noVBand="1"/>
      </w:tblPr>
      <w:tblGrid>
        <w:gridCol w:w="144"/>
        <w:gridCol w:w="6504"/>
        <w:gridCol w:w="144"/>
        <w:gridCol w:w="144"/>
        <w:gridCol w:w="144"/>
        <w:gridCol w:w="144"/>
        <w:gridCol w:w="144"/>
        <w:gridCol w:w="1126"/>
        <w:gridCol w:w="144"/>
      </w:tblGrid>
      <w:tr w:rsidR="00000000">
        <w:tc>
          <w:tcPr>
            <w:tcW w:w="50" w:type="pct"/>
            <w:vAlign w:val="center"/>
            <w:hideMark/>
          </w:tcPr>
          <w:p w:rsidR="00000000" w:rsidRDefault="00BB5C2D">
            <w:pPr>
              <w:rPr>
                <w:rFonts w:eastAsia="Times New Roman"/>
              </w:rPr>
            </w:pPr>
          </w:p>
        </w:tc>
        <w:tc>
          <w:tcPr>
            <w:tcW w:w="413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Service-</w:t>
            </w:r>
            <w:r>
              <w:rPr>
                <w:rFonts w:eastAsia="Times New Roman"/>
                <w:b/>
                <w:bCs/>
                <w:color w:val="000000"/>
                <w:sz w:val="16"/>
                <w:szCs w:val="16"/>
              </w:rPr>
              <w:br/>
              <w:t>based RSUs</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unrecognized compensation expense at April 2, 2022 (millions)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Weighted-average period expected to be recognized over (years)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20"/>
                <w:szCs w:val="20"/>
              </w:rPr>
              <w:t>1.3</w:t>
            </w:r>
          </w:p>
        </w:tc>
      </w:tr>
    </w:tbl>
    <w:p w:rsidR="00000000" w:rsidRDefault="00BB5C2D">
      <w:pPr>
        <w:ind w:firstLine="540"/>
        <w:jc w:val="both"/>
        <w:divId w:val="1366130229"/>
        <w:rPr>
          <w:rFonts w:eastAsia="Times New Roman"/>
        </w:rPr>
      </w:pPr>
      <w:r>
        <w:rPr>
          <w:rFonts w:eastAsia="Times New Roman"/>
          <w:color w:val="000000"/>
          <w:sz w:val="20"/>
          <w:szCs w:val="20"/>
        </w:rPr>
        <w:t>Additional information pertaining to service-based RSU activity is as follows:</w:t>
      </w:r>
    </w:p>
    <w:tbl>
      <w:tblPr>
        <w:tblW w:w="4751" w:type="pct"/>
        <w:tblCellMar>
          <w:top w:w="15" w:type="dxa"/>
          <w:left w:w="15" w:type="dxa"/>
          <w:bottom w:w="15" w:type="dxa"/>
          <w:right w:w="15" w:type="dxa"/>
        </w:tblCellMar>
        <w:tblLook w:val="04A0" w:firstRow="1" w:lastRow="0" w:firstColumn="1" w:lastColumn="0" w:noHBand="0" w:noVBand="1"/>
      </w:tblPr>
      <w:tblGrid>
        <w:gridCol w:w="38"/>
        <w:gridCol w:w="3921"/>
        <w:gridCol w:w="37"/>
        <w:gridCol w:w="36"/>
        <w:gridCol w:w="36"/>
        <w:gridCol w:w="36"/>
        <w:gridCol w:w="120"/>
        <w:gridCol w:w="1034"/>
        <w:gridCol w:w="36"/>
        <w:gridCol w:w="36"/>
        <w:gridCol w:w="36"/>
        <w:gridCol w:w="36"/>
        <w:gridCol w:w="120"/>
        <w:gridCol w:w="1035"/>
        <w:gridCol w:w="36"/>
        <w:gridCol w:w="36"/>
        <w:gridCol w:w="36"/>
        <w:gridCol w:w="36"/>
        <w:gridCol w:w="120"/>
        <w:gridCol w:w="1035"/>
        <w:gridCol w:w="36"/>
      </w:tblGrid>
      <w:tr w:rsidR="00000000">
        <w:trPr>
          <w:divId w:val="277614557"/>
        </w:trPr>
        <w:tc>
          <w:tcPr>
            <w:tcW w:w="50" w:type="pct"/>
            <w:vAlign w:val="center"/>
            <w:hideMark/>
          </w:tcPr>
          <w:p w:rsidR="00000000" w:rsidRDefault="00BB5C2D">
            <w:pPr>
              <w:ind w:firstLine="540"/>
              <w:jc w:val="both"/>
              <w:rPr>
                <w:rFonts w:eastAsia="Times New Roman"/>
              </w:rPr>
            </w:pPr>
          </w:p>
        </w:tc>
        <w:tc>
          <w:tcPr>
            <w:tcW w:w="2521"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277614557"/>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Years Ended</w:t>
            </w:r>
          </w:p>
        </w:tc>
      </w:tr>
      <w:tr w:rsidR="00000000">
        <w:trPr>
          <w:divId w:val="277614557"/>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r>
      <w:tr w:rsidR="00000000">
        <w:trPr>
          <w:divId w:val="277614557"/>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i/>
                <w:iCs/>
                <w:color w:val="000000"/>
                <w:sz w:val="20"/>
                <w:szCs w:val="20"/>
              </w:rPr>
              <w:t>Service-based RSUs: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277614557"/>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Weighted-average grant date fair value of awards granted</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117.33 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64.55 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102.27 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77614557"/>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fair value of awards vested (millions)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79.5 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33.4 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52.5 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bl>
    <w:p w:rsidR="00000000" w:rsidRDefault="00BB5C2D">
      <w:pPr>
        <w:divId w:val="278076063"/>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866871282"/>
          <w:jc w:val="center"/>
        </w:trPr>
        <w:tc>
          <w:tcPr>
            <w:tcW w:w="50" w:type="pct"/>
            <w:vAlign w:val="center"/>
            <w:hideMark/>
          </w:tcPr>
          <w:p w:rsidR="00000000" w:rsidRDefault="00BB5C2D">
            <w:pPr>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866871282"/>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F-47</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59" style="width:0;height:1.5pt" o:hralign="center" o:hrstd="t" o:hr="t" fillcolor="#a0a0a0" stroked="f"/>
        </w:pict>
      </w:r>
    </w:p>
    <w:p w:rsidR="00000000" w:rsidRDefault="00BB5C2D">
      <w:pPr>
        <w:jc w:val="center"/>
        <w:divId w:val="1710259024"/>
        <w:rPr>
          <w:rFonts w:eastAsia="Times New Roman"/>
        </w:rPr>
      </w:pPr>
    </w:p>
    <w:p w:rsidR="00000000" w:rsidRDefault="00BB5C2D">
      <w:pPr>
        <w:jc w:val="center"/>
        <w:divId w:val="1710259024"/>
        <w:rPr>
          <w:rFonts w:eastAsia="Times New Roman"/>
        </w:rPr>
      </w:pPr>
      <w:r>
        <w:rPr>
          <w:rFonts w:eastAsia="Times New Roman"/>
          <w:b/>
          <w:bCs/>
          <w:color w:val="000000"/>
          <w:sz w:val="20"/>
          <w:szCs w:val="20"/>
        </w:rPr>
        <w:t>RALPH LAUREN CORPORATION</w:t>
      </w:r>
    </w:p>
    <w:p w:rsidR="00000000" w:rsidRDefault="00BB5C2D">
      <w:pPr>
        <w:jc w:val="center"/>
        <w:divId w:val="639464148"/>
        <w:rPr>
          <w:rFonts w:eastAsia="Times New Roman"/>
        </w:rPr>
      </w:pPr>
      <w:r>
        <w:rPr>
          <w:rFonts w:eastAsia="Times New Roman"/>
          <w:b/>
          <w:bCs/>
          <w:color w:val="000000"/>
          <w:sz w:val="20"/>
          <w:szCs w:val="20"/>
        </w:rPr>
        <w:t>NOTES TO CONSOLIDATED FINANCIAL STATEMENTS (Continued)</w:t>
      </w:r>
    </w:p>
    <w:p w:rsidR="00000000" w:rsidRDefault="00BB5C2D">
      <w:pPr>
        <w:ind w:firstLine="360"/>
        <w:jc w:val="both"/>
        <w:divId w:val="1668630431"/>
        <w:rPr>
          <w:rFonts w:eastAsia="Times New Roman"/>
        </w:rPr>
      </w:pPr>
      <w:r>
        <w:rPr>
          <w:rFonts w:eastAsia="Times New Roman"/>
          <w:b/>
          <w:bCs/>
          <w:i/>
          <w:iCs/>
          <w:color w:val="000000"/>
          <w:sz w:val="20"/>
          <w:szCs w:val="20"/>
        </w:rPr>
        <w:t>Performance-based RSUs</w:t>
      </w:r>
    </w:p>
    <w:p w:rsidR="00000000" w:rsidRDefault="00BB5C2D">
      <w:pPr>
        <w:ind w:firstLine="540"/>
        <w:jc w:val="both"/>
        <w:divId w:val="898399525"/>
        <w:rPr>
          <w:rFonts w:eastAsia="Times New Roman"/>
        </w:rPr>
      </w:pPr>
      <w:r>
        <w:rPr>
          <w:rFonts w:eastAsia="Times New Roman"/>
          <w:color w:val="000000"/>
          <w:sz w:val="20"/>
          <w:szCs w:val="20"/>
        </w:rPr>
        <w:t>The Company grants performance-based RSUs to its senior executives and other key employees. The fair values of performance-based RSUs are based on the fair value of the Company's Class A common stock on the date of grant, adjusted to reflect the absence of</w:t>
      </w:r>
      <w:r>
        <w:rPr>
          <w:rFonts w:eastAsia="Times New Roman"/>
          <w:color w:val="000000"/>
          <w:sz w:val="20"/>
          <w:szCs w:val="20"/>
        </w:rPr>
        <w:t xml:space="preserve"> dividends for any awards for which dividend equivalent amounts do not accrue while outstanding and unvested. Performance-based RSUs generally vest (i) upon the completion of a three-year period of time (cliff vesting), subject to the employee's continuing</w:t>
      </w:r>
      <w:r>
        <w:rPr>
          <w:rFonts w:eastAsia="Times New Roman"/>
          <w:color w:val="000000"/>
          <w:sz w:val="20"/>
          <w:szCs w:val="20"/>
        </w:rPr>
        <w:t xml:space="preserve"> employment (except for awards granted to retirement-eligible employees, or employees who become retirement-eligible prior to the end of the awards' respective stated vesting periods, as previously discussed) and the Company's achievement of certain perfor</w:t>
      </w:r>
      <w:r>
        <w:rPr>
          <w:rFonts w:eastAsia="Times New Roman"/>
          <w:color w:val="000000"/>
          <w:sz w:val="20"/>
          <w:szCs w:val="20"/>
        </w:rPr>
        <w:t>mance goals established at the beginning of the three-year performance period or (ii) ratably, over a three-year period of time (graded vesting), subject to the employee's continuing employment during the applicable vesting period (except for awards grante</w:t>
      </w:r>
      <w:r>
        <w:rPr>
          <w:rFonts w:eastAsia="Times New Roman"/>
          <w:color w:val="000000"/>
          <w:sz w:val="20"/>
          <w:szCs w:val="20"/>
        </w:rPr>
        <w:t xml:space="preserve">d to retirement-eligible employees, or employees who become retirement-eligible prior to the end of the awards' respective stated vesting periods, as previously discussed) and the achievement by the Company of certain performance goals in the initial year </w:t>
      </w:r>
      <w:r>
        <w:rPr>
          <w:rFonts w:eastAsia="Times New Roman"/>
          <w:color w:val="000000"/>
          <w:sz w:val="20"/>
          <w:szCs w:val="20"/>
        </w:rPr>
        <w:t>of the three-year vesting period.</w:t>
      </w:r>
    </w:p>
    <w:p w:rsidR="00000000" w:rsidRDefault="00BB5C2D">
      <w:pPr>
        <w:ind w:firstLine="540"/>
        <w:jc w:val="both"/>
        <w:divId w:val="455876746"/>
        <w:rPr>
          <w:rFonts w:eastAsia="Times New Roman"/>
        </w:rPr>
      </w:pPr>
      <w:r>
        <w:rPr>
          <w:rFonts w:eastAsia="Times New Roman"/>
          <w:color w:val="000000"/>
          <w:sz w:val="20"/>
          <w:szCs w:val="20"/>
        </w:rPr>
        <w:t>For performance-based RSUs subject to cliff vesting, the number of shares that may be earned ranges between 0% (if the specified threshold performance level is not attained) and 200% (if performance meets or exceeds the ma</w:t>
      </w:r>
      <w:r>
        <w:rPr>
          <w:rFonts w:eastAsia="Times New Roman"/>
          <w:color w:val="000000"/>
          <w:sz w:val="20"/>
          <w:szCs w:val="20"/>
        </w:rPr>
        <w:t>ximum achievement level) of the awards originally granted. If actual performance exceeds the pre-established threshold, the number of shares earned is calculated based on the relative performance between specified levels of achievement.</w:t>
      </w:r>
    </w:p>
    <w:p w:rsidR="00000000" w:rsidRDefault="00BB5C2D">
      <w:pPr>
        <w:ind w:firstLine="540"/>
        <w:jc w:val="both"/>
        <w:divId w:val="1693528884"/>
        <w:rPr>
          <w:rFonts w:eastAsia="Times New Roman"/>
        </w:rPr>
      </w:pPr>
      <w:r>
        <w:rPr>
          <w:rFonts w:eastAsia="Times New Roman"/>
          <w:color w:val="000000"/>
          <w:sz w:val="20"/>
          <w:szCs w:val="20"/>
        </w:rPr>
        <w:t>No performance-base</w:t>
      </w:r>
      <w:r>
        <w:rPr>
          <w:rFonts w:eastAsia="Times New Roman"/>
          <w:color w:val="000000"/>
          <w:sz w:val="20"/>
          <w:szCs w:val="20"/>
        </w:rPr>
        <w:t>d awards were granted during Fiscal 2021 as the Company elected to temporarily issue service-based RSUs in lieu of performance-based RSUs as a result of business disruptions and uncertainty created by the COVID-19 pandemic. Additionally, performance metric</w:t>
      </w:r>
      <w:r>
        <w:rPr>
          <w:rFonts w:eastAsia="Times New Roman"/>
          <w:color w:val="000000"/>
          <w:sz w:val="20"/>
          <w:szCs w:val="20"/>
        </w:rPr>
        <w:t>s of certain cliff-vesting performance-based RSUs granted during prior years were changed during Fiscal 2021 and their related payout ranges lowered, with no resulting incremental compensation cost.</w:t>
      </w:r>
    </w:p>
    <w:p w:rsidR="00000000" w:rsidRDefault="00BB5C2D">
      <w:pPr>
        <w:ind w:firstLine="360"/>
        <w:jc w:val="both"/>
        <w:divId w:val="1462192629"/>
        <w:rPr>
          <w:rFonts w:eastAsia="Times New Roman"/>
        </w:rPr>
      </w:pPr>
      <w:r>
        <w:rPr>
          <w:rFonts w:eastAsia="Times New Roman"/>
          <w:i/>
          <w:iCs/>
          <w:color w:val="000000"/>
          <w:sz w:val="20"/>
          <w:szCs w:val="20"/>
        </w:rPr>
        <w:t>Market-based RSUs</w:t>
      </w:r>
    </w:p>
    <w:p w:rsidR="00000000" w:rsidRDefault="00BB5C2D">
      <w:pPr>
        <w:ind w:firstLine="540"/>
        <w:jc w:val="both"/>
        <w:divId w:val="1719237588"/>
        <w:rPr>
          <w:rFonts w:eastAsia="Times New Roman"/>
        </w:rPr>
      </w:pPr>
      <w:r>
        <w:rPr>
          <w:rFonts w:eastAsia="Times New Roman"/>
          <w:color w:val="000000"/>
          <w:sz w:val="20"/>
          <w:szCs w:val="20"/>
        </w:rPr>
        <w:t>The Company grants cliff vesting RSU aw</w:t>
      </w:r>
      <w:r>
        <w:rPr>
          <w:rFonts w:eastAsia="Times New Roman"/>
          <w:color w:val="000000"/>
          <w:sz w:val="20"/>
          <w:szCs w:val="20"/>
        </w:rPr>
        <w:t>ards to its senior executives and other key employees, which, in addition to being subject to continuing employment requirements (except for awards granted to retirement-eligible employees, or employees who become retirement-eligible prior to the end of th</w:t>
      </w:r>
      <w:r>
        <w:rPr>
          <w:rFonts w:eastAsia="Times New Roman"/>
          <w:color w:val="000000"/>
          <w:sz w:val="20"/>
          <w:szCs w:val="20"/>
        </w:rPr>
        <w:t>e awards' respective stated vesting periods, as previously discussed), are also subject to a market condition based on a TSR performance metric. The number of shares that vest upon the completion of a three-year period of time is determined by comparing th</w:t>
      </w:r>
      <w:r>
        <w:rPr>
          <w:rFonts w:eastAsia="Times New Roman"/>
          <w:color w:val="000000"/>
          <w:sz w:val="20"/>
          <w:szCs w:val="20"/>
        </w:rPr>
        <w:t xml:space="preserve">e Company's TSR relative to that of a pre-established peer group over the related three-year performance period. Depending on the Company's level of achievement against its TSR performance goals, the number of shares that ultimately vest may range from 0% </w:t>
      </w:r>
      <w:r>
        <w:rPr>
          <w:rFonts w:eastAsia="Times New Roman"/>
          <w:color w:val="000000"/>
          <w:sz w:val="20"/>
          <w:szCs w:val="20"/>
        </w:rPr>
        <w:t>to 200% of the awards originally granted.</w:t>
      </w:r>
    </w:p>
    <w:p w:rsidR="00000000" w:rsidRDefault="00BB5C2D">
      <w:pPr>
        <w:ind w:firstLine="540"/>
        <w:jc w:val="both"/>
        <w:divId w:val="598876922"/>
        <w:rPr>
          <w:rFonts w:eastAsia="Times New Roman"/>
        </w:rPr>
      </w:pPr>
      <w:r>
        <w:rPr>
          <w:rFonts w:eastAsia="Times New Roman"/>
          <w:color w:val="000000"/>
          <w:sz w:val="20"/>
          <w:szCs w:val="20"/>
        </w:rPr>
        <w:t>The Company estimates the fair value of its TSR awards on the date of grant using a Monte Carlo simulation, which models multiple stock price paths of the Company's Class A common stock and that of its peer group t</w:t>
      </w:r>
      <w:r>
        <w:rPr>
          <w:rFonts w:eastAsia="Times New Roman"/>
          <w:color w:val="000000"/>
          <w:sz w:val="20"/>
          <w:szCs w:val="20"/>
        </w:rPr>
        <w:t>o evaluate and determine its ultimate expected relative TSR performance ranking. Compensation expense, net of estimated forfeitures, is recorded regardless of whether, and the extent to which, the market condition is ultimately satisfied. No such awards we</w:t>
      </w:r>
      <w:r>
        <w:rPr>
          <w:rFonts w:eastAsia="Times New Roman"/>
          <w:color w:val="000000"/>
          <w:sz w:val="20"/>
          <w:szCs w:val="20"/>
        </w:rPr>
        <w:t xml:space="preserve">re granted during Fiscal 2021 as the Company elected to temporarily issue service-based RSUs in lieu of performance-based RSUs as a result of business disruptions and uncertainty created by the COVID-19 pandemic. </w:t>
      </w:r>
    </w:p>
    <w:p w:rsidR="00000000" w:rsidRDefault="00BB5C2D">
      <w:pPr>
        <w:ind w:firstLine="540"/>
        <w:jc w:val="both"/>
        <w:divId w:val="1407679939"/>
        <w:rPr>
          <w:rFonts w:eastAsia="Times New Roman"/>
        </w:rPr>
      </w:pPr>
      <w:r>
        <w:rPr>
          <w:rFonts w:eastAsia="Times New Roman"/>
          <w:color w:val="000000"/>
          <w:sz w:val="20"/>
          <w:szCs w:val="20"/>
        </w:rPr>
        <w:t xml:space="preserve">The assumptions used to estimate the fair </w:t>
      </w:r>
      <w:r>
        <w:rPr>
          <w:rFonts w:eastAsia="Times New Roman"/>
          <w:color w:val="000000"/>
          <w:sz w:val="20"/>
          <w:szCs w:val="20"/>
        </w:rPr>
        <w:t xml:space="preserve">value of TSR awards granted were as follows: </w:t>
      </w:r>
    </w:p>
    <w:tbl>
      <w:tblPr>
        <w:tblW w:w="4729" w:type="pct"/>
        <w:tblCellMar>
          <w:top w:w="15" w:type="dxa"/>
          <w:left w:w="15" w:type="dxa"/>
          <w:bottom w:w="15" w:type="dxa"/>
          <w:right w:w="15" w:type="dxa"/>
        </w:tblCellMar>
        <w:tblLook w:val="04A0" w:firstRow="1" w:lastRow="0" w:firstColumn="1" w:lastColumn="0" w:noHBand="0" w:noVBand="1"/>
      </w:tblPr>
      <w:tblGrid>
        <w:gridCol w:w="38"/>
        <w:gridCol w:w="4567"/>
        <w:gridCol w:w="37"/>
        <w:gridCol w:w="36"/>
        <w:gridCol w:w="36"/>
        <w:gridCol w:w="36"/>
        <w:gridCol w:w="121"/>
        <w:gridCol w:w="743"/>
        <w:gridCol w:w="188"/>
        <w:gridCol w:w="36"/>
        <w:gridCol w:w="36"/>
        <w:gridCol w:w="36"/>
        <w:gridCol w:w="41"/>
        <w:gridCol w:w="708"/>
        <w:gridCol w:w="36"/>
        <w:gridCol w:w="36"/>
        <w:gridCol w:w="36"/>
        <w:gridCol w:w="36"/>
        <w:gridCol w:w="121"/>
        <w:gridCol w:w="745"/>
        <w:gridCol w:w="187"/>
      </w:tblGrid>
      <w:tr w:rsidR="00000000">
        <w:trPr>
          <w:divId w:val="1632899000"/>
        </w:trPr>
        <w:tc>
          <w:tcPr>
            <w:tcW w:w="50" w:type="pct"/>
            <w:vAlign w:val="center"/>
            <w:hideMark/>
          </w:tcPr>
          <w:p w:rsidR="00000000" w:rsidRDefault="00BB5C2D">
            <w:pPr>
              <w:ind w:firstLine="540"/>
              <w:jc w:val="both"/>
              <w:rPr>
                <w:rFonts w:eastAsia="Times New Roman"/>
              </w:rPr>
            </w:pPr>
          </w:p>
        </w:tc>
        <w:tc>
          <w:tcPr>
            <w:tcW w:w="297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63"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63"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63"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632899000"/>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Years Ended</w:t>
            </w:r>
          </w:p>
        </w:tc>
      </w:tr>
      <w:tr w:rsidR="00000000">
        <w:trPr>
          <w:divId w:val="1632899000"/>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r>
      <w:tr w:rsidR="00000000">
        <w:trPr>
          <w:divId w:val="1632899000"/>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Expected volatility</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r>
      <w:tr w:rsidR="00000000">
        <w:trPr>
          <w:divId w:val="1632899000"/>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Expected dividend yield</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r>
      <w:tr w:rsidR="00000000">
        <w:trPr>
          <w:divId w:val="1632899000"/>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Risk-free interest rate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0.4 </w:t>
            </w:r>
          </w:p>
        </w:tc>
        <w:tc>
          <w:tcPr>
            <w:tcW w:w="0" w:type="auto"/>
            <w:shd w:val="clear" w:color="auto" w:fill="CCEE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t>
            </w:r>
          </w:p>
        </w:tc>
      </w:tr>
      <w:tr w:rsidR="00000000">
        <w:trPr>
          <w:divId w:val="1632899000"/>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Weighted-average grant date fair value</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BB5C2D">
            <w:pPr>
              <w:spacing w:after="100"/>
              <w:jc w:val="right"/>
              <w:rPr>
                <w:rFonts w:eastAsia="Times New Roman"/>
              </w:rPr>
            </w:pPr>
            <w:r>
              <w:rPr>
                <w:rFonts w:eastAsia="Times New Roman"/>
                <w:color w:val="000000"/>
                <w:sz w:val="20"/>
                <w:szCs w:val="20"/>
              </w:rPr>
              <w:t>146.46</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BB5C2D">
            <w:pPr>
              <w:spacing w:after="100"/>
              <w:jc w:val="right"/>
              <w:rPr>
                <w:rFonts w:eastAsia="Times New Roman"/>
              </w:rPr>
            </w:pPr>
            <w:r>
              <w:rPr>
                <w:rFonts w:eastAsia="Times New Roman"/>
                <w:color w:val="000000"/>
                <w:sz w:val="20"/>
                <w:szCs w:val="20"/>
              </w:rPr>
              <w:t>90.59</w:t>
            </w: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trPr>
          <w:jc w:val="center"/>
        </w:trPr>
        <w:tc>
          <w:tcPr>
            <w:tcW w:w="50" w:type="pct"/>
            <w:vAlign w:val="center"/>
            <w:hideMark/>
          </w:tcPr>
          <w:p w:rsidR="00000000" w:rsidRDefault="00BB5C2D">
            <w:pPr>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F-48</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60" style="width:0;height:1.5pt" o:hralign="center" o:hrstd="t" o:hr="t" fillcolor="#a0a0a0" stroked="f"/>
        </w:pict>
      </w:r>
    </w:p>
    <w:p w:rsidR="00000000" w:rsidRDefault="00BB5C2D">
      <w:pPr>
        <w:jc w:val="center"/>
        <w:divId w:val="1087921661"/>
        <w:rPr>
          <w:rFonts w:eastAsia="Times New Roman"/>
        </w:rPr>
      </w:pPr>
    </w:p>
    <w:p w:rsidR="00000000" w:rsidRDefault="00BB5C2D">
      <w:pPr>
        <w:jc w:val="center"/>
        <w:divId w:val="1087921661"/>
        <w:rPr>
          <w:rFonts w:eastAsia="Times New Roman"/>
        </w:rPr>
      </w:pPr>
      <w:r>
        <w:rPr>
          <w:rFonts w:eastAsia="Times New Roman"/>
          <w:b/>
          <w:bCs/>
          <w:color w:val="000000"/>
          <w:sz w:val="20"/>
          <w:szCs w:val="20"/>
        </w:rPr>
        <w:t>RALPH LAUREN CORPORATION</w:t>
      </w:r>
    </w:p>
    <w:p w:rsidR="00000000" w:rsidRDefault="00BB5C2D">
      <w:pPr>
        <w:jc w:val="center"/>
        <w:divId w:val="1940217080"/>
        <w:rPr>
          <w:rFonts w:eastAsia="Times New Roman"/>
        </w:rPr>
      </w:pPr>
      <w:r>
        <w:rPr>
          <w:rFonts w:eastAsia="Times New Roman"/>
          <w:b/>
          <w:bCs/>
          <w:color w:val="000000"/>
          <w:sz w:val="20"/>
          <w:szCs w:val="20"/>
        </w:rPr>
        <w:t>NOTES TO CONSOLIDATED FINANCIAL STATEMENTS (Continued)</w:t>
      </w:r>
    </w:p>
    <w:p w:rsidR="00000000" w:rsidRDefault="00BB5C2D">
      <w:pPr>
        <w:ind w:firstLine="540"/>
        <w:jc w:val="both"/>
        <w:divId w:val="1273783636"/>
        <w:rPr>
          <w:rFonts w:eastAsia="Times New Roman"/>
        </w:rPr>
      </w:pPr>
      <w:r>
        <w:rPr>
          <w:rFonts w:eastAsia="Times New Roman"/>
          <w:color w:val="000000"/>
          <w:sz w:val="20"/>
          <w:szCs w:val="20"/>
        </w:rPr>
        <w:t>A summary of performance-based RSU activity including TSR awards during Fiscal 2022 is as follows:</w:t>
      </w:r>
    </w:p>
    <w:tbl>
      <w:tblPr>
        <w:tblW w:w="4729" w:type="pct"/>
        <w:tblCellMar>
          <w:top w:w="15" w:type="dxa"/>
          <w:left w:w="15" w:type="dxa"/>
          <w:bottom w:w="15" w:type="dxa"/>
          <w:right w:w="15" w:type="dxa"/>
        </w:tblCellMar>
        <w:tblLook w:val="04A0" w:firstRow="1" w:lastRow="0" w:firstColumn="1" w:lastColumn="0" w:noHBand="0" w:noVBand="1"/>
      </w:tblPr>
      <w:tblGrid>
        <w:gridCol w:w="44"/>
        <w:gridCol w:w="5841"/>
        <w:gridCol w:w="37"/>
        <w:gridCol w:w="36"/>
        <w:gridCol w:w="36"/>
        <w:gridCol w:w="36"/>
        <w:gridCol w:w="75"/>
        <w:gridCol w:w="759"/>
        <w:gridCol w:w="37"/>
        <w:gridCol w:w="36"/>
        <w:gridCol w:w="36"/>
        <w:gridCol w:w="36"/>
        <w:gridCol w:w="120"/>
        <w:gridCol w:w="691"/>
        <w:gridCol w:w="36"/>
      </w:tblGrid>
      <w:tr w:rsidR="00000000">
        <w:trPr>
          <w:divId w:val="485971931"/>
        </w:trPr>
        <w:tc>
          <w:tcPr>
            <w:tcW w:w="50" w:type="pct"/>
            <w:vAlign w:val="center"/>
            <w:hideMark/>
          </w:tcPr>
          <w:p w:rsidR="00000000" w:rsidRDefault="00BB5C2D">
            <w:pPr>
              <w:ind w:firstLine="540"/>
              <w:jc w:val="both"/>
              <w:rPr>
                <w:rFonts w:eastAsia="Times New Roman"/>
              </w:rPr>
            </w:pPr>
          </w:p>
        </w:tc>
        <w:tc>
          <w:tcPr>
            <w:tcW w:w="373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0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0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485971931"/>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Performance-based</w:t>
            </w:r>
            <w:r>
              <w:rPr>
                <w:rFonts w:eastAsia="Times New Roman"/>
                <w:b/>
                <w:bCs/>
                <w:color w:val="000000"/>
                <w:sz w:val="16"/>
                <w:szCs w:val="16"/>
              </w:rPr>
              <w:br/>
              <w:t>RSUs</w:t>
            </w:r>
          </w:p>
        </w:tc>
      </w:tr>
      <w:tr w:rsidR="00000000">
        <w:trPr>
          <w:divId w:val="485971931"/>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Number of</w:t>
            </w:r>
            <w:r>
              <w:rPr>
                <w:rFonts w:eastAsia="Times New Roman"/>
                <w:b/>
                <w:bCs/>
                <w:color w:val="000000"/>
                <w:sz w:val="16"/>
                <w:szCs w:val="16"/>
              </w:rPr>
              <w:b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Weighted-Average Grant Date Fair Value</w:t>
            </w:r>
          </w:p>
        </w:tc>
      </w:tr>
      <w:tr w:rsidR="00000000">
        <w:trPr>
          <w:divId w:val="485971931"/>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(thousands)</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485971931"/>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Nonvested at March 27, 2021</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600 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105.85 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485971931"/>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Granted</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239 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129.56 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485971931"/>
        </w:trPr>
        <w:tc>
          <w:tcPr>
            <w:tcW w:w="0" w:type="auto"/>
            <w:gridSpan w:val="3"/>
            <w:shd w:val="clear" w:color="auto" w:fill="CCEEFF"/>
            <w:tcMar>
              <w:top w:w="30" w:type="dxa"/>
              <w:left w:w="335" w:type="dxa"/>
              <w:bottom w:w="30" w:type="dxa"/>
              <w:right w:w="20" w:type="dxa"/>
            </w:tcMar>
            <w:vAlign w:val="bottom"/>
            <w:hideMark/>
          </w:tcPr>
          <w:p w:rsidR="00000000" w:rsidRDefault="00BB5C2D">
            <w:pPr>
              <w:spacing w:after="100"/>
              <w:ind w:hanging="180"/>
              <w:rPr>
                <w:rFonts w:eastAsia="Times New Roman"/>
              </w:rPr>
            </w:pPr>
            <w:r>
              <w:rPr>
                <w:rFonts w:eastAsia="Times New Roman"/>
                <w:color w:val="000000"/>
                <w:sz w:val="20"/>
                <w:szCs w:val="20"/>
              </w:rPr>
              <w:t>Change due to performance and/or market condition achievement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ind w:hanging="18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169.86 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485971931"/>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Vested</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(229)</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140.16 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485971931"/>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Forfeited</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(77)</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98.12 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485971931"/>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Nonvested at April 2, 2022</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104.29 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bl>
    <w:tbl>
      <w:tblPr>
        <w:tblW w:w="4736" w:type="pct"/>
        <w:tblCellMar>
          <w:top w:w="15" w:type="dxa"/>
          <w:left w:w="15" w:type="dxa"/>
          <w:bottom w:w="15" w:type="dxa"/>
          <w:right w:w="15" w:type="dxa"/>
        </w:tblCellMar>
        <w:tblLook w:val="04A0" w:firstRow="1" w:lastRow="0" w:firstColumn="1" w:lastColumn="0" w:noHBand="0" w:noVBand="1"/>
      </w:tblPr>
      <w:tblGrid>
        <w:gridCol w:w="144"/>
        <w:gridCol w:w="6504"/>
        <w:gridCol w:w="144"/>
        <w:gridCol w:w="144"/>
        <w:gridCol w:w="144"/>
        <w:gridCol w:w="144"/>
        <w:gridCol w:w="144"/>
        <w:gridCol w:w="1126"/>
        <w:gridCol w:w="144"/>
      </w:tblGrid>
      <w:tr w:rsidR="00000000">
        <w:tc>
          <w:tcPr>
            <w:tcW w:w="50" w:type="pct"/>
            <w:vAlign w:val="center"/>
            <w:hideMark/>
          </w:tcPr>
          <w:p w:rsidR="00000000" w:rsidRDefault="00BB5C2D">
            <w:pPr>
              <w:rPr>
                <w:rFonts w:eastAsia="Times New Roman"/>
              </w:rPr>
            </w:pPr>
          </w:p>
        </w:tc>
        <w:tc>
          <w:tcPr>
            <w:tcW w:w="413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Performance-based</w:t>
            </w:r>
            <w:r>
              <w:rPr>
                <w:rFonts w:eastAsia="Times New Roman"/>
                <w:b/>
                <w:bCs/>
                <w:color w:val="000000"/>
                <w:sz w:val="16"/>
                <w:szCs w:val="16"/>
              </w:rPr>
              <w:br/>
              <w:t>RSUs</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unrecognized compensation expense at April 2, 2022 (millions)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Weighted-average period expected to be recognized over (years)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20"/>
                <w:szCs w:val="20"/>
              </w:rPr>
              <w:t>1.9</w:t>
            </w:r>
          </w:p>
        </w:tc>
      </w:tr>
    </w:tbl>
    <w:p w:rsidR="00000000" w:rsidRDefault="00BB5C2D">
      <w:pPr>
        <w:ind w:firstLine="540"/>
        <w:jc w:val="both"/>
        <w:divId w:val="1624383784"/>
        <w:rPr>
          <w:rFonts w:eastAsia="Times New Roman"/>
        </w:rPr>
      </w:pPr>
      <w:r>
        <w:rPr>
          <w:rFonts w:eastAsia="Times New Roman"/>
          <w:color w:val="000000"/>
          <w:sz w:val="20"/>
          <w:szCs w:val="20"/>
        </w:rPr>
        <w:t>Additional information pertaining to performance-based RSU activity including TSR awards is as follows:</w:t>
      </w:r>
    </w:p>
    <w:tbl>
      <w:tblPr>
        <w:tblW w:w="4766" w:type="pct"/>
        <w:tblCellMar>
          <w:top w:w="15" w:type="dxa"/>
          <w:left w:w="15" w:type="dxa"/>
          <w:bottom w:w="15" w:type="dxa"/>
          <w:right w:w="15" w:type="dxa"/>
        </w:tblCellMar>
        <w:tblLook w:val="04A0" w:firstRow="1" w:lastRow="0" w:firstColumn="1" w:lastColumn="0" w:noHBand="0" w:noVBand="1"/>
      </w:tblPr>
      <w:tblGrid>
        <w:gridCol w:w="37"/>
        <w:gridCol w:w="3949"/>
        <w:gridCol w:w="36"/>
        <w:gridCol w:w="36"/>
        <w:gridCol w:w="36"/>
        <w:gridCol w:w="36"/>
        <w:gridCol w:w="120"/>
        <w:gridCol w:w="1034"/>
        <w:gridCol w:w="36"/>
        <w:gridCol w:w="36"/>
        <w:gridCol w:w="36"/>
        <w:gridCol w:w="36"/>
        <w:gridCol w:w="120"/>
        <w:gridCol w:w="1034"/>
        <w:gridCol w:w="36"/>
        <w:gridCol w:w="36"/>
        <w:gridCol w:w="36"/>
        <w:gridCol w:w="36"/>
        <w:gridCol w:w="120"/>
        <w:gridCol w:w="1035"/>
        <w:gridCol w:w="36"/>
      </w:tblGrid>
      <w:tr w:rsidR="00000000">
        <w:trPr>
          <w:divId w:val="1875342650"/>
        </w:trPr>
        <w:tc>
          <w:tcPr>
            <w:tcW w:w="50" w:type="pct"/>
            <w:vAlign w:val="center"/>
            <w:hideMark/>
          </w:tcPr>
          <w:p w:rsidR="00000000" w:rsidRDefault="00BB5C2D">
            <w:pPr>
              <w:ind w:firstLine="540"/>
              <w:jc w:val="both"/>
              <w:rPr>
                <w:rFonts w:eastAsia="Times New Roman"/>
              </w:rPr>
            </w:pPr>
          </w:p>
        </w:tc>
        <w:tc>
          <w:tcPr>
            <w:tcW w:w="252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1"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1"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875342650"/>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Years Ended</w:t>
            </w:r>
          </w:p>
        </w:tc>
      </w:tr>
      <w:tr w:rsidR="00000000">
        <w:trPr>
          <w:divId w:val="1875342650"/>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r>
      <w:tr w:rsidR="00000000">
        <w:trPr>
          <w:divId w:val="1875342650"/>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i/>
                <w:iCs/>
                <w:color w:val="000000"/>
                <w:sz w:val="20"/>
                <w:szCs w:val="20"/>
              </w:rPr>
              <w:t>Performance-based RSUs: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875342650"/>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Weighted-average grant date fair value of awards granted</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129.56 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85.80 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875342650"/>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fair value of awards vested (millions)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27.6 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55.0 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52.8 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bl>
    <w:p w:rsidR="00000000" w:rsidRDefault="00BB5C2D">
      <w:pPr>
        <w:ind w:firstLine="360"/>
        <w:jc w:val="both"/>
        <w:divId w:val="1299527516"/>
        <w:rPr>
          <w:rFonts w:eastAsia="Times New Roman"/>
        </w:rPr>
      </w:pPr>
      <w:r>
        <w:rPr>
          <w:rFonts w:eastAsia="Times New Roman"/>
          <w:b/>
          <w:bCs/>
          <w:i/>
          <w:iCs/>
          <w:color w:val="000000"/>
          <w:sz w:val="20"/>
          <w:szCs w:val="20"/>
        </w:rPr>
        <w:t>Stock Options</w:t>
      </w:r>
    </w:p>
    <w:p w:rsidR="00000000" w:rsidRDefault="00BB5C2D">
      <w:pPr>
        <w:ind w:firstLine="540"/>
        <w:jc w:val="both"/>
        <w:divId w:val="1261715844"/>
        <w:rPr>
          <w:rFonts w:eastAsia="Times New Roman"/>
        </w:rPr>
      </w:pPr>
      <w:r>
        <w:rPr>
          <w:rFonts w:eastAsia="Times New Roman"/>
          <w:color w:val="000000"/>
          <w:sz w:val="20"/>
          <w:szCs w:val="20"/>
        </w:rPr>
        <w:t>Stock options were previously granted to employees and non-employee directors with exercise prices equal to the fair market value of the Company's Class A common stock on t</w:t>
      </w:r>
      <w:r>
        <w:rPr>
          <w:rFonts w:eastAsia="Times New Roman"/>
          <w:color w:val="000000"/>
          <w:sz w:val="20"/>
          <w:szCs w:val="20"/>
        </w:rPr>
        <w:t>he date of grant. Generally, options become exercisable ratably (graded-vesting schedule) over a three-year vesting period, subject to the employee's continuing employment. Stock options generally expire seven years from the date of grant. No stock options</w:t>
      </w:r>
      <w:r>
        <w:rPr>
          <w:rFonts w:eastAsia="Times New Roman"/>
          <w:color w:val="000000"/>
          <w:sz w:val="20"/>
          <w:szCs w:val="20"/>
        </w:rPr>
        <w:t xml:space="preserve"> were granted or exercised during any of the fiscal years presented.</w:t>
      </w:r>
    </w:p>
    <w:p w:rsidR="00000000" w:rsidRDefault="00BB5C2D">
      <w:pPr>
        <w:ind w:firstLine="540"/>
        <w:jc w:val="both"/>
        <w:divId w:val="91437454"/>
        <w:rPr>
          <w:rFonts w:eastAsia="Times New Roman"/>
        </w:rPr>
      </w:pPr>
      <w:r>
        <w:rPr>
          <w:rFonts w:eastAsia="Times New Roman"/>
          <w:color w:val="000000"/>
          <w:sz w:val="20"/>
          <w:szCs w:val="20"/>
        </w:rPr>
        <w:t>A summary of stock option activity during Fiscal 2022 is as follows:</w:t>
      </w:r>
    </w:p>
    <w:tbl>
      <w:tblPr>
        <w:tblW w:w="4714" w:type="pct"/>
        <w:tblCellMar>
          <w:top w:w="15" w:type="dxa"/>
          <w:left w:w="15" w:type="dxa"/>
          <w:bottom w:w="15" w:type="dxa"/>
          <w:right w:w="15" w:type="dxa"/>
        </w:tblCellMar>
        <w:tblLook w:val="04A0" w:firstRow="1" w:lastRow="0" w:firstColumn="1" w:lastColumn="0" w:noHBand="0" w:noVBand="1"/>
      </w:tblPr>
      <w:tblGrid>
        <w:gridCol w:w="38"/>
        <w:gridCol w:w="3911"/>
        <w:gridCol w:w="37"/>
        <w:gridCol w:w="36"/>
        <w:gridCol w:w="36"/>
        <w:gridCol w:w="36"/>
        <w:gridCol w:w="75"/>
        <w:gridCol w:w="759"/>
        <w:gridCol w:w="36"/>
        <w:gridCol w:w="36"/>
        <w:gridCol w:w="36"/>
        <w:gridCol w:w="36"/>
        <w:gridCol w:w="120"/>
        <w:gridCol w:w="664"/>
        <w:gridCol w:w="36"/>
        <w:gridCol w:w="36"/>
        <w:gridCol w:w="36"/>
        <w:gridCol w:w="36"/>
        <w:gridCol w:w="77"/>
        <w:gridCol w:w="783"/>
        <w:gridCol w:w="36"/>
        <w:gridCol w:w="36"/>
        <w:gridCol w:w="36"/>
        <w:gridCol w:w="36"/>
        <w:gridCol w:w="121"/>
        <w:gridCol w:w="670"/>
        <w:gridCol w:w="36"/>
      </w:tblGrid>
      <w:tr w:rsidR="00000000">
        <w:trPr>
          <w:divId w:val="1707021207"/>
        </w:trPr>
        <w:tc>
          <w:tcPr>
            <w:tcW w:w="50" w:type="pct"/>
            <w:vAlign w:val="center"/>
            <w:hideMark/>
          </w:tcPr>
          <w:p w:rsidR="00000000" w:rsidRDefault="00BB5C2D">
            <w:pPr>
              <w:ind w:firstLine="540"/>
              <w:jc w:val="both"/>
              <w:rPr>
                <w:rFonts w:eastAsia="Times New Roman"/>
              </w:rPr>
            </w:pPr>
          </w:p>
        </w:tc>
        <w:tc>
          <w:tcPr>
            <w:tcW w:w="252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1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1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1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511"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707021207"/>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Number of</w:t>
            </w:r>
            <w:r>
              <w:rPr>
                <w:rFonts w:eastAsia="Times New Roman"/>
                <w:b/>
                <w:bCs/>
                <w:color w:val="000000"/>
                <w:sz w:val="16"/>
                <w:szCs w:val="16"/>
              </w:rPr>
              <w:br/>
              <w:t>Shares</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Weighted-Average Exercise Price</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Weighted-Average Remaining Contractual Term</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Aggregate Intrinsic Valu</w:t>
            </w:r>
            <w:r>
              <w:rPr>
                <w:rFonts w:eastAsia="Times New Roman"/>
                <w:b/>
                <w:bCs/>
                <w:color w:val="000000"/>
                <w:sz w:val="16"/>
                <w:szCs w:val="16"/>
              </w:rPr>
              <w:t>e</w:t>
            </w:r>
            <w:r>
              <w:rPr>
                <w:rFonts w:eastAsia="Times New Roman"/>
                <w:b/>
                <w:bCs/>
                <w:color w:val="000000"/>
                <w:sz w:val="10"/>
                <w:szCs w:val="10"/>
              </w:rPr>
              <w:t>(a</w:t>
            </w:r>
            <w:r>
              <w:rPr>
                <w:rFonts w:eastAsia="Times New Roman"/>
                <w:b/>
                <w:bCs/>
                <w:color w:val="000000"/>
                <w:sz w:val="10"/>
                <w:szCs w:val="10"/>
              </w:rPr>
              <w:t>)</w:t>
            </w:r>
          </w:p>
        </w:tc>
      </w:tr>
      <w:tr w:rsidR="00000000">
        <w:trPr>
          <w:divId w:val="1707021207"/>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(thousands)</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(years)</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1707021207"/>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Options outstanding at March 27, 2021</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255 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159.83 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20"/>
                <w:szCs w:val="20"/>
              </w:rPr>
              <w:t>0.3</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707021207"/>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Granted</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707021207"/>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Exercised</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707021207"/>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Cancelled/Forfeited</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(255)</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159.83 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707021207"/>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Options outstanding at April 2, 2022</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20"/>
                <w:szCs w:val="20"/>
              </w:rPr>
              <w:t>N/A</w:t>
            </w:r>
          </w:p>
        </w:tc>
      </w:tr>
      <w:tr w:rsidR="00000000">
        <w:trPr>
          <w:divId w:val="1707021207"/>
          <w:trHeight w:val="180"/>
        </w:trPr>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707021207"/>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divId w:val="494951777"/>
              <w:rPr>
                <w:rFonts w:eastAsia="Times New Roman"/>
              </w:rPr>
            </w:pPr>
            <w:r>
              <w:rPr>
                <w:rFonts w:eastAsia="Times New Roman"/>
                <w:color w:val="000000"/>
                <w:sz w:val="20"/>
                <w:szCs w:val="20"/>
              </w:rPr>
              <w:t>Options vested at April 2, 202</w:t>
            </w:r>
            <w:r>
              <w:rPr>
                <w:rFonts w:eastAsia="Times New Roman"/>
                <w:color w:val="000000"/>
                <w:sz w:val="20"/>
                <w:szCs w:val="20"/>
              </w:rPr>
              <w:t>2</w:t>
            </w:r>
            <w:r>
              <w:rPr>
                <w:rFonts w:eastAsia="Times New Roman"/>
                <w:b/>
                <w:bCs/>
                <w:color w:val="000000"/>
                <w:sz w:val="13"/>
                <w:szCs w:val="13"/>
              </w:rPr>
              <w:t>(b</w:t>
            </w:r>
            <w:r>
              <w:rPr>
                <w:rFonts w:eastAsia="Times New Roman"/>
                <w:b/>
                <w:bCs/>
                <w:color w:val="000000"/>
                <w:sz w:val="13"/>
                <w:szCs w:val="13"/>
              </w:rPr>
              <w:t>)</w:t>
            </w:r>
            <w:r>
              <w:rPr>
                <w:rFonts w:eastAsia="Times New Roman"/>
                <w:b/>
                <w:bCs/>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20"/>
                <w:szCs w:val="20"/>
              </w:rPr>
              <w:t>N/A</w:t>
            </w:r>
          </w:p>
        </w:tc>
      </w:tr>
      <w:tr w:rsidR="00000000">
        <w:trPr>
          <w:divId w:val="1707021207"/>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Options exercisable at April 2, 2022</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20"/>
                <w:szCs w:val="20"/>
              </w:rPr>
              <w:t>N/A</w:t>
            </w: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trPr>
          <w:jc w:val="center"/>
        </w:trPr>
        <w:tc>
          <w:tcPr>
            <w:tcW w:w="50" w:type="pct"/>
            <w:vAlign w:val="center"/>
            <w:hideMark/>
          </w:tcPr>
          <w:p w:rsidR="00000000" w:rsidRDefault="00BB5C2D">
            <w:pPr>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F-49</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61" style="width:0;height:1.5pt" o:hralign="center" o:hrstd="t" o:hr="t" fillcolor="#a0a0a0" stroked="f"/>
        </w:pict>
      </w:r>
    </w:p>
    <w:p w:rsidR="00000000" w:rsidRDefault="00BB5C2D">
      <w:pPr>
        <w:jc w:val="center"/>
        <w:divId w:val="1177505232"/>
        <w:rPr>
          <w:rFonts w:eastAsia="Times New Roman"/>
        </w:rPr>
      </w:pPr>
    </w:p>
    <w:p w:rsidR="00000000" w:rsidRDefault="00BB5C2D">
      <w:pPr>
        <w:jc w:val="center"/>
        <w:divId w:val="1177505232"/>
        <w:rPr>
          <w:rFonts w:eastAsia="Times New Roman"/>
        </w:rPr>
      </w:pPr>
      <w:r>
        <w:rPr>
          <w:rFonts w:eastAsia="Times New Roman"/>
          <w:b/>
          <w:bCs/>
          <w:color w:val="000000"/>
          <w:sz w:val="20"/>
          <w:szCs w:val="20"/>
        </w:rPr>
        <w:t>RALPH LAUREN CORPORATION</w:t>
      </w:r>
    </w:p>
    <w:p w:rsidR="00000000" w:rsidRDefault="00BB5C2D">
      <w:pPr>
        <w:jc w:val="center"/>
        <w:divId w:val="779881131"/>
        <w:rPr>
          <w:rFonts w:eastAsia="Times New Roman"/>
        </w:rPr>
      </w:pPr>
      <w:r>
        <w:rPr>
          <w:rFonts w:eastAsia="Times New Roman"/>
          <w:b/>
          <w:bCs/>
          <w:color w:val="000000"/>
          <w:sz w:val="20"/>
          <w:szCs w:val="20"/>
        </w:rPr>
        <w:t>NOTES TO CONSOLIDATED FINANCIAL STATEMENTS (Continued)</w:t>
      </w:r>
    </w:p>
    <w:tbl>
      <w:tblPr>
        <w:tblW w:w="972" w:type="pct"/>
        <w:tblCellMar>
          <w:top w:w="15" w:type="dxa"/>
          <w:left w:w="15" w:type="dxa"/>
          <w:bottom w:w="15" w:type="dxa"/>
          <w:right w:w="15" w:type="dxa"/>
        </w:tblCellMar>
        <w:tblLook w:val="04A0" w:firstRow="1" w:lastRow="0" w:firstColumn="1" w:lastColumn="0" w:noHBand="0" w:noVBand="1"/>
      </w:tblPr>
      <w:tblGrid>
        <w:gridCol w:w="36"/>
        <w:gridCol w:w="1543"/>
        <w:gridCol w:w="36"/>
      </w:tblGrid>
      <w:tr w:rsidR="00000000">
        <w:trPr>
          <w:divId w:val="1848205676"/>
        </w:trPr>
        <w:tc>
          <w:tcPr>
            <w:tcW w:w="50" w:type="pct"/>
            <w:vAlign w:val="center"/>
            <w:hideMark/>
          </w:tcPr>
          <w:p w:rsidR="00000000" w:rsidRDefault="00BB5C2D">
            <w:pPr>
              <w:jc w:val="center"/>
              <w:rPr>
                <w:rFonts w:eastAsia="Times New Roman"/>
              </w:rPr>
            </w:pPr>
          </w:p>
        </w:tc>
        <w:tc>
          <w:tcPr>
            <w:tcW w:w="494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848205676"/>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r>
    </w:tbl>
    <w:p w:rsidR="00000000" w:rsidRDefault="00BB5C2D">
      <w:pPr>
        <w:ind w:hanging="360"/>
        <w:jc w:val="both"/>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Aggregate intrinsic value is the amount by which the market price of the Company's Class A common stock at the end of the period exceeds the exercise price of the stock option, multiplied by the number of options.</w:t>
      </w:r>
    </w:p>
    <w:p w:rsidR="00000000" w:rsidRDefault="00BB5C2D">
      <w:pPr>
        <w:ind w:hanging="360"/>
        <w:jc w:val="both"/>
        <w:divId w:val="487088827"/>
        <w:rPr>
          <w:rFonts w:eastAsia="Times New Roman"/>
        </w:rPr>
      </w:pPr>
      <w:r>
        <w:rPr>
          <w:rFonts w:eastAsia="Times New Roman"/>
          <w:b/>
          <w:bCs/>
          <w:color w:val="000000"/>
          <w:sz w:val="13"/>
          <w:szCs w:val="13"/>
        </w:rPr>
        <w:t>(b</w:t>
      </w:r>
      <w:r>
        <w:rPr>
          <w:rFonts w:eastAsia="Times New Roman"/>
          <w:b/>
          <w:bCs/>
          <w:color w:val="000000"/>
          <w:sz w:val="13"/>
          <w:szCs w:val="13"/>
        </w:rPr>
        <w:t>)</w:t>
      </w:r>
      <w:r>
        <w:rPr>
          <w:rFonts w:eastAsia="Times New Roman"/>
          <w:color w:val="000000"/>
          <w:sz w:val="20"/>
          <w:szCs w:val="20"/>
        </w:rPr>
        <w:t>There were no nonvested stock options a</w:t>
      </w:r>
      <w:r>
        <w:rPr>
          <w:rFonts w:eastAsia="Times New Roman"/>
          <w:color w:val="000000"/>
          <w:sz w:val="20"/>
          <w:szCs w:val="20"/>
        </w:rPr>
        <w:t>s of April 2, 2022. Accordingly, there was no related unrecognized compensation expense as of April 2, 2022.</w:t>
      </w:r>
    </w:p>
    <w:p w:rsidR="00000000" w:rsidRDefault="00BB5C2D">
      <w:pPr>
        <w:ind w:hanging="540"/>
        <w:jc w:val="both"/>
        <w:divId w:val="968509528"/>
        <w:rPr>
          <w:rFonts w:eastAsia="Times New Roman"/>
        </w:rPr>
      </w:pPr>
      <w:r>
        <w:rPr>
          <w:rFonts w:eastAsia="Times New Roman"/>
          <w:b/>
          <w:bCs/>
          <w:color w:val="000000"/>
          <w:sz w:val="20"/>
          <w:szCs w:val="20"/>
        </w:rPr>
        <w:t>19.    Employee Benefit Plans</w:t>
      </w:r>
    </w:p>
    <w:p w:rsidR="00000000" w:rsidRDefault="00BB5C2D">
      <w:pPr>
        <w:ind w:firstLine="360"/>
        <w:jc w:val="both"/>
        <w:divId w:val="117533116"/>
        <w:rPr>
          <w:rFonts w:eastAsia="Times New Roman"/>
        </w:rPr>
      </w:pPr>
      <w:r>
        <w:rPr>
          <w:rFonts w:eastAsia="Times New Roman"/>
          <w:b/>
          <w:bCs/>
          <w:i/>
          <w:iCs/>
          <w:color w:val="000000"/>
          <w:sz w:val="20"/>
          <w:szCs w:val="20"/>
        </w:rPr>
        <w:t>Defined Contribution Plans</w:t>
      </w:r>
    </w:p>
    <w:p w:rsidR="00000000" w:rsidRDefault="00BB5C2D">
      <w:pPr>
        <w:ind w:firstLine="540"/>
        <w:jc w:val="both"/>
        <w:divId w:val="1883134050"/>
        <w:rPr>
          <w:rFonts w:eastAsia="Times New Roman"/>
        </w:rPr>
      </w:pPr>
      <w:r>
        <w:rPr>
          <w:rFonts w:eastAsia="Times New Roman"/>
          <w:color w:val="000000"/>
          <w:sz w:val="20"/>
          <w:szCs w:val="20"/>
        </w:rPr>
        <w:t>The Company sponsors defined contribution benefit plans covering substantially all eligibl</w:t>
      </w:r>
      <w:r>
        <w:rPr>
          <w:rFonts w:eastAsia="Times New Roman"/>
          <w:color w:val="000000"/>
          <w:sz w:val="20"/>
          <w:szCs w:val="20"/>
        </w:rPr>
        <w:t>e employees in the U.S. and Puerto Rico who are not covered by a collective bargaining agreement. The plans include a savings plan feature under Section 401(k) of the Internal Revenue Code. The Company makes matching contributions to the plans equal to 50%</w:t>
      </w:r>
      <w:r>
        <w:rPr>
          <w:rFonts w:eastAsia="Times New Roman"/>
          <w:color w:val="000000"/>
          <w:sz w:val="20"/>
          <w:szCs w:val="20"/>
        </w:rPr>
        <w:t xml:space="preserve"> of the first 6% of salary contributed by an eligible employee. Additionally, the Company makes a supplemental matching contribution for plan years in which the Company achieves an "above target" performance level based on certain goals established at the </w:t>
      </w:r>
      <w:r>
        <w:rPr>
          <w:rFonts w:eastAsia="Times New Roman"/>
          <w:color w:val="000000"/>
          <w:sz w:val="20"/>
          <w:szCs w:val="20"/>
        </w:rPr>
        <w:t>beginning of each fiscal year, increasing the matching contribution to between 67% and 100% depending on the performance level achieved, of the first 6% of salary contributed by eligible employees, not to exceed the maximum contribution permitted by the pl</w:t>
      </w:r>
      <w:r>
        <w:rPr>
          <w:rFonts w:eastAsia="Times New Roman"/>
          <w:color w:val="000000"/>
          <w:sz w:val="20"/>
          <w:szCs w:val="20"/>
        </w:rPr>
        <w:t>an.</w:t>
      </w:r>
    </w:p>
    <w:p w:rsidR="00000000" w:rsidRDefault="00BB5C2D">
      <w:pPr>
        <w:ind w:firstLine="540"/>
        <w:jc w:val="both"/>
        <w:divId w:val="1465542364"/>
        <w:rPr>
          <w:rFonts w:eastAsia="Times New Roman"/>
        </w:rPr>
      </w:pPr>
      <w:r>
        <w:rPr>
          <w:rFonts w:eastAsia="Times New Roman"/>
          <w:color w:val="000000"/>
          <w:sz w:val="20"/>
          <w:szCs w:val="20"/>
        </w:rPr>
        <w:t>Under the terms of the plans, a participant becomes 100% vested in the Company's matching contributions after five years of credited service. Contributions made by the Company under these plans were $12.9 million, $9.8 million, and $8.7 million in Fisc</w:t>
      </w:r>
      <w:r>
        <w:rPr>
          <w:rFonts w:eastAsia="Times New Roman"/>
          <w:color w:val="000000"/>
          <w:sz w:val="20"/>
          <w:szCs w:val="20"/>
        </w:rPr>
        <w:t>al 2022, Fiscal 2021, and Fiscal 2020, respectively.</w:t>
      </w:r>
    </w:p>
    <w:p w:rsidR="00000000" w:rsidRDefault="00BB5C2D">
      <w:pPr>
        <w:ind w:firstLine="360"/>
        <w:jc w:val="both"/>
        <w:divId w:val="1015885411"/>
        <w:rPr>
          <w:rFonts w:eastAsia="Times New Roman"/>
        </w:rPr>
      </w:pPr>
      <w:r>
        <w:rPr>
          <w:rFonts w:eastAsia="Times New Roman"/>
          <w:b/>
          <w:bCs/>
          <w:i/>
          <w:iCs/>
          <w:color w:val="000000"/>
          <w:sz w:val="20"/>
          <w:szCs w:val="20"/>
        </w:rPr>
        <w:t>International Defined Benefit Plans</w:t>
      </w:r>
    </w:p>
    <w:p w:rsidR="00000000" w:rsidRDefault="00BB5C2D">
      <w:pPr>
        <w:ind w:firstLine="540"/>
        <w:jc w:val="both"/>
        <w:divId w:val="410812241"/>
        <w:rPr>
          <w:rFonts w:eastAsia="Times New Roman"/>
        </w:rPr>
      </w:pPr>
      <w:r>
        <w:rPr>
          <w:rFonts w:eastAsia="Times New Roman"/>
          <w:color w:val="000000"/>
          <w:sz w:val="20"/>
          <w:szCs w:val="20"/>
        </w:rPr>
        <w:t>The Company sponsors certain single-employer defined benefit plans and cash balance plans at international locations which are not considered to be material individual</w:t>
      </w:r>
      <w:r>
        <w:rPr>
          <w:rFonts w:eastAsia="Times New Roman"/>
          <w:color w:val="000000"/>
          <w:sz w:val="20"/>
          <w:szCs w:val="20"/>
        </w:rPr>
        <w:t>ly or in the aggregate to the Company's financial statements. Pension benefits under these plans are based on formulas that reflect the employees' years of service and compensation levels during their employment period. The aggregate funded status of the s</w:t>
      </w:r>
      <w:r>
        <w:rPr>
          <w:rFonts w:eastAsia="Times New Roman"/>
          <w:color w:val="000000"/>
          <w:sz w:val="20"/>
          <w:szCs w:val="20"/>
        </w:rPr>
        <w:t>ingle-employer defined benefit plans reflected net assets of $2.5 million and $0.7 million as of April 2, 2022 and March 27, 2021, respectively, and were primarily recorded within other non-current assets in the consolidated balance sheets. These single-em</w:t>
      </w:r>
      <w:r>
        <w:rPr>
          <w:rFonts w:eastAsia="Times New Roman"/>
          <w:color w:val="000000"/>
          <w:sz w:val="20"/>
          <w:szCs w:val="20"/>
        </w:rPr>
        <w:t>ployer defined benefit plans had aggregate fair values of plan assets of $48.6 million and aggregate projected benefit obligations of $46.1 million as of April 2, 2022, compared to aggregate fair values of plan assets of $56.8 million and aggregate project</w:t>
      </w:r>
      <w:r>
        <w:rPr>
          <w:rFonts w:eastAsia="Times New Roman"/>
          <w:color w:val="000000"/>
          <w:sz w:val="20"/>
          <w:szCs w:val="20"/>
        </w:rPr>
        <w:t xml:space="preserve">ed benefit obligations of $56.1 million as of March 27, 2021. The asset portfolio of the single-employer defined benefit plans primarily consists of fixed income securities, which have been measured at fair value largely using Level 2 inputs, as described </w:t>
      </w:r>
      <w:r>
        <w:rPr>
          <w:rFonts w:eastAsia="Times New Roman"/>
          <w:color w:val="000000"/>
          <w:sz w:val="20"/>
          <w:szCs w:val="20"/>
        </w:rPr>
        <w:t>in Note 12. Net pension expense for these plans was $4.6 million, $5.1 million, and $5.0 million in Fiscal 2022, Fiscal 2021, and Fiscal 2020, respectively. The service cost component of $4.8 million, $5.9 million, and $4.7 million in Fiscal 2022, Fiscal 2</w:t>
      </w:r>
      <w:r>
        <w:rPr>
          <w:rFonts w:eastAsia="Times New Roman"/>
          <w:color w:val="000000"/>
          <w:sz w:val="20"/>
          <w:szCs w:val="20"/>
        </w:rPr>
        <w:t>021, and Fiscal 2020, respectively, was recorded within SG&amp;A expenses in the consolidated statements of operations. All other components of net pension expense during the fiscal years presented were recorded within other income (expense), net, in the conso</w:t>
      </w:r>
      <w:r>
        <w:rPr>
          <w:rFonts w:eastAsia="Times New Roman"/>
          <w:color w:val="000000"/>
          <w:sz w:val="20"/>
          <w:szCs w:val="20"/>
        </w:rPr>
        <w:t>lidated statement of operations.</w:t>
      </w:r>
    </w:p>
    <w:p w:rsidR="00000000" w:rsidRDefault="00BB5C2D">
      <w:pPr>
        <w:ind w:firstLine="360"/>
        <w:jc w:val="both"/>
        <w:divId w:val="1809590724"/>
        <w:rPr>
          <w:rFonts w:eastAsia="Times New Roman"/>
        </w:rPr>
      </w:pPr>
      <w:r>
        <w:rPr>
          <w:rFonts w:eastAsia="Times New Roman"/>
          <w:b/>
          <w:bCs/>
          <w:i/>
          <w:iCs/>
          <w:color w:val="000000"/>
          <w:sz w:val="20"/>
          <w:szCs w:val="20"/>
        </w:rPr>
        <w:t>Union Pension Plan</w:t>
      </w:r>
    </w:p>
    <w:p w:rsidR="00000000" w:rsidRDefault="00BB5C2D">
      <w:pPr>
        <w:ind w:firstLine="540"/>
        <w:jc w:val="both"/>
        <w:divId w:val="1699352828"/>
        <w:rPr>
          <w:rFonts w:eastAsia="Times New Roman"/>
        </w:rPr>
      </w:pPr>
      <w:r>
        <w:rPr>
          <w:rFonts w:eastAsia="Times New Roman"/>
          <w:color w:val="000000"/>
          <w:sz w:val="20"/>
          <w:szCs w:val="20"/>
        </w:rPr>
        <w:t>The Company participates in a multi-employer pension plan and is required to make contributions to the Workers United union (which was previously known as UNITE HERE) (the "Union") for dues based on wages</w:t>
      </w:r>
      <w:r>
        <w:rPr>
          <w:rFonts w:eastAsia="Times New Roman"/>
          <w:color w:val="000000"/>
          <w:sz w:val="20"/>
          <w:szCs w:val="20"/>
        </w:rPr>
        <w:t xml:space="preserve"> paid to union employees. A portion of these dues is allocated by the Union to a retirement fund which provides defined benefits to substantially all unionized workers. The Company does not participate in the management of the plan and has not been furnish</w:t>
      </w:r>
      <w:r>
        <w:rPr>
          <w:rFonts w:eastAsia="Times New Roman"/>
          <w:color w:val="000000"/>
          <w:sz w:val="20"/>
          <w:szCs w:val="20"/>
        </w:rPr>
        <w:t>ed with information with respect to the type of benefits provided, vested and non-vested benefits, or assets.</w:t>
      </w:r>
    </w:p>
    <w:p w:rsidR="00000000" w:rsidRDefault="00BB5C2D">
      <w:pPr>
        <w:ind w:firstLine="540"/>
        <w:jc w:val="both"/>
        <w:divId w:val="542523313"/>
        <w:rPr>
          <w:rFonts w:eastAsia="Times New Roman"/>
        </w:rPr>
      </w:pPr>
      <w:r>
        <w:rPr>
          <w:rFonts w:eastAsia="Times New Roman"/>
          <w:color w:val="000000"/>
          <w:sz w:val="20"/>
          <w:szCs w:val="20"/>
        </w:rPr>
        <w:t xml:space="preserve">Under the Employee Retirement Income Security Act of 1974, as amended, an employer, upon withdrawal from or termination of a multi-employer plan, </w:t>
      </w:r>
      <w:r>
        <w:rPr>
          <w:rFonts w:eastAsia="Times New Roman"/>
          <w:color w:val="000000"/>
          <w:sz w:val="20"/>
          <w:szCs w:val="20"/>
        </w:rPr>
        <w:t>is required to continue funding its proportionate share of the plan's unfunded vested benefits. Such liability was assumed in conjunction with the acquisition of certain assets from a non-affiliated licensee. The Company has no current intention of withdra</w:t>
      </w:r>
      <w:r>
        <w:rPr>
          <w:rFonts w:eastAsia="Times New Roman"/>
          <w:color w:val="000000"/>
          <w:sz w:val="20"/>
          <w:szCs w:val="20"/>
        </w:rPr>
        <w:t>wing from the plan.</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944000673"/>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944000673"/>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F-50</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62" style="width:0;height:1.5pt" o:hralign="center" o:hrstd="t" o:hr="t" fillcolor="#a0a0a0" stroked="f"/>
        </w:pict>
      </w:r>
    </w:p>
    <w:p w:rsidR="00000000" w:rsidRDefault="00BB5C2D">
      <w:pPr>
        <w:jc w:val="center"/>
        <w:divId w:val="885870016"/>
        <w:rPr>
          <w:rFonts w:eastAsia="Times New Roman"/>
        </w:rPr>
      </w:pPr>
    </w:p>
    <w:p w:rsidR="00000000" w:rsidRDefault="00BB5C2D">
      <w:pPr>
        <w:jc w:val="center"/>
        <w:divId w:val="885870016"/>
        <w:rPr>
          <w:rFonts w:eastAsia="Times New Roman"/>
        </w:rPr>
      </w:pPr>
      <w:r>
        <w:rPr>
          <w:rFonts w:eastAsia="Times New Roman"/>
          <w:b/>
          <w:bCs/>
          <w:color w:val="000000"/>
          <w:sz w:val="20"/>
          <w:szCs w:val="20"/>
        </w:rPr>
        <w:t>RALPH LAUREN CORPORATION</w:t>
      </w:r>
    </w:p>
    <w:p w:rsidR="00000000" w:rsidRDefault="00BB5C2D">
      <w:pPr>
        <w:jc w:val="center"/>
        <w:divId w:val="307982008"/>
        <w:rPr>
          <w:rFonts w:eastAsia="Times New Roman"/>
        </w:rPr>
      </w:pPr>
      <w:r>
        <w:rPr>
          <w:rFonts w:eastAsia="Times New Roman"/>
          <w:b/>
          <w:bCs/>
          <w:color w:val="000000"/>
          <w:sz w:val="20"/>
          <w:szCs w:val="20"/>
        </w:rPr>
        <w:t>NOTES TO CONSOLIDATED FINANCIAL STATEMENTS (Continued)</w:t>
      </w:r>
    </w:p>
    <w:p w:rsidR="00000000" w:rsidRDefault="00BB5C2D">
      <w:pPr>
        <w:ind w:hanging="540"/>
        <w:divId w:val="1268929583"/>
        <w:rPr>
          <w:rFonts w:eastAsia="Times New Roman"/>
        </w:rPr>
      </w:pPr>
      <w:r>
        <w:rPr>
          <w:rFonts w:eastAsia="Times New Roman"/>
          <w:b/>
          <w:bCs/>
          <w:color w:val="000000"/>
          <w:sz w:val="20"/>
          <w:szCs w:val="20"/>
        </w:rPr>
        <w:t>20.    Segment Information</w:t>
      </w:r>
    </w:p>
    <w:p w:rsidR="00000000" w:rsidRDefault="00BB5C2D">
      <w:pPr>
        <w:ind w:firstLine="540"/>
        <w:jc w:val="both"/>
        <w:divId w:val="781152446"/>
        <w:rPr>
          <w:rFonts w:eastAsia="Times New Roman"/>
        </w:rPr>
      </w:pPr>
      <w:r>
        <w:rPr>
          <w:rFonts w:eastAsia="Times New Roman"/>
          <w:color w:val="000000"/>
          <w:sz w:val="20"/>
          <w:szCs w:val="20"/>
        </w:rPr>
        <w:t>The Company has three reportable segments based on its business activities and organization:</w:t>
      </w:r>
    </w:p>
    <w:p w:rsidR="00000000" w:rsidRDefault="00BB5C2D">
      <w:pPr>
        <w:ind w:hanging="360"/>
        <w:jc w:val="both"/>
        <w:divId w:val="1621642890"/>
        <w:rPr>
          <w:rFonts w:eastAsia="Times New Roman"/>
        </w:rPr>
      </w:pPr>
      <w:r>
        <w:rPr>
          <w:rFonts w:eastAsia="Times New Roman"/>
          <w:color w:val="000000"/>
          <w:sz w:val="20"/>
          <w:szCs w:val="20"/>
        </w:rPr>
        <w:t>•</w:t>
      </w:r>
      <w:r>
        <w:rPr>
          <w:rFonts w:eastAsia="Times New Roman"/>
          <w:i/>
          <w:iCs/>
          <w:color w:val="000000"/>
          <w:sz w:val="20"/>
          <w:szCs w:val="20"/>
        </w:rPr>
        <w:t>North America</w:t>
      </w:r>
      <w:r>
        <w:rPr>
          <w:rFonts w:eastAsia="Times New Roman"/>
          <w:color w:val="000000"/>
          <w:sz w:val="20"/>
          <w:szCs w:val="20"/>
        </w:rPr>
        <w:t xml:space="preserve"> — T</w:t>
      </w:r>
      <w:r>
        <w:rPr>
          <w:rFonts w:eastAsia="Times New Roman"/>
          <w:color w:val="000000"/>
          <w:sz w:val="20"/>
          <w:szCs w:val="20"/>
        </w:rPr>
        <w:t>he North America segment primarily consists of sales of Ralph Lauren branded apparel, footwear, accessories, home furnishings, and related products made through the Company's retail and wholesale businesses in the U.S. and Canada. In North America, the Com</w:t>
      </w:r>
      <w:r>
        <w:rPr>
          <w:rFonts w:eastAsia="Times New Roman"/>
          <w:color w:val="000000"/>
          <w:sz w:val="20"/>
          <w:szCs w:val="20"/>
        </w:rPr>
        <w:t>pany's retail business is primarily comprised of its Ralph Lauren stores, its factory stores, and its digital commerce site, www.RalphLauren.com. The Company's wholesale business in North America is comprised primarily of sales to department stores and, to</w:t>
      </w:r>
      <w:r>
        <w:rPr>
          <w:rFonts w:eastAsia="Times New Roman"/>
          <w:color w:val="000000"/>
          <w:sz w:val="20"/>
          <w:szCs w:val="20"/>
        </w:rPr>
        <w:t xml:space="preserve"> a lesser extent, specialty stores.</w:t>
      </w:r>
    </w:p>
    <w:p w:rsidR="00000000" w:rsidRDefault="00BB5C2D">
      <w:pPr>
        <w:ind w:hanging="360"/>
        <w:jc w:val="both"/>
        <w:divId w:val="459148809"/>
        <w:rPr>
          <w:rFonts w:eastAsia="Times New Roman"/>
        </w:rPr>
      </w:pPr>
      <w:r>
        <w:rPr>
          <w:rFonts w:eastAsia="Times New Roman"/>
          <w:color w:val="000000"/>
          <w:sz w:val="20"/>
          <w:szCs w:val="20"/>
        </w:rPr>
        <w:t>•</w:t>
      </w:r>
      <w:r>
        <w:rPr>
          <w:rFonts w:eastAsia="Times New Roman"/>
          <w:i/>
          <w:iCs/>
          <w:color w:val="000000"/>
          <w:sz w:val="20"/>
          <w:szCs w:val="20"/>
        </w:rPr>
        <w:t>Europe</w:t>
      </w:r>
      <w:r>
        <w:rPr>
          <w:rFonts w:eastAsia="Times New Roman"/>
          <w:color w:val="000000"/>
          <w:sz w:val="20"/>
          <w:szCs w:val="20"/>
        </w:rPr>
        <w:t xml:space="preserve"> — The Europe segment primarily consists of sales of Ralph Lauren branded apparel, footwear, accessories, home furnishings, and related products made through the Company's retail and wholesale businesses in Europe</w:t>
      </w:r>
      <w:r>
        <w:rPr>
          <w:rFonts w:eastAsia="Times New Roman"/>
          <w:color w:val="000000"/>
          <w:sz w:val="20"/>
          <w:szCs w:val="20"/>
        </w:rPr>
        <w:t xml:space="preserve"> and emerging markets. In Europe, the Company's retail business is primarily comprised of its Ralph Lauren stores, its factory stores, its concession-based shop-within-shops, and its various digital commerce sites. The Company's wholesale business in Europ</w:t>
      </w:r>
      <w:r>
        <w:rPr>
          <w:rFonts w:eastAsia="Times New Roman"/>
          <w:color w:val="000000"/>
          <w:sz w:val="20"/>
          <w:szCs w:val="20"/>
        </w:rPr>
        <w:t>e is comprised primarily of a varying mix of sales to both department stores and specialty stores, depending on the country, as well as to various third-party digital partners.</w:t>
      </w:r>
    </w:p>
    <w:p w:rsidR="00000000" w:rsidRDefault="00BB5C2D">
      <w:pPr>
        <w:ind w:hanging="360"/>
        <w:jc w:val="both"/>
        <w:divId w:val="116998483"/>
        <w:rPr>
          <w:rFonts w:eastAsia="Times New Roman"/>
        </w:rPr>
      </w:pPr>
      <w:r>
        <w:rPr>
          <w:rFonts w:eastAsia="Times New Roman"/>
          <w:color w:val="000000"/>
          <w:sz w:val="20"/>
          <w:szCs w:val="20"/>
        </w:rPr>
        <w:t>•</w:t>
      </w:r>
      <w:r>
        <w:rPr>
          <w:rFonts w:eastAsia="Times New Roman"/>
          <w:i/>
          <w:iCs/>
          <w:color w:val="000000"/>
          <w:sz w:val="20"/>
          <w:szCs w:val="20"/>
        </w:rPr>
        <w:t>Asia</w:t>
      </w:r>
      <w:r>
        <w:rPr>
          <w:rFonts w:eastAsia="Times New Roman"/>
          <w:color w:val="000000"/>
          <w:sz w:val="20"/>
          <w:szCs w:val="20"/>
        </w:rPr>
        <w:t xml:space="preserve"> — The Asia segment primarily consists of sales of Ralph Lauren branded ap</w:t>
      </w:r>
      <w:r>
        <w:rPr>
          <w:rFonts w:eastAsia="Times New Roman"/>
          <w:color w:val="000000"/>
          <w:sz w:val="20"/>
          <w:szCs w:val="20"/>
        </w:rPr>
        <w:t>parel, footwear, accessories, home furnishings, and related products made through the Company's retail and wholesale businesses in Asia, Australia, and New Zealand. The Company's retail business in Asia is primarily comprised of its Ralph Lauren stores, it</w:t>
      </w:r>
      <w:r>
        <w:rPr>
          <w:rFonts w:eastAsia="Times New Roman"/>
          <w:color w:val="000000"/>
          <w:sz w:val="20"/>
          <w:szCs w:val="20"/>
        </w:rPr>
        <w:t>s factory stores, its concession-based shop-within-shops, and its various digital commerce sites. In addition, the Company sells its products online through various third-party digital partner commerce sites. The Company's wholesale business in Asia is com</w:t>
      </w:r>
      <w:r>
        <w:rPr>
          <w:rFonts w:eastAsia="Times New Roman"/>
          <w:color w:val="000000"/>
          <w:sz w:val="20"/>
          <w:szCs w:val="20"/>
        </w:rPr>
        <w:t xml:space="preserve">prised primarily of sales to department stores, with related products distributed through shop-within-shops. </w:t>
      </w:r>
    </w:p>
    <w:p w:rsidR="00000000" w:rsidRDefault="00BB5C2D">
      <w:pPr>
        <w:ind w:firstLine="540"/>
        <w:jc w:val="both"/>
        <w:divId w:val="915407599"/>
        <w:rPr>
          <w:rFonts w:eastAsia="Times New Roman"/>
        </w:rPr>
      </w:pPr>
      <w:r>
        <w:rPr>
          <w:rFonts w:eastAsia="Times New Roman"/>
          <w:color w:val="000000"/>
          <w:sz w:val="20"/>
          <w:szCs w:val="20"/>
        </w:rPr>
        <w:t>No operating segments were aggregated to form the Company's reportable segments. In addition to these reportable segments, the Company also has ot</w:t>
      </w:r>
      <w:r>
        <w:rPr>
          <w:rFonts w:eastAsia="Times New Roman"/>
          <w:color w:val="000000"/>
          <w:sz w:val="20"/>
          <w:szCs w:val="20"/>
        </w:rPr>
        <w:t>her non-reportable segments, which primarily consist of Ralph Lauren and Chaps branded royalty revenues earned through its global licensing alliances. In addition, prior to its disposition at the end of the Company's first quarter of Fiscal 2022, other non</w:t>
      </w:r>
      <w:r>
        <w:rPr>
          <w:rFonts w:eastAsia="Times New Roman"/>
          <w:color w:val="000000"/>
          <w:sz w:val="20"/>
          <w:szCs w:val="20"/>
        </w:rPr>
        <w:t>-reportable segments also included sales of Club Monaco branded products made through the Company's retail and wholesale businesses in the U.S., Canada, and Europe, and its licensing alliances in Asia. Refer to Note 9 for additional discussion regarding th</w:t>
      </w:r>
      <w:r>
        <w:rPr>
          <w:rFonts w:eastAsia="Times New Roman"/>
          <w:color w:val="000000"/>
          <w:sz w:val="20"/>
          <w:szCs w:val="20"/>
        </w:rPr>
        <w:t>e disposition of the Company's former Club Monaco business, as well as the recent transition of its Chaps business to a fully licensed business model.</w:t>
      </w:r>
    </w:p>
    <w:p w:rsidR="00000000" w:rsidRDefault="00BB5C2D">
      <w:pPr>
        <w:ind w:firstLine="540"/>
        <w:jc w:val="both"/>
        <w:divId w:val="358044015"/>
        <w:rPr>
          <w:rFonts w:eastAsia="Times New Roman"/>
        </w:rPr>
      </w:pPr>
      <w:r>
        <w:rPr>
          <w:rFonts w:eastAsia="Times New Roman"/>
          <w:color w:val="000000"/>
          <w:sz w:val="20"/>
          <w:szCs w:val="20"/>
        </w:rPr>
        <w:t>The Company's segment reporting structure is consistent with how it establishes its overall business stra</w:t>
      </w:r>
      <w:r>
        <w:rPr>
          <w:rFonts w:eastAsia="Times New Roman"/>
          <w:color w:val="000000"/>
          <w:sz w:val="20"/>
          <w:szCs w:val="20"/>
        </w:rPr>
        <w:t xml:space="preserve">tegy, allocates resources, and assesses performance of its business. The accounting policies of the Company's segments are consistent with those described in Notes 2 and 3. Sales and transfers between segments are generally recorded at cost and treated as </w:t>
      </w:r>
      <w:r>
        <w:rPr>
          <w:rFonts w:eastAsia="Times New Roman"/>
          <w:color w:val="000000"/>
          <w:sz w:val="20"/>
          <w:szCs w:val="20"/>
        </w:rPr>
        <w:t>transfers of inventory. All intercompany revenues are eliminated in consolidation and are not reviewed when evaluating segment performance. Each segment's performance is evaluated based upon net revenues and operating income before restructuring-related ch</w:t>
      </w:r>
      <w:r>
        <w:rPr>
          <w:rFonts w:eastAsia="Times New Roman"/>
          <w:color w:val="000000"/>
          <w:sz w:val="20"/>
          <w:szCs w:val="20"/>
        </w:rPr>
        <w:t xml:space="preserve">arges, impairment of assets, and certain other one-time items, if any. Certain corporate overhead expenses related to global functions, most notably the Company's executive office, information technology, finance and accounting, human resources, and legal </w:t>
      </w:r>
      <w:r>
        <w:rPr>
          <w:rFonts w:eastAsia="Times New Roman"/>
          <w:color w:val="000000"/>
          <w:sz w:val="20"/>
          <w:szCs w:val="20"/>
        </w:rPr>
        <w:t xml:space="preserve">departments, largely remain at corporate. Additionally, other costs that cannot be allocated to the segments based on specific usage are also maintained at corporate, including corporate advertising and marketing expenses, depreciation and amortization of </w:t>
      </w:r>
      <w:r>
        <w:rPr>
          <w:rFonts w:eastAsia="Times New Roman"/>
          <w:color w:val="000000"/>
          <w:sz w:val="20"/>
          <w:szCs w:val="20"/>
        </w:rPr>
        <w:t>corporate assets, and other general and administrative expenses resulting from corporate-level activities and projects. Asset information by segment is not utilized for purposes of assessing performance or allocating resources, and therefore such informati</w:t>
      </w:r>
      <w:r>
        <w:rPr>
          <w:rFonts w:eastAsia="Times New Roman"/>
          <w:color w:val="000000"/>
          <w:sz w:val="20"/>
          <w:szCs w:val="20"/>
        </w:rPr>
        <w:t>on has not been presented.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548347791"/>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548347791"/>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F-51</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63" style="width:0;height:1.5pt" o:hralign="center" o:hrstd="t" o:hr="t" fillcolor="#a0a0a0" stroked="f"/>
        </w:pict>
      </w:r>
    </w:p>
    <w:p w:rsidR="00000000" w:rsidRDefault="00BB5C2D">
      <w:pPr>
        <w:jc w:val="center"/>
        <w:divId w:val="619380888"/>
        <w:rPr>
          <w:rFonts w:eastAsia="Times New Roman"/>
        </w:rPr>
      </w:pPr>
    </w:p>
    <w:p w:rsidR="00000000" w:rsidRDefault="00BB5C2D">
      <w:pPr>
        <w:jc w:val="center"/>
        <w:divId w:val="619380888"/>
        <w:rPr>
          <w:rFonts w:eastAsia="Times New Roman"/>
        </w:rPr>
      </w:pPr>
      <w:r>
        <w:rPr>
          <w:rFonts w:eastAsia="Times New Roman"/>
          <w:b/>
          <w:bCs/>
          <w:color w:val="000000"/>
          <w:sz w:val="20"/>
          <w:szCs w:val="20"/>
        </w:rPr>
        <w:t>RALPH LAUREN CORPORATION</w:t>
      </w:r>
    </w:p>
    <w:p w:rsidR="00000000" w:rsidRDefault="00BB5C2D">
      <w:pPr>
        <w:jc w:val="center"/>
        <w:divId w:val="751849555"/>
        <w:rPr>
          <w:rFonts w:eastAsia="Times New Roman"/>
        </w:rPr>
      </w:pPr>
      <w:r>
        <w:rPr>
          <w:rFonts w:eastAsia="Times New Roman"/>
          <w:b/>
          <w:bCs/>
          <w:color w:val="000000"/>
          <w:sz w:val="20"/>
          <w:szCs w:val="20"/>
        </w:rPr>
        <w:t>NOTES TO CONSOLIDATED FINANCIAL STATEMENTS (Continued)</w:t>
      </w:r>
    </w:p>
    <w:p w:rsidR="00000000" w:rsidRDefault="00BB5C2D">
      <w:pPr>
        <w:ind w:firstLine="540"/>
        <w:jc w:val="both"/>
        <w:divId w:val="1172453632"/>
        <w:rPr>
          <w:rFonts w:eastAsia="Times New Roman"/>
        </w:rPr>
      </w:pPr>
      <w:r>
        <w:rPr>
          <w:rFonts w:eastAsia="Times New Roman"/>
          <w:color w:val="000000"/>
          <w:sz w:val="20"/>
          <w:szCs w:val="20"/>
        </w:rPr>
        <w:t>Net revenues for each of the Company's segments are as follows:</w:t>
      </w:r>
    </w:p>
    <w:tbl>
      <w:tblPr>
        <w:tblW w:w="4729" w:type="pct"/>
        <w:tblCellMar>
          <w:top w:w="15" w:type="dxa"/>
          <w:left w:w="15" w:type="dxa"/>
          <w:bottom w:w="15" w:type="dxa"/>
          <w:right w:w="15" w:type="dxa"/>
        </w:tblCellMar>
        <w:tblLook w:val="04A0" w:firstRow="1" w:lastRow="0" w:firstColumn="1" w:lastColumn="0" w:noHBand="0" w:noVBand="1"/>
      </w:tblPr>
      <w:tblGrid>
        <w:gridCol w:w="38"/>
        <w:gridCol w:w="3885"/>
        <w:gridCol w:w="37"/>
        <w:gridCol w:w="36"/>
        <w:gridCol w:w="36"/>
        <w:gridCol w:w="36"/>
        <w:gridCol w:w="120"/>
        <w:gridCol w:w="1034"/>
        <w:gridCol w:w="36"/>
        <w:gridCol w:w="36"/>
        <w:gridCol w:w="36"/>
        <w:gridCol w:w="36"/>
        <w:gridCol w:w="120"/>
        <w:gridCol w:w="1034"/>
        <w:gridCol w:w="36"/>
        <w:gridCol w:w="36"/>
        <w:gridCol w:w="36"/>
        <w:gridCol w:w="36"/>
        <w:gridCol w:w="120"/>
        <w:gridCol w:w="1036"/>
        <w:gridCol w:w="36"/>
      </w:tblGrid>
      <w:tr w:rsidR="00000000">
        <w:trPr>
          <w:divId w:val="1577086700"/>
        </w:trPr>
        <w:tc>
          <w:tcPr>
            <w:tcW w:w="50" w:type="pct"/>
            <w:vAlign w:val="center"/>
            <w:hideMark/>
          </w:tcPr>
          <w:p w:rsidR="00000000" w:rsidRDefault="00BB5C2D">
            <w:pPr>
              <w:ind w:firstLine="540"/>
              <w:jc w:val="both"/>
              <w:rPr>
                <w:rFonts w:eastAsia="Times New Roman"/>
              </w:rPr>
            </w:pPr>
          </w:p>
        </w:tc>
        <w:tc>
          <w:tcPr>
            <w:tcW w:w="251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577086700"/>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Years Ended</w:t>
            </w:r>
          </w:p>
        </w:tc>
      </w:tr>
      <w:tr w:rsidR="00000000">
        <w:trPr>
          <w:divId w:val="1577086700"/>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r>
      <w:tr w:rsidR="00000000">
        <w:trPr>
          <w:divId w:val="1577086700"/>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1577086700"/>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b/>
                <w:bCs/>
                <w:color w:val="000000"/>
                <w:sz w:val="20"/>
                <w:szCs w:val="20"/>
              </w:rPr>
              <w:t>Net revenues: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577086700"/>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North America</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2,968.2 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1,992.4 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3,140.5 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577086700"/>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Europe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1,780.7 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1,165.9 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1,632.2 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577086700"/>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Asia</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1,286.8 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1,027.5 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1,017.2 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577086700"/>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Other non-reportable segments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182.8 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215.0 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369.9 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577086700"/>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ind w:hanging="90"/>
              <w:divId w:val="1624922041"/>
              <w:rPr>
                <w:rFonts w:eastAsia="Times New Roman"/>
              </w:rPr>
            </w:pPr>
            <w:r>
              <w:rPr>
                <w:rFonts w:eastAsia="Times New Roman"/>
                <w:color w:val="000000"/>
                <w:sz w:val="20"/>
                <w:szCs w:val="20"/>
              </w:rPr>
              <w:t>Total net revenues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ind w:hanging="9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6,218.5 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4,400.8 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6,159.8 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bl>
    <w:p w:rsidR="00000000" w:rsidRDefault="00BB5C2D">
      <w:pPr>
        <w:ind w:firstLine="540"/>
        <w:jc w:val="both"/>
        <w:divId w:val="172108582"/>
        <w:rPr>
          <w:rFonts w:eastAsia="Times New Roman"/>
        </w:rPr>
      </w:pPr>
      <w:r>
        <w:rPr>
          <w:rFonts w:eastAsia="Times New Roman"/>
          <w:color w:val="000000"/>
          <w:sz w:val="20"/>
          <w:szCs w:val="20"/>
        </w:rPr>
        <w:t>Operating income (loss) for each of the Company's segments is as follows:</w:t>
      </w:r>
    </w:p>
    <w:tbl>
      <w:tblPr>
        <w:tblW w:w="4729" w:type="pct"/>
        <w:tblCellMar>
          <w:top w:w="15" w:type="dxa"/>
          <w:left w:w="15" w:type="dxa"/>
          <w:bottom w:w="15" w:type="dxa"/>
          <w:right w:w="15" w:type="dxa"/>
        </w:tblCellMar>
        <w:tblLook w:val="04A0" w:firstRow="1" w:lastRow="0" w:firstColumn="1" w:lastColumn="0" w:noHBand="0" w:noVBand="1"/>
      </w:tblPr>
      <w:tblGrid>
        <w:gridCol w:w="40"/>
        <w:gridCol w:w="3882"/>
        <w:gridCol w:w="39"/>
        <w:gridCol w:w="36"/>
        <w:gridCol w:w="36"/>
        <w:gridCol w:w="36"/>
        <w:gridCol w:w="121"/>
        <w:gridCol w:w="1032"/>
        <w:gridCol w:w="36"/>
        <w:gridCol w:w="36"/>
        <w:gridCol w:w="36"/>
        <w:gridCol w:w="36"/>
        <w:gridCol w:w="120"/>
        <w:gridCol w:w="1033"/>
        <w:gridCol w:w="36"/>
        <w:gridCol w:w="36"/>
        <w:gridCol w:w="36"/>
        <w:gridCol w:w="36"/>
        <w:gridCol w:w="121"/>
        <w:gridCol w:w="1036"/>
        <w:gridCol w:w="36"/>
      </w:tblGrid>
      <w:tr w:rsidR="00000000">
        <w:trPr>
          <w:divId w:val="1113288750"/>
        </w:trPr>
        <w:tc>
          <w:tcPr>
            <w:tcW w:w="50" w:type="pct"/>
            <w:vAlign w:val="center"/>
            <w:hideMark/>
          </w:tcPr>
          <w:p w:rsidR="00000000" w:rsidRDefault="00BB5C2D">
            <w:pPr>
              <w:ind w:firstLine="540"/>
              <w:jc w:val="both"/>
              <w:rPr>
                <w:rFonts w:eastAsia="Times New Roman"/>
              </w:rPr>
            </w:pPr>
          </w:p>
        </w:tc>
        <w:tc>
          <w:tcPr>
            <w:tcW w:w="251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113288750"/>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Years Ended</w:t>
            </w:r>
          </w:p>
        </w:tc>
      </w:tr>
      <w:tr w:rsidR="00000000">
        <w:trPr>
          <w:divId w:val="1113288750"/>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r>
      <w:tr w:rsidR="00000000">
        <w:trPr>
          <w:divId w:val="1113288750"/>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1113288750"/>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divId w:val="1878618931"/>
              <w:rPr>
                <w:rFonts w:eastAsia="Times New Roman"/>
              </w:rPr>
            </w:pPr>
            <w:r>
              <w:rPr>
                <w:rFonts w:eastAsia="Times New Roman"/>
                <w:b/>
                <w:bCs/>
                <w:color w:val="000000"/>
                <w:sz w:val="20"/>
                <w:szCs w:val="20"/>
              </w:rPr>
              <w:t>Operating income (loss</w:t>
            </w:r>
            <w:r>
              <w:rPr>
                <w:rFonts w:eastAsia="Times New Roman"/>
                <w:b/>
                <w:bCs/>
                <w:color w:val="000000"/>
                <w:sz w:val="20"/>
                <w:szCs w:val="20"/>
              </w:rPr>
              <w:t>)</w:t>
            </w:r>
            <w:r>
              <w:rPr>
                <w:rFonts w:eastAsia="Times New Roman"/>
                <w:b/>
                <w:bCs/>
                <w:color w:val="000000"/>
                <w:sz w:val="13"/>
                <w:szCs w:val="13"/>
              </w:rPr>
              <w:t>(a</w:t>
            </w:r>
            <w:r>
              <w:rPr>
                <w:rFonts w:eastAsia="Times New Roman"/>
                <w:b/>
                <w:bCs/>
                <w:color w:val="000000"/>
                <w:sz w:val="13"/>
                <w:szCs w:val="13"/>
              </w:rPr>
              <w:t>)</w:t>
            </w: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113288750"/>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North America</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676.7 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334.0 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456.0 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113288750"/>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Europe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444.0 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189.3 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336.3 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113288750"/>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Asia</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228.8 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148.2 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124.8 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113288750"/>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Other non-reportable segments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138.4 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32.4 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85.2 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113288750"/>
        </w:trPr>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1,487.9 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703.9 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1,002.3 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113288750"/>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Unallocated corporate expenses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(667.3)</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(577.0)</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(618.1)</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113288750"/>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ind w:hanging="90"/>
              <w:divId w:val="540358208"/>
              <w:rPr>
                <w:rFonts w:eastAsia="Times New Roman"/>
              </w:rPr>
            </w:pPr>
            <w:r>
              <w:rPr>
                <w:rFonts w:eastAsia="Times New Roman"/>
                <w:color w:val="000000"/>
                <w:sz w:val="20"/>
                <w:szCs w:val="20"/>
              </w:rPr>
              <w:t>Unallocated restructuring and other charges, ne</w:t>
            </w:r>
            <w:r>
              <w:rPr>
                <w:rFonts w:eastAsia="Times New Roman"/>
                <w:color w:val="000000"/>
                <w:sz w:val="20"/>
                <w:szCs w:val="20"/>
              </w:rPr>
              <w:t>t</w:t>
            </w:r>
            <w:r>
              <w:rPr>
                <w:rFonts w:eastAsia="Times New Roman"/>
                <w:b/>
                <w:bCs/>
                <w:color w:val="000000"/>
                <w:sz w:val="13"/>
                <w:szCs w:val="13"/>
              </w:rPr>
              <w:t>(b</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ind w:hanging="9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(22.2)</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(170.5)</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(67.2)</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113288750"/>
        </w:trPr>
        <w:tc>
          <w:tcPr>
            <w:tcW w:w="0" w:type="auto"/>
            <w:gridSpan w:val="3"/>
            <w:shd w:val="clear" w:color="auto" w:fill="CCEEFF"/>
            <w:tcMar>
              <w:top w:w="30" w:type="dxa"/>
              <w:left w:w="515" w:type="dxa"/>
              <w:bottom w:w="30" w:type="dxa"/>
              <w:right w:w="20" w:type="dxa"/>
            </w:tcMar>
            <w:vAlign w:val="bottom"/>
            <w:hideMark/>
          </w:tcPr>
          <w:p w:rsidR="00000000" w:rsidRDefault="00BB5C2D">
            <w:pPr>
              <w:spacing w:after="100"/>
              <w:ind w:hanging="90"/>
              <w:rPr>
                <w:rFonts w:eastAsia="Times New Roman"/>
              </w:rPr>
            </w:pPr>
            <w:r>
              <w:rPr>
                <w:rFonts w:eastAsia="Times New Roman"/>
                <w:color w:val="000000"/>
                <w:sz w:val="20"/>
                <w:szCs w:val="20"/>
              </w:rPr>
              <w:t>Total operating income (loss)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ind w:hanging="9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798.4 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(43.6)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317.0 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BB5C2D">
            <w:pPr>
              <w:rPr>
                <w:rFonts w:eastAsia="Times New Roman"/>
              </w:rPr>
            </w:pPr>
          </w:p>
        </w:tc>
        <w:tc>
          <w:tcPr>
            <w:tcW w:w="494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r>
    </w:tbl>
    <w:p w:rsidR="00000000" w:rsidRDefault="00BB5C2D">
      <w:pPr>
        <w:ind w:hanging="360"/>
        <w:jc w:val="both"/>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Segment operating income during Fiscal 2021 reflects bad debt expense reversals of $22.0 million, $4.8 million, $0.3 million, and $0.5 million related to North America, Europe, Asia, and other non-reportable segments, respectively, primarily related to adj</w:t>
      </w:r>
      <w:r>
        <w:rPr>
          <w:rFonts w:eastAsia="Times New Roman"/>
          <w:color w:val="000000"/>
          <w:sz w:val="20"/>
          <w:szCs w:val="20"/>
        </w:rPr>
        <w:t>ustments to reserves previously established in connection with COVID-19 business disruptions. Segment operating income during Fiscal 2020 reflects bad debt expense of $38.7 million, $15.2 million, $1.7 million, and $3.1 million related to North America, Eu</w:t>
      </w:r>
      <w:r>
        <w:rPr>
          <w:rFonts w:eastAsia="Times New Roman"/>
          <w:color w:val="000000"/>
          <w:sz w:val="20"/>
          <w:szCs w:val="20"/>
        </w:rPr>
        <w:t>rope, Asia, and other non-reportable segments, respectively, primarily related to adverse impacts associated with COVID-19 business disruptions. Segment operating income during Fiscal 2020 also reflects higher inventory charges of approximately $108 millio</w:t>
      </w:r>
      <w:r>
        <w:rPr>
          <w:rFonts w:eastAsia="Times New Roman"/>
          <w:color w:val="000000"/>
          <w:sz w:val="20"/>
          <w:szCs w:val="20"/>
        </w:rPr>
        <w:t>n, $42 million, $17 million, and $8 million as compared to the prior fiscal year related to North America, Europe, Asia, and other non-reportable segments, respectively, primarily related to adverse impacts associated with COVID-19 business disruptions. Se</w:t>
      </w:r>
      <w:r>
        <w:rPr>
          <w:rFonts w:eastAsia="Times New Roman"/>
          <w:color w:val="000000"/>
          <w:sz w:val="20"/>
          <w:szCs w:val="20"/>
        </w:rPr>
        <w:t>gment operating income and unallocated corporate expenses during the fiscal years presented also included asset impairment charges (see Note 8), which are detailed below:</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867910048"/>
          <w:jc w:val="center"/>
        </w:trPr>
        <w:tc>
          <w:tcPr>
            <w:tcW w:w="50" w:type="pct"/>
            <w:vAlign w:val="center"/>
            <w:hideMark/>
          </w:tcPr>
          <w:p w:rsidR="00000000" w:rsidRDefault="00BB5C2D">
            <w:pPr>
              <w:ind w:hanging="36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867910048"/>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F-52</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64" style="width:0;height:1.5pt" o:hralign="center" o:hrstd="t" o:hr="t" fillcolor="#a0a0a0" stroked="f"/>
        </w:pict>
      </w:r>
    </w:p>
    <w:p w:rsidR="00000000" w:rsidRDefault="00BB5C2D">
      <w:pPr>
        <w:jc w:val="center"/>
        <w:divId w:val="647249547"/>
        <w:rPr>
          <w:rFonts w:eastAsia="Times New Roman"/>
        </w:rPr>
      </w:pPr>
    </w:p>
    <w:p w:rsidR="00000000" w:rsidRDefault="00BB5C2D">
      <w:pPr>
        <w:jc w:val="center"/>
        <w:divId w:val="647249547"/>
        <w:rPr>
          <w:rFonts w:eastAsia="Times New Roman"/>
        </w:rPr>
      </w:pPr>
      <w:r>
        <w:rPr>
          <w:rFonts w:eastAsia="Times New Roman"/>
          <w:b/>
          <w:bCs/>
          <w:color w:val="000000"/>
          <w:sz w:val="20"/>
          <w:szCs w:val="20"/>
        </w:rPr>
        <w:t>RALPH LAUREN CORPORATION</w:t>
      </w:r>
    </w:p>
    <w:p w:rsidR="00000000" w:rsidRDefault="00BB5C2D">
      <w:pPr>
        <w:jc w:val="center"/>
        <w:divId w:val="884365993"/>
        <w:rPr>
          <w:rFonts w:eastAsia="Times New Roman"/>
        </w:rPr>
      </w:pPr>
      <w:r>
        <w:rPr>
          <w:rFonts w:eastAsia="Times New Roman"/>
          <w:b/>
          <w:bCs/>
          <w:color w:val="000000"/>
          <w:sz w:val="20"/>
          <w:szCs w:val="20"/>
        </w:rPr>
        <w:t>NOTES TO CONSOLIDATED FINANCIAL STATEMENTS (Continued)</w:t>
      </w:r>
    </w:p>
    <w:tbl>
      <w:tblPr>
        <w:tblW w:w="4744" w:type="pct"/>
        <w:tblCellMar>
          <w:top w:w="15" w:type="dxa"/>
          <w:left w:w="15" w:type="dxa"/>
          <w:bottom w:w="15" w:type="dxa"/>
          <w:right w:w="15" w:type="dxa"/>
        </w:tblCellMar>
        <w:tblLook w:val="04A0" w:firstRow="1" w:lastRow="0" w:firstColumn="1" w:lastColumn="0" w:noHBand="0" w:noVBand="1"/>
      </w:tblPr>
      <w:tblGrid>
        <w:gridCol w:w="39"/>
        <w:gridCol w:w="3883"/>
        <w:gridCol w:w="38"/>
        <w:gridCol w:w="36"/>
        <w:gridCol w:w="36"/>
        <w:gridCol w:w="36"/>
        <w:gridCol w:w="120"/>
        <w:gridCol w:w="1059"/>
        <w:gridCol w:w="36"/>
        <w:gridCol w:w="36"/>
        <w:gridCol w:w="36"/>
        <w:gridCol w:w="36"/>
        <w:gridCol w:w="120"/>
        <w:gridCol w:w="1035"/>
        <w:gridCol w:w="36"/>
        <w:gridCol w:w="36"/>
        <w:gridCol w:w="36"/>
        <w:gridCol w:w="36"/>
        <w:gridCol w:w="120"/>
        <w:gridCol w:w="1035"/>
        <w:gridCol w:w="36"/>
      </w:tblGrid>
      <w:tr w:rsidR="00000000">
        <w:trPr>
          <w:divId w:val="1804425976"/>
        </w:trPr>
        <w:tc>
          <w:tcPr>
            <w:tcW w:w="50" w:type="pct"/>
            <w:vAlign w:val="center"/>
            <w:hideMark/>
          </w:tcPr>
          <w:p w:rsidR="00000000" w:rsidRDefault="00BB5C2D">
            <w:pPr>
              <w:jc w:val="center"/>
              <w:rPr>
                <w:rFonts w:eastAsia="Times New Roman"/>
              </w:rPr>
            </w:pPr>
          </w:p>
        </w:tc>
        <w:tc>
          <w:tcPr>
            <w:tcW w:w="250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43"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804425976"/>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Years Ended</w:t>
            </w:r>
          </w:p>
        </w:tc>
      </w:tr>
      <w:tr w:rsidR="00000000">
        <w:trPr>
          <w:divId w:val="1804425976"/>
        </w:trPr>
        <w:tc>
          <w:tcPr>
            <w:tcW w:w="0" w:type="auto"/>
            <w:gridSpan w:val="3"/>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r>
      <w:tr w:rsidR="00000000">
        <w:trPr>
          <w:divId w:val="1804425976"/>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1804425976"/>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b/>
                <w:bCs/>
                <w:color w:val="000000"/>
                <w:sz w:val="20"/>
                <w:szCs w:val="20"/>
              </w:rPr>
              <w:t>Asset impairment charges: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804425976"/>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North America</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(2.4)</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(12.2)</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(1.9)</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804425976"/>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Europe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(24.3)</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804425976"/>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Asia</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(3.7)</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804425976"/>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Other non-reportable segments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(0.3)</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(18.2)</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(19.3)</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804425976"/>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Unallocated corporate expenses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(17.5)</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(39.9)</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(6.7)</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804425976"/>
        </w:trPr>
        <w:tc>
          <w:tcPr>
            <w:tcW w:w="0" w:type="auto"/>
            <w:gridSpan w:val="3"/>
            <w:shd w:val="clear" w:color="auto" w:fill="CCEEFF"/>
            <w:tcMar>
              <w:top w:w="30" w:type="dxa"/>
              <w:left w:w="38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asset impairment charges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(21.3)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(96.0)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(31.6)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bl>
    <w:p w:rsidR="00000000" w:rsidRDefault="00BB5C2D">
      <w:pPr>
        <w:jc w:val="both"/>
        <w:divId w:val="80951535"/>
        <w:rPr>
          <w:rFonts w:eastAsia="Times New Roman"/>
        </w:rPr>
      </w:pPr>
    </w:p>
    <w:p w:rsidR="00000000" w:rsidRDefault="00BB5C2D">
      <w:pPr>
        <w:ind w:hanging="360"/>
        <w:jc w:val="both"/>
        <w:rPr>
          <w:rFonts w:eastAsia="Times New Roman"/>
        </w:rPr>
      </w:pPr>
      <w:r>
        <w:rPr>
          <w:rFonts w:eastAsia="Times New Roman"/>
          <w:b/>
          <w:bCs/>
          <w:color w:val="000000"/>
          <w:sz w:val="13"/>
          <w:szCs w:val="13"/>
        </w:rPr>
        <w:t>(b</w:t>
      </w:r>
      <w:r>
        <w:rPr>
          <w:rFonts w:eastAsia="Times New Roman"/>
          <w:b/>
          <w:bCs/>
          <w:color w:val="000000"/>
          <w:sz w:val="13"/>
          <w:szCs w:val="13"/>
        </w:rPr>
        <w:t>)</w:t>
      </w:r>
      <w:r>
        <w:rPr>
          <w:rFonts w:eastAsia="Times New Roman"/>
          <w:color w:val="000000"/>
          <w:sz w:val="20"/>
          <w:szCs w:val="20"/>
        </w:rPr>
        <w:t>The fiscal years presented included certain unallocated restructuring and other charges, net (see Note 9), which are detailed below:</w:t>
      </w:r>
    </w:p>
    <w:tbl>
      <w:tblPr>
        <w:tblW w:w="4729" w:type="pct"/>
        <w:tblCellMar>
          <w:top w:w="15" w:type="dxa"/>
          <w:left w:w="15" w:type="dxa"/>
          <w:bottom w:w="15" w:type="dxa"/>
          <w:right w:w="15" w:type="dxa"/>
        </w:tblCellMar>
        <w:tblLook w:val="04A0" w:firstRow="1" w:lastRow="0" w:firstColumn="1" w:lastColumn="0" w:noHBand="0" w:noVBand="1"/>
      </w:tblPr>
      <w:tblGrid>
        <w:gridCol w:w="38"/>
        <w:gridCol w:w="3885"/>
        <w:gridCol w:w="37"/>
        <w:gridCol w:w="36"/>
        <w:gridCol w:w="36"/>
        <w:gridCol w:w="36"/>
        <w:gridCol w:w="120"/>
        <w:gridCol w:w="1034"/>
        <w:gridCol w:w="36"/>
        <w:gridCol w:w="36"/>
        <w:gridCol w:w="36"/>
        <w:gridCol w:w="36"/>
        <w:gridCol w:w="120"/>
        <w:gridCol w:w="1034"/>
        <w:gridCol w:w="36"/>
        <w:gridCol w:w="36"/>
        <w:gridCol w:w="36"/>
        <w:gridCol w:w="36"/>
        <w:gridCol w:w="120"/>
        <w:gridCol w:w="1036"/>
        <w:gridCol w:w="36"/>
      </w:tblGrid>
      <w:tr w:rsidR="00000000">
        <w:trPr>
          <w:divId w:val="214244481"/>
        </w:trPr>
        <w:tc>
          <w:tcPr>
            <w:tcW w:w="50" w:type="pct"/>
            <w:vAlign w:val="center"/>
            <w:hideMark/>
          </w:tcPr>
          <w:p w:rsidR="00000000" w:rsidRDefault="00BB5C2D">
            <w:pPr>
              <w:ind w:hanging="360"/>
              <w:jc w:val="both"/>
              <w:rPr>
                <w:rFonts w:eastAsia="Times New Roman"/>
              </w:rPr>
            </w:pPr>
          </w:p>
        </w:tc>
        <w:tc>
          <w:tcPr>
            <w:tcW w:w="251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214244481"/>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Years Ended</w:t>
            </w:r>
          </w:p>
        </w:tc>
      </w:tr>
      <w:tr w:rsidR="00000000">
        <w:trPr>
          <w:divId w:val="214244481"/>
        </w:trPr>
        <w:tc>
          <w:tcPr>
            <w:tcW w:w="0" w:type="auto"/>
            <w:gridSpan w:val="3"/>
            <w:tcMar>
              <w:top w:w="30" w:type="dxa"/>
              <w:left w:w="20" w:type="dxa"/>
              <w:bottom w:w="30" w:type="dxa"/>
              <w:right w:w="20" w:type="dxa"/>
            </w:tcMar>
            <w:vAlign w:val="bottom"/>
            <w:hideMark/>
          </w:tcPr>
          <w:p w:rsidR="00000000" w:rsidRDefault="00BB5C2D">
            <w:pPr>
              <w:spacing w:after="100"/>
              <w:jc w:val="right"/>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r>
      <w:tr w:rsidR="00000000">
        <w:trPr>
          <w:divId w:val="214244481"/>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214244481"/>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b/>
                <w:bCs/>
                <w:color w:val="000000"/>
                <w:sz w:val="20"/>
                <w:szCs w:val="20"/>
              </w:rPr>
              <w:t>Unallocated restructuring and other charges, net: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214244481"/>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North America-related</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(22.4)</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14244481"/>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Europe-related</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(30.0)</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(3.3)</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14244481"/>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Asia-related</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(7.4)</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(0.9)</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14244481"/>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Other non-reportable segment-related</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(0.1)</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(3.3)</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(0.8)</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14244481"/>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 xml:space="preserve">Corporate operations-related </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(8.9)</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(96.0)</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(31.4)</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14244481"/>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ind w:hanging="90"/>
              <w:divId w:val="1249388251"/>
              <w:rPr>
                <w:rFonts w:eastAsia="Times New Roman"/>
              </w:rPr>
            </w:pPr>
            <w:r>
              <w:rPr>
                <w:rFonts w:eastAsia="Times New Roman"/>
                <w:color w:val="000000"/>
                <w:sz w:val="20"/>
                <w:szCs w:val="20"/>
              </w:rPr>
              <w:t>Unallocated restructuring charges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ind w:hanging="9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(159.1)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(37.6)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14244481"/>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ind w:hanging="90"/>
              <w:divId w:val="535167563"/>
              <w:rPr>
                <w:rFonts w:eastAsia="Times New Roman"/>
              </w:rPr>
            </w:pPr>
            <w:r>
              <w:rPr>
                <w:rFonts w:eastAsia="Times New Roman"/>
                <w:color w:val="000000"/>
                <w:sz w:val="20"/>
                <w:szCs w:val="20"/>
              </w:rPr>
              <w:t>Other charges (see Note 9)</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ind w:hanging="9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(18.2)</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(11.4)</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(29.6)</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214244481"/>
        </w:trPr>
        <w:tc>
          <w:tcPr>
            <w:tcW w:w="0" w:type="auto"/>
            <w:gridSpan w:val="3"/>
            <w:shd w:val="clear" w:color="auto" w:fill="CCEEFF"/>
            <w:tcMar>
              <w:top w:w="30" w:type="dxa"/>
              <w:left w:w="515" w:type="dxa"/>
              <w:bottom w:w="30" w:type="dxa"/>
              <w:right w:w="20" w:type="dxa"/>
            </w:tcMar>
            <w:vAlign w:val="bottom"/>
            <w:hideMark/>
          </w:tcPr>
          <w:p w:rsidR="00000000" w:rsidRDefault="00BB5C2D">
            <w:pPr>
              <w:spacing w:after="100"/>
              <w:ind w:hanging="90"/>
              <w:rPr>
                <w:rFonts w:eastAsia="Times New Roman"/>
              </w:rPr>
            </w:pPr>
            <w:r>
              <w:rPr>
                <w:rFonts w:eastAsia="Times New Roman"/>
                <w:color w:val="000000"/>
                <w:sz w:val="20"/>
                <w:szCs w:val="20"/>
              </w:rPr>
              <w:t>Total unallocated restructuring and other charges, net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ind w:hanging="9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(22.2)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(170.5)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(67.2)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bl>
    <w:p w:rsidR="00000000" w:rsidRDefault="00BB5C2D">
      <w:pPr>
        <w:ind w:firstLine="540"/>
        <w:jc w:val="both"/>
        <w:divId w:val="377703214"/>
        <w:rPr>
          <w:rFonts w:eastAsia="Times New Roman"/>
        </w:rPr>
      </w:pPr>
      <w:r>
        <w:rPr>
          <w:rFonts w:eastAsia="Times New Roman"/>
          <w:color w:val="000000"/>
          <w:sz w:val="20"/>
          <w:szCs w:val="20"/>
        </w:rPr>
        <w:t>The following tables summarize depreciation and amortization expense and capital expenditures for each of the Company's s</w:t>
      </w:r>
      <w:r>
        <w:rPr>
          <w:rFonts w:eastAsia="Times New Roman"/>
          <w:color w:val="000000"/>
          <w:sz w:val="20"/>
          <w:szCs w:val="20"/>
        </w:rPr>
        <w:t>egments:</w:t>
      </w:r>
    </w:p>
    <w:tbl>
      <w:tblPr>
        <w:tblW w:w="4729" w:type="pct"/>
        <w:tblCellMar>
          <w:top w:w="15" w:type="dxa"/>
          <w:left w:w="15" w:type="dxa"/>
          <w:bottom w:w="15" w:type="dxa"/>
          <w:right w:w="15" w:type="dxa"/>
        </w:tblCellMar>
        <w:tblLook w:val="04A0" w:firstRow="1" w:lastRow="0" w:firstColumn="1" w:lastColumn="0" w:noHBand="0" w:noVBand="1"/>
      </w:tblPr>
      <w:tblGrid>
        <w:gridCol w:w="37"/>
        <w:gridCol w:w="3887"/>
        <w:gridCol w:w="36"/>
        <w:gridCol w:w="36"/>
        <w:gridCol w:w="36"/>
        <w:gridCol w:w="36"/>
        <w:gridCol w:w="120"/>
        <w:gridCol w:w="1034"/>
        <w:gridCol w:w="36"/>
        <w:gridCol w:w="36"/>
        <w:gridCol w:w="36"/>
        <w:gridCol w:w="36"/>
        <w:gridCol w:w="120"/>
        <w:gridCol w:w="1034"/>
        <w:gridCol w:w="36"/>
        <w:gridCol w:w="36"/>
        <w:gridCol w:w="36"/>
        <w:gridCol w:w="36"/>
        <w:gridCol w:w="120"/>
        <w:gridCol w:w="1036"/>
        <w:gridCol w:w="36"/>
      </w:tblGrid>
      <w:tr w:rsidR="00000000">
        <w:trPr>
          <w:divId w:val="130096934"/>
        </w:trPr>
        <w:tc>
          <w:tcPr>
            <w:tcW w:w="50" w:type="pct"/>
            <w:vAlign w:val="center"/>
            <w:hideMark/>
          </w:tcPr>
          <w:p w:rsidR="00000000" w:rsidRDefault="00BB5C2D">
            <w:pPr>
              <w:ind w:firstLine="540"/>
              <w:jc w:val="both"/>
              <w:rPr>
                <w:rFonts w:eastAsia="Times New Roman"/>
              </w:rPr>
            </w:pPr>
          </w:p>
        </w:tc>
        <w:tc>
          <w:tcPr>
            <w:tcW w:w="251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30096934"/>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Years Ended</w:t>
            </w:r>
          </w:p>
        </w:tc>
      </w:tr>
      <w:tr w:rsidR="00000000">
        <w:trPr>
          <w:divId w:val="130096934"/>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r>
      <w:tr w:rsidR="00000000">
        <w:trPr>
          <w:divId w:val="130096934"/>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130096934"/>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b/>
                <w:bCs/>
                <w:color w:val="000000"/>
                <w:sz w:val="20"/>
                <w:szCs w:val="20"/>
              </w:rPr>
              <w:t>Depreciation and amortization expense: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30096934"/>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North America</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72.8 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73.4 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74.6 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0096934"/>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Europe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32.3 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31.6 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32.8 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0096934"/>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Asia</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51.9 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56.3 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59.3 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0096934"/>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Other non-reportable segments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0.4 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5.4 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0096934"/>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Unallocated corporate</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72.3 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82.0 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97.4 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130096934"/>
        </w:trPr>
        <w:tc>
          <w:tcPr>
            <w:tcW w:w="0" w:type="auto"/>
            <w:gridSpan w:val="3"/>
            <w:vAlign w:val="center"/>
            <w:hideMark/>
          </w:tcPr>
          <w:p w:rsidR="00000000" w:rsidRDefault="00BB5C2D">
            <w:pPr>
              <w:spacing w:after="100"/>
              <w:jc w:val="right"/>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c>
          <w:tcPr>
            <w:tcW w:w="0" w:type="auto"/>
            <w:gridSpan w:val="3"/>
            <w:vAlign w:val="center"/>
            <w:hideMark/>
          </w:tcPr>
          <w:p w:rsidR="00000000" w:rsidRDefault="00BB5C2D">
            <w:pPr>
              <w:spacing w:after="100"/>
              <w:rPr>
                <w:rFonts w:eastAsia="Times New Roman"/>
                <w:sz w:val="20"/>
                <w:szCs w:val="20"/>
              </w:rPr>
            </w:pPr>
          </w:p>
        </w:tc>
      </w:tr>
      <w:tr w:rsidR="00000000">
        <w:trPr>
          <w:divId w:val="130096934"/>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ind w:hanging="90"/>
              <w:divId w:val="1001658126"/>
              <w:rPr>
                <w:rFonts w:eastAsia="Times New Roman"/>
              </w:rPr>
            </w:pPr>
            <w:r>
              <w:rPr>
                <w:rFonts w:eastAsia="Times New Roman"/>
                <w:color w:val="000000"/>
                <w:sz w:val="20"/>
                <w:szCs w:val="20"/>
              </w:rPr>
              <w:t>Total depreciation and amortization expense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ind w:hanging="9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229.7 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247.6 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269.5 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trPr>
          <w:jc w:val="center"/>
        </w:trPr>
        <w:tc>
          <w:tcPr>
            <w:tcW w:w="50" w:type="pct"/>
            <w:vAlign w:val="center"/>
            <w:hideMark/>
          </w:tcPr>
          <w:p w:rsidR="00000000" w:rsidRDefault="00BB5C2D">
            <w:pPr>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F-53</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65" style="width:0;height:1.5pt" o:hralign="center" o:hrstd="t" o:hr="t" fillcolor="#a0a0a0" stroked="f"/>
        </w:pict>
      </w:r>
    </w:p>
    <w:p w:rsidR="00000000" w:rsidRDefault="00BB5C2D">
      <w:pPr>
        <w:jc w:val="center"/>
        <w:divId w:val="220873870"/>
        <w:rPr>
          <w:rFonts w:eastAsia="Times New Roman"/>
        </w:rPr>
      </w:pPr>
    </w:p>
    <w:p w:rsidR="00000000" w:rsidRDefault="00BB5C2D">
      <w:pPr>
        <w:jc w:val="center"/>
        <w:divId w:val="220873870"/>
        <w:rPr>
          <w:rFonts w:eastAsia="Times New Roman"/>
        </w:rPr>
      </w:pPr>
      <w:r>
        <w:rPr>
          <w:rFonts w:eastAsia="Times New Roman"/>
          <w:b/>
          <w:bCs/>
          <w:color w:val="000000"/>
          <w:sz w:val="20"/>
          <w:szCs w:val="20"/>
        </w:rPr>
        <w:t>RALPH LAUREN CORPORATION</w:t>
      </w:r>
    </w:p>
    <w:p w:rsidR="00000000" w:rsidRDefault="00BB5C2D">
      <w:pPr>
        <w:jc w:val="center"/>
        <w:divId w:val="1948196626"/>
        <w:rPr>
          <w:rFonts w:eastAsia="Times New Roman"/>
        </w:rPr>
      </w:pPr>
      <w:r>
        <w:rPr>
          <w:rFonts w:eastAsia="Times New Roman"/>
          <w:b/>
          <w:bCs/>
          <w:color w:val="000000"/>
          <w:sz w:val="20"/>
          <w:szCs w:val="20"/>
        </w:rPr>
        <w:t>NOTES TO CONSOLIDATED FINANCIAL STATEMENTS (Continued)</w:t>
      </w:r>
    </w:p>
    <w:tbl>
      <w:tblPr>
        <w:tblW w:w="4729" w:type="pct"/>
        <w:tblCellMar>
          <w:top w:w="15" w:type="dxa"/>
          <w:left w:w="15" w:type="dxa"/>
          <w:bottom w:w="15" w:type="dxa"/>
          <w:right w:w="15" w:type="dxa"/>
        </w:tblCellMar>
        <w:tblLook w:val="04A0" w:firstRow="1" w:lastRow="0" w:firstColumn="1" w:lastColumn="0" w:noHBand="0" w:noVBand="1"/>
      </w:tblPr>
      <w:tblGrid>
        <w:gridCol w:w="38"/>
        <w:gridCol w:w="3885"/>
        <w:gridCol w:w="37"/>
        <w:gridCol w:w="36"/>
        <w:gridCol w:w="36"/>
        <w:gridCol w:w="36"/>
        <w:gridCol w:w="120"/>
        <w:gridCol w:w="1034"/>
        <w:gridCol w:w="36"/>
        <w:gridCol w:w="36"/>
        <w:gridCol w:w="36"/>
        <w:gridCol w:w="36"/>
        <w:gridCol w:w="120"/>
        <w:gridCol w:w="1034"/>
        <w:gridCol w:w="36"/>
        <w:gridCol w:w="36"/>
        <w:gridCol w:w="36"/>
        <w:gridCol w:w="36"/>
        <w:gridCol w:w="120"/>
        <w:gridCol w:w="1036"/>
        <w:gridCol w:w="36"/>
      </w:tblGrid>
      <w:tr w:rsidR="00000000">
        <w:trPr>
          <w:divId w:val="534079400"/>
        </w:trPr>
        <w:tc>
          <w:tcPr>
            <w:tcW w:w="50" w:type="pct"/>
            <w:vAlign w:val="center"/>
            <w:hideMark/>
          </w:tcPr>
          <w:p w:rsidR="00000000" w:rsidRDefault="00BB5C2D">
            <w:pPr>
              <w:jc w:val="center"/>
              <w:rPr>
                <w:rFonts w:eastAsia="Times New Roman"/>
              </w:rPr>
            </w:pPr>
          </w:p>
        </w:tc>
        <w:tc>
          <w:tcPr>
            <w:tcW w:w="251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534079400"/>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Years Ended</w:t>
            </w:r>
          </w:p>
        </w:tc>
      </w:tr>
      <w:tr w:rsidR="00000000">
        <w:trPr>
          <w:divId w:val="534079400"/>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r>
      <w:tr w:rsidR="00000000">
        <w:trPr>
          <w:divId w:val="534079400"/>
        </w:trPr>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534079400"/>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b/>
                <w:bCs/>
                <w:color w:val="000000"/>
                <w:sz w:val="20"/>
                <w:szCs w:val="20"/>
              </w:rPr>
              <w:t>Capital expenditures: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534079400"/>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North America</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36.6 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23.8 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48.5 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534079400"/>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Europe</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39.0 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16.9 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34.3 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534079400"/>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Asia</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49.1 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41.2 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59.6 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534079400"/>
        </w:trPr>
        <w:tc>
          <w:tcPr>
            <w:tcW w:w="0" w:type="auto"/>
            <w:gridSpan w:val="3"/>
            <w:shd w:val="clear" w:color="auto" w:fill="CCEE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Other non-reportable segments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534079400"/>
        </w:trPr>
        <w:tc>
          <w:tcPr>
            <w:tcW w:w="0" w:type="auto"/>
            <w:gridSpan w:val="3"/>
            <w:shd w:val="clear" w:color="auto" w:fill="FFFFFF"/>
            <w:tcMar>
              <w:top w:w="30" w:type="dxa"/>
              <w:left w:w="15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Unallocated corporate</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40.4 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23.5 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120.6 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534079400"/>
        </w:trPr>
        <w:tc>
          <w:tcPr>
            <w:tcW w:w="0" w:type="auto"/>
            <w:gridSpan w:val="3"/>
            <w:shd w:val="clear" w:color="auto" w:fill="CCEEFF"/>
            <w:tcMar>
              <w:top w:w="30" w:type="dxa"/>
              <w:left w:w="38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capital expenditures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166.9 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107.8 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270.3 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bl>
    <w:p w:rsidR="00000000" w:rsidRDefault="00BB5C2D">
      <w:pPr>
        <w:ind w:firstLine="540"/>
        <w:jc w:val="both"/>
        <w:divId w:val="1019358060"/>
        <w:rPr>
          <w:rFonts w:eastAsia="Times New Roman"/>
        </w:rPr>
      </w:pPr>
      <w:r>
        <w:rPr>
          <w:rFonts w:eastAsia="Times New Roman"/>
          <w:color w:val="000000"/>
          <w:sz w:val="20"/>
          <w:szCs w:val="20"/>
        </w:rPr>
        <w:t>Net revenues and long-lived assets by geographic location of the reporting subsidiary are as follows:</w:t>
      </w:r>
    </w:p>
    <w:tbl>
      <w:tblPr>
        <w:tblW w:w="4729" w:type="pct"/>
        <w:tblCellMar>
          <w:top w:w="15" w:type="dxa"/>
          <w:left w:w="15" w:type="dxa"/>
          <w:bottom w:w="15" w:type="dxa"/>
          <w:right w:w="15" w:type="dxa"/>
        </w:tblCellMar>
        <w:tblLook w:val="04A0" w:firstRow="1" w:lastRow="0" w:firstColumn="1" w:lastColumn="0" w:noHBand="0" w:noVBand="1"/>
      </w:tblPr>
      <w:tblGrid>
        <w:gridCol w:w="38"/>
        <w:gridCol w:w="3885"/>
        <w:gridCol w:w="37"/>
        <w:gridCol w:w="36"/>
        <w:gridCol w:w="36"/>
        <w:gridCol w:w="36"/>
        <w:gridCol w:w="120"/>
        <w:gridCol w:w="1034"/>
        <w:gridCol w:w="36"/>
        <w:gridCol w:w="36"/>
        <w:gridCol w:w="36"/>
        <w:gridCol w:w="36"/>
        <w:gridCol w:w="120"/>
        <w:gridCol w:w="1034"/>
        <w:gridCol w:w="36"/>
        <w:gridCol w:w="36"/>
        <w:gridCol w:w="36"/>
        <w:gridCol w:w="36"/>
        <w:gridCol w:w="120"/>
        <w:gridCol w:w="1036"/>
        <w:gridCol w:w="36"/>
      </w:tblGrid>
      <w:tr w:rsidR="00000000">
        <w:trPr>
          <w:divId w:val="466321386"/>
        </w:trPr>
        <w:tc>
          <w:tcPr>
            <w:tcW w:w="50" w:type="pct"/>
            <w:vAlign w:val="center"/>
            <w:hideMark/>
          </w:tcPr>
          <w:p w:rsidR="00000000" w:rsidRDefault="00BB5C2D">
            <w:pPr>
              <w:ind w:firstLine="540"/>
              <w:jc w:val="both"/>
              <w:rPr>
                <w:rFonts w:eastAsia="Times New Roman"/>
              </w:rPr>
            </w:pPr>
          </w:p>
        </w:tc>
        <w:tc>
          <w:tcPr>
            <w:tcW w:w="251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466321386"/>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Years Ended</w:t>
            </w:r>
          </w:p>
        </w:tc>
      </w:tr>
      <w:tr w:rsidR="00000000">
        <w:trPr>
          <w:divId w:val="466321386"/>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r>
      <w:tr w:rsidR="00000000">
        <w:trPr>
          <w:divId w:val="466321386"/>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466321386"/>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divId w:val="1816331888"/>
              <w:rPr>
                <w:rFonts w:eastAsia="Times New Roman"/>
              </w:rPr>
            </w:pPr>
            <w:r>
              <w:rPr>
                <w:rFonts w:eastAsia="Times New Roman"/>
                <w:b/>
                <w:bCs/>
                <w:color w:val="000000"/>
                <w:sz w:val="20"/>
                <w:szCs w:val="20"/>
              </w:rPr>
              <w:t>Net revenue</w:t>
            </w:r>
            <w:r>
              <w:rPr>
                <w:rFonts w:eastAsia="Times New Roman"/>
                <w:b/>
                <w:bCs/>
                <w:color w:val="000000"/>
                <w:sz w:val="20"/>
                <w:szCs w:val="20"/>
              </w:rPr>
              <w:t>s</w:t>
            </w:r>
            <w:r>
              <w:rPr>
                <w:rFonts w:eastAsia="Times New Roman"/>
                <w:b/>
                <w:bCs/>
                <w:color w:val="000000"/>
                <w:sz w:val="13"/>
                <w:szCs w:val="13"/>
              </w:rPr>
              <w:t>(a</w:t>
            </w:r>
            <w:r>
              <w:rPr>
                <w:rFonts w:eastAsia="Times New Roman"/>
                <w:b/>
                <w:bCs/>
                <w:color w:val="000000"/>
                <w:sz w:val="13"/>
                <w:szCs w:val="13"/>
              </w:rPr>
              <w:t>)</w:t>
            </w: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466321386"/>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ind w:firstLine="180"/>
              <w:divId w:val="2115322232"/>
              <w:rPr>
                <w:rFonts w:eastAsia="Times New Roman"/>
              </w:rPr>
            </w:pPr>
            <w:r>
              <w:rPr>
                <w:rFonts w:eastAsia="Times New Roman"/>
                <w:color w:val="000000"/>
                <w:sz w:val="20"/>
                <w:szCs w:val="20"/>
              </w:rPr>
              <w:t>The America</w:t>
            </w:r>
            <w:r>
              <w:rPr>
                <w:rFonts w:eastAsia="Times New Roman"/>
                <w:color w:val="000000"/>
                <w:sz w:val="20"/>
                <w:szCs w:val="20"/>
              </w:rPr>
              <w:t>s</w:t>
            </w:r>
            <w:r>
              <w:rPr>
                <w:rFonts w:eastAsia="Times New Roman"/>
                <w:b/>
                <w:bCs/>
                <w:color w:val="000000"/>
                <w:sz w:val="13"/>
                <w:szCs w:val="13"/>
              </w:rPr>
              <w:t>(b</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ind w:firstLine="18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3,164.5 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2,208.4 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3,516.4 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466321386"/>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ind w:firstLine="180"/>
              <w:divId w:val="658120723"/>
              <w:rPr>
                <w:rFonts w:eastAsia="Times New Roman"/>
              </w:rPr>
            </w:pPr>
            <w:r>
              <w:rPr>
                <w:rFonts w:eastAsia="Times New Roman"/>
                <w:color w:val="000000"/>
                <w:sz w:val="20"/>
                <w:szCs w:val="20"/>
              </w:rPr>
              <w:t>Europ</w:t>
            </w:r>
            <w:r>
              <w:rPr>
                <w:rFonts w:eastAsia="Times New Roman"/>
                <w:color w:val="000000"/>
                <w:sz w:val="20"/>
                <w:szCs w:val="20"/>
              </w:rPr>
              <w:t>e</w:t>
            </w:r>
            <w:r>
              <w:rPr>
                <w:rFonts w:eastAsia="Times New Roman"/>
                <w:b/>
                <w:bCs/>
                <w:color w:val="000000"/>
                <w:sz w:val="13"/>
                <w:szCs w:val="13"/>
              </w:rPr>
              <w:t>(c</w:t>
            </w:r>
            <w:r>
              <w:rPr>
                <w:rFonts w:eastAsia="Times New Roman"/>
                <w:b/>
                <w:bCs/>
                <w:color w:val="000000"/>
                <w:sz w:val="13"/>
                <w:szCs w:val="13"/>
              </w:rPr>
              <w:t>)</w:t>
            </w:r>
            <w:r>
              <w:rPr>
                <w:rFonts w:eastAsia="Times New Roman"/>
                <w:b/>
                <w:bCs/>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ind w:firstLine="18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1,766.1 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1,164.3 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1,625.3 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466321386"/>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ind w:firstLine="180"/>
              <w:divId w:val="147789763"/>
              <w:rPr>
                <w:rFonts w:eastAsia="Times New Roman"/>
              </w:rPr>
            </w:pPr>
            <w:r>
              <w:rPr>
                <w:rFonts w:eastAsia="Times New Roman"/>
                <w:color w:val="000000"/>
                <w:sz w:val="20"/>
                <w:szCs w:val="20"/>
              </w:rPr>
              <w:t>Asi</w:t>
            </w:r>
            <w:r>
              <w:rPr>
                <w:rFonts w:eastAsia="Times New Roman"/>
                <w:color w:val="000000"/>
                <w:sz w:val="20"/>
                <w:szCs w:val="20"/>
              </w:rPr>
              <w:t>a</w:t>
            </w:r>
            <w:r>
              <w:rPr>
                <w:rFonts w:eastAsia="Times New Roman"/>
                <w:b/>
                <w:bCs/>
                <w:color w:val="000000"/>
                <w:sz w:val="13"/>
                <w:szCs w:val="13"/>
              </w:rPr>
              <w:t>(d</w:t>
            </w:r>
            <w:r>
              <w:rPr>
                <w:rFonts w:eastAsia="Times New Roman"/>
                <w:b/>
                <w:bCs/>
                <w:color w:val="000000"/>
                <w:sz w:val="13"/>
                <w:szCs w:val="13"/>
              </w:rPr>
              <w:t>)</w:t>
            </w:r>
            <w:r>
              <w:rPr>
                <w:rFonts w:eastAsia="Times New Roman"/>
                <w:color w:val="000000"/>
                <w:sz w:val="13"/>
                <w:szCs w:val="13"/>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ind w:firstLine="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1,287.9 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1,028.1 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1,018.1 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466321386"/>
        </w:trPr>
        <w:tc>
          <w:tcPr>
            <w:tcW w:w="0" w:type="auto"/>
            <w:gridSpan w:val="3"/>
            <w:shd w:val="clear" w:color="auto" w:fill="CCEEFF"/>
            <w:tcMar>
              <w:top w:w="30" w:type="dxa"/>
              <w:left w:w="38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net revenues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6,218.5 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4,400.8 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6,159.8 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bl>
    <w:tbl>
      <w:tblPr>
        <w:tblW w:w="4729" w:type="pct"/>
        <w:tblCellMar>
          <w:top w:w="15" w:type="dxa"/>
          <w:left w:w="15" w:type="dxa"/>
          <w:bottom w:w="15" w:type="dxa"/>
          <w:right w:w="15" w:type="dxa"/>
        </w:tblCellMar>
        <w:tblLook w:val="04A0" w:firstRow="1" w:lastRow="0" w:firstColumn="1" w:lastColumn="0" w:noHBand="0" w:noVBand="1"/>
      </w:tblPr>
      <w:tblGrid>
        <w:gridCol w:w="144"/>
        <w:gridCol w:w="5218"/>
        <w:gridCol w:w="144"/>
        <w:gridCol w:w="144"/>
        <w:gridCol w:w="144"/>
        <w:gridCol w:w="144"/>
        <w:gridCol w:w="144"/>
        <w:gridCol w:w="1126"/>
        <w:gridCol w:w="144"/>
        <w:gridCol w:w="144"/>
        <w:gridCol w:w="144"/>
        <w:gridCol w:w="144"/>
        <w:gridCol w:w="144"/>
        <w:gridCol w:w="1126"/>
        <w:gridCol w:w="144"/>
      </w:tblGrid>
      <w:tr w:rsidR="00000000">
        <w:tc>
          <w:tcPr>
            <w:tcW w:w="50" w:type="pct"/>
            <w:vAlign w:val="center"/>
            <w:hideMark/>
          </w:tcPr>
          <w:p w:rsidR="00000000" w:rsidRDefault="00BB5C2D">
            <w:pPr>
              <w:rPr>
                <w:rFonts w:eastAsia="Times New Roman"/>
              </w:rPr>
            </w:pPr>
          </w:p>
        </w:tc>
        <w:tc>
          <w:tcPr>
            <w:tcW w:w="3322"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r>
      <w:tr w:rsidR="00000000">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divId w:val="1745763493"/>
              <w:rPr>
                <w:rFonts w:eastAsia="Times New Roman"/>
              </w:rPr>
            </w:pPr>
            <w:r>
              <w:rPr>
                <w:rFonts w:eastAsia="Times New Roman"/>
                <w:b/>
                <w:bCs/>
                <w:color w:val="000000"/>
                <w:sz w:val="20"/>
                <w:szCs w:val="20"/>
              </w:rPr>
              <w:t>Long-lived asset</w:t>
            </w:r>
            <w:r>
              <w:rPr>
                <w:rFonts w:eastAsia="Times New Roman"/>
                <w:b/>
                <w:bCs/>
                <w:color w:val="000000"/>
                <w:sz w:val="20"/>
                <w:szCs w:val="20"/>
              </w:rPr>
              <w:t>s</w:t>
            </w:r>
            <w:r>
              <w:rPr>
                <w:rFonts w:eastAsia="Times New Roman"/>
                <w:b/>
                <w:bCs/>
                <w:color w:val="000000"/>
                <w:sz w:val="13"/>
                <w:szCs w:val="13"/>
              </w:rPr>
              <w:t>(a</w:t>
            </w:r>
            <w:r>
              <w:rPr>
                <w:rFonts w:eastAsia="Times New Roman"/>
                <w:b/>
                <w:bCs/>
                <w:color w:val="000000"/>
                <w:sz w:val="13"/>
                <w:szCs w:val="13"/>
              </w:rPr>
              <w:t>)</w:t>
            </w: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ind w:firstLine="180"/>
              <w:divId w:val="596524180"/>
              <w:rPr>
                <w:rFonts w:eastAsia="Times New Roman"/>
              </w:rPr>
            </w:pPr>
            <w:r>
              <w:rPr>
                <w:rFonts w:eastAsia="Times New Roman"/>
                <w:color w:val="000000"/>
                <w:sz w:val="20"/>
                <w:szCs w:val="20"/>
              </w:rPr>
              <w:t>The America</w:t>
            </w:r>
            <w:r>
              <w:rPr>
                <w:rFonts w:eastAsia="Times New Roman"/>
                <w:color w:val="000000"/>
                <w:sz w:val="20"/>
                <w:szCs w:val="20"/>
              </w:rPr>
              <w:t>s</w:t>
            </w:r>
            <w:r>
              <w:rPr>
                <w:rFonts w:eastAsia="Times New Roman"/>
                <w:b/>
                <w:bCs/>
                <w:color w:val="000000"/>
                <w:sz w:val="13"/>
                <w:szCs w:val="13"/>
              </w:rPr>
              <w:t>(b</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ind w:firstLine="18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1,068.9 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1,253.6 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ind w:firstLine="180"/>
              <w:divId w:val="293146573"/>
              <w:rPr>
                <w:rFonts w:eastAsia="Times New Roman"/>
              </w:rPr>
            </w:pPr>
            <w:r>
              <w:rPr>
                <w:rFonts w:eastAsia="Times New Roman"/>
                <w:color w:val="000000"/>
                <w:sz w:val="20"/>
                <w:szCs w:val="20"/>
              </w:rPr>
              <w:t>Europ</w:t>
            </w:r>
            <w:r>
              <w:rPr>
                <w:rFonts w:eastAsia="Times New Roman"/>
                <w:color w:val="000000"/>
                <w:sz w:val="20"/>
                <w:szCs w:val="20"/>
              </w:rPr>
              <w:t>e</w:t>
            </w:r>
            <w:r>
              <w:rPr>
                <w:rFonts w:eastAsia="Times New Roman"/>
                <w:b/>
                <w:bCs/>
                <w:color w:val="000000"/>
                <w:sz w:val="13"/>
                <w:szCs w:val="13"/>
              </w:rPr>
              <w:t>(c</w:t>
            </w:r>
            <w:r>
              <w:rPr>
                <w:rFonts w:eastAsia="Times New Roman"/>
                <w:b/>
                <w:bCs/>
                <w:color w:val="000000"/>
                <w:sz w:val="13"/>
                <w:szCs w:val="13"/>
              </w:rPr>
              <w:t>)</w:t>
            </w:r>
            <w:r>
              <w:rPr>
                <w:rFonts w:eastAsia="Times New Roman"/>
                <w:b/>
                <w:bCs/>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ind w:firstLine="18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698.2 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682.1 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ind w:firstLine="180"/>
              <w:divId w:val="693772304"/>
              <w:rPr>
                <w:rFonts w:eastAsia="Times New Roman"/>
              </w:rPr>
            </w:pPr>
            <w:r>
              <w:rPr>
                <w:rFonts w:eastAsia="Times New Roman"/>
                <w:color w:val="000000"/>
                <w:sz w:val="20"/>
                <w:szCs w:val="20"/>
              </w:rPr>
              <w:t>Asi</w:t>
            </w:r>
            <w:r>
              <w:rPr>
                <w:rFonts w:eastAsia="Times New Roman"/>
                <w:color w:val="000000"/>
                <w:sz w:val="20"/>
                <w:szCs w:val="20"/>
              </w:rPr>
              <w:t>a</w:t>
            </w:r>
            <w:r>
              <w:rPr>
                <w:rFonts w:eastAsia="Times New Roman"/>
                <w:b/>
                <w:bCs/>
                <w:color w:val="000000"/>
                <w:sz w:val="13"/>
                <w:szCs w:val="13"/>
              </w:rPr>
              <w:t>(d</w:t>
            </w:r>
            <w:r>
              <w:rPr>
                <w:rFonts w:eastAsia="Times New Roman"/>
                <w:b/>
                <w:bCs/>
                <w:color w:val="000000"/>
                <w:sz w:val="13"/>
                <w:szCs w:val="13"/>
              </w:rPr>
              <w:t>)</w:t>
            </w:r>
            <w:r>
              <w:rPr>
                <w:rFonts w:eastAsia="Times New Roman"/>
                <w:b/>
                <w:bCs/>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ind w:firstLine="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313.7 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317.8 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c>
          <w:tcPr>
            <w:tcW w:w="0" w:type="auto"/>
            <w:gridSpan w:val="3"/>
            <w:shd w:val="clear" w:color="auto" w:fill="CCEEFF"/>
            <w:tcMar>
              <w:top w:w="30" w:type="dxa"/>
              <w:left w:w="38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long-lived assets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2,080.8 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2,253.5 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bl>
    <w:p w:rsidR="00000000" w:rsidRDefault="00BB5C2D">
      <w:pPr>
        <w:divId w:val="219168809"/>
        <w:rPr>
          <w:rFonts w:eastAsia="Times New Roman"/>
          <w:vanish/>
        </w:rPr>
      </w:pPr>
    </w:p>
    <w:tbl>
      <w:tblPr>
        <w:tblW w:w="972" w:type="pct"/>
        <w:tblCellMar>
          <w:top w:w="15" w:type="dxa"/>
          <w:left w:w="15" w:type="dxa"/>
          <w:bottom w:w="15" w:type="dxa"/>
          <w:right w:w="15" w:type="dxa"/>
        </w:tblCellMar>
        <w:tblLook w:val="04A0" w:firstRow="1" w:lastRow="0" w:firstColumn="1" w:lastColumn="0" w:noHBand="0" w:noVBand="1"/>
      </w:tblPr>
      <w:tblGrid>
        <w:gridCol w:w="36"/>
        <w:gridCol w:w="1543"/>
        <w:gridCol w:w="36"/>
      </w:tblGrid>
      <w:tr w:rsidR="00000000">
        <w:trPr>
          <w:divId w:val="219168809"/>
        </w:trPr>
        <w:tc>
          <w:tcPr>
            <w:tcW w:w="50" w:type="pct"/>
            <w:vAlign w:val="center"/>
            <w:hideMark/>
          </w:tcPr>
          <w:p w:rsidR="00000000" w:rsidRDefault="00BB5C2D">
            <w:pPr>
              <w:rPr>
                <w:rFonts w:eastAsia="Times New Roman"/>
              </w:rPr>
            </w:pPr>
          </w:p>
        </w:tc>
        <w:tc>
          <w:tcPr>
            <w:tcW w:w="494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219168809"/>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BB5C2D">
            <w:pPr>
              <w:spacing w:after="100"/>
              <w:rPr>
                <w:rFonts w:eastAsia="Times New Roman"/>
                <w:sz w:val="20"/>
                <w:szCs w:val="20"/>
              </w:rPr>
            </w:pPr>
          </w:p>
        </w:tc>
      </w:tr>
    </w:tbl>
    <w:p w:rsidR="00000000" w:rsidRDefault="00BB5C2D">
      <w:pPr>
        <w:ind w:hanging="360"/>
        <w:jc w:val="both"/>
        <w:divId w:val="2028939825"/>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For certain of the Company's licensed operations, net revenues and long-lived assets, which is comprised of property and equipment and lease ROU assets, are included within the geographic location of the reporting subsidiary which holds the respective lice</w:t>
      </w:r>
      <w:r>
        <w:rPr>
          <w:rFonts w:eastAsia="Times New Roman"/>
          <w:color w:val="000000"/>
          <w:sz w:val="20"/>
          <w:szCs w:val="20"/>
        </w:rPr>
        <w:t>nse.</w:t>
      </w:r>
    </w:p>
    <w:p w:rsidR="00000000" w:rsidRDefault="00BB5C2D">
      <w:pPr>
        <w:ind w:hanging="360"/>
        <w:jc w:val="both"/>
        <w:divId w:val="597451201"/>
        <w:rPr>
          <w:rFonts w:eastAsia="Times New Roman"/>
        </w:rPr>
      </w:pPr>
      <w:r>
        <w:rPr>
          <w:rFonts w:eastAsia="Times New Roman"/>
          <w:b/>
          <w:bCs/>
          <w:color w:val="000000"/>
          <w:sz w:val="13"/>
          <w:szCs w:val="13"/>
        </w:rPr>
        <w:t>(b</w:t>
      </w:r>
      <w:r>
        <w:rPr>
          <w:rFonts w:eastAsia="Times New Roman"/>
          <w:b/>
          <w:bCs/>
          <w:color w:val="000000"/>
          <w:sz w:val="13"/>
          <w:szCs w:val="13"/>
        </w:rPr>
        <w:t>)</w:t>
      </w:r>
      <w:r>
        <w:rPr>
          <w:rFonts w:eastAsia="Times New Roman"/>
          <w:color w:val="000000"/>
          <w:sz w:val="20"/>
          <w:szCs w:val="20"/>
        </w:rPr>
        <w:t xml:space="preserve">Includes the U.S., Canada, and Latin America. Net revenues earned in the U.S. were </w:t>
      </w:r>
      <w:r>
        <w:rPr>
          <w:rFonts w:eastAsia="Times New Roman"/>
          <w:color w:val="000000"/>
          <w:sz w:val="20"/>
          <w:szCs w:val="20"/>
          <w:shd w:val="clear" w:color="auto" w:fill="FFFFFF"/>
        </w:rPr>
        <w:t>$3.039 billion</w:t>
      </w:r>
      <w:r>
        <w:rPr>
          <w:rFonts w:eastAsia="Times New Roman"/>
          <w:color w:val="000000"/>
          <w:sz w:val="20"/>
          <w:szCs w:val="20"/>
        </w:rPr>
        <w:t>, $2.103 billion, and $3.308 billion in Fiscal 2022, Fiscal 2021, and Fiscal 2020, respectively. Long-lived assets located in the U.S. were $1.057 bill</w:t>
      </w:r>
      <w:r>
        <w:rPr>
          <w:rFonts w:eastAsia="Times New Roman"/>
          <w:color w:val="000000"/>
          <w:sz w:val="20"/>
          <w:szCs w:val="20"/>
        </w:rPr>
        <w:t>ion and $1.210 billion as of April 2, 2022 and March 27, 2021, respectively.</w:t>
      </w:r>
    </w:p>
    <w:p w:rsidR="00000000" w:rsidRDefault="00BB5C2D">
      <w:pPr>
        <w:ind w:hanging="360"/>
        <w:jc w:val="both"/>
        <w:divId w:val="1169445605"/>
        <w:rPr>
          <w:rFonts w:eastAsia="Times New Roman"/>
        </w:rPr>
      </w:pPr>
      <w:r>
        <w:rPr>
          <w:rFonts w:eastAsia="Times New Roman"/>
          <w:b/>
          <w:bCs/>
          <w:color w:val="000000"/>
          <w:sz w:val="13"/>
          <w:szCs w:val="13"/>
        </w:rPr>
        <w:t>(c</w:t>
      </w:r>
      <w:r>
        <w:rPr>
          <w:rFonts w:eastAsia="Times New Roman"/>
          <w:b/>
          <w:bCs/>
          <w:color w:val="000000"/>
          <w:sz w:val="13"/>
          <w:szCs w:val="13"/>
        </w:rPr>
        <w:t>)</w:t>
      </w:r>
      <w:r>
        <w:rPr>
          <w:rFonts w:eastAsia="Times New Roman"/>
          <w:color w:val="000000"/>
          <w:sz w:val="20"/>
          <w:szCs w:val="20"/>
        </w:rPr>
        <w:t>Includes the Middle East.</w:t>
      </w:r>
    </w:p>
    <w:p w:rsidR="00000000" w:rsidRDefault="00BB5C2D">
      <w:pPr>
        <w:ind w:hanging="360"/>
        <w:jc w:val="both"/>
        <w:divId w:val="1087458518"/>
        <w:rPr>
          <w:rFonts w:eastAsia="Times New Roman"/>
        </w:rPr>
      </w:pPr>
      <w:r>
        <w:rPr>
          <w:rFonts w:eastAsia="Times New Roman"/>
          <w:b/>
          <w:bCs/>
          <w:color w:val="000000"/>
          <w:sz w:val="13"/>
          <w:szCs w:val="13"/>
        </w:rPr>
        <w:t>(d</w:t>
      </w:r>
      <w:r>
        <w:rPr>
          <w:rFonts w:eastAsia="Times New Roman"/>
          <w:b/>
          <w:bCs/>
          <w:color w:val="000000"/>
          <w:sz w:val="13"/>
          <w:szCs w:val="13"/>
        </w:rPr>
        <w:t>)</w:t>
      </w:r>
      <w:r>
        <w:rPr>
          <w:rFonts w:eastAsia="Times New Roman"/>
          <w:color w:val="000000"/>
          <w:sz w:val="20"/>
          <w:szCs w:val="20"/>
        </w:rPr>
        <w:t>Includes Australia and New Zealand.</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377516068"/>
          <w:jc w:val="center"/>
        </w:trPr>
        <w:tc>
          <w:tcPr>
            <w:tcW w:w="50" w:type="pct"/>
            <w:vAlign w:val="center"/>
            <w:hideMark/>
          </w:tcPr>
          <w:p w:rsidR="00000000" w:rsidRDefault="00BB5C2D">
            <w:pPr>
              <w:ind w:hanging="36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377516068"/>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F-54</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66" style="width:0;height:1.5pt" o:hralign="center" o:hrstd="t" o:hr="t" fillcolor="#a0a0a0" stroked="f"/>
        </w:pict>
      </w:r>
    </w:p>
    <w:p w:rsidR="00000000" w:rsidRDefault="00BB5C2D">
      <w:pPr>
        <w:jc w:val="center"/>
        <w:divId w:val="631907763"/>
        <w:rPr>
          <w:rFonts w:eastAsia="Times New Roman"/>
        </w:rPr>
      </w:pPr>
    </w:p>
    <w:p w:rsidR="00000000" w:rsidRDefault="00BB5C2D">
      <w:pPr>
        <w:jc w:val="center"/>
        <w:divId w:val="631907763"/>
        <w:rPr>
          <w:rFonts w:eastAsia="Times New Roman"/>
        </w:rPr>
      </w:pPr>
      <w:r>
        <w:rPr>
          <w:rFonts w:eastAsia="Times New Roman"/>
          <w:b/>
          <w:bCs/>
          <w:color w:val="000000"/>
          <w:sz w:val="20"/>
          <w:szCs w:val="20"/>
        </w:rPr>
        <w:t>RALPH LAUREN CORPORATION</w:t>
      </w:r>
    </w:p>
    <w:p w:rsidR="00000000" w:rsidRDefault="00BB5C2D">
      <w:pPr>
        <w:jc w:val="center"/>
        <w:divId w:val="1398437120"/>
        <w:rPr>
          <w:rFonts w:eastAsia="Times New Roman"/>
        </w:rPr>
      </w:pPr>
      <w:r>
        <w:rPr>
          <w:rFonts w:eastAsia="Times New Roman"/>
          <w:b/>
          <w:bCs/>
          <w:color w:val="000000"/>
          <w:sz w:val="20"/>
          <w:szCs w:val="20"/>
        </w:rPr>
        <w:t>NOTES TO CONSOLIDATED FINANCIAL STATEMENTS (Continued)</w:t>
      </w:r>
    </w:p>
    <w:p w:rsidR="00000000" w:rsidRDefault="00BB5C2D">
      <w:pPr>
        <w:ind w:hanging="540"/>
        <w:divId w:val="1678263068"/>
        <w:rPr>
          <w:rFonts w:eastAsia="Times New Roman"/>
        </w:rPr>
      </w:pPr>
      <w:r>
        <w:rPr>
          <w:rFonts w:eastAsia="Times New Roman"/>
          <w:b/>
          <w:bCs/>
          <w:color w:val="000000"/>
          <w:sz w:val="20"/>
          <w:szCs w:val="20"/>
        </w:rPr>
        <w:t>21.    Additional Financial Information</w:t>
      </w:r>
    </w:p>
    <w:p w:rsidR="00000000" w:rsidRDefault="00BB5C2D">
      <w:pPr>
        <w:ind w:firstLine="360"/>
        <w:divId w:val="404498225"/>
        <w:rPr>
          <w:rFonts w:eastAsia="Times New Roman"/>
        </w:rPr>
      </w:pPr>
      <w:r>
        <w:rPr>
          <w:rFonts w:eastAsia="Times New Roman"/>
          <w:b/>
          <w:bCs/>
          <w:i/>
          <w:iCs/>
          <w:color w:val="000000"/>
          <w:sz w:val="20"/>
          <w:szCs w:val="20"/>
        </w:rPr>
        <w:t>Reconciliation of Cash, Cash Equivalents, and Restricted Cash</w:t>
      </w:r>
    </w:p>
    <w:p w:rsidR="00000000" w:rsidRDefault="00BB5C2D">
      <w:pPr>
        <w:ind w:firstLine="540"/>
        <w:jc w:val="both"/>
        <w:divId w:val="675231251"/>
        <w:rPr>
          <w:rFonts w:eastAsia="Times New Roman"/>
        </w:rPr>
      </w:pPr>
      <w:r>
        <w:rPr>
          <w:rFonts w:eastAsia="Times New Roman"/>
          <w:color w:val="000000"/>
          <w:sz w:val="20"/>
          <w:szCs w:val="20"/>
        </w:rPr>
        <w:t>A reconciliation of cash, cash equivalents, and restricted cash as of April 2, 2022 and March 27, 2021 from the consolidated balance sheets to the consolidated statements of cash flows is as follows:</w:t>
      </w:r>
    </w:p>
    <w:tbl>
      <w:tblPr>
        <w:tblW w:w="4736" w:type="pct"/>
        <w:tblCellMar>
          <w:top w:w="15" w:type="dxa"/>
          <w:left w:w="15" w:type="dxa"/>
          <w:bottom w:w="15" w:type="dxa"/>
          <w:right w:w="15" w:type="dxa"/>
        </w:tblCellMar>
        <w:tblLook w:val="04A0" w:firstRow="1" w:lastRow="0" w:firstColumn="1" w:lastColumn="0" w:noHBand="0" w:noVBand="1"/>
      </w:tblPr>
      <w:tblGrid>
        <w:gridCol w:w="38"/>
        <w:gridCol w:w="5108"/>
        <w:gridCol w:w="37"/>
        <w:gridCol w:w="36"/>
        <w:gridCol w:w="69"/>
        <w:gridCol w:w="36"/>
        <w:gridCol w:w="120"/>
        <w:gridCol w:w="1080"/>
        <w:gridCol w:w="36"/>
        <w:gridCol w:w="36"/>
        <w:gridCol w:w="36"/>
        <w:gridCol w:w="36"/>
        <w:gridCol w:w="120"/>
        <w:gridCol w:w="1043"/>
        <w:gridCol w:w="36"/>
      </w:tblGrid>
      <w:tr w:rsidR="00000000">
        <w:trPr>
          <w:divId w:val="823592786"/>
        </w:trPr>
        <w:tc>
          <w:tcPr>
            <w:tcW w:w="50" w:type="pct"/>
            <w:vAlign w:val="center"/>
            <w:hideMark/>
          </w:tcPr>
          <w:p w:rsidR="00000000" w:rsidRDefault="00BB5C2D">
            <w:pPr>
              <w:ind w:firstLine="540"/>
              <w:jc w:val="both"/>
              <w:rPr>
                <w:rFonts w:eastAsia="Times New Roman"/>
              </w:rPr>
            </w:pPr>
          </w:p>
        </w:tc>
        <w:tc>
          <w:tcPr>
            <w:tcW w:w="327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7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823592786"/>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r>
      <w:tr w:rsidR="00000000">
        <w:trPr>
          <w:divId w:val="823592786"/>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823592786"/>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1,863.8 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2,579.0 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823592786"/>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Restricted cash included within prepaid expenses and other current assets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823592786"/>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Restricted cash included within other non-current assets</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6.6 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823592786"/>
        </w:trPr>
        <w:tc>
          <w:tcPr>
            <w:tcW w:w="0" w:type="auto"/>
            <w:gridSpan w:val="3"/>
            <w:shd w:val="clear" w:color="auto" w:fill="FFFFFF"/>
            <w:tcMar>
              <w:top w:w="30" w:type="dxa"/>
              <w:left w:w="245"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Total cash, cash equivalents, and restricted cash</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1,872.0 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2,588.0 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bl>
    <w:p w:rsidR="00000000" w:rsidRDefault="00BB5C2D">
      <w:pPr>
        <w:ind w:firstLine="540"/>
        <w:jc w:val="both"/>
        <w:divId w:val="1338267131"/>
        <w:rPr>
          <w:rFonts w:eastAsia="Times New Roman"/>
        </w:rPr>
      </w:pPr>
      <w:r>
        <w:rPr>
          <w:rFonts w:eastAsia="Times New Roman"/>
          <w:color w:val="000000"/>
          <w:sz w:val="20"/>
          <w:szCs w:val="20"/>
        </w:rPr>
        <w:t>Restricted cash relates to cash held in escrow with certain banks as collateral, primarily to secure guarantees in connection with certain international tax matters and real estate leases.</w:t>
      </w:r>
    </w:p>
    <w:p w:rsidR="00000000" w:rsidRDefault="00BB5C2D">
      <w:pPr>
        <w:ind w:firstLine="360"/>
        <w:divId w:val="457528829"/>
        <w:rPr>
          <w:rFonts w:eastAsia="Times New Roman"/>
        </w:rPr>
      </w:pPr>
      <w:r>
        <w:rPr>
          <w:rFonts w:eastAsia="Times New Roman"/>
          <w:b/>
          <w:bCs/>
          <w:i/>
          <w:iCs/>
          <w:color w:val="000000"/>
          <w:sz w:val="20"/>
          <w:szCs w:val="20"/>
        </w:rPr>
        <w:t>Cash Paid for Interest and Taxes</w:t>
      </w:r>
    </w:p>
    <w:p w:rsidR="00000000" w:rsidRDefault="00BB5C2D">
      <w:pPr>
        <w:ind w:firstLine="540"/>
        <w:divId w:val="1907061274"/>
        <w:rPr>
          <w:rFonts w:eastAsia="Times New Roman"/>
        </w:rPr>
      </w:pPr>
      <w:r>
        <w:rPr>
          <w:rFonts w:eastAsia="Times New Roman"/>
          <w:color w:val="000000"/>
          <w:sz w:val="20"/>
          <w:szCs w:val="20"/>
        </w:rPr>
        <w:t>Cash paid for interest and income</w:t>
      </w:r>
      <w:r>
        <w:rPr>
          <w:rFonts w:eastAsia="Times New Roman"/>
          <w:color w:val="000000"/>
          <w:sz w:val="20"/>
          <w:szCs w:val="20"/>
        </w:rPr>
        <w:t xml:space="preserve"> taxes is as follows:</w:t>
      </w:r>
    </w:p>
    <w:tbl>
      <w:tblPr>
        <w:tblW w:w="4729" w:type="pct"/>
        <w:tblCellMar>
          <w:top w:w="15" w:type="dxa"/>
          <w:left w:w="15" w:type="dxa"/>
          <w:bottom w:w="15" w:type="dxa"/>
          <w:right w:w="15" w:type="dxa"/>
        </w:tblCellMar>
        <w:tblLook w:val="04A0" w:firstRow="1" w:lastRow="0" w:firstColumn="1" w:lastColumn="0" w:noHBand="0" w:noVBand="1"/>
      </w:tblPr>
      <w:tblGrid>
        <w:gridCol w:w="37"/>
        <w:gridCol w:w="3887"/>
        <w:gridCol w:w="36"/>
        <w:gridCol w:w="36"/>
        <w:gridCol w:w="36"/>
        <w:gridCol w:w="36"/>
        <w:gridCol w:w="120"/>
        <w:gridCol w:w="1034"/>
        <w:gridCol w:w="36"/>
        <w:gridCol w:w="36"/>
        <w:gridCol w:w="36"/>
        <w:gridCol w:w="36"/>
        <w:gridCol w:w="120"/>
        <w:gridCol w:w="1034"/>
        <w:gridCol w:w="36"/>
        <w:gridCol w:w="36"/>
        <w:gridCol w:w="36"/>
        <w:gridCol w:w="36"/>
        <w:gridCol w:w="120"/>
        <w:gridCol w:w="1036"/>
        <w:gridCol w:w="36"/>
      </w:tblGrid>
      <w:tr w:rsidR="00000000">
        <w:trPr>
          <w:divId w:val="318655852"/>
        </w:trPr>
        <w:tc>
          <w:tcPr>
            <w:tcW w:w="50" w:type="pct"/>
            <w:vAlign w:val="center"/>
            <w:hideMark/>
          </w:tcPr>
          <w:p w:rsidR="00000000" w:rsidRDefault="00BB5C2D">
            <w:pPr>
              <w:ind w:firstLine="540"/>
              <w:rPr>
                <w:rFonts w:eastAsia="Times New Roman"/>
              </w:rPr>
            </w:pPr>
          </w:p>
        </w:tc>
        <w:tc>
          <w:tcPr>
            <w:tcW w:w="251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7"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2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71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318655852"/>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Fiscal Years Ended</w:t>
            </w:r>
          </w:p>
        </w:tc>
      </w:tr>
      <w:tr w:rsidR="00000000">
        <w:trPr>
          <w:divId w:val="318655852"/>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r>
      <w:tr w:rsidR="00000000">
        <w:trPr>
          <w:divId w:val="318655852"/>
        </w:trPr>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b/>
                <w:bCs/>
                <w:color w:val="000000"/>
                <w:sz w:val="16"/>
                <w:szCs w:val="16"/>
              </w:rPr>
              <w:t>(millions)</w:t>
            </w:r>
          </w:p>
        </w:tc>
      </w:tr>
      <w:tr w:rsidR="00000000">
        <w:trPr>
          <w:divId w:val="318655852"/>
        </w:trPr>
        <w:tc>
          <w:tcPr>
            <w:tcW w:w="0" w:type="auto"/>
            <w:gridSpan w:val="3"/>
            <w:shd w:val="clear" w:color="auto" w:fill="CCEE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Cash paid for interest</w:t>
            </w: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46.6 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33.5 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B5C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15.4 </w:t>
            </w:r>
          </w:p>
        </w:tc>
        <w:tc>
          <w:tcPr>
            <w:tcW w:w="0" w:type="auto"/>
            <w:shd w:val="clear" w:color="auto" w:fill="CCEEFF"/>
            <w:tcMar>
              <w:top w:w="30" w:type="dxa"/>
              <w:left w:w="0" w:type="dxa"/>
              <w:bottom w:w="30" w:type="dxa"/>
              <w:right w:w="20" w:type="dxa"/>
            </w:tcMar>
            <w:vAlign w:val="bottom"/>
            <w:hideMark/>
          </w:tcPr>
          <w:p w:rsidR="00000000" w:rsidRDefault="00BB5C2D">
            <w:pPr>
              <w:spacing w:after="100"/>
              <w:jc w:val="right"/>
              <w:rPr>
                <w:rFonts w:eastAsia="Times New Roman"/>
              </w:rPr>
            </w:pPr>
          </w:p>
        </w:tc>
      </w:tr>
      <w:tr w:rsidR="00000000">
        <w:trPr>
          <w:divId w:val="318655852"/>
        </w:trPr>
        <w:tc>
          <w:tcPr>
            <w:tcW w:w="0" w:type="auto"/>
            <w:gridSpan w:val="3"/>
            <w:shd w:val="clear" w:color="auto" w:fill="FFFFFF"/>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color w:val="000000"/>
                <w:sz w:val="20"/>
                <w:szCs w:val="20"/>
              </w:rPr>
              <w:t>Cash paid for income taxes, net of refunds</w:t>
            </w: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216.3 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47.8 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B5C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B5C2D">
            <w:pPr>
              <w:spacing w:after="100"/>
              <w:jc w:val="right"/>
              <w:rPr>
                <w:rFonts w:eastAsia="Times New Roman"/>
              </w:rPr>
            </w:pPr>
            <w:r>
              <w:rPr>
                <w:rFonts w:eastAsia="Times New Roman"/>
                <w:color w:val="000000"/>
                <w:sz w:val="20"/>
                <w:szCs w:val="20"/>
              </w:rPr>
              <w:t>135.5 </w:t>
            </w:r>
          </w:p>
        </w:tc>
        <w:tc>
          <w:tcPr>
            <w:tcW w:w="0" w:type="auto"/>
            <w:shd w:val="clear" w:color="auto" w:fill="FFFFFF"/>
            <w:tcMar>
              <w:top w:w="30" w:type="dxa"/>
              <w:left w:w="0" w:type="dxa"/>
              <w:bottom w:w="30" w:type="dxa"/>
              <w:right w:w="20" w:type="dxa"/>
            </w:tcMar>
            <w:vAlign w:val="bottom"/>
            <w:hideMark/>
          </w:tcPr>
          <w:p w:rsidR="00000000" w:rsidRDefault="00BB5C2D">
            <w:pPr>
              <w:spacing w:after="100"/>
              <w:jc w:val="right"/>
              <w:rPr>
                <w:rFonts w:eastAsia="Times New Roman"/>
              </w:rPr>
            </w:pPr>
          </w:p>
        </w:tc>
      </w:tr>
    </w:tbl>
    <w:p w:rsidR="00000000" w:rsidRDefault="00BB5C2D">
      <w:pPr>
        <w:ind w:firstLine="360"/>
        <w:divId w:val="1422491074"/>
        <w:rPr>
          <w:rFonts w:eastAsia="Times New Roman"/>
        </w:rPr>
      </w:pPr>
      <w:r>
        <w:rPr>
          <w:rFonts w:eastAsia="Times New Roman"/>
          <w:b/>
          <w:bCs/>
          <w:i/>
          <w:iCs/>
          <w:color w:val="000000"/>
          <w:sz w:val="20"/>
          <w:szCs w:val="20"/>
        </w:rPr>
        <w:t>Non-cash Transactions</w:t>
      </w:r>
    </w:p>
    <w:p w:rsidR="00000000" w:rsidRDefault="00BB5C2D">
      <w:pPr>
        <w:ind w:firstLine="540"/>
        <w:jc w:val="both"/>
        <w:divId w:val="644043527"/>
        <w:rPr>
          <w:rFonts w:eastAsia="Times New Roman"/>
        </w:rPr>
      </w:pPr>
      <w:r>
        <w:rPr>
          <w:rFonts w:eastAsia="Times New Roman"/>
          <w:color w:val="000000"/>
          <w:sz w:val="20"/>
          <w:szCs w:val="20"/>
        </w:rPr>
        <w:t xml:space="preserve">Operating lease ROU assets recorded in connection with the recognition of new lease liabilities was $287.4 million during Fiscal 2022. No finance lease ROU assets were recorded in </w:t>
      </w:r>
      <w:r>
        <w:rPr>
          <w:rFonts w:eastAsia="Times New Roman"/>
          <w:color w:val="000000"/>
          <w:sz w:val="20"/>
          <w:szCs w:val="20"/>
        </w:rPr>
        <w:t>connection with the recognition of new lease liabilities during Fiscal 2022. Operating and finance lease ROU assets recorded in connection with the recognition of new lease liabilities were $66.7 million and $133.2 million, respectively, during Fiscal 2021</w:t>
      </w:r>
      <w:r>
        <w:rPr>
          <w:rFonts w:eastAsia="Times New Roman"/>
          <w:color w:val="000000"/>
          <w:sz w:val="20"/>
          <w:szCs w:val="20"/>
        </w:rPr>
        <w:t xml:space="preserve"> and $374.0 million and $64.0 million, respectively, during Fiscal 2020. Additionally, $55.7 million of operating lease ROU assets were reclassified and reflected as finance lease ROU assets as a result of certain lease amendments executed during Fiscal 20</w:t>
      </w:r>
      <w:r>
        <w:rPr>
          <w:rFonts w:eastAsia="Times New Roman"/>
          <w:color w:val="000000"/>
          <w:sz w:val="20"/>
          <w:szCs w:val="20"/>
        </w:rPr>
        <w:t>21.</w:t>
      </w:r>
    </w:p>
    <w:p w:rsidR="00000000" w:rsidRDefault="00BB5C2D">
      <w:pPr>
        <w:ind w:firstLine="540"/>
        <w:jc w:val="both"/>
        <w:divId w:val="1348484661"/>
        <w:rPr>
          <w:rFonts w:eastAsia="Times New Roman"/>
        </w:rPr>
      </w:pPr>
      <w:r>
        <w:rPr>
          <w:rFonts w:eastAsia="Times New Roman"/>
          <w:color w:val="000000"/>
          <w:sz w:val="20"/>
          <w:szCs w:val="20"/>
        </w:rPr>
        <w:t xml:space="preserve">Non-cash investing activities also included capital expenditures incurred but not yet paid of $49.6 million, $21.3 million, and $29.1 million as of the end of Fiscal 2022, Fiscal 2021, and Fiscal 2020, respectively. </w:t>
      </w:r>
    </w:p>
    <w:p w:rsidR="00000000" w:rsidRDefault="00BB5C2D">
      <w:pPr>
        <w:ind w:firstLine="540"/>
        <w:jc w:val="both"/>
        <w:divId w:val="314652948"/>
        <w:rPr>
          <w:rFonts w:eastAsia="Times New Roman"/>
        </w:rPr>
      </w:pPr>
      <w:r>
        <w:rPr>
          <w:rFonts w:eastAsia="Times New Roman"/>
          <w:color w:val="000000"/>
          <w:sz w:val="20"/>
          <w:szCs w:val="20"/>
        </w:rPr>
        <w:t>Non-cash financing activities inclu</w:t>
      </w:r>
      <w:r>
        <w:rPr>
          <w:rFonts w:eastAsia="Times New Roman"/>
          <w:color w:val="000000"/>
          <w:sz w:val="20"/>
          <w:szCs w:val="20"/>
        </w:rPr>
        <w:t>ded the conversion of 1.0 million shares of Class B common stock into an equal number of shares of Class A common stock during Fiscal 2020, as discussed in Note 16.</w:t>
      </w:r>
    </w:p>
    <w:p w:rsidR="00000000" w:rsidRDefault="00BB5C2D">
      <w:pPr>
        <w:ind w:firstLine="540"/>
        <w:jc w:val="both"/>
        <w:divId w:val="1139305540"/>
        <w:rPr>
          <w:rFonts w:eastAsia="Times New Roman"/>
        </w:rPr>
      </w:pPr>
      <w:r>
        <w:rPr>
          <w:rFonts w:eastAsia="Times New Roman"/>
          <w:color w:val="000000"/>
          <w:sz w:val="20"/>
          <w:szCs w:val="20"/>
        </w:rPr>
        <w:t>There were no other significant non-cash investing or financing activities for any of the f</w:t>
      </w:r>
      <w:r>
        <w:rPr>
          <w:rFonts w:eastAsia="Times New Roman"/>
          <w:color w:val="000000"/>
          <w:sz w:val="20"/>
          <w:szCs w:val="20"/>
        </w:rPr>
        <w:t>iscal years presented.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570919343"/>
          <w:jc w:val="center"/>
        </w:trPr>
        <w:tc>
          <w:tcPr>
            <w:tcW w:w="50" w:type="pct"/>
            <w:vAlign w:val="center"/>
            <w:hideMark/>
          </w:tcPr>
          <w:p w:rsidR="00000000" w:rsidRDefault="00BB5C2D">
            <w:pPr>
              <w:ind w:firstLine="540"/>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570919343"/>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F-55</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67" style="width:0;height:1.5pt" o:hralign="center" o:hrstd="t" o:hr="t" fillcolor="#a0a0a0" stroked="f"/>
        </w:pict>
      </w:r>
    </w:p>
    <w:p w:rsidR="00000000" w:rsidRDefault="00BB5C2D">
      <w:pPr>
        <w:divId w:val="875315668"/>
        <w:rPr>
          <w:rFonts w:eastAsia="Times New Roman"/>
        </w:rPr>
      </w:pPr>
    </w:p>
    <w:p w:rsidR="00000000" w:rsidRDefault="00BB5C2D">
      <w:pPr>
        <w:jc w:val="center"/>
        <w:divId w:val="86387440"/>
        <w:rPr>
          <w:rFonts w:eastAsia="Times New Roman"/>
        </w:rPr>
      </w:pPr>
      <w:r>
        <w:rPr>
          <w:rFonts w:eastAsia="Times New Roman"/>
          <w:b/>
          <w:bCs/>
          <w:color w:val="000000"/>
          <w:sz w:val="20"/>
          <w:szCs w:val="20"/>
        </w:rPr>
        <w:t>MANAGEMENT'S REPORT ON RESPONSIBILITY FOR FINANCIAL STATEMENTS</w:t>
      </w:r>
    </w:p>
    <w:p w:rsidR="00000000" w:rsidRDefault="00BB5C2D">
      <w:pPr>
        <w:ind w:firstLine="540"/>
        <w:jc w:val="both"/>
        <w:divId w:val="1513228552"/>
        <w:rPr>
          <w:rFonts w:eastAsia="Times New Roman"/>
        </w:rPr>
      </w:pPr>
      <w:r>
        <w:rPr>
          <w:rFonts w:eastAsia="Times New Roman"/>
          <w:color w:val="000000"/>
          <w:sz w:val="20"/>
          <w:szCs w:val="20"/>
        </w:rPr>
        <w:t>The management of Ralph Lauren Corporation is responsible for the preparation, objectivity, and integrity of the consolidated financial statements and othe</w:t>
      </w:r>
      <w:r>
        <w:rPr>
          <w:rFonts w:eastAsia="Times New Roman"/>
          <w:color w:val="000000"/>
          <w:sz w:val="20"/>
          <w:szCs w:val="20"/>
        </w:rPr>
        <w:t>r information contained in this Annual Report. The consolidated financial statements have been prepared in accordance with accounting principles generally accepted in the United States and include some amounts that are based on management's informed judgme</w:t>
      </w:r>
      <w:r>
        <w:rPr>
          <w:rFonts w:eastAsia="Times New Roman"/>
          <w:color w:val="000000"/>
          <w:sz w:val="20"/>
          <w:szCs w:val="20"/>
        </w:rPr>
        <w:t xml:space="preserve">nts and best estimates. </w:t>
      </w:r>
    </w:p>
    <w:p w:rsidR="00000000" w:rsidRDefault="00BB5C2D">
      <w:pPr>
        <w:ind w:firstLine="540"/>
        <w:jc w:val="both"/>
        <w:divId w:val="2104371573"/>
        <w:rPr>
          <w:rFonts w:eastAsia="Times New Roman"/>
        </w:rPr>
      </w:pPr>
      <w:r>
        <w:rPr>
          <w:rFonts w:eastAsia="Times New Roman"/>
          <w:color w:val="000000"/>
          <w:sz w:val="20"/>
          <w:szCs w:val="20"/>
        </w:rPr>
        <w:t xml:space="preserve">These consolidated financial statements have been audited by Ernst &amp; </w:t>
      </w:r>
      <w:r>
        <w:rPr>
          <w:rFonts w:eastAsia="Times New Roman"/>
          <w:color w:val="000000"/>
          <w:sz w:val="20"/>
          <w:szCs w:val="20"/>
        </w:rPr>
        <w:t>Young LLP in Fiscal 2022, Fiscal 2021, and Fiscal 2020, which is an independent registered public accounting firm. They conducted their audits in accordance with the standards of the Public Company Accounting Oversight Board (United States) and have expres</w:t>
      </w:r>
      <w:r>
        <w:rPr>
          <w:rFonts w:eastAsia="Times New Roman"/>
          <w:color w:val="000000"/>
          <w:sz w:val="20"/>
          <w:szCs w:val="20"/>
        </w:rPr>
        <w:t xml:space="preserve">sed herein their unqualified opinions on those financial statements. </w:t>
      </w:r>
    </w:p>
    <w:p w:rsidR="00000000" w:rsidRDefault="00BB5C2D">
      <w:pPr>
        <w:ind w:firstLine="540"/>
        <w:jc w:val="both"/>
        <w:divId w:val="277642168"/>
        <w:rPr>
          <w:rFonts w:eastAsia="Times New Roman"/>
        </w:rPr>
      </w:pPr>
      <w:r>
        <w:rPr>
          <w:rFonts w:eastAsia="Times New Roman"/>
          <w:color w:val="000000"/>
          <w:sz w:val="20"/>
          <w:szCs w:val="20"/>
        </w:rPr>
        <w:t>The Audit Committee of the Board of Directors, which oversees all of the Company's financial reporting process on behalf of the Board of Directors, consists solely of independent directo</w:t>
      </w:r>
      <w:r>
        <w:rPr>
          <w:rFonts w:eastAsia="Times New Roman"/>
          <w:color w:val="000000"/>
          <w:sz w:val="20"/>
          <w:szCs w:val="20"/>
        </w:rPr>
        <w:t>rs, meets with the independent registered accountants, internal auditors, and management periodically to review their respective activities and the discharge of their respective responsibilities. Both the independent registered public accountants and the i</w:t>
      </w:r>
      <w:r>
        <w:rPr>
          <w:rFonts w:eastAsia="Times New Roman"/>
          <w:color w:val="000000"/>
          <w:sz w:val="20"/>
          <w:szCs w:val="20"/>
        </w:rPr>
        <w:t xml:space="preserve">nternal auditors have unrestricted access to the Audit Committee, with or without management, to discuss the scope and results of their audits and any recommendations regarding the system of internal controls. </w:t>
      </w:r>
    </w:p>
    <w:p w:rsidR="00000000" w:rsidRDefault="00BB5C2D">
      <w:pPr>
        <w:jc w:val="both"/>
        <w:divId w:val="1716275553"/>
        <w:rPr>
          <w:rFonts w:eastAsia="Times New Roman"/>
        </w:rPr>
      </w:pPr>
      <w:r>
        <w:rPr>
          <w:rFonts w:eastAsia="Times New Roman"/>
          <w:color w:val="000000"/>
          <w:sz w:val="20"/>
          <w:szCs w:val="20"/>
        </w:rPr>
        <w:t xml:space="preserve">May 24, 2022 </w:t>
      </w:r>
    </w:p>
    <w:p w:rsidR="00000000" w:rsidRDefault="00BB5C2D">
      <w:pPr>
        <w:divId w:val="397241520"/>
        <w:rPr>
          <w:rFonts w:eastAsia="Times New Roman"/>
        </w:rPr>
      </w:pPr>
      <w:r>
        <w:rPr>
          <w:rFonts w:eastAsia="Times New Roman"/>
          <w:color w:val="000000"/>
          <w:sz w:val="18"/>
          <w:szCs w:val="18"/>
        </w:rPr>
        <w:t> </w:t>
      </w:r>
    </w:p>
    <w:tbl>
      <w:tblPr>
        <w:tblW w:w="4992" w:type="pct"/>
        <w:tblCellMar>
          <w:top w:w="15" w:type="dxa"/>
          <w:left w:w="15" w:type="dxa"/>
          <w:bottom w:w="15" w:type="dxa"/>
          <w:right w:w="15" w:type="dxa"/>
        </w:tblCellMar>
        <w:tblLook w:val="04A0" w:firstRow="1" w:lastRow="0" w:firstColumn="1" w:lastColumn="0" w:noHBand="0" w:noVBand="1"/>
      </w:tblPr>
      <w:tblGrid>
        <w:gridCol w:w="37"/>
        <w:gridCol w:w="113"/>
        <w:gridCol w:w="37"/>
        <w:gridCol w:w="55"/>
        <w:gridCol w:w="3803"/>
        <w:gridCol w:w="36"/>
        <w:gridCol w:w="36"/>
        <w:gridCol w:w="88"/>
        <w:gridCol w:w="36"/>
        <w:gridCol w:w="55"/>
        <w:gridCol w:w="3961"/>
        <w:gridCol w:w="36"/>
      </w:tblGrid>
      <w:tr w:rsidR="00000000">
        <w:trPr>
          <w:divId w:val="397241520"/>
        </w:trPr>
        <w:tc>
          <w:tcPr>
            <w:tcW w:w="5" w:type="pct"/>
            <w:vAlign w:val="center"/>
            <w:hideMark/>
          </w:tcPr>
          <w:p w:rsidR="00000000" w:rsidRDefault="00BB5C2D">
            <w:pPr>
              <w:rPr>
                <w:rFonts w:eastAsia="Times New Roman"/>
              </w:rPr>
            </w:pPr>
          </w:p>
        </w:tc>
        <w:tc>
          <w:tcPr>
            <w:tcW w:w="8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230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70"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2404"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397241520"/>
        </w:trPr>
        <w:tc>
          <w:tcPr>
            <w:tcW w:w="0" w:type="auto"/>
            <w:gridSpan w:val="6"/>
            <w:tcBorders>
              <w:bottom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/s/ PATRICE LOUVET</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/s/ JANE HAMILTON NIELSEN</w:t>
            </w:r>
          </w:p>
        </w:tc>
      </w:tr>
      <w:tr w:rsidR="00000000">
        <w:trPr>
          <w:divId w:val="397241520"/>
        </w:trPr>
        <w:tc>
          <w:tcPr>
            <w:tcW w:w="0" w:type="auto"/>
            <w:gridSpan w:val="6"/>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Patrice Louvet</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Jane Hamilton Nielsen</w:t>
            </w:r>
          </w:p>
        </w:tc>
      </w:tr>
      <w:tr w:rsidR="00000000">
        <w:trPr>
          <w:divId w:val="397241520"/>
        </w:trPr>
        <w:tc>
          <w:tcPr>
            <w:tcW w:w="0" w:type="auto"/>
            <w:gridSpan w:val="6"/>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i/>
                <w:iCs/>
                <w:color w:val="000000"/>
                <w:sz w:val="20"/>
                <w:szCs w:val="20"/>
              </w:rPr>
              <w:t>President and Chief Executive Officer</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i/>
                <w:iCs/>
                <w:color w:val="000000"/>
                <w:sz w:val="20"/>
                <w:szCs w:val="20"/>
              </w:rPr>
              <w:t>Chief Operating Officer and Chief Financial Officer</w:t>
            </w:r>
          </w:p>
        </w:tc>
      </w:tr>
      <w:tr w:rsidR="00000000">
        <w:trPr>
          <w:divId w:val="397241520"/>
        </w:trPr>
        <w:tc>
          <w:tcPr>
            <w:tcW w:w="0" w:type="auto"/>
            <w:gridSpan w:val="6"/>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i/>
                <w:iCs/>
                <w:color w:val="000000"/>
                <w:sz w:val="20"/>
                <w:szCs w:val="20"/>
              </w:rPr>
              <w:t>(Principal Executive Officer)</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B5C2D">
            <w:pPr>
              <w:spacing w:after="100"/>
              <w:jc w:val="center"/>
              <w:rPr>
                <w:rFonts w:eastAsia="Times New Roman"/>
              </w:rPr>
            </w:pPr>
            <w:r>
              <w:rPr>
                <w:rFonts w:eastAsia="Times New Roman"/>
                <w:i/>
                <w:iCs/>
                <w:color w:val="000000"/>
                <w:sz w:val="20"/>
                <w:szCs w:val="20"/>
              </w:rPr>
              <w:t>(Principal Financial and Accounting Officer)</w:t>
            </w:r>
          </w:p>
        </w:tc>
      </w:tr>
    </w:tbl>
    <w:p w:rsidR="00000000" w:rsidRDefault="00BB5C2D">
      <w:pPr>
        <w:divId w:val="1433432268"/>
        <w:rPr>
          <w:rFonts w:eastAsia="Times New Roman"/>
        </w:rPr>
      </w:pPr>
    </w:p>
    <w:p w:rsidR="00000000" w:rsidRDefault="00BB5C2D">
      <w:pPr>
        <w:divId w:val="1802382947"/>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901983046"/>
          <w:jc w:val="center"/>
        </w:trPr>
        <w:tc>
          <w:tcPr>
            <w:tcW w:w="50" w:type="pct"/>
            <w:vAlign w:val="center"/>
            <w:hideMark/>
          </w:tcPr>
          <w:p w:rsidR="00000000" w:rsidRDefault="00BB5C2D">
            <w:pPr>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901983046"/>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F-56</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68" style="width:0;height:1.5pt" o:hralign="center" o:hrstd="t" o:hr="t" fillcolor="#a0a0a0" stroked="f"/>
        </w:pict>
      </w:r>
    </w:p>
    <w:p w:rsidR="00000000" w:rsidRDefault="00BB5C2D">
      <w:pPr>
        <w:divId w:val="747993514"/>
        <w:rPr>
          <w:rFonts w:eastAsia="Times New Roman"/>
        </w:rPr>
      </w:pPr>
    </w:p>
    <w:p w:rsidR="00000000" w:rsidRDefault="00BB5C2D">
      <w:pPr>
        <w:jc w:val="center"/>
        <w:divId w:val="109785620"/>
        <w:rPr>
          <w:rFonts w:eastAsia="Times New Roman"/>
        </w:rPr>
      </w:pPr>
      <w:r>
        <w:rPr>
          <w:rFonts w:eastAsia="Times New Roman"/>
          <w:b/>
          <w:bCs/>
          <w:color w:val="000000"/>
          <w:sz w:val="20"/>
          <w:szCs w:val="20"/>
        </w:rPr>
        <w:t>REPORT OF INDEPENDENT REGISTERED PUBLIC ACCOUNTING FIRM</w:t>
      </w:r>
    </w:p>
    <w:p w:rsidR="00000000" w:rsidRDefault="00BB5C2D">
      <w:pPr>
        <w:jc w:val="both"/>
        <w:divId w:val="1300453101"/>
        <w:rPr>
          <w:rFonts w:eastAsia="Times New Roman"/>
        </w:rPr>
      </w:pPr>
      <w:r>
        <w:rPr>
          <w:rFonts w:eastAsia="Times New Roman"/>
          <w:color w:val="000000"/>
          <w:sz w:val="20"/>
          <w:szCs w:val="20"/>
        </w:rPr>
        <w:t>The Board of Directors and Shareholders of Ralph Lauren Corporation</w:t>
      </w:r>
    </w:p>
    <w:p w:rsidR="00000000" w:rsidRDefault="00BB5C2D">
      <w:pPr>
        <w:jc w:val="both"/>
        <w:divId w:val="1721900822"/>
        <w:rPr>
          <w:rFonts w:eastAsia="Times New Roman"/>
        </w:rPr>
      </w:pPr>
      <w:r>
        <w:rPr>
          <w:rFonts w:eastAsia="Times New Roman"/>
          <w:b/>
          <w:bCs/>
          <w:color w:val="000000"/>
          <w:sz w:val="20"/>
          <w:szCs w:val="20"/>
        </w:rPr>
        <w:t>Opinion on the Financial Statements</w:t>
      </w:r>
    </w:p>
    <w:p w:rsidR="00000000" w:rsidRDefault="00BB5C2D">
      <w:pPr>
        <w:ind w:firstLine="450"/>
        <w:jc w:val="both"/>
        <w:divId w:val="479080964"/>
        <w:rPr>
          <w:rFonts w:eastAsia="Times New Roman"/>
        </w:rPr>
      </w:pPr>
      <w:r>
        <w:rPr>
          <w:rFonts w:eastAsia="Times New Roman"/>
          <w:color w:val="000000"/>
          <w:sz w:val="20"/>
          <w:szCs w:val="20"/>
        </w:rPr>
        <w:t>We have audited the accompanying consolidated balance shee</w:t>
      </w:r>
      <w:r>
        <w:rPr>
          <w:rFonts w:eastAsia="Times New Roman"/>
          <w:color w:val="000000"/>
          <w:sz w:val="20"/>
          <w:szCs w:val="20"/>
        </w:rPr>
        <w:t>ts of Ralph Lauren Corporation (the "Company") as of April 2, 2022 and March 27, 2021, and the related consolidated statements of operations, comprehensive income (loss), equity, and cash flows for each of the three years in the period ended April 2, 2022,</w:t>
      </w:r>
      <w:r>
        <w:rPr>
          <w:rFonts w:eastAsia="Times New Roman"/>
          <w:color w:val="000000"/>
          <w:sz w:val="20"/>
          <w:szCs w:val="20"/>
        </w:rPr>
        <w:t xml:space="preserve"> and the related notes (collectively referred to as the "consolidated financial statements"). In our opinion, the consolidated financial statements present fairly, in all material respects, the financial position of the Company at April 2, 2022 and March 2</w:t>
      </w:r>
      <w:r>
        <w:rPr>
          <w:rFonts w:eastAsia="Times New Roman"/>
          <w:color w:val="000000"/>
          <w:sz w:val="20"/>
          <w:szCs w:val="20"/>
        </w:rPr>
        <w:t xml:space="preserve">7, 2021, and the results of its operations and its cash flows for each of the three years in the period ended April 2, 2022, in conformity with U.S. generally accepted accounting principles. </w:t>
      </w:r>
    </w:p>
    <w:p w:rsidR="00000000" w:rsidRDefault="00BB5C2D">
      <w:pPr>
        <w:ind w:firstLine="450"/>
        <w:jc w:val="both"/>
        <w:divId w:val="1268849666"/>
        <w:rPr>
          <w:rFonts w:eastAsia="Times New Roman"/>
        </w:rPr>
      </w:pPr>
      <w:r>
        <w:rPr>
          <w:rFonts w:eastAsia="Times New Roman"/>
          <w:color w:val="000000"/>
          <w:sz w:val="20"/>
          <w:szCs w:val="20"/>
        </w:rPr>
        <w:t>We also have audited, in accordance with the standards of the Pu</w:t>
      </w:r>
      <w:r>
        <w:rPr>
          <w:rFonts w:eastAsia="Times New Roman"/>
          <w:color w:val="000000"/>
          <w:sz w:val="20"/>
          <w:szCs w:val="20"/>
        </w:rPr>
        <w:t>blic Company Accounting Oversight Board (United States) (PCAOB), the Company's internal control over financial reporting as of April 2, 2022, based on the criteria established in Internal Control-Integrated Framework issued by the Committee of Sponsoring O</w:t>
      </w:r>
      <w:r>
        <w:rPr>
          <w:rFonts w:eastAsia="Times New Roman"/>
          <w:color w:val="000000"/>
          <w:sz w:val="20"/>
          <w:szCs w:val="20"/>
        </w:rPr>
        <w:t>rganizations of the Treadway Commission (2013 framework) and our report dated May 24, 2022 expressed an unqualified opinion thereon.</w:t>
      </w:r>
    </w:p>
    <w:p w:rsidR="00000000" w:rsidRDefault="00BB5C2D">
      <w:pPr>
        <w:jc w:val="both"/>
        <w:divId w:val="4524938"/>
        <w:rPr>
          <w:rFonts w:eastAsia="Times New Roman"/>
        </w:rPr>
      </w:pPr>
      <w:r>
        <w:rPr>
          <w:rFonts w:eastAsia="Times New Roman"/>
          <w:b/>
          <w:bCs/>
          <w:color w:val="000000"/>
          <w:sz w:val="20"/>
          <w:szCs w:val="20"/>
        </w:rPr>
        <w:t>Basis for Opinion</w:t>
      </w:r>
    </w:p>
    <w:p w:rsidR="00000000" w:rsidRDefault="00BB5C2D">
      <w:pPr>
        <w:ind w:firstLine="450"/>
        <w:jc w:val="both"/>
        <w:divId w:val="705713091"/>
        <w:rPr>
          <w:rFonts w:eastAsia="Times New Roman"/>
        </w:rPr>
      </w:pPr>
      <w:r>
        <w:rPr>
          <w:rFonts w:eastAsia="Times New Roman"/>
          <w:color w:val="000000"/>
          <w:sz w:val="20"/>
          <w:szCs w:val="20"/>
        </w:rPr>
        <w:t>These financial statements are the responsibility of the Company's management. Our responsibility is to e</w:t>
      </w:r>
      <w:r>
        <w:rPr>
          <w:rFonts w:eastAsia="Times New Roman"/>
          <w:color w:val="000000"/>
          <w:sz w:val="20"/>
          <w:szCs w:val="20"/>
        </w:rPr>
        <w:t>xpress an opinion on the Company's financial statements based on our audits. We are a public accounting firm registered with the PCAOB and are required to be independent with respect to the Company in accordance with the U.S. federal securities laws and th</w:t>
      </w:r>
      <w:r>
        <w:rPr>
          <w:rFonts w:eastAsia="Times New Roman"/>
          <w:color w:val="000000"/>
          <w:sz w:val="20"/>
          <w:szCs w:val="20"/>
        </w:rPr>
        <w:t>e applicable rules and regulations of the Securities and Exchange Commission and the PCAOB.</w:t>
      </w:r>
    </w:p>
    <w:p w:rsidR="00000000" w:rsidRDefault="00BB5C2D">
      <w:pPr>
        <w:ind w:firstLine="450"/>
        <w:jc w:val="both"/>
        <w:divId w:val="2018999896"/>
        <w:rPr>
          <w:rFonts w:eastAsia="Times New Roman"/>
        </w:rPr>
      </w:pPr>
      <w:r>
        <w:rPr>
          <w:rFonts w:eastAsia="Times New Roman"/>
          <w:color w:val="000000"/>
          <w:sz w:val="20"/>
          <w:szCs w:val="20"/>
        </w:rPr>
        <w:t>We conducted our audits in accordance with the standards of the PCAOB. Those standards require that we plan and perform the audit to obtain reasonable assurance abo</w:t>
      </w:r>
      <w:r>
        <w:rPr>
          <w:rFonts w:eastAsia="Times New Roman"/>
          <w:color w:val="000000"/>
          <w:sz w:val="20"/>
          <w:szCs w:val="20"/>
        </w:rPr>
        <w:t>ut whether the financial statements are free of material misstatement, whether due to error or fraud. Our audits included performing procedures to assess the risks of material misstatement of the financial statements, whether due to error or fraud, and per</w:t>
      </w:r>
      <w:r>
        <w:rPr>
          <w:rFonts w:eastAsia="Times New Roman"/>
          <w:color w:val="000000"/>
          <w:sz w:val="20"/>
          <w:szCs w:val="20"/>
        </w:rPr>
        <w:t>forming procedures that respond to those risks. Such procedures included examining, on a test basis, evidence regarding the amounts and disclosures in the financial statements. Our audits also included evaluating the accounting principles used and signific</w:t>
      </w:r>
      <w:r>
        <w:rPr>
          <w:rFonts w:eastAsia="Times New Roman"/>
          <w:color w:val="000000"/>
          <w:sz w:val="20"/>
          <w:szCs w:val="20"/>
        </w:rPr>
        <w:t>ant estimates made by management, as well as evaluating the overall presentation of the financial statements. We believe that our audits provide a reasonable basis for our opinion.</w:t>
      </w:r>
    </w:p>
    <w:p w:rsidR="00000000" w:rsidRDefault="00BB5C2D">
      <w:pPr>
        <w:jc w:val="both"/>
        <w:divId w:val="475420180"/>
        <w:rPr>
          <w:rFonts w:eastAsia="Times New Roman"/>
        </w:rPr>
      </w:pPr>
      <w:r>
        <w:rPr>
          <w:rFonts w:eastAsia="Times New Roman"/>
          <w:b/>
          <w:bCs/>
          <w:color w:val="000000"/>
          <w:sz w:val="20"/>
          <w:szCs w:val="20"/>
        </w:rPr>
        <w:t>Critical Audit Matters</w:t>
      </w:r>
    </w:p>
    <w:p w:rsidR="00000000" w:rsidRDefault="00BB5C2D">
      <w:pPr>
        <w:ind w:firstLine="450"/>
        <w:jc w:val="both"/>
        <w:divId w:val="1439715241"/>
        <w:rPr>
          <w:rFonts w:eastAsia="Times New Roman"/>
        </w:rPr>
      </w:pPr>
      <w:r>
        <w:rPr>
          <w:rFonts w:eastAsia="Times New Roman"/>
          <w:color w:val="000000"/>
          <w:sz w:val="20"/>
          <w:szCs w:val="20"/>
        </w:rPr>
        <w:t>The critical audit matters communicated below are ma</w:t>
      </w:r>
      <w:r>
        <w:rPr>
          <w:rFonts w:eastAsia="Times New Roman"/>
          <w:color w:val="000000"/>
          <w:sz w:val="20"/>
          <w:szCs w:val="20"/>
        </w:rPr>
        <w:t>tters arising from the current period audit of the financial statements that were communicated or required to be communicated to the audit committee and that: (1) relate to accounts or disclosures that are material to the financial statements and (2) invol</w:t>
      </w:r>
      <w:r>
        <w:rPr>
          <w:rFonts w:eastAsia="Times New Roman"/>
          <w:color w:val="000000"/>
          <w:sz w:val="20"/>
          <w:szCs w:val="20"/>
        </w:rPr>
        <w:t>ved our especially challenging, subjective or complex judgments. The communication of critical audit matters does not alter in any way our opinion on the consolidated financial statements, taken as a whole, and we are not, by communicating the critical aud</w:t>
      </w:r>
      <w:r>
        <w:rPr>
          <w:rFonts w:eastAsia="Times New Roman"/>
          <w:color w:val="000000"/>
          <w:sz w:val="20"/>
          <w:szCs w:val="20"/>
        </w:rPr>
        <w:t>it matters below, providing separate opinions on the critical audit matters or on the accounts or disclosures to which they relate.</w:t>
      </w:r>
    </w:p>
    <w:tbl>
      <w:tblPr>
        <w:tblW w:w="4766" w:type="pct"/>
        <w:jc w:val="center"/>
        <w:tblCellMar>
          <w:top w:w="15" w:type="dxa"/>
          <w:left w:w="15" w:type="dxa"/>
          <w:bottom w:w="15" w:type="dxa"/>
          <w:right w:w="15" w:type="dxa"/>
        </w:tblCellMar>
        <w:tblLook w:val="04A0" w:firstRow="1" w:lastRow="0" w:firstColumn="1" w:lastColumn="0" w:noHBand="0" w:noVBand="1"/>
      </w:tblPr>
      <w:tblGrid>
        <w:gridCol w:w="67"/>
        <w:gridCol w:w="1073"/>
        <w:gridCol w:w="36"/>
        <w:gridCol w:w="65"/>
        <w:gridCol w:w="6639"/>
        <w:gridCol w:w="37"/>
      </w:tblGrid>
      <w:tr w:rsidR="00000000">
        <w:trPr>
          <w:divId w:val="975523503"/>
          <w:jc w:val="center"/>
        </w:trPr>
        <w:tc>
          <w:tcPr>
            <w:tcW w:w="50" w:type="pct"/>
            <w:vAlign w:val="center"/>
            <w:hideMark/>
          </w:tcPr>
          <w:p w:rsidR="00000000" w:rsidRDefault="00BB5C2D">
            <w:pPr>
              <w:ind w:firstLine="450"/>
              <w:jc w:val="both"/>
              <w:rPr>
                <w:rFonts w:eastAsia="Times New Roman"/>
              </w:rPr>
            </w:pPr>
          </w:p>
        </w:tc>
        <w:tc>
          <w:tcPr>
            <w:tcW w:w="68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201"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975523503"/>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BB5C2D">
            <w:pPr>
              <w:spacing w:after="100"/>
              <w:rPr>
                <w:rFonts w:eastAsia="Times New Roman"/>
              </w:rPr>
            </w:pPr>
            <w:r>
              <w:rPr>
                <w:rFonts w:eastAsia="Times New Roman"/>
                <w:b/>
                <w:bCs/>
                <w:color w:val="000000"/>
                <w:sz w:val="20"/>
                <w:szCs w:val="20"/>
              </w:rPr>
              <w:t>End-of-season Markdown Reserves</w:t>
            </w:r>
          </w:p>
        </w:tc>
      </w:tr>
      <w:tr w:rsidR="00000000">
        <w:trPr>
          <w:divId w:val="975523503"/>
          <w:trHeight w:val="240"/>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975523503"/>
          <w:jc w:val="center"/>
        </w:trPr>
        <w:tc>
          <w:tcPr>
            <w:tcW w:w="0" w:type="auto"/>
            <w:gridSpan w:val="3"/>
            <w:tcMar>
              <w:top w:w="30" w:type="dxa"/>
              <w:left w:w="20" w:type="dxa"/>
              <w:bottom w:w="30" w:type="dxa"/>
              <w:right w:w="20" w:type="dxa"/>
            </w:tcMar>
            <w:hideMark/>
          </w:tcPr>
          <w:p w:rsidR="00000000" w:rsidRDefault="00BB5C2D">
            <w:pPr>
              <w:spacing w:after="100"/>
              <w:rPr>
                <w:rFonts w:eastAsia="Times New Roman"/>
              </w:rPr>
            </w:pPr>
            <w:r>
              <w:rPr>
                <w:rFonts w:eastAsia="Times New Roman"/>
                <w:i/>
                <w:iCs/>
                <w:color w:val="000000"/>
                <w:sz w:val="20"/>
                <w:szCs w:val="20"/>
              </w:rPr>
              <w:t>Description of the Matter</w:t>
            </w:r>
          </w:p>
        </w:tc>
        <w:tc>
          <w:tcPr>
            <w:tcW w:w="0" w:type="auto"/>
            <w:gridSpan w:val="3"/>
            <w:tcMar>
              <w:top w:w="30" w:type="dxa"/>
              <w:left w:w="20" w:type="dxa"/>
              <w:bottom w:w="30" w:type="dxa"/>
              <w:right w:w="20" w:type="dxa"/>
            </w:tcMar>
            <w:hideMark/>
          </w:tcPr>
          <w:p w:rsidR="00000000" w:rsidRDefault="00BB5C2D">
            <w:pPr>
              <w:spacing w:after="100"/>
              <w:jc w:val="both"/>
              <w:divId w:val="431825309"/>
              <w:rPr>
                <w:rFonts w:eastAsia="Times New Roman"/>
              </w:rPr>
            </w:pPr>
            <w:r>
              <w:rPr>
                <w:rFonts w:eastAsia="Times New Roman"/>
                <w:color w:val="000000"/>
                <w:sz w:val="20"/>
                <w:szCs w:val="20"/>
              </w:rPr>
              <w:t>As disclosed in Note 3 of the consolidated financial statements, estimates for end-of-season markdown reserves are based on historical trends, actual and forecasted seasonal results, an evaluation of current economic and market conditions, retailer perform</w:t>
            </w:r>
            <w:r>
              <w:rPr>
                <w:rFonts w:eastAsia="Times New Roman"/>
                <w:color w:val="000000"/>
                <w:sz w:val="20"/>
                <w:szCs w:val="20"/>
              </w:rPr>
              <w:t xml:space="preserve">ance, and, in certain cases, contractual terms. </w:t>
            </w:r>
          </w:p>
          <w:p w:rsidR="00000000" w:rsidRDefault="00BB5C2D">
            <w:pPr>
              <w:spacing w:after="100"/>
              <w:jc w:val="both"/>
              <w:divId w:val="512691511"/>
              <w:rPr>
                <w:rFonts w:eastAsia="Times New Roman"/>
              </w:rPr>
            </w:pPr>
            <w:r>
              <w:rPr>
                <w:rFonts w:eastAsia="Times New Roman"/>
                <w:color w:val="000000"/>
                <w:sz w:val="20"/>
                <w:szCs w:val="20"/>
              </w:rPr>
              <w:t xml:space="preserve">Auditing management's estimate of end-of-season markdown reserves was complex and judgmental as reserve amounts are sensitive to changes in market or economic conditions (including the effects of the global </w:t>
            </w:r>
            <w:r>
              <w:rPr>
                <w:rFonts w:eastAsia="Times New Roman"/>
                <w:color w:val="000000"/>
                <w:sz w:val="20"/>
                <w:szCs w:val="20"/>
              </w:rPr>
              <w:t>pandemic), and have a direct, material impact on the amount of revenue recognized by the Company. There is also significant estimation required to establish markdown reserve rates by brand and customer, which are based on the Company's review of the season</w:t>
            </w:r>
            <w:r>
              <w:rPr>
                <w:rFonts w:eastAsia="Times New Roman"/>
                <w:color w:val="000000"/>
                <w:sz w:val="20"/>
                <w:szCs w:val="20"/>
              </w:rPr>
              <w:t>al negotiations with each customer and the expected performance of the products in the customers' stores.</w:t>
            </w: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trPr>
          <w:jc w:val="center"/>
        </w:trPr>
        <w:tc>
          <w:tcPr>
            <w:tcW w:w="50" w:type="pct"/>
            <w:vAlign w:val="center"/>
            <w:hideMark/>
          </w:tcPr>
          <w:p w:rsidR="00000000" w:rsidRDefault="00BB5C2D">
            <w:pPr>
              <w:ind w:firstLine="180"/>
              <w:jc w:val="center"/>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F-57</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69" style="width:0;height:1.5pt" o:hralign="center" o:hrstd="t" o:hr="t" fillcolor="#a0a0a0" stroked="f"/>
        </w:pict>
      </w:r>
    </w:p>
    <w:p w:rsidR="00000000" w:rsidRDefault="00BB5C2D">
      <w:pPr>
        <w:divId w:val="975068517"/>
        <w:rPr>
          <w:rFonts w:eastAsia="Times New Roman"/>
        </w:rPr>
      </w:pPr>
    </w:p>
    <w:tbl>
      <w:tblPr>
        <w:tblW w:w="4766" w:type="pct"/>
        <w:jc w:val="center"/>
        <w:tblCellMar>
          <w:top w:w="15" w:type="dxa"/>
          <w:left w:w="15" w:type="dxa"/>
          <w:bottom w:w="15" w:type="dxa"/>
          <w:right w:w="15" w:type="dxa"/>
        </w:tblCellMar>
        <w:tblLook w:val="04A0" w:firstRow="1" w:lastRow="0" w:firstColumn="1" w:lastColumn="0" w:noHBand="0" w:noVBand="1"/>
      </w:tblPr>
      <w:tblGrid>
        <w:gridCol w:w="67"/>
        <w:gridCol w:w="1072"/>
        <w:gridCol w:w="37"/>
        <w:gridCol w:w="65"/>
        <w:gridCol w:w="6639"/>
        <w:gridCol w:w="37"/>
      </w:tblGrid>
      <w:tr w:rsidR="00000000">
        <w:trPr>
          <w:divId w:val="1669865023"/>
          <w:jc w:val="center"/>
        </w:trPr>
        <w:tc>
          <w:tcPr>
            <w:tcW w:w="50" w:type="pct"/>
            <w:vAlign w:val="center"/>
            <w:hideMark/>
          </w:tcPr>
          <w:p w:rsidR="00000000" w:rsidRDefault="00BB5C2D">
            <w:pPr>
              <w:rPr>
                <w:rFonts w:eastAsia="Times New Roman"/>
              </w:rPr>
            </w:pPr>
          </w:p>
        </w:tc>
        <w:tc>
          <w:tcPr>
            <w:tcW w:w="688"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4201"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669865023"/>
          <w:jc w:val="center"/>
        </w:trPr>
        <w:tc>
          <w:tcPr>
            <w:tcW w:w="0" w:type="auto"/>
            <w:gridSpan w:val="3"/>
            <w:tcMar>
              <w:top w:w="30" w:type="dxa"/>
              <w:left w:w="20" w:type="dxa"/>
              <w:bottom w:w="30" w:type="dxa"/>
              <w:right w:w="20" w:type="dxa"/>
            </w:tcMar>
            <w:hideMark/>
          </w:tcPr>
          <w:p w:rsidR="00000000" w:rsidRDefault="00BB5C2D">
            <w:pPr>
              <w:spacing w:after="100"/>
              <w:rPr>
                <w:rFonts w:eastAsia="Times New Roman"/>
              </w:rPr>
            </w:pPr>
            <w:r>
              <w:rPr>
                <w:rFonts w:eastAsia="Times New Roman"/>
                <w:i/>
                <w:iCs/>
                <w:color w:val="000000"/>
                <w:sz w:val="20"/>
                <w:szCs w:val="20"/>
              </w:rPr>
              <w:t>How We Addressed the Matter in Our Audit</w:t>
            </w:r>
          </w:p>
        </w:tc>
        <w:tc>
          <w:tcPr>
            <w:tcW w:w="0" w:type="auto"/>
            <w:gridSpan w:val="3"/>
            <w:tcMar>
              <w:top w:w="30" w:type="dxa"/>
              <w:left w:w="20" w:type="dxa"/>
              <w:bottom w:w="30" w:type="dxa"/>
              <w:right w:w="20" w:type="dxa"/>
            </w:tcMar>
            <w:hideMark/>
          </w:tcPr>
          <w:p w:rsidR="00000000" w:rsidRDefault="00BB5C2D">
            <w:pPr>
              <w:spacing w:after="100"/>
              <w:jc w:val="both"/>
              <w:divId w:val="2097508537"/>
              <w:rPr>
                <w:rFonts w:eastAsia="Times New Roman"/>
              </w:rPr>
            </w:pPr>
            <w:r>
              <w:rPr>
                <w:rFonts w:eastAsia="Times New Roman"/>
                <w:color w:val="000000"/>
                <w:sz w:val="20"/>
                <w:szCs w:val="20"/>
              </w:rPr>
              <w:t>We obtained an understanding, evaluated the design and tested the operating effectiveness of internal controls over the Company's process to calculate the end-of-season markdown reserves, including the consideration of historical experience, actual and for</w:t>
            </w:r>
            <w:r>
              <w:rPr>
                <w:rFonts w:eastAsia="Times New Roman"/>
                <w:color w:val="000000"/>
                <w:sz w:val="20"/>
                <w:szCs w:val="20"/>
              </w:rPr>
              <w:t>ecasted seasonal results, current economic and market conditions, (including the effects of the global pandemic), retailer performance, and contractual terms as applicable.</w:t>
            </w:r>
          </w:p>
          <w:p w:rsidR="00000000" w:rsidRDefault="00BB5C2D">
            <w:pPr>
              <w:spacing w:after="100"/>
              <w:jc w:val="both"/>
              <w:divId w:val="64034883"/>
              <w:rPr>
                <w:rFonts w:eastAsia="Times New Roman"/>
              </w:rPr>
            </w:pPr>
            <w:r>
              <w:rPr>
                <w:rFonts w:eastAsia="Times New Roman"/>
                <w:color w:val="000000"/>
                <w:sz w:val="20"/>
                <w:szCs w:val="20"/>
              </w:rPr>
              <w:t>To test the estimate of end-of-season markdown reserves, we performed audit procedu</w:t>
            </w:r>
            <w:r>
              <w:rPr>
                <w:rFonts w:eastAsia="Times New Roman"/>
                <w:color w:val="000000"/>
                <w:sz w:val="20"/>
                <w:szCs w:val="20"/>
              </w:rPr>
              <w:t xml:space="preserve">res that included, among others, assessing methodologies and testing the assumptions regarding seasonal negotiations with each customer which include the application of market and economic conditions to individual customers and the expected performance of </w:t>
            </w:r>
            <w:r>
              <w:rPr>
                <w:rFonts w:eastAsia="Times New Roman"/>
                <w:color w:val="000000"/>
                <w:sz w:val="20"/>
                <w:szCs w:val="20"/>
              </w:rPr>
              <w:t>the products in the customers' stores that were used by the Company to calculate the projected markdown allowances to be issued upon settlement. We compared the significant assumptions used by management to current market and economic trends, historical re</w:t>
            </w:r>
            <w:r>
              <w:rPr>
                <w:rFonts w:eastAsia="Times New Roman"/>
                <w:color w:val="000000"/>
                <w:sz w:val="20"/>
                <w:szCs w:val="20"/>
              </w:rPr>
              <w:t>sults and other relevant factors. We assessed the historical accuracy of management's estimates and performed sensitivity analyses of significant assumptions to substantively test the changes in the estimate that would result from reasonable changes in the</w:t>
            </w:r>
            <w:r>
              <w:rPr>
                <w:rFonts w:eastAsia="Times New Roman"/>
                <w:color w:val="000000"/>
                <w:sz w:val="20"/>
                <w:szCs w:val="20"/>
              </w:rPr>
              <w:t xml:space="preserve"> assumptions.</w:t>
            </w:r>
          </w:p>
        </w:tc>
      </w:tr>
      <w:tr w:rsidR="00000000">
        <w:trPr>
          <w:divId w:val="1669865023"/>
          <w:trHeight w:val="300"/>
          <w:jc w:val="center"/>
        </w:trPr>
        <w:tc>
          <w:tcPr>
            <w:tcW w:w="0" w:type="auto"/>
            <w:gridSpan w:val="3"/>
            <w:tcMar>
              <w:top w:w="0" w:type="dxa"/>
              <w:left w:w="20" w:type="dxa"/>
              <w:bottom w:w="0" w:type="dxa"/>
              <w:right w:w="20" w:type="dxa"/>
            </w:tcMar>
            <w:vAlign w:val="center"/>
            <w:hideMark/>
          </w:tcPr>
          <w:p w:rsidR="00000000" w:rsidRDefault="00BB5C2D">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669865023"/>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rPr>
                <w:rFonts w:eastAsia="Times New Roman"/>
              </w:rPr>
            </w:pPr>
            <w:r>
              <w:rPr>
                <w:rFonts w:eastAsia="Times New Roman"/>
                <w:b/>
                <w:bCs/>
                <w:color w:val="000000"/>
                <w:sz w:val="20"/>
                <w:szCs w:val="20"/>
              </w:rPr>
              <w:t>Estimated Realizable Value of Inventory</w:t>
            </w:r>
          </w:p>
        </w:tc>
      </w:tr>
      <w:tr w:rsidR="00000000">
        <w:trPr>
          <w:divId w:val="1669865023"/>
          <w:trHeight w:val="240"/>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669865023"/>
          <w:jc w:val="center"/>
        </w:trPr>
        <w:tc>
          <w:tcPr>
            <w:tcW w:w="0" w:type="auto"/>
            <w:gridSpan w:val="3"/>
            <w:tcMar>
              <w:top w:w="30" w:type="dxa"/>
              <w:left w:w="20" w:type="dxa"/>
              <w:bottom w:w="30" w:type="dxa"/>
              <w:right w:w="20" w:type="dxa"/>
            </w:tcMar>
            <w:hideMark/>
          </w:tcPr>
          <w:p w:rsidR="00000000" w:rsidRDefault="00BB5C2D">
            <w:pPr>
              <w:spacing w:after="100"/>
              <w:rPr>
                <w:rFonts w:eastAsia="Times New Roman"/>
              </w:rPr>
            </w:pPr>
            <w:r>
              <w:rPr>
                <w:rFonts w:eastAsia="Times New Roman"/>
                <w:i/>
                <w:iCs/>
                <w:color w:val="000000"/>
                <w:sz w:val="20"/>
                <w:szCs w:val="20"/>
              </w:rPr>
              <w:t>Description of the Matter</w:t>
            </w:r>
          </w:p>
        </w:tc>
        <w:tc>
          <w:tcPr>
            <w:tcW w:w="0" w:type="auto"/>
            <w:gridSpan w:val="3"/>
            <w:tcMar>
              <w:top w:w="30" w:type="dxa"/>
              <w:left w:w="20" w:type="dxa"/>
              <w:bottom w:w="30" w:type="dxa"/>
              <w:right w:w="20" w:type="dxa"/>
            </w:tcMar>
            <w:hideMark/>
          </w:tcPr>
          <w:p w:rsidR="00000000" w:rsidRDefault="00BB5C2D">
            <w:pPr>
              <w:spacing w:after="100"/>
              <w:jc w:val="both"/>
              <w:divId w:val="1398169021"/>
              <w:rPr>
                <w:rFonts w:eastAsia="Times New Roman"/>
              </w:rPr>
            </w:pPr>
            <w:r>
              <w:rPr>
                <w:rFonts w:eastAsia="Times New Roman"/>
                <w:color w:val="000000"/>
                <w:sz w:val="20"/>
                <w:szCs w:val="20"/>
              </w:rPr>
              <w:t>As of April 2, 2022, the Company's net inventory balance was $977.3 million. As described in Note 3 to the consolidated financial statements, the valuation of inventory requires management to make assumptions and judgments about the recoverability of inven</w:t>
            </w:r>
            <w:r>
              <w:rPr>
                <w:rFonts w:eastAsia="Times New Roman"/>
                <w:color w:val="000000"/>
                <w:sz w:val="20"/>
                <w:szCs w:val="20"/>
              </w:rPr>
              <w:t xml:space="preserve">tory and its estimated realizable value. </w:t>
            </w:r>
          </w:p>
          <w:p w:rsidR="00000000" w:rsidRDefault="00BB5C2D">
            <w:pPr>
              <w:spacing w:after="100"/>
              <w:jc w:val="both"/>
              <w:divId w:val="860096487"/>
              <w:rPr>
                <w:rFonts w:eastAsia="Times New Roman"/>
              </w:rPr>
            </w:pPr>
            <w:r>
              <w:rPr>
                <w:rFonts w:eastAsia="Times New Roman"/>
                <w:color w:val="000000"/>
                <w:sz w:val="20"/>
                <w:szCs w:val="20"/>
              </w:rPr>
              <w:t>The estimated realizable value of inventory is determined based on an analysis of historical sales trends, market trends and economic conditions (including the effects of the global pandemic), future sales forecast</w:t>
            </w:r>
            <w:r>
              <w:rPr>
                <w:rFonts w:eastAsia="Times New Roman"/>
                <w:color w:val="000000"/>
                <w:sz w:val="20"/>
                <w:szCs w:val="20"/>
              </w:rPr>
              <w:t xml:space="preserve">s, on-hand inventory quantities, and consideration of the value of existing customer orders for future sales of inventory. Given the importance of inventory to the Company's operations and the materiality of the balance, coupled with the judgment involved </w:t>
            </w:r>
            <w:r>
              <w:rPr>
                <w:rFonts w:eastAsia="Times New Roman"/>
                <w:color w:val="000000"/>
                <w:sz w:val="20"/>
                <w:szCs w:val="20"/>
              </w:rPr>
              <w:t xml:space="preserve">in estimating future sales, auditing management's estimated realizable value involved a higher extent of testing and the involvement of more senior members of the engagement team in executing, supervising and reviewing the results of the procedures. </w:t>
            </w:r>
          </w:p>
        </w:tc>
      </w:tr>
      <w:tr w:rsidR="00000000">
        <w:trPr>
          <w:divId w:val="1669865023"/>
          <w:trHeight w:val="300"/>
          <w:jc w:val="center"/>
        </w:trPr>
        <w:tc>
          <w:tcPr>
            <w:tcW w:w="0" w:type="auto"/>
            <w:gridSpan w:val="3"/>
            <w:tcMar>
              <w:top w:w="0" w:type="dxa"/>
              <w:left w:w="20" w:type="dxa"/>
              <w:bottom w:w="0" w:type="dxa"/>
              <w:right w:w="20" w:type="dxa"/>
            </w:tcMar>
            <w:vAlign w:val="center"/>
            <w:hideMark/>
          </w:tcPr>
          <w:p w:rsidR="00000000" w:rsidRDefault="00BB5C2D">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r>
      <w:tr w:rsidR="00000000">
        <w:trPr>
          <w:divId w:val="1669865023"/>
          <w:jc w:val="center"/>
        </w:trPr>
        <w:tc>
          <w:tcPr>
            <w:tcW w:w="0" w:type="auto"/>
            <w:gridSpan w:val="3"/>
            <w:tcMar>
              <w:top w:w="30" w:type="dxa"/>
              <w:left w:w="20" w:type="dxa"/>
              <w:bottom w:w="30" w:type="dxa"/>
              <w:right w:w="20" w:type="dxa"/>
            </w:tcMar>
            <w:hideMark/>
          </w:tcPr>
          <w:p w:rsidR="00000000" w:rsidRDefault="00BB5C2D">
            <w:pPr>
              <w:spacing w:after="100"/>
              <w:rPr>
                <w:rFonts w:eastAsia="Times New Roman"/>
              </w:rPr>
            </w:pPr>
            <w:r>
              <w:rPr>
                <w:rFonts w:eastAsia="Times New Roman"/>
                <w:i/>
                <w:iCs/>
                <w:color w:val="000000"/>
                <w:sz w:val="20"/>
                <w:szCs w:val="20"/>
              </w:rPr>
              <w:t>How We Addressed the Matter in Our Audit</w:t>
            </w:r>
          </w:p>
        </w:tc>
        <w:tc>
          <w:tcPr>
            <w:tcW w:w="0" w:type="auto"/>
            <w:gridSpan w:val="3"/>
            <w:tcMar>
              <w:top w:w="30" w:type="dxa"/>
              <w:left w:w="20" w:type="dxa"/>
              <w:bottom w:w="30" w:type="dxa"/>
              <w:right w:w="20" w:type="dxa"/>
            </w:tcMar>
            <w:hideMark/>
          </w:tcPr>
          <w:p w:rsidR="00000000" w:rsidRDefault="00BB5C2D">
            <w:pPr>
              <w:spacing w:after="100"/>
              <w:jc w:val="both"/>
              <w:divId w:val="770007198"/>
              <w:rPr>
                <w:rFonts w:eastAsia="Times New Roman"/>
              </w:rPr>
            </w:pPr>
            <w:r>
              <w:rPr>
                <w:rFonts w:eastAsia="Times New Roman"/>
                <w:color w:val="000000"/>
                <w:sz w:val="20"/>
                <w:szCs w:val="20"/>
              </w:rPr>
              <w:t>We obtained an understanding, evaluated the design, and tested the operating effectiveness of controls over the process to determine the estimated realizable value of inventory, including controls over the inputs and assumptions used in management's calcul</w:t>
            </w:r>
            <w:r>
              <w:rPr>
                <w:rFonts w:eastAsia="Times New Roman"/>
                <w:color w:val="000000"/>
                <w:sz w:val="20"/>
                <w:szCs w:val="20"/>
              </w:rPr>
              <w:t xml:space="preserve">ation as described above. </w:t>
            </w:r>
          </w:p>
          <w:p w:rsidR="00000000" w:rsidRDefault="00BB5C2D">
            <w:pPr>
              <w:spacing w:after="100"/>
              <w:jc w:val="both"/>
              <w:divId w:val="1068452974"/>
              <w:rPr>
                <w:rFonts w:eastAsia="Times New Roman"/>
              </w:rPr>
            </w:pPr>
            <w:r>
              <w:rPr>
                <w:rFonts w:eastAsia="Times New Roman"/>
                <w:color w:val="000000"/>
                <w:sz w:val="20"/>
                <w:szCs w:val="20"/>
              </w:rPr>
              <w:t>Our audit procedures to test the estimated realizable value of inventory included, among others, evaluating the appropriateness of management's inputs to the calculation, including testing the completeness and accuracy of the dat</w:t>
            </w:r>
            <w:r>
              <w:rPr>
                <w:rFonts w:eastAsia="Times New Roman"/>
                <w:color w:val="000000"/>
                <w:sz w:val="20"/>
                <w:szCs w:val="20"/>
              </w:rPr>
              <w:t>a used in management's calculation such as historical sales activity and loss rates for each class of inventory, write-off activity, on-hand inventory levels and inventory aging. Our procedures also included testing the completeness of any expected net los</w:t>
            </w:r>
            <w:r>
              <w:rPr>
                <w:rFonts w:eastAsia="Times New Roman"/>
                <w:color w:val="000000"/>
                <w:sz w:val="20"/>
                <w:szCs w:val="20"/>
              </w:rPr>
              <w:t>ses on firm commitments to purchase inventory. To evaluate management's ability to accurately estimate future sales projections, which is also a key factor in the determination of the reserve, we retrospectively reviewed actual sales compared to projection</w:t>
            </w:r>
            <w:r>
              <w:rPr>
                <w:rFonts w:eastAsia="Times New Roman"/>
                <w:color w:val="000000"/>
                <w:sz w:val="20"/>
                <w:szCs w:val="20"/>
              </w:rPr>
              <w:t xml:space="preserve">s and considered the impact of the global pandemic on market trends and economic conditions. We also tested the mathematical accuracy of the Company's calculation. </w:t>
            </w:r>
          </w:p>
        </w:tc>
      </w:tr>
    </w:tbl>
    <w:p w:rsidR="00000000" w:rsidRDefault="00BB5C2D">
      <w:pPr>
        <w:jc w:val="both"/>
        <w:divId w:val="1571699020"/>
        <w:rPr>
          <w:rFonts w:eastAsia="Times New Roman"/>
        </w:rPr>
      </w:pPr>
      <w:r>
        <w:rPr>
          <w:rFonts w:eastAsia="Times New Roman"/>
          <w:color w:val="000000"/>
          <w:sz w:val="20"/>
          <w:szCs w:val="20"/>
        </w:rPr>
        <w:t>/s/ Ernst &amp; Young LLP</w:t>
      </w:r>
    </w:p>
    <w:p w:rsidR="00000000" w:rsidRDefault="00BB5C2D">
      <w:pPr>
        <w:jc w:val="both"/>
        <w:divId w:val="885069274"/>
        <w:rPr>
          <w:rFonts w:eastAsia="Times New Roman"/>
        </w:rPr>
      </w:pPr>
      <w:r>
        <w:rPr>
          <w:rFonts w:eastAsia="Times New Roman"/>
          <w:color w:val="000000"/>
          <w:sz w:val="20"/>
          <w:szCs w:val="20"/>
        </w:rPr>
        <w:t>We have served as the Company's auditor since 2008.</w:t>
      </w:r>
    </w:p>
    <w:p w:rsidR="00000000" w:rsidRDefault="00BB5C2D">
      <w:pPr>
        <w:jc w:val="both"/>
        <w:divId w:val="1435245720"/>
        <w:rPr>
          <w:rFonts w:eastAsia="Times New Roman"/>
        </w:rPr>
      </w:pPr>
      <w:r>
        <w:rPr>
          <w:rFonts w:eastAsia="Times New Roman"/>
          <w:color w:val="000000"/>
          <w:sz w:val="20"/>
          <w:szCs w:val="20"/>
        </w:rPr>
        <w:t>New York, New York</w:t>
      </w:r>
    </w:p>
    <w:p w:rsidR="00000000" w:rsidRDefault="00BB5C2D">
      <w:pPr>
        <w:jc w:val="both"/>
        <w:rPr>
          <w:rFonts w:eastAsia="Times New Roman"/>
        </w:rPr>
      </w:pPr>
      <w:r>
        <w:rPr>
          <w:rFonts w:eastAsia="Times New Roman"/>
          <w:color w:val="000000"/>
          <w:sz w:val="20"/>
          <w:szCs w:val="20"/>
        </w:rPr>
        <w:t>May 24, 2022</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531652157"/>
          <w:jc w:val="center"/>
        </w:trPr>
        <w:tc>
          <w:tcPr>
            <w:tcW w:w="50" w:type="pct"/>
            <w:vAlign w:val="center"/>
            <w:hideMark/>
          </w:tcPr>
          <w:p w:rsidR="00000000" w:rsidRDefault="00BB5C2D">
            <w:pPr>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1531652157"/>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F-58</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000000" w:rsidRDefault="00BB5C2D">
      <w:pPr>
        <w:rPr>
          <w:rFonts w:eastAsia="Times New Roman"/>
        </w:rPr>
      </w:pPr>
      <w:r>
        <w:rPr>
          <w:rFonts w:eastAsia="Times New Roman"/>
        </w:rPr>
        <w:pict>
          <v:rect id="_x0000_i1170" style="width:0;height:1.5pt" o:hralign="center" o:hrstd="t" o:hr="t" fillcolor="#a0a0a0" stroked="f"/>
        </w:pict>
      </w:r>
    </w:p>
    <w:p w:rsidR="00000000" w:rsidRDefault="00BB5C2D">
      <w:pPr>
        <w:divId w:val="236668177"/>
        <w:rPr>
          <w:rFonts w:eastAsia="Times New Roman"/>
        </w:rPr>
      </w:pPr>
    </w:p>
    <w:p w:rsidR="00000000" w:rsidRDefault="00BB5C2D">
      <w:pPr>
        <w:jc w:val="center"/>
        <w:divId w:val="1197963182"/>
        <w:rPr>
          <w:rFonts w:eastAsia="Times New Roman"/>
        </w:rPr>
      </w:pPr>
      <w:r>
        <w:rPr>
          <w:rFonts w:eastAsia="Times New Roman"/>
          <w:b/>
          <w:bCs/>
          <w:color w:val="000000"/>
          <w:sz w:val="20"/>
          <w:szCs w:val="20"/>
        </w:rPr>
        <w:t>REPORT OF INDEPENDENT REGISTERED PUBLIC ACCOUNTING FIRM</w:t>
      </w:r>
    </w:p>
    <w:p w:rsidR="00000000" w:rsidRDefault="00BB5C2D">
      <w:pPr>
        <w:jc w:val="both"/>
        <w:divId w:val="153842494"/>
        <w:rPr>
          <w:rFonts w:eastAsia="Times New Roman"/>
        </w:rPr>
      </w:pPr>
      <w:r>
        <w:rPr>
          <w:rFonts w:eastAsia="Times New Roman"/>
          <w:color w:val="000000"/>
          <w:sz w:val="20"/>
          <w:szCs w:val="20"/>
        </w:rPr>
        <w:t>The Board of Directors and Shareholders of Ralph Lauren Corporation</w:t>
      </w:r>
    </w:p>
    <w:p w:rsidR="00000000" w:rsidRDefault="00BB5C2D">
      <w:pPr>
        <w:jc w:val="both"/>
        <w:divId w:val="1261530265"/>
        <w:rPr>
          <w:rFonts w:eastAsia="Times New Roman"/>
        </w:rPr>
      </w:pPr>
      <w:r>
        <w:rPr>
          <w:rFonts w:eastAsia="Times New Roman"/>
          <w:b/>
          <w:bCs/>
          <w:color w:val="000000"/>
          <w:sz w:val="20"/>
          <w:szCs w:val="20"/>
        </w:rPr>
        <w:t>Opinion on Internal Control over Financial Reporting</w:t>
      </w:r>
    </w:p>
    <w:p w:rsidR="00000000" w:rsidRDefault="00BB5C2D">
      <w:pPr>
        <w:ind w:firstLine="450"/>
        <w:jc w:val="both"/>
        <w:divId w:val="1630280107"/>
        <w:rPr>
          <w:rFonts w:eastAsia="Times New Roman"/>
        </w:rPr>
      </w:pPr>
      <w:r>
        <w:rPr>
          <w:rFonts w:eastAsia="Times New Roman"/>
          <w:color w:val="000000"/>
          <w:sz w:val="20"/>
          <w:szCs w:val="20"/>
        </w:rPr>
        <w:t>We have audited Ralph Lauren Corporation'</w:t>
      </w:r>
      <w:r>
        <w:rPr>
          <w:rFonts w:eastAsia="Times New Roman"/>
          <w:color w:val="000000"/>
          <w:sz w:val="20"/>
          <w:szCs w:val="20"/>
        </w:rPr>
        <w:t xml:space="preserve">s internal control over financial reporting as of April 2, 2022, based on criteria established in Internal Control </w:t>
      </w:r>
      <w:r>
        <w:rPr>
          <w:rFonts w:eastAsia="Times New Roman"/>
          <w:i/>
          <w:iCs/>
          <w:color w:val="000000"/>
          <w:sz w:val="20"/>
          <w:szCs w:val="20"/>
        </w:rPr>
        <w:t>—</w:t>
      </w:r>
      <w:r>
        <w:rPr>
          <w:rFonts w:eastAsia="Times New Roman"/>
          <w:color w:val="000000"/>
          <w:sz w:val="20"/>
          <w:szCs w:val="20"/>
        </w:rPr>
        <w:t xml:space="preserve"> Integrated Framework issued by the Committee of Sponsoring Organizations of the Treadway Commission (2013 framework) (the COSO criteria). I</w:t>
      </w:r>
      <w:r>
        <w:rPr>
          <w:rFonts w:eastAsia="Times New Roman"/>
          <w:color w:val="000000"/>
          <w:sz w:val="20"/>
          <w:szCs w:val="20"/>
        </w:rPr>
        <w:t>n our opinion, Ralph Lauren Corporation (the Company) maintained, in all material respects, effective internal control over financial reporting as of April 2, 2022, based on the COSO criteria.</w:t>
      </w:r>
    </w:p>
    <w:p w:rsidR="00000000" w:rsidRDefault="00BB5C2D">
      <w:pPr>
        <w:ind w:firstLine="450"/>
        <w:jc w:val="both"/>
        <w:divId w:val="858275262"/>
        <w:rPr>
          <w:rFonts w:eastAsia="Times New Roman"/>
        </w:rPr>
      </w:pPr>
      <w:r>
        <w:rPr>
          <w:rFonts w:eastAsia="Times New Roman"/>
          <w:color w:val="000000"/>
          <w:sz w:val="20"/>
          <w:szCs w:val="20"/>
        </w:rPr>
        <w:t>We have also audited, in accordance with the standards of the P</w:t>
      </w:r>
      <w:r>
        <w:rPr>
          <w:rFonts w:eastAsia="Times New Roman"/>
          <w:color w:val="000000"/>
          <w:sz w:val="20"/>
          <w:szCs w:val="20"/>
        </w:rPr>
        <w:t>ublic Company Accounting Oversight Board (United States) (PCAOB), the consolidated balance sheets of the Company as of April 2, 2022 and March 27, 2021, and the related consolidated statements of operations, comprehensive income (loss), equity, and cash fl</w:t>
      </w:r>
      <w:r>
        <w:rPr>
          <w:rFonts w:eastAsia="Times New Roman"/>
          <w:color w:val="000000"/>
          <w:sz w:val="20"/>
          <w:szCs w:val="20"/>
        </w:rPr>
        <w:t>ows for each of the three years in the period ended April 2, 2022, and the related notes and our report dated May 24, 2022 expressed an unqualified opinion thereon.</w:t>
      </w:r>
    </w:p>
    <w:p w:rsidR="00000000" w:rsidRDefault="00BB5C2D">
      <w:pPr>
        <w:jc w:val="both"/>
        <w:divId w:val="1101297129"/>
        <w:rPr>
          <w:rFonts w:eastAsia="Times New Roman"/>
        </w:rPr>
      </w:pPr>
      <w:r>
        <w:rPr>
          <w:rFonts w:eastAsia="Times New Roman"/>
          <w:b/>
          <w:bCs/>
          <w:color w:val="000000"/>
          <w:sz w:val="20"/>
          <w:szCs w:val="20"/>
        </w:rPr>
        <w:t>Basis for Opinion</w:t>
      </w:r>
    </w:p>
    <w:p w:rsidR="00000000" w:rsidRDefault="00BB5C2D">
      <w:pPr>
        <w:ind w:firstLine="450"/>
        <w:jc w:val="both"/>
        <w:divId w:val="689571763"/>
        <w:rPr>
          <w:rFonts w:eastAsia="Times New Roman"/>
        </w:rPr>
      </w:pPr>
      <w:r>
        <w:rPr>
          <w:rFonts w:eastAsia="Times New Roman"/>
          <w:color w:val="000000"/>
          <w:sz w:val="20"/>
          <w:szCs w:val="20"/>
        </w:rPr>
        <w:t>The Company's management is responsible for maintaining effective interna</w:t>
      </w:r>
      <w:r>
        <w:rPr>
          <w:rFonts w:eastAsia="Times New Roman"/>
          <w:color w:val="000000"/>
          <w:sz w:val="20"/>
          <w:szCs w:val="20"/>
        </w:rPr>
        <w:t>l control over financial reporting and for its assessment of the effectiveness of internal control over financial reporting included in the accompanying Management's Report on Internal Control Over Financial Reporting. Our responsibility is to express an o</w:t>
      </w:r>
      <w:r>
        <w:rPr>
          <w:rFonts w:eastAsia="Times New Roman"/>
          <w:color w:val="000000"/>
          <w:sz w:val="20"/>
          <w:szCs w:val="20"/>
        </w:rPr>
        <w:t>pinion on the Company's internal control over financial reporting based on our audit. We are a public accounting firm registered with the PCAOB and are required to be independent with respect to the Company in accordance with the U.S. federal securities la</w:t>
      </w:r>
      <w:r>
        <w:rPr>
          <w:rFonts w:eastAsia="Times New Roman"/>
          <w:color w:val="000000"/>
          <w:sz w:val="20"/>
          <w:szCs w:val="20"/>
        </w:rPr>
        <w:t xml:space="preserve">ws and the applicable rules and regulations of the Securities and Exchange Commission and the PCAOB. </w:t>
      </w:r>
    </w:p>
    <w:p w:rsidR="00000000" w:rsidRDefault="00BB5C2D">
      <w:pPr>
        <w:ind w:firstLine="450"/>
        <w:jc w:val="both"/>
        <w:divId w:val="1473324658"/>
        <w:rPr>
          <w:rFonts w:eastAsia="Times New Roman"/>
        </w:rPr>
      </w:pPr>
      <w:r>
        <w:rPr>
          <w:rFonts w:eastAsia="Times New Roman"/>
          <w:color w:val="000000"/>
          <w:sz w:val="20"/>
          <w:szCs w:val="20"/>
        </w:rPr>
        <w:t>We conducted our audit in accordance with the standards of the PCAOB. Those standards require that we plan and perform the audit to obtain reasonable assu</w:t>
      </w:r>
      <w:r>
        <w:rPr>
          <w:rFonts w:eastAsia="Times New Roman"/>
          <w:color w:val="000000"/>
          <w:sz w:val="20"/>
          <w:szCs w:val="20"/>
        </w:rPr>
        <w:t xml:space="preserve">rance about whether effective internal control over financial reporting was maintained in all material respects. </w:t>
      </w:r>
    </w:p>
    <w:p w:rsidR="00000000" w:rsidRDefault="00BB5C2D">
      <w:pPr>
        <w:ind w:firstLine="450"/>
        <w:jc w:val="both"/>
        <w:divId w:val="113987736"/>
        <w:rPr>
          <w:rFonts w:eastAsia="Times New Roman"/>
        </w:rPr>
      </w:pPr>
      <w:r>
        <w:rPr>
          <w:rFonts w:eastAsia="Times New Roman"/>
          <w:color w:val="000000"/>
          <w:sz w:val="20"/>
          <w:szCs w:val="20"/>
        </w:rPr>
        <w:t>Our audit included obtaining an understanding of internal control over financial reporting, assessing the risk that a material weakness exists</w:t>
      </w:r>
      <w:r>
        <w:rPr>
          <w:rFonts w:eastAsia="Times New Roman"/>
          <w:color w:val="000000"/>
          <w:sz w:val="20"/>
          <w:szCs w:val="20"/>
        </w:rPr>
        <w:t xml:space="preserve">, testing and evaluating the design and operating effectiveness of internal control based on the assessed risk, and performing such other procedures as we considered necessary in the circumstances. We believe that our audit provides a reasonable basis for </w:t>
      </w:r>
      <w:r>
        <w:rPr>
          <w:rFonts w:eastAsia="Times New Roman"/>
          <w:color w:val="000000"/>
          <w:sz w:val="20"/>
          <w:szCs w:val="20"/>
        </w:rPr>
        <w:t>our opinion.</w:t>
      </w:r>
    </w:p>
    <w:p w:rsidR="00000000" w:rsidRDefault="00BB5C2D">
      <w:pPr>
        <w:jc w:val="both"/>
        <w:divId w:val="36859543"/>
        <w:rPr>
          <w:rFonts w:eastAsia="Times New Roman"/>
        </w:rPr>
      </w:pPr>
      <w:r>
        <w:rPr>
          <w:rFonts w:eastAsia="Times New Roman"/>
          <w:b/>
          <w:bCs/>
          <w:color w:val="000000"/>
          <w:sz w:val="20"/>
          <w:szCs w:val="20"/>
        </w:rPr>
        <w:t>Definition and Limitations of Internal Control Over Financial Reporting</w:t>
      </w:r>
    </w:p>
    <w:p w:rsidR="00000000" w:rsidRDefault="00BB5C2D">
      <w:pPr>
        <w:ind w:firstLine="450"/>
        <w:jc w:val="both"/>
        <w:divId w:val="916599973"/>
        <w:rPr>
          <w:rFonts w:eastAsia="Times New Roman"/>
        </w:rPr>
      </w:pPr>
      <w:r>
        <w:rPr>
          <w:rFonts w:eastAsia="Times New Roman"/>
          <w:color w:val="000000"/>
          <w:sz w:val="20"/>
          <w:szCs w:val="20"/>
        </w:rPr>
        <w:t>A company's internal control over financial reporting is a process designed to provide reasonable assurance regarding the reliability of financial reporting and the prepar</w:t>
      </w:r>
      <w:r>
        <w:rPr>
          <w:rFonts w:eastAsia="Times New Roman"/>
          <w:color w:val="000000"/>
          <w:sz w:val="20"/>
          <w:szCs w:val="20"/>
        </w:rPr>
        <w:t>ation of financial statements for external purposes in accordance with generally accepted accounting principles. A company's internal control over financial reporting includes those policies and procedures that (1) pertain to the maintenance of records tha</w:t>
      </w:r>
      <w:r>
        <w:rPr>
          <w:rFonts w:eastAsia="Times New Roman"/>
          <w:color w:val="000000"/>
          <w:sz w:val="20"/>
          <w:szCs w:val="20"/>
        </w:rPr>
        <w:t xml:space="preserve">t, in reasonable detail, accurately and fairly reflect the transactions and dispositions of the assets of the company; (2) provide reasonable assurance that transactions are recorded as necessary to permit preparation of financial statements in accordance </w:t>
      </w:r>
      <w:r>
        <w:rPr>
          <w:rFonts w:eastAsia="Times New Roman"/>
          <w:color w:val="000000"/>
          <w:sz w:val="20"/>
          <w:szCs w:val="20"/>
        </w:rPr>
        <w:t xml:space="preserve">with generally accepted accounting principles, and that receipts and expenditures of the company are being made only in accordance with authorizations of management and directors of the company; and (3) provide reasonable assurance regarding prevention or </w:t>
      </w:r>
      <w:r>
        <w:rPr>
          <w:rFonts w:eastAsia="Times New Roman"/>
          <w:color w:val="000000"/>
          <w:sz w:val="20"/>
          <w:szCs w:val="20"/>
        </w:rPr>
        <w:t>timely detection of unauthorized acquisition, use, or disposition of the company's assets that could have a material effect on the financial statements.</w:t>
      </w:r>
    </w:p>
    <w:p w:rsidR="00000000" w:rsidRDefault="00BB5C2D">
      <w:pPr>
        <w:ind w:firstLine="450"/>
        <w:jc w:val="both"/>
        <w:divId w:val="1117525013"/>
        <w:rPr>
          <w:rFonts w:eastAsia="Times New Roman"/>
        </w:rPr>
      </w:pPr>
      <w:r>
        <w:rPr>
          <w:rFonts w:eastAsia="Times New Roman"/>
          <w:color w:val="000000"/>
          <w:sz w:val="20"/>
          <w:szCs w:val="20"/>
        </w:rPr>
        <w:t>Because of its inherent limitations, internal control over financial reporting may not prevent or detec</w:t>
      </w:r>
      <w:r>
        <w:rPr>
          <w:rFonts w:eastAsia="Times New Roman"/>
          <w:color w:val="000000"/>
          <w:sz w:val="20"/>
          <w:szCs w:val="20"/>
        </w:rPr>
        <w:t>t misstatements. Also, projections of any evaluation of effectiveness to future periods are subject to the risk that controls may become inadequate because of changes in conditions, or that the degree of compliance with the policies or procedures may deter</w:t>
      </w:r>
      <w:r>
        <w:rPr>
          <w:rFonts w:eastAsia="Times New Roman"/>
          <w:color w:val="000000"/>
          <w:sz w:val="20"/>
          <w:szCs w:val="20"/>
        </w:rPr>
        <w:t>iorate.</w:t>
      </w:r>
    </w:p>
    <w:p w:rsidR="00000000" w:rsidRDefault="00BB5C2D">
      <w:pPr>
        <w:jc w:val="both"/>
        <w:divId w:val="1885798664"/>
        <w:rPr>
          <w:rFonts w:eastAsia="Times New Roman"/>
        </w:rPr>
      </w:pPr>
      <w:r>
        <w:rPr>
          <w:rFonts w:eastAsia="Times New Roman"/>
          <w:color w:val="000000"/>
          <w:sz w:val="20"/>
          <w:szCs w:val="20"/>
        </w:rPr>
        <w:t xml:space="preserve">/s/ Ernst &amp; Young LLP </w:t>
      </w:r>
    </w:p>
    <w:p w:rsidR="00000000" w:rsidRDefault="00BB5C2D">
      <w:pPr>
        <w:jc w:val="both"/>
        <w:divId w:val="369917768"/>
        <w:rPr>
          <w:rFonts w:eastAsia="Times New Roman"/>
        </w:rPr>
      </w:pPr>
      <w:r>
        <w:rPr>
          <w:rFonts w:eastAsia="Times New Roman"/>
          <w:color w:val="000000"/>
          <w:sz w:val="20"/>
          <w:szCs w:val="20"/>
        </w:rPr>
        <w:t xml:space="preserve">New York, New York </w:t>
      </w:r>
    </w:p>
    <w:p w:rsidR="00000000" w:rsidRDefault="00BB5C2D">
      <w:pPr>
        <w:jc w:val="both"/>
        <w:rPr>
          <w:rFonts w:eastAsia="Times New Roman"/>
        </w:rPr>
      </w:pPr>
      <w:r>
        <w:rPr>
          <w:rFonts w:eastAsia="Times New Roman"/>
          <w:color w:val="000000"/>
          <w:sz w:val="20"/>
          <w:szCs w:val="20"/>
        </w:rPr>
        <w:t>May 24, 2022</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624779418"/>
          <w:jc w:val="center"/>
        </w:trPr>
        <w:tc>
          <w:tcPr>
            <w:tcW w:w="50" w:type="pct"/>
            <w:vAlign w:val="center"/>
            <w:hideMark/>
          </w:tcPr>
          <w:p w:rsidR="00000000" w:rsidRDefault="00BB5C2D">
            <w:pPr>
              <w:jc w:val="both"/>
              <w:rPr>
                <w:rFonts w:eastAsia="Times New Roman"/>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436"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c>
          <w:tcPr>
            <w:tcW w:w="50" w:type="pct"/>
            <w:vAlign w:val="center"/>
            <w:hideMark/>
          </w:tcPr>
          <w:p w:rsidR="00000000" w:rsidRDefault="00BB5C2D">
            <w:pPr>
              <w:spacing w:after="100"/>
              <w:rPr>
                <w:rFonts w:eastAsia="Times New Roman"/>
                <w:sz w:val="20"/>
                <w:szCs w:val="20"/>
              </w:rPr>
            </w:pPr>
          </w:p>
        </w:tc>
        <w:tc>
          <w:tcPr>
            <w:tcW w:w="1699" w:type="pct"/>
            <w:vAlign w:val="center"/>
            <w:hideMark/>
          </w:tcPr>
          <w:p w:rsidR="00000000" w:rsidRDefault="00BB5C2D">
            <w:pPr>
              <w:spacing w:after="100"/>
              <w:rPr>
                <w:rFonts w:eastAsia="Times New Roman"/>
                <w:sz w:val="20"/>
                <w:szCs w:val="20"/>
              </w:rPr>
            </w:pPr>
          </w:p>
        </w:tc>
        <w:tc>
          <w:tcPr>
            <w:tcW w:w="5" w:type="pct"/>
            <w:vAlign w:val="center"/>
            <w:hideMark/>
          </w:tcPr>
          <w:p w:rsidR="00000000" w:rsidRDefault="00BB5C2D">
            <w:pPr>
              <w:spacing w:after="100"/>
              <w:rPr>
                <w:rFonts w:eastAsia="Times New Roman"/>
                <w:sz w:val="20"/>
                <w:szCs w:val="20"/>
              </w:rPr>
            </w:pPr>
          </w:p>
        </w:tc>
      </w:tr>
      <w:tr w:rsidR="00000000">
        <w:trPr>
          <w:divId w:val="624779418"/>
          <w:jc w:val="center"/>
        </w:trPr>
        <w:tc>
          <w:tcPr>
            <w:tcW w:w="0" w:type="auto"/>
            <w:gridSpan w:val="3"/>
            <w:tcMar>
              <w:top w:w="0" w:type="dxa"/>
              <w:left w:w="20" w:type="dxa"/>
              <w:bottom w:w="0" w:type="dxa"/>
              <w:right w:w="20" w:type="dxa"/>
            </w:tcMar>
            <w:vAlign w:val="center"/>
            <w:hideMark/>
          </w:tcPr>
          <w:p w:rsidR="00000000" w:rsidRDefault="00BB5C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B5C2D">
            <w:pPr>
              <w:spacing w:after="100"/>
              <w:jc w:val="center"/>
              <w:rPr>
                <w:rFonts w:eastAsia="Times New Roman"/>
              </w:rPr>
            </w:pPr>
            <w:r>
              <w:rPr>
                <w:rFonts w:eastAsia="Times New Roman"/>
                <w:color w:val="000000"/>
                <w:sz w:val="20"/>
                <w:szCs w:val="20"/>
              </w:rPr>
              <w:t>F-59</w:t>
            </w:r>
          </w:p>
        </w:tc>
        <w:tc>
          <w:tcPr>
            <w:tcW w:w="0" w:type="auto"/>
            <w:gridSpan w:val="3"/>
            <w:tcMar>
              <w:top w:w="0" w:type="dxa"/>
              <w:left w:w="20" w:type="dxa"/>
              <w:bottom w:w="0" w:type="dxa"/>
              <w:right w:w="20" w:type="dxa"/>
            </w:tcMar>
            <w:vAlign w:val="center"/>
            <w:hideMark/>
          </w:tcPr>
          <w:p w:rsidR="00000000" w:rsidRDefault="00BB5C2D">
            <w:pPr>
              <w:spacing w:after="100"/>
              <w:jc w:val="center"/>
              <w:rPr>
                <w:rFonts w:eastAsia="Times New Roman"/>
              </w:rPr>
            </w:pPr>
          </w:p>
        </w:tc>
      </w:tr>
    </w:tbl>
    <w:p w:rsidR="00BB5C2D" w:rsidRDefault="00BB5C2D">
      <w:pPr>
        <w:divId w:val="624779418"/>
        <w:rPr>
          <w:rFonts w:eastAsia="Times New Roman"/>
        </w:rPr>
      </w:pPr>
    </w:p>
    <w:sectPr w:rsidR="00BB5C2D">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B5C2D"/>
    <w:rsid w:val="00BB5C2D"/>
  </w:rsids>
  <m:mathPr>
    <m:mathFont m:val="Cambria Math"/>
    <m:brkBin m:val="before"/>
    <m:brkBinSub m:val="--"/>
    <m:smallFrac m:val="0"/>
    <m:dispDef/>
    <m:lMargin m:val="0"/>
    <m:rMargin m:val="0"/>
    <m:defJc m:val="centerGroup"/>
    <m:wrapIndent m:val="1440"/>
    <m:intLim m:val="subSup"/>
    <m:naryLim m:val="undOvr"/>
  </m:mathPr>
  <w:attachedSchema w:val="http://xbrl.sec.gov/dei/2021q4"/>
  <w:attachedSchema w:val="http://www.sec.gov/inlineXBRL/transformation/2015-08-31"/>
  <w:attachedSchema w:val="http://fasb.org/us-gaap/2021-01-31"/>
  <w:attachedSchema w:val="http://www.w3.org/1999/xlink"/>
  <w:attachedSchema w:val="http://www.xbrl.org/2003/iso4217"/>
  <w:attachedSchema w:val="http://www.xbrl.org/2003/instance"/>
  <w:attachedSchema w:val="http://www.xbrl.org/2013/inlineXBRL"/>
  <w:attachedSchema w:val="http://fasb.org/srt/2021-01-31"/>
  <w:attachedSchema w:val="http://xbrl.org/2006/xbrldi"/>
  <w:attachedSchema w:val="http://www.xbrl.org/inlineXBRL/transformation/2020-02-12"/>
  <w:attachedSchema w:val="http://www.xbrl.org/2003/linkbase"/>
  <w:attachedSchema w:val="http://xbrl.sec.gov/country/2021"/>
  <w:attachedSchema w:val="http://www.ralphlauren.com/20220402"/>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31">
      <w:marLeft w:val="0"/>
      <w:marRight w:val="0"/>
      <w:marTop w:val="240"/>
      <w:marBottom w:val="0"/>
      <w:divBdr>
        <w:top w:val="none" w:sz="0" w:space="0" w:color="auto"/>
        <w:left w:val="none" w:sz="0" w:space="0" w:color="auto"/>
        <w:bottom w:val="none" w:sz="0" w:space="0" w:color="auto"/>
        <w:right w:val="none" w:sz="0" w:space="0" w:color="auto"/>
      </w:divBdr>
    </w:div>
    <w:div w:id="163154">
      <w:marLeft w:val="0"/>
      <w:marRight w:val="0"/>
      <w:marTop w:val="200"/>
      <w:marBottom w:val="0"/>
      <w:divBdr>
        <w:top w:val="none" w:sz="0" w:space="0" w:color="auto"/>
        <w:left w:val="none" w:sz="0" w:space="0" w:color="auto"/>
        <w:bottom w:val="none" w:sz="0" w:space="0" w:color="auto"/>
        <w:right w:val="none" w:sz="0" w:space="0" w:color="auto"/>
      </w:divBdr>
    </w:div>
    <w:div w:id="619900">
      <w:marLeft w:val="0"/>
      <w:marRight w:val="0"/>
      <w:marTop w:val="0"/>
      <w:marBottom w:val="0"/>
      <w:divBdr>
        <w:top w:val="none" w:sz="0" w:space="0" w:color="auto"/>
        <w:left w:val="none" w:sz="0" w:space="0" w:color="auto"/>
        <w:bottom w:val="none" w:sz="0" w:space="0" w:color="auto"/>
        <w:right w:val="none" w:sz="0" w:space="0" w:color="auto"/>
      </w:divBdr>
      <w:divsChild>
        <w:div w:id="1806897333">
          <w:marLeft w:val="0"/>
          <w:marRight w:val="0"/>
          <w:marTop w:val="0"/>
          <w:marBottom w:val="0"/>
          <w:divBdr>
            <w:top w:val="none" w:sz="0" w:space="0" w:color="auto"/>
            <w:left w:val="none" w:sz="0" w:space="0" w:color="auto"/>
            <w:bottom w:val="none" w:sz="0" w:space="0" w:color="auto"/>
            <w:right w:val="none" w:sz="0" w:space="0" w:color="auto"/>
          </w:divBdr>
          <w:divsChild>
            <w:div w:id="176645813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052815">
      <w:marLeft w:val="0"/>
      <w:marRight w:val="0"/>
      <w:marTop w:val="240"/>
      <w:marBottom w:val="0"/>
      <w:divBdr>
        <w:top w:val="none" w:sz="0" w:space="0" w:color="auto"/>
        <w:left w:val="none" w:sz="0" w:space="0" w:color="auto"/>
        <w:bottom w:val="none" w:sz="0" w:space="0" w:color="auto"/>
        <w:right w:val="none" w:sz="0" w:space="0" w:color="auto"/>
      </w:divBdr>
    </w:div>
    <w:div w:id="1325065">
      <w:marLeft w:val="0"/>
      <w:marRight w:val="0"/>
      <w:marTop w:val="0"/>
      <w:marBottom w:val="0"/>
      <w:divBdr>
        <w:top w:val="none" w:sz="0" w:space="0" w:color="auto"/>
        <w:left w:val="none" w:sz="0" w:space="0" w:color="auto"/>
        <w:bottom w:val="none" w:sz="0" w:space="0" w:color="auto"/>
        <w:right w:val="none" w:sz="0" w:space="0" w:color="auto"/>
      </w:divBdr>
    </w:div>
    <w:div w:id="3555323">
      <w:marLeft w:val="0"/>
      <w:marRight w:val="0"/>
      <w:marTop w:val="0"/>
      <w:marBottom w:val="0"/>
      <w:divBdr>
        <w:top w:val="none" w:sz="0" w:space="0" w:color="auto"/>
        <w:left w:val="none" w:sz="0" w:space="0" w:color="auto"/>
        <w:bottom w:val="none" w:sz="0" w:space="0" w:color="auto"/>
        <w:right w:val="none" w:sz="0" w:space="0" w:color="auto"/>
      </w:divBdr>
      <w:divsChild>
        <w:div w:id="1487553761">
          <w:marLeft w:val="0"/>
          <w:marRight w:val="0"/>
          <w:marTop w:val="120"/>
          <w:marBottom w:val="0"/>
          <w:divBdr>
            <w:top w:val="none" w:sz="0" w:space="0" w:color="auto"/>
            <w:left w:val="none" w:sz="0" w:space="0" w:color="auto"/>
            <w:bottom w:val="none" w:sz="0" w:space="0" w:color="auto"/>
            <w:right w:val="none" w:sz="0" w:space="0" w:color="auto"/>
          </w:divBdr>
        </w:div>
      </w:divsChild>
    </w:div>
    <w:div w:id="4524938">
      <w:marLeft w:val="0"/>
      <w:marRight w:val="0"/>
      <w:marTop w:val="200"/>
      <w:marBottom w:val="0"/>
      <w:divBdr>
        <w:top w:val="none" w:sz="0" w:space="0" w:color="auto"/>
        <w:left w:val="none" w:sz="0" w:space="0" w:color="auto"/>
        <w:bottom w:val="none" w:sz="0" w:space="0" w:color="auto"/>
        <w:right w:val="none" w:sz="0" w:space="0" w:color="auto"/>
      </w:divBdr>
    </w:div>
    <w:div w:id="4525377">
      <w:marLeft w:val="0"/>
      <w:marRight w:val="0"/>
      <w:marTop w:val="240"/>
      <w:marBottom w:val="0"/>
      <w:divBdr>
        <w:top w:val="none" w:sz="0" w:space="0" w:color="auto"/>
        <w:left w:val="none" w:sz="0" w:space="0" w:color="auto"/>
        <w:bottom w:val="none" w:sz="0" w:space="0" w:color="auto"/>
        <w:right w:val="none" w:sz="0" w:space="0" w:color="auto"/>
      </w:divBdr>
    </w:div>
    <w:div w:id="5525685">
      <w:marLeft w:val="0"/>
      <w:marRight w:val="0"/>
      <w:marTop w:val="60"/>
      <w:marBottom w:val="0"/>
      <w:divBdr>
        <w:top w:val="none" w:sz="0" w:space="0" w:color="auto"/>
        <w:left w:val="none" w:sz="0" w:space="0" w:color="auto"/>
        <w:bottom w:val="none" w:sz="0" w:space="0" w:color="auto"/>
        <w:right w:val="none" w:sz="0" w:space="0" w:color="auto"/>
      </w:divBdr>
    </w:div>
    <w:div w:id="7340564">
      <w:marLeft w:val="0"/>
      <w:marRight w:val="0"/>
      <w:marTop w:val="240"/>
      <w:marBottom w:val="0"/>
      <w:divBdr>
        <w:top w:val="none" w:sz="0" w:space="0" w:color="auto"/>
        <w:left w:val="none" w:sz="0" w:space="0" w:color="auto"/>
        <w:bottom w:val="none" w:sz="0" w:space="0" w:color="auto"/>
        <w:right w:val="none" w:sz="0" w:space="0" w:color="auto"/>
      </w:divBdr>
    </w:div>
    <w:div w:id="10452821">
      <w:marLeft w:val="0"/>
      <w:marRight w:val="0"/>
      <w:marTop w:val="240"/>
      <w:marBottom w:val="0"/>
      <w:divBdr>
        <w:top w:val="none" w:sz="0" w:space="0" w:color="auto"/>
        <w:left w:val="none" w:sz="0" w:space="0" w:color="auto"/>
        <w:bottom w:val="none" w:sz="0" w:space="0" w:color="auto"/>
        <w:right w:val="none" w:sz="0" w:space="0" w:color="auto"/>
      </w:divBdr>
    </w:div>
    <w:div w:id="14311093">
      <w:marLeft w:val="0"/>
      <w:marRight w:val="0"/>
      <w:marTop w:val="120"/>
      <w:marBottom w:val="0"/>
      <w:divBdr>
        <w:top w:val="none" w:sz="0" w:space="0" w:color="auto"/>
        <w:left w:val="none" w:sz="0" w:space="0" w:color="auto"/>
        <w:bottom w:val="none" w:sz="0" w:space="0" w:color="auto"/>
        <w:right w:val="none" w:sz="0" w:space="0" w:color="auto"/>
      </w:divBdr>
    </w:div>
    <w:div w:id="14889390">
      <w:marLeft w:val="0"/>
      <w:marRight w:val="0"/>
      <w:marTop w:val="240"/>
      <w:marBottom w:val="0"/>
      <w:divBdr>
        <w:top w:val="none" w:sz="0" w:space="0" w:color="auto"/>
        <w:left w:val="none" w:sz="0" w:space="0" w:color="auto"/>
        <w:bottom w:val="none" w:sz="0" w:space="0" w:color="auto"/>
        <w:right w:val="none" w:sz="0" w:space="0" w:color="auto"/>
      </w:divBdr>
    </w:div>
    <w:div w:id="15082797">
      <w:marLeft w:val="0"/>
      <w:marRight w:val="0"/>
      <w:marTop w:val="240"/>
      <w:marBottom w:val="0"/>
      <w:divBdr>
        <w:top w:val="none" w:sz="0" w:space="0" w:color="auto"/>
        <w:left w:val="none" w:sz="0" w:space="0" w:color="auto"/>
        <w:bottom w:val="none" w:sz="0" w:space="0" w:color="auto"/>
        <w:right w:val="none" w:sz="0" w:space="0" w:color="auto"/>
      </w:divBdr>
    </w:div>
    <w:div w:id="15274229">
      <w:marLeft w:val="0"/>
      <w:marRight w:val="0"/>
      <w:marTop w:val="240"/>
      <w:marBottom w:val="0"/>
      <w:divBdr>
        <w:top w:val="none" w:sz="0" w:space="0" w:color="auto"/>
        <w:left w:val="none" w:sz="0" w:space="0" w:color="auto"/>
        <w:bottom w:val="none" w:sz="0" w:space="0" w:color="auto"/>
        <w:right w:val="none" w:sz="0" w:space="0" w:color="auto"/>
      </w:divBdr>
    </w:div>
    <w:div w:id="17003506">
      <w:marLeft w:val="0"/>
      <w:marRight w:val="0"/>
      <w:marTop w:val="240"/>
      <w:marBottom w:val="0"/>
      <w:divBdr>
        <w:top w:val="none" w:sz="0" w:space="0" w:color="auto"/>
        <w:left w:val="none" w:sz="0" w:space="0" w:color="auto"/>
        <w:bottom w:val="none" w:sz="0" w:space="0" w:color="auto"/>
        <w:right w:val="none" w:sz="0" w:space="0" w:color="auto"/>
      </w:divBdr>
    </w:div>
    <w:div w:id="19010308">
      <w:marLeft w:val="0"/>
      <w:marRight w:val="0"/>
      <w:marTop w:val="240"/>
      <w:marBottom w:val="0"/>
      <w:divBdr>
        <w:top w:val="none" w:sz="0" w:space="0" w:color="auto"/>
        <w:left w:val="none" w:sz="0" w:space="0" w:color="auto"/>
        <w:bottom w:val="none" w:sz="0" w:space="0" w:color="auto"/>
        <w:right w:val="none" w:sz="0" w:space="0" w:color="auto"/>
      </w:divBdr>
    </w:div>
    <w:div w:id="19477021">
      <w:marLeft w:val="0"/>
      <w:marRight w:val="0"/>
      <w:marTop w:val="120"/>
      <w:marBottom w:val="0"/>
      <w:divBdr>
        <w:top w:val="none" w:sz="0" w:space="0" w:color="auto"/>
        <w:left w:val="none" w:sz="0" w:space="0" w:color="auto"/>
        <w:bottom w:val="none" w:sz="0" w:space="0" w:color="auto"/>
        <w:right w:val="none" w:sz="0" w:space="0" w:color="auto"/>
      </w:divBdr>
    </w:div>
    <w:div w:id="21634997">
      <w:marLeft w:val="0"/>
      <w:marRight w:val="0"/>
      <w:marTop w:val="0"/>
      <w:marBottom w:val="0"/>
      <w:divBdr>
        <w:top w:val="none" w:sz="0" w:space="0" w:color="auto"/>
        <w:left w:val="none" w:sz="0" w:space="0" w:color="auto"/>
        <w:bottom w:val="none" w:sz="0" w:space="0" w:color="auto"/>
        <w:right w:val="none" w:sz="0" w:space="0" w:color="auto"/>
      </w:divBdr>
    </w:div>
    <w:div w:id="22170047">
      <w:marLeft w:val="0"/>
      <w:marRight w:val="0"/>
      <w:marTop w:val="180"/>
      <w:marBottom w:val="0"/>
      <w:divBdr>
        <w:top w:val="none" w:sz="0" w:space="0" w:color="auto"/>
        <w:left w:val="none" w:sz="0" w:space="0" w:color="auto"/>
        <w:bottom w:val="none" w:sz="0" w:space="0" w:color="auto"/>
        <w:right w:val="none" w:sz="0" w:space="0" w:color="auto"/>
      </w:divBdr>
    </w:div>
    <w:div w:id="26487332">
      <w:marLeft w:val="0"/>
      <w:marRight w:val="0"/>
      <w:marTop w:val="240"/>
      <w:marBottom w:val="0"/>
      <w:divBdr>
        <w:top w:val="none" w:sz="0" w:space="0" w:color="auto"/>
        <w:left w:val="none" w:sz="0" w:space="0" w:color="auto"/>
        <w:bottom w:val="none" w:sz="0" w:space="0" w:color="auto"/>
        <w:right w:val="none" w:sz="0" w:space="0" w:color="auto"/>
      </w:divBdr>
    </w:div>
    <w:div w:id="28065824">
      <w:marLeft w:val="0"/>
      <w:marRight w:val="0"/>
      <w:marTop w:val="0"/>
      <w:marBottom w:val="0"/>
      <w:divBdr>
        <w:top w:val="none" w:sz="0" w:space="0" w:color="auto"/>
        <w:left w:val="none" w:sz="0" w:space="0" w:color="auto"/>
        <w:bottom w:val="none" w:sz="0" w:space="0" w:color="auto"/>
        <w:right w:val="none" w:sz="0" w:space="0" w:color="auto"/>
      </w:divBdr>
      <w:divsChild>
        <w:div w:id="1033731341">
          <w:marLeft w:val="0"/>
          <w:marRight w:val="0"/>
          <w:marTop w:val="0"/>
          <w:marBottom w:val="0"/>
          <w:divBdr>
            <w:top w:val="none" w:sz="0" w:space="0" w:color="auto"/>
            <w:left w:val="none" w:sz="0" w:space="0" w:color="auto"/>
            <w:bottom w:val="none" w:sz="0" w:space="0" w:color="auto"/>
            <w:right w:val="none" w:sz="0" w:space="0" w:color="auto"/>
          </w:divBdr>
          <w:divsChild>
            <w:div w:id="15211194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28188766">
      <w:marLeft w:val="0"/>
      <w:marRight w:val="0"/>
      <w:marTop w:val="240"/>
      <w:marBottom w:val="0"/>
      <w:divBdr>
        <w:top w:val="none" w:sz="0" w:space="0" w:color="auto"/>
        <w:left w:val="none" w:sz="0" w:space="0" w:color="auto"/>
        <w:bottom w:val="none" w:sz="0" w:space="0" w:color="auto"/>
        <w:right w:val="none" w:sz="0" w:space="0" w:color="auto"/>
      </w:divBdr>
    </w:div>
    <w:div w:id="29260654">
      <w:marLeft w:val="0"/>
      <w:marRight w:val="0"/>
      <w:marTop w:val="0"/>
      <w:marBottom w:val="0"/>
      <w:divBdr>
        <w:top w:val="none" w:sz="0" w:space="0" w:color="auto"/>
        <w:left w:val="none" w:sz="0" w:space="0" w:color="auto"/>
        <w:bottom w:val="none" w:sz="0" w:space="0" w:color="auto"/>
        <w:right w:val="none" w:sz="0" w:space="0" w:color="auto"/>
      </w:divBdr>
    </w:div>
    <w:div w:id="30998900">
      <w:marLeft w:val="0"/>
      <w:marRight w:val="0"/>
      <w:marTop w:val="240"/>
      <w:marBottom w:val="0"/>
      <w:divBdr>
        <w:top w:val="none" w:sz="0" w:space="0" w:color="auto"/>
        <w:left w:val="none" w:sz="0" w:space="0" w:color="auto"/>
        <w:bottom w:val="none" w:sz="0" w:space="0" w:color="auto"/>
        <w:right w:val="none" w:sz="0" w:space="0" w:color="auto"/>
      </w:divBdr>
    </w:div>
    <w:div w:id="32311245">
      <w:marLeft w:val="0"/>
      <w:marRight w:val="0"/>
      <w:marTop w:val="240"/>
      <w:marBottom w:val="240"/>
      <w:divBdr>
        <w:top w:val="none" w:sz="0" w:space="0" w:color="auto"/>
        <w:left w:val="none" w:sz="0" w:space="0" w:color="auto"/>
        <w:bottom w:val="none" w:sz="0" w:space="0" w:color="auto"/>
        <w:right w:val="none" w:sz="0" w:space="0" w:color="auto"/>
      </w:divBdr>
    </w:div>
    <w:div w:id="34278948">
      <w:marLeft w:val="0"/>
      <w:marRight w:val="0"/>
      <w:marTop w:val="240"/>
      <w:marBottom w:val="0"/>
      <w:divBdr>
        <w:top w:val="none" w:sz="0" w:space="0" w:color="auto"/>
        <w:left w:val="none" w:sz="0" w:space="0" w:color="auto"/>
        <w:bottom w:val="none" w:sz="0" w:space="0" w:color="auto"/>
        <w:right w:val="none" w:sz="0" w:space="0" w:color="auto"/>
      </w:divBdr>
    </w:div>
    <w:div w:id="34354988">
      <w:marLeft w:val="0"/>
      <w:marRight w:val="0"/>
      <w:marTop w:val="180"/>
      <w:marBottom w:val="0"/>
      <w:divBdr>
        <w:top w:val="none" w:sz="0" w:space="0" w:color="auto"/>
        <w:left w:val="none" w:sz="0" w:space="0" w:color="auto"/>
        <w:bottom w:val="none" w:sz="0" w:space="0" w:color="auto"/>
        <w:right w:val="none" w:sz="0" w:space="0" w:color="auto"/>
      </w:divBdr>
    </w:div>
    <w:div w:id="34548117">
      <w:marLeft w:val="0"/>
      <w:marRight w:val="0"/>
      <w:marTop w:val="140"/>
      <w:marBottom w:val="0"/>
      <w:divBdr>
        <w:top w:val="none" w:sz="0" w:space="0" w:color="auto"/>
        <w:left w:val="none" w:sz="0" w:space="0" w:color="auto"/>
        <w:bottom w:val="none" w:sz="0" w:space="0" w:color="auto"/>
        <w:right w:val="none" w:sz="0" w:space="0" w:color="auto"/>
      </w:divBdr>
    </w:div>
    <w:div w:id="34551647">
      <w:marLeft w:val="0"/>
      <w:marRight w:val="0"/>
      <w:marTop w:val="0"/>
      <w:marBottom w:val="0"/>
      <w:divBdr>
        <w:top w:val="none" w:sz="0" w:space="0" w:color="auto"/>
        <w:left w:val="none" w:sz="0" w:space="0" w:color="auto"/>
        <w:bottom w:val="none" w:sz="0" w:space="0" w:color="auto"/>
        <w:right w:val="none" w:sz="0" w:space="0" w:color="auto"/>
      </w:divBdr>
      <w:divsChild>
        <w:div w:id="553009130">
          <w:marLeft w:val="0"/>
          <w:marRight w:val="0"/>
          <w:marTop w:val="0"/>
          <w:marBottom w:val="0"/>
          <w:divBdr>
            <w:top w:val="none" w:sz="0" w:space="0" w:color="auto"/>
            <w:left w:val="none" w:sz="0" w:space="0" w:color="auto"/>
            <w:bottom w:val="none" w:sz="0" w:space="0" w:color="auto"/>
            <w:right w:val="none" w:sz="0" w:space="0" w:color="auto"/>
          </w:divBdr>
        </w:div>
      </w:divsChild>
    </w:div>
    <w:div w:id="35081366">
      <w:marLeft w:val="0"/>
      <w:marRight w:val="0"/>
      <w:marTop w:val="200"/>
      <w:marBottom w:val="0"/>
      <w:divBdr>
        <w:top w:val="none" w:sz="0" w:space="0" w:color="auto"/>
        <w:left w:val="none" w:sz="0" w:space="0" w:color="auto"/>
        <w:bottom w:val="none" w:sz="0" w:space="0" w:color="auto"/>
        <w:right w:val="none" w:sz="0" w:space="0" w:color="auto"/>
      </w:divBdr>
    </w:div>
    <w:div w:id="35356122">
      <w:marLeft w:val="0"/>
      <w:marRight w:val="0"/>
      <w:marTop w:val="60"/>
      <w:marBottom w:val="0"/>
      <w:divBdr>
        <w:top w:val="none" w:sz="0" w:space="0" w:color="auto"/>
        <w:left w:val="none" w:sz="0" w:space="0" w:color="auto"/>
        <w:bottom w:val="none" w:sz="0" w:space="0" w:color="auto"/>
        <w:right w:val="none" w:sz="0" w:space="0" w:color="auto"/>
      </w:divBdr>
    </w:div>
    <w:div w:id="36050234">
      <w:marLeft w:val="0"/>
      <w:marRight w:val="0"/>
      <w:marTop w:val="120"/>
      <w:marBottom w:val="0"/>
      <w:divBdr>
        <w:top w:val="none" w:sz="0" w:space="0" w:color="auto"/>
        <w:left w:val="none" w:sz="0" w:space="0" w:color="auto"/>
        <w:bottom w:val="none" w:sz="0" w:space="0" w:color="auto"/>
        <w:right w:val="none" w:sz="0" w:space="0" w:color="auto"/>
      </w:divBdr>
    </w:div>
    <w:div w:id="36859543">
      <w:marLeft w:val="0"/>
      <w:marRight w:val="0"/>
      <w:marTop w:val="240"/>
      <w:marBottom w:val="0"/>
      <w:divBdr>
        <w:top w:val="none" w:sz="0" w:space="0" w:color="auto"/>
        <w:left w:val="none" w:sz="0" w:space="0" w:color="auto"/>
        <w:bottom w:val="none" w:sz="0" w:space="0" w:color="auto"/>
        <w:right w:val="none" w:sz="0" w:space="0" w:color="auto"/>
      </w:divBdr>
    </w:div>
    <w:div w:id="36974851">
      <w:marLeft w:val="0"/>
      <w:marRight w:val="0"/>
      <w:marTop w:val="240"/>
      <w:marBottom w:val="0"/>
      <w:divBdr>
        <w:top w:val="none" w:sz="0" w:space="0" w:color="auto"/>
        <w:left w:val="none" w:sz="0" w:space="0" w:color="auto"/>
        <w:bottom w:val="none" w:sz="0" w:space="0" w:color="auto"/>
        <w:right w:val="none" w:sz="0" w:space="0" w:color="auto"/>
      </w:divBdr>
    </w:div>
    <w:div w:id="37248556">
      <w:marLeft w:val="0"/>
      <w:marRight w:val="0"/>
      <w:marTop w:val="240"/>
      <w:marBottom w:val="0"/>
      <w:divBdr>
        <w:top w:val="none" w:sz="0" w:space="0" w:color="auto"/>
        <w:left w:val="none" w:sz="0" w:space="0" w:color="auto"/>
        <w:bottom w:val="none" w:sz="0" w:space="0" w:color="auto"/>
        <w:right w:val="none" w:sz="0" w:space="0" w:color="auto"/>
      </w:divBdr>
    </w:div>
    <w:div w:id="37895206">
      <w:marLeft w:val="0"/>
      <w:marRight w:val="0"/>
      <w:marTop w:val="240"/>
      <w:marBottom w:val="0"/>
      <w:divBdr>
        <w:top w:val="none" w:sz="0" w:space="0" w:color="auto"/>
        <w:left w:val="none" w:sz="0" w:space="0" w:color="auto"/>
        <w:bottom w:val="none" w:sz="0" w:space="0" w:color="auto"/>
        <w:right w:val="none" w:sz="0" w:space="0" w:color="auto"/>
      </w:divBdr>
    </w:div>
    <w:div w:id="40717018">
      <w:marLeft w:val="0"/>
      <w:marRight w:val="0"/>
      <w:marTop w:val="240"/>
      <w:marBottom w:val="0"/>
      <w:divBdr>
        <w:top w:val="none" w:sz="0" w:space="0" w:color="auto"/>
        <w:left w:val="none" w:sz="0" w:space="0" w:color="auto"/>
        <w:bottom w:val="none" w:sz="0" w:space="0" w:color="auto"/>
        <w:right w:val="none" w:sz="0" w:space="0" w:color="auto"/>
      </w:divBdr>
    </w:div>
    <w:div w:id="44763357">
      <w:marLeft w:val="0"/>
      <w:marRight w:val="0"/>
      <w:marTop w:val="240"/>
      <w:marBottom w:val="0"/>
      <w:divBdr>
        <w:top w:val="none" w:sz="0" w:space="0" w:color="auto"/>
        <w:left w:val="none" w:sz="0" w:space="0" w:color="auto"/>
        <w:bottom w:val="none" w:sz="0" w:space="0" w:color="auto"/>
        <w:right w:val="none" w:sz="0" w:space="0" w:color="auto"/>
      </w:divBdr>
    </w:div>
    <w:div w:id="44837399">
      <w:marLeft w:val="0"/>
      <w:marRight w:val="0"/>
      <w:marTop w:val="200"/>
      <w:marBottom w:val="0"/>
      <w:divBdr>
        <w:top w:val="none" w:sz="0" w:space="0" w:color="auto"/>
        <w:left w:val="none" w:sz="0" w:space="0" w:color="auto"/>
        <w:bottom w:val="none" w:sz="0" w:space="0" w:color="auto"/>
        <w:right w:val="none" w:sz="0" w:space="0" w:color="auto"/>
      </w:divBdr>
    </w:div>
    <w:div w:id="46072861">
      <w:marLeft w:val="0"/>
      <w:marRight w:val="0"/>
      <w:marTop w:val="0"/>
      <w:marBottom w:val="0"/>
      <w:divBdr>
        <w:top w:val="none" w:sz="0" w:space="0" w:color="auto"/>
        <w:left w:val="none" w:sz="0" w:space="0" w:color="auto"/>
        <w:bottom w:val="none" w:sz="0" w:space="0" w:color="auto"/>
        <w:right w:val="none" w:sz="0" w:space="0" w:color="auto"/>
      </w:divBdr>
      <w:divsChild>
        <w:div w:id="1761565422">
          <w:marLeft w:val="0"/>
          <w:marRight w:val="0"/>
          <w:marTop w:val="0"/>
          <w:marBottom w:val="0"/>
          <w:divBdr>
            <w:top w:val="none" w:sz="0" w:space="0" w:color="auto"/>
            <w:left w:val="none" w:sz="0" w:space="0" w:color="auto"/>
            <w:bottom w:val="none" w:sz="0" w:space="0" w:color="auto"/>
            <w:right w:val="none" w:sz="0" w:space="0" w:color="auto"/>
          </w:divBdr>
          <w:divsChild>
            <w:div w:id="77771707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46224145">
      <w:marLeft w:val="0"/>
      <w:marRight w:val="0"/>
      <w:marTop w:val="240"/>
      <w:marBottom w:val="0"/>
      <w:divBdr>
        <w:top w:val="none" w:sz="0" w:space="0" w:color="auto"/>
        <w:left w:val="none" w:sz="0" w:space="0" w:color="auto"/>
        <w:bottom w:val="none" w:sz="0" w:space="0" w:color="auto"/>
        <w:right w:val="none" w:sz="0" w:space="0" w:color="auto"/>
      </w:divBdr>
    </w:div>
    <w:div w:id="50621219">
      <w:marLeft w:val="0"/>
      <w:marRight w:val="0"/>
      <w:marTop w:val="240"/>
      <w:marBottom w:val="0"/>
      <w:divBdr>
        <w:top w:val="none" w:sz="0" w:space="0" w:color="auto"/>
        <w:left w:val="none" w:sz="0" w:space="0" w:color="auto"/>
        <w:bottom w:val="none" w:sz="0" w:space="0" w:color="auto"/>
        <w:right w:val="none" w:sz="0" w:space="0" w:color="auto"/>
      </w:divBdr>
    </w:div>
    <w:div w:id="54281326">
      <w:marLeft w:val="0"/>
      <w:marRight w:val="0"/>
      <w:marTop w:val="240"/>
      <w:marBottom w:val="240"/>
      <w:divBdr>
        <w:top w:val="none" w:sz="0" w:space="0" w:color="auto"/>
        <w:left w:val="none" w:sz="0" w:space="0" w:color="auto"/>
        <w:bottom w:val="none" w:sz="0" w:space="0" w:color="auto"/>
        <w:right w:val="none" w:sz="0" w:space="0" w:color="auto"/>
      </w:divBdr>
    </w:div>
    <w:div w:id="56365462">
      <w:marLeft w:val="0"/>
      <w:marRight w:val="0"/>
      <w:marTop w:val="0"/>
      <w:marBottom w:val="0"/>
      <w:divBdr>
        <w:top w:val="none" w:sz="0" w:space="0" w:color="auto"/>
        <w:left w:val="none" w:sz="0" w:space="0" w:color="auto"/>
        <w:bottom w:val="none" w:sz="0" w:space="0" w:color="auto"/>
        <w:right w:val="none" w:sz="0" w:space="0" w:color="auto"/>
      </w:divBdr>
      <w:divsChild>
        <w:div w:id="626660707">
          <w:marLeft w:val="0"/>
          <w:marRight w:val="0"/>
          <w:marTop w:val="0"/>
          <w:marBottom w:val="0"/>
          <w:divBdr>
            <w:top w:val="none" w:sz="0" w:space="0" w:color="auto"/>
            <w:left w:val="none" w:sz="0" w:space="0" w:color="auto"/>
            <w:bottom w:val="none" w:sz="0" w:space="0" w:color="auto"/>
            <w:right w:val="none" w:sz="0" w:space="0" w:color="auto"/>
          </w:divBdr>
          <w:divsChild>
            <w:div w:id="192225562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56519999">
      <w:marLeft w:val="0"/>
      <w:marRight w:val="0"/>
      <w:marTop w:val="240"/>
      <w:marBottom w:val="0"/>
      <w:divBdr>
        <w:top w:val="none" w:sz="0" w:space="0" w:color="auto"/>
        <w:left w:val="none" w:sz="0" w:space="0" w:color="auto"/>
        <w:bottom w:val="none" w:sz="0" w:space="0" w:color="auto"/>
        <w:right w:val="none" w:sz="0" w:space="0" w:color="auto"/>
      </w:divBdr>
    </w:div>
    <w:div w:id="57292546">
      <w:marLeft w:val="0"/>
      <w:marRight w:val="0"/>
      <w:marTop w:val="200"/>
      <w:marBottom w:val="0"/>
      <w:divBdr>
        <w:top w:val="none" w:sz="0" w:space="0" w:color="auto"/>
        <w:left w:val="none" w:sz="0" w:space="0" w:color="auto"/>
        <w:bottom w:val="none" w:sz="0" w:space="0" w:color="auto"/>
        <w:right w:val="none" w:sz="0" w:space="0" w:color="auto"/>
      </w:divBdr>
    </w:div>
    <w:div w:id="58406919">
      <w:marLeft w:val="0"/>
      <w:marRight w:val="0"/>
      <w:marTop w:val="300"/>
      <w:marBottom w:val="0"/>
      <w:divBdr>
        <w:top w:val="none" w:sz="0" w:space="0" w:color="auto"/>
        <w:left w:val="none" w:sz="0" w:space="0" w:color="auto"/>
        <w:bottom w:val="none" w:sz="0" w:space="0" w:color="auto"/>
        <w:right w:val="none" w:sz="0" w:space="0" w:color="auto"/>
      </w:divBdr>
    </w:div>
    <w:div w:id="58552243">
      <w:marLeft w:val="0"/>
      <w:marRight w:val="0"/>
      <w:marTop w:val="120"/>
      <w:marBottom w:val="0"/>
      <w:divBdr>
        <w:top w:val="none" w:sz="0" w:space="0" w:color="auto"/>
        <w:left w:val="none" w:sz="0" w:space="0" w:color="auto"/>
        <w:bottom w:val="none" w:sz="0" w:space="0" w:color="auto"/>
        <w:right w:val="none" w:sz="0" w:space="0" w:color="auto"/>
      </w:divBdr>
    </w:div>
    <w:div w:id="59601024">
      <w:marLeft w:val="0"/>
      <w:marRight w:val="0"/>
      <w:marTop w:val="0"/>
      <w:marBottom w:val="120"/>
      <w:divBdr>
        <w:top w:val="none" w:sz="0" w:space="0" w:color="auto"/>
        <w:left w:val="none" w:sz="0" w:space="0" w:color="auto"/>
        <w:bottom w:val="none" w:sz="0" w:space="0" w:color="auto"/>
        <w:right w:val="none" w:sz="0" w:space="0" w:color="auto"/>
      </w:divBdr>
    </w:div>
    <w:div w:id="60251565">
      <w:marLeft w:val="0"/>
      <w:marRight w:val="0"/>
      <w:marTop w:val="0"/>
      <w:marBottom w:val="0"/>
      <w:divBdr>
        <w:top w:val="none" w:sz="0" w:space="0" w:color="auto"/>
        <w:left w:val="none" w:sz="0" w:space="0" w:color="auto"/>
        <w:bottom w:val="none" w:sz="0" w:space="0" w:color="auto"/>
        <w:right w:val="none" w:sz="0" w:space="0" w:color="auto"/>
      </w:divBdr>
      <w:divsChild>
        <w:div w:id="25643020">
          <w:marLeft w:val="0"/>
          <w:marRight w:val="0"/>
          <w:marTop w:val="0"/>
          <w:marBottom w:val="0"/>
          <w:divBdr>
            <w:top w:val="none" w:sz="0" w:space="0" w:color="auto"/>
            <w:left w:val="none" w:sz="0" w:space="0" w:color="auto"/>
            <w:bottom w:val="none" w:sz="0" w:space="0" w:color="auto"/>
            <w:right w:val="none" w:sz="0" w:space="0" w:color="auto"/>
          </w:divBdr>
          <w:divsChild>
            <w:div w:id="113129051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62725264">
      <w:marLeft w:val="0"/>
      <w:marRight w:val="0"/>
      <w:marTop w:val="0"/>
      <w:marBottom w:val="0"/>
      <w:divBdr>
        <w:top w:val="none" w:sz="0" w:space="0" w:color="auto"/>
        <w:left w:val="none" w:sz="0" w:space="0" w:color="auto"/>
        <w:bottom w:val="none" w:sz="0" w:space="0" w:color="auto"/>
        <w:right w:val="none" w:sz="0" w:space="0" w:color="auto"/>
      </w:divBdr>
    </w:div>
    <w:div w:id="63070725">
      <w:marLeft w:val="0"/>
      <w:marRight w:val="0"/>
      <w:marTop w:val="240"/>
      <w:marBottom w:val="0"/>
      <w:divBdr>
        <w:top w:val="none" w:sz="0" w:space="0" w:color="auto"/>
        <w:left w:val="none" w:sz="0" w:space="0" w:color="auto"/>
        <w:bottom w:val="none" w:sz="0" w:space="0" w:color="auto"/>
        <w:right w:val="none" w:sz="0" w:space="0" w:color="auto"/>
      </w:divBdr>
    </w:div>
    <w:div w:id="66418818">
      <w:marLeft w:val="0"/>
      <w:marRight w:val="0"/>
      <w:marTop w:val="0"/>
      <w:marBottom w:val="0"/>
      <w:divBdr>
        <w:top w:val="none" w:sz="0" w:space="0" w:color="auto"/>
        <w:left w:val="none" w:sz="0" w:space="0" w:color="auto"/>
        <w:bottom w:val="none" w:sz="0" w:space="0" w:color="auto"/>
        <w:right w:val="none" w:sz="0" w:space="0" w:color="auto"/>
      </w:divBdr>
    </w:div>
    <w:div w:id="71513593">
      <w:marLeft w:val="0"/>
      <w:marRight w:val="0"/>
      <w:marTop w:val="200"/>
      <w:marBottom w:val="0"/>
      <w:divBdr>
        <w:top w:val="none" w:sz="0" w:space="0" w:color="auto"/>
        <w:left w:val="none" w:sz="0" w:space="0" w:color="auto"/>
        <w:bottom w:val="none" w:sz="0" w:space="0" w:color="auto"/>
        <w:right w:val="none" w:sz="0" w:space="0" w:color="auto"/>
      </w:divBdr>
    </w:div>
    <w:div w:id="73085808">
      <w:marLeft w:val="0"/>
      <w:marRight w:val="0"/>
      <w:marTop w:val="0"/>
      <w:marBottom w:val="0"/>
      <w:divBdr>
        <w:top w:val="none" w:sz="0" w:space="0" w:color="auto"/>
        <w:left w:val="none" w:sz="0" w:space="0" w:color="auto"/>
        <w:bottom w:val="none" w:sz="0" w:space="0" w:color="auto"/>
        <w:right w:val="none" w:sz="0" w:space="0" w:color="auto"/>
      </w:divBdr>
      <w:divsChild>
        <w:div w:id="300309150">
          <w:marLeft w:val="0"/>
          <w:marRight w:val="0"/>
          <w:marTop w:val="0"/>
          <w:marBottom w:val="0"/>
          <w:divBdr>
            <w:top w:val="none" w:sz="0" w:space="0" w:color="auto"/>
            <w:left w:val="none" w:sz="0" w:space="0" w:color="auto"/>
            <w:bottom w:val="none" w:sz="0" w:space="0" w:color="auto"/>
            <w:right w:val="none" w:sz="0" w:space="0" w:color="auto"/>
          </w:divBdr>
          <w:divsChild>
            <w:div w:id="58249358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73818955">
      <w:marLeft w:val="0"/>
      <w:marRight w:val="0"/>
      <w:marTop w:val="180"/>
      <w:marBottom w:val="0"/>
      <w:divBdr>
        <w:top w:val="none" w:sz="0" w:space="0" w:color="auto"/>
        <w:left w:val="none" w:sz="0" w:space="0" w:color="auto"/>
        <w:bottom w:val="none" w:sz="0" w:space="0" w:color="auto"/>
        <w:right w:val="none" w:sz="0" w:space="0" w:color="auto"/>
      </w:divBdr>
    </w:div>
    <w:div w:id="74859215">
      <w:marLeft w:val="0"/>
      <w:marRight w:val="0"/>
      <w:marTop w:val="0"/>
      <w:marBottom w:val="0"/>
      <w:divBdr>
        <w:top w:val="none" w:sz="0" w:space="0" w:color="auto"/>
        <w:left w:val="none" w:sz="0" w:space="0" w:color="auto"/>
        <w:bottom w:val="none" w:sz="0" w:space="0" w:color="auto"/>
        <w:right w:val="none" w:sz="0" w:space="0" w:color="auto"/>
      </w:divBdr>
      <w:divsChild>
        <w:div w:id="521868673">
          <w:marLeft w:val="0"/>
          <w:marRight w:val="0"/>
          <w:marTop w:val="0"/>
          <w:marBottom w:val="0"/>
          <w:divBdr>
            <w:top w:val="none" w:sz="0" w:space="0" w:color="auto"/>
            <w:left w:val="none" w:sz="0" w:space="0" w:color="auto"/>
            <w:bottom w:val="none" w:sz="0" w:space="0" w:color="auto"/>
            <w:right w:val="none" w:sz="0" w:space="0" w:color="auto"/>
          </w:divBdr>
          <w:divsChild>
            <w:div w:id="74110075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75832468">
      <w:marLeft w:val="0"/>
      <w:marRight w:val="0"/>
      <w:marTop w:val="240"/>
      <w:marBottom w:val="0"/>
      <w:divBdr>
        <w:top w:val="none" w:sz="0" w:space="0" w:color="auto"/>
        <w:left w:val="none" w:sz="0" w:space="0" w:color="auto"/>
        <w:bottom w:val="none" w:sz="0" w:space="0" w:color="auto"/>
        <w:right w:val="none" w:sz="0" w:space="0" w:color="auto"/>
      </w:divBdr>
    </w:div>
    <w:div w:id="75909267">
      <w:marLeft w:val="0"/>
      <w:marRight w:val="0"/>
      <w:marTop w:val="240"/>
      <w:marBottom w:val="120"/>
      <w:divBdr>
        <w:top w:val="none" w:sz="0" w:space="0" w:color="auto"/>
        <w:left w:val="none" w:sz="0" w:space="0" w:color="auto"/>
        <w:bottom w:val="none" w:sz="0" w:space="0" w:color="auto"/>
        <w:right w:val="none" w:sz="0" w:space="0" w:color="auto"/>
      </w:divBdr>
    </w:div>
    <w:div w:id="79914012">
      <w:marLeft w:val="0"/>
      <w:marRight w:val="0"/>
      <w:marTop w:val="100"/>
      <w:marBottom w:val="0"/>
      <w:divBdr>
        <w:top w:val="none" w:sz="0" w:space="0" w:color="auto"/>
        <w:left w:val="none" w:sz="0" w:space="0" w:color="auto"/>
        <w:bottom w:val="none" w:sz="0" w:space="0" w:color="auto"/>
        <w:right w:val="none" w:sz="0" w:space="0" w:color="auto"/>
      </w:divBdr>
    </w:div>
    <w:div w:id="80951535">
      <w:marLeft w:val="0"/>
      <w:marRight w:val="0"/>
      <w:marTop w:val="0"/>
      <w:marBottom w:val="120"/>
      <w:divBdr>
        <w:top w:val="none" w:sz="0" w:space="0" w:color="auto"/>
        <w:left w:val="none" w:sz="0" w:space="0" w:color="auto"/>
        <w:bottom w:val="none" w:sz="0" w:space="0" w:color="auto"/>
        <w:right w:val="none" w:sz="0" w:space="0" w:color="auto"/>
      </w:divBdr>
    </w:div>
    <w:div w:id="81072579">
      <w:marLeft w:val="0"/>
      <w:marRight w:val="0"/>
      <w:marTop w:val="200"/>
      <w:marBottom w:val="0"/>
      <w:divBdr>
        <w:top w:val="none" w:sz="0" w:space="0" w:color="auto"/>
        <w:left w:val="none" w:sz="0" w:space="0" w:color="auto"/>
        <w:bottom w:val="none" w:sz="0" w:space="0" w:color="auto"/>
        <w:right w:val="none" w:sz="0" w:space="0" w:color="auto"/>
      </w:divBdr>
    </w:div>
    <w:div w:id="83038625">
      <w:marLeft w:val="0"/>
      <w:marRight w:val="0"/>
      <w:marTop w:val="240"/>
      <w:marBottom w:val="0"/>
      <w:divBdr>
        <w:top w:val="none" w:sz="0" w:space="0" w:color="auto"/>
        <w:left w:val="none" w:sz="0" w:space="0" w:color="auto"/>
        <w:bottom w:val="none" w:sz="0" w:space="0" w:color="auto"/>
        <w:right w:val="none" w:sz="0" w:space="0" w:color="auto"/>
      </w:divBdr>
    </w:div>
    <w:div w:id="84763144">
      <w:marLeft w:val="0"/>
      <w:marRight w:val="0"/>
      <w:marTop w:val="240"/>
      <w:marBottom w:val="0"/>
      <w:divBdr>
        <w:top w:val="none" w:sz="0" w:space="0" w:color="auto"/>
        <w:left w:val="none" w:sz="0" w:space="0" w:color="auto"/>
        <w:bottom w:val="none" w:sz="0" w:space="0" w:color="auto"/>
        <w:right w:val="none" w:sz="0" w:space="0" w:color="auto"/>
      </w:divBdr>
    </w:div>
    <w:div w:id="86199427">
      <w:marLeft w:val="0"/>
      <w:marRight w:val="0"/>
      <w:marTop w:val="240"/>
      <w:marBottom w:val="0"/>
      <w:divBdr>
        <w:top w:val="none" w:sz="0" w:space="0" w:color="auto"/>
        <w:left w:val="none" w:sz="0" w:space="0" w:color="auto"/>
        <w:bottom w:val="none" w:sz="0" w:space="0" w:color="auto"/>
        <w:right w:val="none" w:sz="0" w:space="0" w:color="auto"/>
      </w:divBdr>
    </w:div>
    <w:div w:id="86269352">
      <w:marLeft w:val="0"/>
      <w:marRight w:val="0"/>
      <w:marTop w:val="240"/>
      <w:marBottom w:val="0"/>
      <w:divBdr>
        <w:top w:val="none" w:sz="0" w:space="0" w:color="auto"/>
        <w:left w:val="none" w:sz="0" w:space="0" w:color="auto"/>
        <w:bottom w:val="none" w:sz="0" w:space="0" w:color="auto"/>
        <w:right w:val="none" w:sz="0" w:space="0" w:color="auto"/>
      </w:divBdr>
    </w:div>
    <w:div w:id="86387440">
      <w:marLeft w:val="0"/>
      <w:marRight w:val="0"/>
      <w:marTop w:val="240"/>
      <w:marBottom w:val="0"/>
      <w:divBdr>
        <w:top w:val="none" w:sz="0" w:space="0" w:color="auto"/>
        <w:left w:val="none" w:sz="0" w:space="0" w:color="auto"/>
        <w:bottom w:val="none" w:sz="0" w:space="0" w:color="auto"/>
        <w:right w:val="none" w:sz="0" w:space="0" w:color="auto"/>
      </w:divBdr>
    </w:div>
    <w:div w:id="86999000">
      <w:marLeft w:val="0"/>
      <w:marRight w:val="0"/>
      <w:marTop w:val="240"/>
      <w:marBottom w:val="0"/>
      <w:divBdr>
        <w:top w:val="none" w:sz="0" w:space="0" w:color="auto"/>
        <w:left w:val="none" w:sz="0" w:space="0" w:color="auto"/>
        <w:bottom w:val="none" w:sz="0" w:space="0" w:color="auto"/>
        <w:right w:val="none" w:sz="0" w:space="0" w:color="auto"/>
      </w:divBdr>
    </w:div>
    <w:div w:id="87846403">
      <w:marLeft w:val="0"/>
      <w:marRight w:val="0"/>
      <w:marTop w:val="0"/>
      <w:marBottom w:val="0"/>
      <w:divBdr>
        <w:top w:val="none" w:sz="0" w:space="0" w:color="auto"/>
        <w:left w:val="none" w:sz="0" w:space="0" w:color="auto"/>
        <w:bottom w:val="none" w:sz="0" w:space="0" w:color="auto"/>
        <w:right w:val="none" w:sz="0" w:space="0" w:color="auto"/>
      </w:divBdr>
      <w:divsChild>
        <w:div w:id="1431707340">
          <w:marLeft w:val="0"/>
          <w:marRight w:val="0"/>
          <w:marTop w:val="0"/>
          <w:marBottom w:val="0"/>
          <w:divBdr>
            <w:top w:val="none" w:sz="0" w:space="0" w:color="auto"/>
            <w:left w:val="none" w:sz="0" w:space="0" w:color="auto"/>
            <w:bottom w:val="none" w:sz="0" w:space="0" w:color="auto"/>
            <w:right w:val="none" w:sz="0" w:space="0" w:color="auto"/>
          </w:divBdr>
          <w:divsChild>
            <w:div w:id="114131442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89469687">
      <w:marLeft w:val="0"/>
      <w:marRight w:val="0"/>
      <w:marTop w:val="0"/>
      <w:marBottom w:val="0"/>
      <w:divBdr>
        <w:top w:val="none" w:sz="0" w:space="0" w:color="auto"/>
        <w:left w:val="none" w:sz="0" w:space="0" w:color="auto"/>
        <w:bottom w:val="none" w:sz="0" w:space="0" w:color="auto"/>
        <w:right w:val="none" w:sz="0" w:space="0" w:color="auto"/>
      </w:divBdr>
    </w:div>
    <w:div w:id="91437454">
      <w:marLeft w:val="0"/>
      <w:marRight w:val="0"/>
      <w:marTop w:val="180"/>
      <w:marBottom w:val="0"/>
      <w:divBdr>
        <w:top w:val="none" w:sz="0" w:space="0" w:color="auto"/>
        <w:left w:val="none" w:sz="0" w:space="0" w:color="auto"/>
        <w:bottom w:val="none" w:sz="0" w:space="0" w:color="auto"/>
        <w:right w:val="none" w:sz="0" w:space="0" w:color="auto"/>
      </w:divBdr>
    </w:div>
    <w:div w:id="91559138">
      <w:marLeft w:val="0"/>
      <w:marRight w:val="0"/>
      <w:marTop w:val="0"/>
      <w:marBottom w:val="0"/>
      <w:divBdr>
        <w:top w:val="none" w:sz="0" w:space="0" w:color="auto"/>
        <w:left w:val="none" w:sz="0" w:space="0" w:color="auto"/>
        <w:bottom w:val="none" w:sz="0" w:space="0" w:color="auto"/>
        <w:right w:val="none" w:sz="0" w:space="0" w:color="auto"/>
      </w:divBdr>
    </w:div>
    <w:div w:id="91777715">
      <w:marLeft w:val="0"/>
      <w:marRight w:val="0"/>
      <w:marTop w:val="200"/>
      <w:marBottom w:val="0"/>
      <w:divBdr>
        <w:top w:val="none" w:sz="0" w:space="0" w:color="auto"/>
        <w:left w:val="none" w:sz="0" w:space="0" w:color="auto"/>
        <w:bottom w:val="none" w:sz="0" w:space="0" w:color="auto"/>
        <w:right w:val="none" w:sz="0" w:space="0" w:color="auto"/>
      </w:divBdr>
    </w:div>
    <w:div w:id="92557333">
      <w:marLeft w:val="0"/>
      <w:marRight w:val="0"/>
      <w:marTop w:val="120"/>
      <w:marBottom w:val="0"/>
      <w:divBdr>
        <w:top w:val="none" w:sz="0" w:space="0" w:color="auto"/>
        <w:left w:val="none" w:sz="0" w:space="0" w:color="auto"/>
        <w:bottom w:val="none" w:sz="0" w:space="0" w:color="auto"/>
        <w:right w:val="none" w:sz="0" w:space="0" w:color="auto"/>
      </w:divBdr>
    </w:div>
    <w:div w:id="93283519">
      <w:marLeft w:val="0"/>
      <w:marRight w:val="0"/>
      <w:marTop w:val="240"/>
      <w:marBottom w:val="0"/>
      <w:divBdr>
        <w:top w:val="none" w:sz="0" w:space="0" w:color="auto"/>
        <w:left w:val="none" w:sz="0" w:space="0" w:color="auto"/>
        <w:bottom w:val="none" w:sz="0" w:space="0" w:color="auto"/>
        <w:right w:val="none" w:sz="0" w:space="0" w:color="auto"/>
      </w:divBdr>
    </w:div>
    <w:div w:id="94375304">
      <w:marLeft w:val="0"/>
      <w:marRight w:val="0"/>
      <w:marTop w:val="240"/>
      <w:marBottom w:val="0"/>
      <w:divBdr>
        <w:top w:val="none" w:sz="0" w:space="0" w:color="auto"/>
        <w:left w:val="none" w:sz="0" w:space="0" w:color="auto"/>
        <w:bottom w:val="none" w:sz="0" w:space="0" w:color="auto"/>
        <w:right w:val="none" w:sz="0" w:space="0" w:color="auto"/>
      </w:divBdr>
    </w:div>
    <w:div w:id="94596576">
      <w:marLeft w:val="0"/>
      <w:marRight w:val="0"/>
      <w:marTop w:val="240"/>
      <w:marBottom w:val="0"/>
      <w:divBdr>
        <w:top w:val="none" w:sz="0" w:space="0" w:color="auto"/>
        <w:left w:val="none" w:sz="0" w:space="0" w:color="auto"/>
        <w:bottom w:val="none" w:sz="0" w:space="0" w:color="auto"/>
        <w:right w:val="none" w:sz="0" w:space="0" w:color="auto"/>
      </w:divBdr>
    </w:div>
    <w:div w:id="94984539">
      <w:marLeft w:val="0"/>
      <w:marRight w:val="0"/>
      <w:marTop w:val="0"/>
      <w:marBottom w:val="0"/>
      <w:divBdr>
        <w:top w:val="none" w:sz="0" w:space="0" w:color="auto"/>
        <w:left w:val="none" w:sz="0" w:space="0" w:color="auto"/>
        <w:bottom w:val="none" w:sz="0" w:space="0" w:color="auto"/>
        <w:right w:val="none" w:sz="0" w:space="0" w:color="auto"/>
      </w:divBdr>
    </w:div>
    <w:div w:id="95757009">
      <w:marLeft w:val="0"/>
      <w:marRight w:val="0"/>
      <w:marTop w:val="240"/>
      <w:marBottom w:val="0"/>
      <w:divBdr>
        <w:top w:val="none" w:sz="0" w:space="0" w:color="auto"/>
        <w:left w:val="none" w:sz="0" w:space="0" w:color="auto"/>
        <w:bottom w:val="none" w:sz="0" w:space="0" w:color="auto"/>
        <w:right w:val="none" w:sz="0" w:space="0" w:color="auto"/>
      </w:divBdr>
    </w:div>
    <w:div w:id="98650359">
      <w:marLeft w:val="0"/>
      <w:marRight w:val="0"/>
      <w:marTop w:val="200"/>
      <w:marBottom w:val="0"/>
      <w:divBdr>
        <w:top w:val="none" w:sz="0" w:space="0" w:color="auto"/>
        <w:left w:val="none" w:sz="0" w:space="0" w:color="auto"/>
        <w:bottom w:val="none" w:sz="0" w:space="0" w:color="auto"/>
        <w:right w:val="none" w:sz="0" w:space="0" w:color="auto"/>
      </w:divBdr>
    </w:div>
    <w:div w:id="99229852">
      <w:marLeft w:val="0"/>
      <w:marRight w:val="0"/>
      <w:marTop w:val="240"/>
      <w:marBottom w:val="120"/>
      <w:divBdr>
        <w:top w:val="none" w:sz="0" w:space="0" w:color="auto"/>
        <w:left w:val="none" w:sz="0" w:space="0" w:color="auto"/>
        <w:bottom w:val="none" w:sz="0" w:space="0" w:color="auto"/>
        <w:right w:val="none" w:sz="0" w:space="0" w:color="auto"/>
      </w:divBdr>
    </w:div>
    <w:div w:id="99574180">
      <w:marLeft w:val="0"/>
      <w:marRight w:val="0"/>
      <w:marTop w:val="240"/>
      <w:marBottom w:val="0"/>
      <w:divBdr>
        <w:top w:val="none" w:sz="0" w:space="0" w:color="auto"/>
        <w:left w:val="none" w:sz="0" w:space="0" w:color="auto"/>
        <w:bottom w:val="none" w:sz="0" w:space="0" w:color="auto"/>
        <w:right w:val="none" w:sz="0" w:space="0" w:color="auto"/>
      </w:divBdr>
    </w:div>
    <w:div w:id="99765712">
      <w:marLeft w:val="0"/>
      <w:marRight w:val="0"/>
      <w:marTop w:val="100"/>
      <w:marBottom w:val="0"/>
      <w:divBdr>
        <w:top w:val="none" w:sz="0" w:space="0" w:color="auto"/>
        <w:left w:val="none" w:sz="0" w:space="0" w:color="auto"/>
        <w:bottom w:val="none" w:sz="0" w:space="0" w:color="auto"/>
        <w:right w:val="none" w:sz="0" w:space="0" w:color="auto"/>
      </w:divBdr>
    </w:div>
    <w:div w:id="100149487">
      <w:marLeft w:val="0"/>
      <w:marRight w:val="0"/>
      <w:marTop w:val="180"/>
      <w:marBottom w:val="0"/>
      <w:divBdr>
        <w:top w:val="none" w:sz="0" w:space="0" w:color="auto"/>
        <w:left w:val="none" w:sz="0" w:space="0" w:color="auto"/>
        <w:bottom w:val="none" w:sz="0" w:space="0" w:color="auto"/>
        <w:right w:val="none" w:sz="0" w:space="0" w:color="auto"/>
      </w:divBdr>
    </w:div>
    <w:div w:id="106437641">
      <w:marLeft w:val="0"/>
      <w:marRight w:val="0"/>
      <w:marTop w:val="240"/>
      <w:marBottom w:val="0"/>
      <w:divBdr>
        <w:top w:val="none" w:sz="0" w:space="0" w:color="auto"/>
        <w:left w:val="none" w:sz="0" w:space="0" w:color="auto"/>
        <w:bottom w:val="none" w:sz="0" w:space="0" w:color="auto"/>
        <w:right w:val="none" w:sz="0" w:space="0" w:color="auto"/>
      </w:divBdr>
    </w:div>
    <w:div w:id="109249382">
      <w:marLeft w:val="0"/>
      <w:marRight w:val="0"/>
      <w:marTop w:val="300"/>
      <w:marBottom w:val="240"/>
      <w:divBdr>
        <w:top w:val="none" w:sz="0" w:space="0" w:color="auto"/>
        <w:left w:val="none" w:sz="0" w:space="0" w:color="auto"/>
        <w:bottom w:val="none" w:sz="0" w:space="0" w:color="auto"/>
        <w:right w:val="none" w:sz="0" w:space="0" w:color="auto"/>
      </w:divBdr>
    </w:div>
    <w:div w:id="109785620">
      <w:marLeft w:val="0"/>
      <w:marRight w:val="0"/>
      <w:marTop w:val="240"/>
      <w:marBottom w:val="0"/>
      <w:divBdr>
        <w:top w:val="none" w:sz="0" w:space="0" w:color="auto"/>
        <w:left w:val="none" w:sz="0" w:space="0" w:color="auto"/>
        <w:bottom w:val="none" w:sz="0" w:space="0" w:color="auto"/>
        <w:right w:val="none" w:sz="0" w:space="0" w:color="auto"/>
      </w:divBdr>
    </w:div>
    <w:div w:id="111871689">
      <w:marLeft w:val="0"/>
      <w:marRight w:val="0"/>
      <w:marTop w:val="120"/>
      <w:marBottom w:val="0"/>
      <w:divBdr>
        <w:top w:val="none" w:sz="0" w:space="0" w:color="auto"/>
        <w:left w:val="none" w:sz="0" w:space="0" w:color="auto"/>
        <w:bottom w:val="none" w:sz="0" w:space="0" w:color="auto"/>
        <w:right w:val="none" w:sz="0" w:space="0" w:color="auto"/>
      </w:divBdr>
    </w:div>
    <w:div w:id="112479798">
      <w:marLeft w:val="0"/>
      <w:marRight w:val="0"/>
      <w:marTop w:val="0"/>
      <w:marBottom w:val="0"/>
      <w:divBdr>
        <w:top w:val="none" w:sz="0" w:space="0" w:color="auto"/>
        <w:left w:val="none" w:sz="0" w:space="0" w:color="auto"/>
        <w:bottom w:val="none" w:sz="0" w:space="0" w:color="auto"/>
        <w:right w:val="none" w:sz="0" w:space="0" w:color="auto"/>
      </w:divBdr>
      <w:divsChild>
        <w:div w:id="1011836441">
          <w:marLeft w:val="0"/>
          <w:marRight w:val="0"/>
          <w:marTop w:val="0"/>
          <w:marBottom w:val="0"/>
          <w:divBdr>
            <w:top w:val="none" w:sz="0" w:space="0" w:color="auto"/>
            <w:left w:val="none" w:sz="0" w:space="0" w:color="auto"/>
            <w:bottom w:val="none" w:sz="0" w:space="0" w:color="auto"/>
            <w:right w:val="none" w:sz="0" w:space="0" w:color="auto"/>
          </w:divBdr>
          <w:divsChild>
            <w:div w:id="1601832723">
              <w:marLeft w:val="0"/>
              <w:marRight w:val="0"/>
              <w:marTop w:val="0"/>
              <w:marBottom w:val="0"/>
              <w:divBdr>
                <w:top w:val="none" w:sz="0" w:space="0" w:color="auto"/>
                <w:left w:val="none" w:sz="0" w:space="0" w:color="auto"/>
                <w:bottom w:val="none" w:sz="0" w:space="0" w:color="auto"/>
                <w:right w:val="none" w:sz="0" w:space="0" w:color="auto"/>
              </w:divBdr>
            </w:div>
            <w:div w:id="197875324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13987736">
      <w:marLeft w:val="0"/>
      <w:marRight w:val="0"/>
      <w:marTop w:val="240"/>
      <w:marBottom w:val="0"/>
      <w:divBdr>
        <w:top w:val="none" w:sz="0" w:space="0" w:color="auto"/>
        <w:left w:val="none" w:sz="0" w:space="0" w:color="auto"/>
        <w:bottom w:val="none" w:sz="0" w:space="0" w:color="auto"/>
        <w:right w:val="none" w:sz="0" w:space="0" w:color="auto"/>
      </w:divBdr>
    </w:div>
    <w:div w:id="114105870">
      <w:marLeft w:val="0"/>
      <w:marRight w:val="0"/>
      <w:marTop w:val="240"/>
      <w:marBottom w:val="0"/>
      <w:divBdr>
        <w:top w:val="none" w:sz="0" w:space="0" w:color="auto"/>
        <w:left w:val="none" w:sz="0" w:space="0" w:color="auto"/>
        <w:bottom w:val="none" w:sz="0" w:space="0" w:color="auto"/>
        <w:right w:val="none" w:sz="0" w:space="0" w:color="auto"/>
      </w:divBdr>
    </w:div>
    <w:div w:id="114174810">
      <w:marLeft w:val="0"/>
      <w:marRight w:val="0"/>
      <w:marTop w:val="240"/>
      <w:marBottom w:val="0"/>
      <w:divBdr>
        <w:top w:val="none" w:sz="0" w:space="0" w:color="auto"/>
        <w:left w:val="none" w:sz="0" w:space="0" w:color="auto"/>
        <w:bottom w:val="none" w:sz="0" w:space="0" w:color="auto"/>
        <w:right w:val="none" w:sz="0" w:space="0" w:color="auto"/>
      </w:divBdr>
    </w:div>
    <w:div w:id="116073523">
      <w:marLeft w:val="0"/>
      <w:marRight w:val="0"/>
      <w:marTop w:val="240"/>
      <w:marBottom w:val="0"/>
      <w:divBdr>
        <w:top w:val="none" w:sz="0" w:space="0" w:color="auto"/>
        <w:left w:val="none" w:sz="0" w:space="0" w:color="auto"/>
        <w:bottom w:val="none" w:sz="0" w:space="0" w:color="auto"/>
        <w:right w:val="none" w:sz="0" w:space="0" w:color="auto"/>
      </w:divBdr>
    </w:div>
    <w:div w:id="116610592">
      <w:marLeft w:val="0"/>
      <w:marRight w:val="0"/>
      <w:marTop w:val="0"/>
      <w:marBottom w:val="0"/>
      <w:divBdr>
        <w:top w:val="none" w:sz="0" w:space="0" w:color="auto"/>
        <w:left w:val="none" w:sz="0" w:space="0" w:color="auto"/>
        <w:bottom w:val="none" w:sz="0" w:space="0" w:color="auto"/>
        <w:right w:val="none" w:sz="0" w:space="0" w:color="auto"/>
      </w:divBdr>
      <w:divsChild>
        <w:div w:id="360202932">
          <w:marLeft w:val="0"/>
          <w:marRight w:val="0"/>
          <w:marTop w:val="0"/>
          <w:marBottom w:val="0"/>
          <w:divBdr>
            <w:top w:val="none" w:sz="0" w:space="0" w:color="auto"/>
            <w:left w:val="none" w:sz="0" w:space="0" w:color="auto"/>
            <w:bottom w:val="none" w:sz="0" w:space="0" w:color="auto"/>
            <w:right w:val="none" w:sz="0" w:space="0" w:color="auto"/>
          </w:divBdr>
          <w:divsChild>
            <w:div w:id="16070766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16998483">
      <w:marLeft w:val="0"/>
      <w:marRight w:val="0"/>
      <w:marTop w:val="240"/>
      <w:marBottom w:val="0"/>
      <w:divBdr>
        <w:top w:val="none" w:sz="0" w:space="0" w:color="auto"/>
        <w:left w:val="none" w:sz="0" w:space="0" w:color="auto"/>
        <w:bottom w:val="none" w:sz="0" w:space="0" w:color="auto"/>
        <w:right w:val="none" w:sz="0" w:space="0" w:color="auto"/>
      </w:divBdr>
    </w:div>
    <w:div w:id="117533116">
      <w:marLeft w:val="0"/>
      <w:marRight w:val="0"/>
      <w:marTop w:val="180"/>
      <w:marBottom w:val="120"/>
      <w:divBdr>
        <w:top w:val="none" w:sz="0" w:space="0" w:color="auto"/>
        <w:left w:val="none" w:sz="0" w:space="0" w:color="auto"/>
        <w:bottom w:val="none" w:sz="0" w:space="0" w:color="auto"/>
        <w:right w:val="none" w:sz="0" w:space="0" w:color="auto"/>
      </w:divBdr>
    </w:div>
    <w:div w:id="117533156">
      <w:marLeft w:val="0"/>
      <w:marRight w:val="0"/>
      <w:marTop w:val="240"/>
      <w:marBottom w:val="0"/>
      <w:divBdr>
        <w:top w:val="none" w:sz="0" w:space="0" w:color="auto"/>
        <w:left w:val="none" w:sz="0" w:space="0" w:color="auto"/>
        <w:bottom w:val="none" w:sz="0" w:space="0" w:color="auto"/>
        <w:right w:val="none" w:sz="0" w:space="0" w:color="auto"/>
      </w:divBdr>
    </w:div>
    <w:div w:id="117994669">
      <w:marLeft w:val="0"/>
      <w:marRight w:val="0"/>
      <w:marTop w:val="0"/>
      <w:marBottom w:val="0"/>
      <w:divBdr>
        <w:top w:val="none" w:sz="0" w:space="0" w:color="auto"/>
        <w:left w:val="none" w:sz="0" w:space="0" w:color="auto"/>
        <w:bottom w:val="none" w:sz="0" w:space="0" w:color="auto"/>
        <w:right w:val="none" w:sz="0" w:space="0" w:color="auto"/>
      </w:divBdr>
    </w:div>
    <w:div w:id="119226829">
      <w:marLeft w:val="0"/>
      <w:marRight w:val="0"/>
      <w:marTop w:val="140"/>
      <w:marBottom w:val="0"/>
      <w:divBdr>
        <w:top w:val="none" w:sz="0" w:space="0" w:color="auto"/>
        <w:left w:val="none" w:sz="0" w:space="0" w:color="auto"/>
        <w:bottom w:val="none" w:sz="0" w:space="0" w:color="auto"/>
        <w:right w:val="none" w:sz="0" w:space="0" w:color="auto"/>
      </w:divBdr>
    </w:div>
    <w:div w:id="119540958">
      <w:marLeft w:val="0"/>
      <w:marRight w:val="0"/>
      <w:marTop w:val="0"/>
      <w:marBottom w:val="0"/>
      <w:divBdr>
        <w:top w:val="none" w:sz="0" w:space="0" w:color="auto"/>
        <w:left w:val="none" w:sz="0" w:space="0" w:color="auto"/>
        <w:bottom w:val="none" w:sz="0" w:space="0" w:color="auto"/>
        <w:right w:val="none" w:sz="0" w:space="0" w:color="auto"/>
      </w:divBdr>
    </w:div>
    <w:div w:id="119956588">
      <w:marLeft w:val="0"/>
      <w:marRight w:val="0"/>
      <w:marTop w:val="180"/>
      <w:marBottom w:val="0"/>
      <w:divBdr>
        <w:top w:val="none" w:sz="0" w:space="0" w:color="auto"/>
        <w:left w:val="none" w:sz="0" w:space="0" w:color="auto"/>
        <w:bottom w:val="none" w:sz="0" w:space="0" w:color="auto"/>
        <w:right w:val="none" w:sz="0" w:space="0" w:color="auto"/>
      </w:divBdr>
    </w:div>
    <w:div w:id="120614618">
      <w:marLeft w:val="0"/>
      <w:marRight w:val="0"/>
      <w:marTop w:val="240"/>
      <w:marBottom w:val="0"/>
      <w:divBdr>
        <w:top w:val="none" w:sz="0" w:space="0" w:color="auto"/>
        <w:left w:val="none" w:sz="0" w:space="0" w:color="auto"/>
        <w:bottom w:val="none" w:sz="0" w:space="0" w:color="auto"/>
        <w:right w:val="none" w:sz="0" w:space="0" w:color="auto"/>
      </w:divBdr>
    </w:div>
    <w:div w:id="120658574">
      <w:marLeft w:val="0"/>
      <w:marRight w:val="0"/>
      <w:marTop w:val="240"/>
      <w:marBottom w:val="0"/>
      <w:divBdr>
        <w:top w:val="none" w:sz="0" w:space="0" w:color="auto"/>
        <w:left w:val="none" w:sz="0" w:space="0" w:color="auto"/>
        <w:bottom w:val="none" w:sz="0" w:space="0" w:color="auto"/>
        <w:right w:val="none" w:sz="0" w:space="0" w:color="auto"/>
      </w:divBdr>
    </w:div>
    <w:div w:id="121115896">
      <w:marLeft w:val="0"/>
      <w:marRight w:val="0"/>
      <w:marTop w:val="0"/>
      <w:marBottom w:val="0"/>
      <w:divBdr>
        <w:top w:val="none" w:sz="0" w:space="0" w:color="auto"/>
        <w:left w:val="none" w:sz="0" w:space="0" w:color="auto"/>
        <w:bottom w:val="none" w:sz="0" w:space="0" w:color="auto"/>
        <w:right w:val="none" w:sz="0" w:space="0" w:color="auto"/>
      </w:divBdr>
      <w:divsChild>
        <w:div w:id="2009675390">
          <w:marLeft w:val="0"/>
          <w:marRight w:val="0"/>
          <w:marTop w:val="0"/>
          <w:marBottom w:val="0"/>
          <w:divBdr>
            <w:top w:val="none" w:sz="0" w:space="0" w:color="auto"/>
            <w:left w:val="none" w:sz="0" w:space="0" w:color="auto"/>
            <w:bottom w:val="none" w:sz="0" w:space="0" w:color="auto"/>
            <w:right w:val="none" w:sz="0" w:space="0" w:color="auto"/>
          </w:divBdr>
          <w:divsChild>
            <w:div w:id="21968184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21776988">
      <w:marLeft w:val="0"/>
      <w:marRight w:val="0"/>
      <w:marTop w:val="240"/>
      <w:marBottom w:val="0"/>
      <w:divBdr>
        <w:top w:val="none" w:sz="0" w:space="0" w:color="auto"/>
        <w:left w:val="none" w:sz="0" w:space="0" w:color="auto"/>
        <w:bottom w:val="none" w:sz="0" w:space="0" w:color="auto"/>
        <w:right w:val="none" w:sz="0" w:space="0" w:color="auto"/>
      </w:divBdr>
    </w:div>
    <w:div w:id="121963364">
      <w:marLeft w:val="0"/>
      <w:marRight w:val="0"/>
      <w:marTop w:val="60"/>
      <w:marBottom w:val="0"/>
      <w:divBdr>
        <w:top w:val="none" w:sz="0" w:space="0" w:color="auto"/>
        <w:left w:val="none" w:sz="0" w:space="0" w:color="auto"/>
        <w:bottom w:val="none" w:sz="0" w:space="0" w:color="auto"/>
        <w:right w:val="none" w:sz="0" w:space="0" w:color="auto"/>
      </w:divBdr>
    </w:div>
    <w:div w:id="122777451">
      <w:marLeft w:val="0"/>
      <w:marRight w:val="0"/>
      <w:marTop w:val="240"/>
      <w:marBottom w:val="0"/>
      <w:divBdr>
        <w:top w:val="none" w:sz="0" w:space="0" w:color="auto"/>
        <w:left w:val="none" w:sz="0" w:space="0" w:color="auto"/>
        <w:bottom w:val="none" w:sz="0" w:space="0" w:color="auto"/>
        <w:right w:val="none" w:sz="0" w:space="0" w:color="auto"/>
      </w:divBdr>
    </w:div>
    <w:div w:id="125198291">
      <w:marLeft w:val="0"/>
      <w:marRight w:val="0"/>
      <w:marTop w:val="240"/>
      <w:marBottom w:val="0"/>
      <w:divBdr>
        <w:top w:val="none" w:sz="0" w:space="0" w:color="auto"/>
        <w:left w:val="none" w:sz="0" w:space="0" w:color="auto"/>
        <w:bottom w:val="none" w:sz="0" w:space="0" w:color="auto"/>
        <w:right w:val="none" w:sz="0" w:space="0" w:color="auto"/>
      </w:divBdr>
    </w:div>
    <w:div w:id="125705449">
      <w:marLeft w:val="0"/>
      <w:marRight w:val="0"/>
      <w:marTop w:val="240"/>
      <w:marBottom w:val="0"/>
      <w:divBdr>
        <w:top w:val="none" w:sz="0" w:space="0" w:color="auto"/>
        <w:left w:val="none" w:sz="0" w:space="0" w:color="auto"/>
        <w:bottom w:val="none" w:sz="0" w:space="0" w:color="auto"/>
        <w:right w:val="none" w:sz="0" w:space="0" w:color="auto"/>
      </w:divBdr>
    </w:div>
    <w:div w:id="127167274">
      <w:marLeft w:val="0"/>
      <w:marRight w:val="0"/>
      <w:marTop w:val="0"/>
      <w:marBottom w:val="0"/>
      <w:divBdr>
        <w:top w:val="none" w:sz="0" w:space="0" w:color="auto"/>
        <w:left w:val="none" w:sz="0" w:space="0" w:color="auto"/>
        <w:bottom w:val="none" w:sz="0" w:space="0" w:color="auto"/>
        <w:right w:val="none" w:sz="0" w:space="0" w:color="auto"/>
      </w:divBdr>
      <w:divsChild>
        <w:div w:id="2047364725">
          <w:marLeft w:val="0"/>
          <w:marRight w:val="0"/>
          <w:marTop w:val="0"/>
          <w:marBottom w:val="0"/>
          <w:divBdr>
            <w:top w:val="none" w:sz="0" w:space="0" w:color="auto"/>
            <w:left w:val="none" w:sz="0" w:space="0" w:color="auto"/>
            <w:bottom w:val="none" w:sz="0" w:space="0" w:color="auto"/>
            <w:right w:val="none" w:sz="0" w:space="0" w:color="auto"/>
          </w:divBdr>
        </w:div>
      </w:divsChild>
    </w:div>
    <w:div w:id="127434140">
      <w:marLeft w:val="0"/>
      <w:marRight w:val="0"/>
      <w:marTop w:val="0"/>
      <w:marBottom w:val="0"/>
      <w:divBdr>
        <w:top w:val="none" w:sz="0" w:space="0" w:color="auto"/>
        <w:left w:val="none" w:sz="0" w:space="0" w:color="auto"/>
        <w:bottom w:val="none" w:sz="0" w:space="0" w:color="auto"/>
        <w:right w:val="none" w:sz="0" w:space="0" w:color="auto"/>
      </w:divBdr>
    </w:div>
    <w:div w:id="128283717">
      <w:marLeft w:val="0"/>
      <w:marRight w:val="0"/>
      <w:marTop w:val="140"/>
      <w:marBottom w:val="0"/>
      <w:divBdr>
        <w:top w:val="none" w:sz="0" w:space="0" w:color="auto"/>
        <w:left w:val="none" w:sz="0" w:space="0" w:color="auto"/>
        <w:bottom w:val="none" w:sz="0" w:space="0" w:color="auto"/>
        <w:right w:val="none" w:sz="0" w:space="0" w:color="auto"/>
      </w:divBdr>
    </w:div>
    <w:div w:id="129520356">
      <w:marLeft w:val="0"/>
      <w:marRight w:val="0"/>
      <w:marTop w:val="160"/>
      <w:marBottom w:val="0"/>
      <w:divBdr>
        <w:top w:val="none" w:sz="0" w:space="0" w:color="auto"/>
        <w:left w:val="none" w:sz="0" w:space="0" w:color="auto"/>
        <w:bottom w:val="none" w:sz="0" w:space="0" w:color="auto"/>
        <w:right w:val="none" w:sz="0" w:space="0" w:color="auto"/>
      </w:divBdr>
    </w:div>
    <w:div w:id="130096934">
      <w:marLeft w:val="0"/>
      <w:marRight w:val="0"/>
      <w:marTop w:val="160"/>
      <w:marBottom w:val="0"/>
      <w:divBdr>
        <w:top w:val="none" w:sz="0" w:space="0" w:color="auto"/>
        <w:left w:val="none" w:sz="0" w:space="0" w:color="auto"/>
        <w:bottom w:val="none" w:sz="0" w:space="0" w:color="auto"/>
        <w:right w:val="none" w:sz="0" w:space="0" w:color="auto"/>
      </w:divBdr>
      <w:divsChild>
        <w:div w:id="1001658126">
          <w:marLeft w:val="0"/>
          <w:marRight w:val="0"/>
          <w:marTop w:val="0"/>
          <w:marBottom w:val="0"/>
          <w:divBdr>
            <w:top w:val="none" w:sz="0" w:space="0" w:color="auto"/>
            <w:left w:val="none" w:sz="0" w:space="0" w:color="auto"/>
            <w:bottom w:val="none" w:sz="0" w:space="0" w:color="auto"/>
            <w:right w:val="none" w:sz="0" w:space="0" w:color="auto"/>
          </w:divBdr>
        </w:div>
      </w:divsChild>
    </w:div>
    <w:div w:id="130755618">
      <w:marLeft w:val="0"/>
      <w:marRight w:val="0"/>
      <w:marTop w:val="180"/>
      <w:marBottom w:val="0"/>
      <w:divBdr>
        <w:top w:val="none" w:sz="0" w:space="0" w:color="auto"/>
        <w:left w:val="none" w:sz="0" w:space="0" w:color="auto"/>
        <w:bottom w:val="none" w:sz="0" w:space="0" w:color="auto"/>
        <w:right w:val="none" w:sz="0" w:space="0" w:color="auto"/>
      </w:divBdr>
    </w:div>
    <w:div w:id="136800838">
      <w:marLeft w:val="0"/>
      <w:marRight w:val="0"/>
      <w:marTop w:val="0"/>
      <w:marBottom w:val="0"/>
      <w:divBdr>
        <w:top w:val="none" w:sz="0" w:space="0" w:color="auto"/>
        <w:left w:val="none" w:sz="0" w:space="0" w:color="auto"/>
        <w:bottom w:val="none" w:sz="0" w:space="0" w:color="auto"/>
        <w:right w:val="none" w:sz="0" w:space="0" w:color="auto"/>
      </w:divBdr>
      <w:divsChild>
        <w:div w:id="230190321">
          <w:marLeft w:val="0"/>
          <w:marRight w:val="0"/>
          <w:marTop w:val="0"/>
          <w:marBottom w:val="0"/>
          <w:divBdr>
            <w:top w:val="none" w:sz="0" w:space="0" w:color="auto"/>
            <w:left w:val="none" w:sz="0" w:space="0" w:color="auto"/>
            <w:bottom w:val="none" w:sz="0" w:space="0" w:color="auto"/>
            <w:right w:val="none" w:sz="0" w:space="0" w:color="auto"/>
          </w:divBdr>
          <w:divsChild>
            <w:div w:id="209796992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37036605">
      <w:marLeft w:val="0"/>
      <w:marRight w:val="0"/>
      <w:marTop w:val="240"/>
      <w:marBottom w:val="240"/>
      <w:divBdr>
        <w:top w:val="none" w:sz="0" w:space="0" w:color="auto"/>
        <w:left w:val="none" w:sz="0" w:space="0" w:color="auto"/>
        <w:bottom w:val="none" w:sz="0" w:space="0" w:color="auto"/>
        <w:right w:val="none" w:sz="0" w:space="0" w:color="auto"/>
      </w:divBdr>
    </w:div>
    <w:div w:id="138425440">
      <w:marLeft w:val="0"/>
      <w:marRight w:val="0"/>
      <w:marTop w:val="240"/>
      <w:marBottom w:val="0"/>
      <w:divBdr>
        <w:top w:val="none" w:sz="0" w:space="0" w:color="auto"/>
        <w:left w:val="none" w:sz="0" w:space="0" w:color="auto"/>
        <w:bottom w:val="none" w:sz="0" w:space="0" w:color="auto"/>
        <w:right w:val="none" w:sz="0" w:space="0" w:color="auto"/>
      </w:divBdr>
    </w:div>
    <w:div w:id="139614138">
      <w:marLeft w:val="0"/>
      <w:marRight w:val="0"/>
      <w:marTop w:val="240"/>
      <w:marBottom w:val="0"/>
      <w:divBdr>
        <w:top w:val="none" w:sz="0" w:space="0" w:color="auto"/>
        <w:left w:val="none" w:sz="0" w:space="0" w:color="auto"/>
        <w:bottom w:val="none" w:sz="0" w:space="0" w:color="auto"/>
        <w:right w:val="none" w:sz="0" w:space="0" w:color="auto"/>
      </w:divBdr>
    </w:div>
    <w:div w:id="139662310">
      <w:marLeft w:val="0"/>
      <w:marRight w:val="0"/>
      <w:marTop w:val="240"/>
      <w:marBottom w:val="0"/>
      <w:divBdr>
        <w:top w:val="none" w:sz="0" w:space="0" w:color="auto"/>
        <w:left w:val="none" w:sz="0" w:space="0" w:color="auto"/>
        <w:bottom w:val="none" w:sz="0" w:space="0" w:color="auto"/>
        <w:right w:val="none" w:sz="0" w:space="0" w:color="auto"/>
      </w:divBdr>
    </w:div>
    <w:div w:id="140926225">
      <w:marLeft w:val="0"/>
      <w:marRight w:val="0"/>
      <w:marTop w:val="0"/>
      <w:marBottom w:val="0"/>
      <w:divBdr>
        <w:top w:val="none" w:sz="0" w:space="0" w:color="auto"/>
        <w:left w:val="none" w:sz="0" w:space="0" w:color="auto"/>
        <w:bottom w:val="none" w:sz="0" w:space="0" w:color="auto"/>
        <w:right w:val="none" w:sz="0" w:space="0" w:color="auto"/>
      </w:divBdr>
      <w:divsChild>
        <w:div w:id="818112329">
          <w:marLeft w:val="0"/>
          <w:marRight w:val="0"/>
          <w:marTop w:val="120"/>
          <w:marBottom w:val="0"/>
          <w:divBdr>
            <w:top w:val="none" w:sz="0" w:space="0" w:color="auto"/>
            <w:left w:val="none" w:sz="0" w:space="0" w:color="auto"/>
            <w:bottom w:val="none" w:sz="0" w:space="0" w:color="auto"/>
            <w:right w:val="none" w:sz="0" w:space="0" w:color="auto"/>
          </w:divBdr>
        </w:div>
      </w:divsChild>
    </w:div>
    <w:div w:id="143132965">
      <w:marLeft w:val="0"/>
      <w:marRight w:val="0"/>
      <w:marTop w:val="0"/>
      <w:marBottom w:val="0"/>
      <w:divBdr>
        <w:top w:val="none" w:sz="0" w:space="0" w:color="auto"/>
        <w:left w:val="none" w:sz="0" w:space="0" w:color="auto"/>
        <w:bottom w:val="none" w:sz="0" w:space="0" w:color="auto"/>
        <w:right w:val="none" w:sz="0" w:space="0" w:color="auto"/>
      </w:divBdr>
      <w:divsChild>
        <w:div w:id="2131049887">
          <w:marLeft w:val="0"/>
          <w:marRight w:val="0"/>
          <w:marTop w:val="0"/>
          <w:marBottom w:val="0"/>
          <w:divBdr>
            <w:top w:val="none" w:sz="0" w:space="0" w:color="auto"/>
            <w:left w:val="none" w:sz="0" w:space="0" w:color="auto"/>
            <w:bottom w:val="none" w:sz="0" w:space="0" w:color="auto"/>
            <w:right w:val="none" w:sz="0" w:space="0" w:color="auto"/>
          </w:divBdr>
          <w:divsChild>
            <w:div w:id="192264224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44854455">
      <w:marLeft w:val="0"/>
      <w:marRight w:val="0"/>
      <w:marTop w:val="300"/>
      <w:marBottom w:val="60"/>
      <w:divBdr>
        <w:top w:val="none" w:sz="0" w:space="0" w:color="auto"/>
        <w:left w:val="none" w:sz="0" w:space="0" w:color="auto"/>
        <w:bottom w:val="none" w:sz="0" w:space="0" w:color="auto"/>
        <w:right w:val="none" w:sz="0" w:space="0" w:color="auto"/>
      </w:divBdr>
    </w:div>
    <w:div w:id="145364640">
      <w:marLeft w:val="0"/>
      <w:marRight w:val="0"/>
      <w:marTop w:val="0"/>
      <w:marBottom w:val="0"/>
      <w:divBdr>
        <w:top w:val="none" w:sz="0" w:space="0" w:color="auto"/>
        <w:left w:val="none" w:sz="0" w:space="0" w:color="auto"/>
        <w:bottom w:val="none" w:sz="0" w:space="0" w:color="auto"/>
        <w:right w:val="none" w:sz="0" w:space="0" w:color="auto"/>
      </w:divBdr>
      <w:divsChild>
        <w:div w:id="1461414810">
          <w:marLeft w:val="0"/>
          <w:marRight w:val="0"/>
          <w:marTop w:val="0"/>
          <w:marBottom w:val="0"/>
          <w:divBdr>
            <w:top w:val="none" w:sz="0" w:space="0" w:color="auto"/>
            <w:left w:val="none" w:sz="0" w:space="0" w:color="auto"/>
            <w:bottom w:val="none" w:sz="0" w:space="0" w:color="auto"/>
            <w:right w:val="none" w:sz="0" w:space="0" w:color="auto"/>
          </w:divBdr>
          <w:divsChild>
            <w:div w:id="167811487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46018186">
      <w:marLeft w:val="0"/>
      <w:marRight w:val="0"/>
      <w:marTop w:val="180"/>
      <w:marBottom w:val="0"/>
      <w:divBdr>
        <w:top w:val="none" w:sz="0" w:space="0" w:color="auto"/>
        <w:left w:val="none" w:sz="0" w:space="0" w:color="auto"/>
        <w:bottom w:val="none" w:sz="0" w:space="0" w:color="auto"/>
        <w:right w:val="none" w:sz="0" w:space="0" w:color="auto"/>
      </w:divBdr>
    </w:div>
    <w:div w:id="147094500">
      <w:marLeft w:val="0"/>
      <w:marRight w:val="0"/>
      <w:marTop w:val="240"/>
      <w:marBottom w:val="0"/>
      <w:divBdr>
        <w:top w:val="none" w:sz="0" w:space="0" w:color="auto"/>
        <w:left w:val="none" w:sz="0" w:space="0" w:color="auto"/>
        <w:bottom w:val="none" w:sz="0" w:space="0" w:color="auto"/>
        <w:right w:val="none" w:sz="0" w:space="0" w:color="auto"/>
      </w:divBdr>
    </w:div>
    <w:div w:id="147133261">
      <w:marLeft w:val="0"/>
      <w:marRight w:val="0"/>
      <w:marTop w:val="240"/>
      <w:marBottom w:val="0"/>
      <w:divBdr>
        <w:top w:val="none" w:sz="0" w:space="0" w:color="auto"/>
        <w:left w:val="none" w:sz="0" w:space="0" w:color="auto"/>
        <w:bottom w:val="none" w:sz="0" w:space="0" w:color="auto"/>
        <w:right w:val="none" w:sz="0" w:space="0" w:color="auto"/>
      </w:divBdr>
    </w:div>
    <w:div w:id="148984836">
      <w:marLeft w:val="0"/>
      <w:marRight w:val="0"/>
      <w:marTop w:val="120"/>
      <w:marBottom w:val="0"/>
      <w:divBdr>
        <w:top w:val="none" w:sz="0" w:space="0" w:color="auto"/>
        <w:left w:val="none" w:sz="0" w:space="0" w:color="auto"/>
        <w:bottom w:val="none" w:sz="0" w:space="0" w:color="auto"/>
        <w:right w:val="none" w:sz="0" w:space="0" w:color="auto"/>
      </w:divBdr>
    </w:div>
    <w:div w:id="149059244">
      <w:marLeft w:val="0"/>
      <w:marRight w:val="0"/>
      <w:marTop w:val="100"/>
      <w:marBottom w:val="0"/>
      <w:divBdr>
        <w:top w:val="none" w:sz="0" w:space="0" w:color="auto"/>
        <w:left w:val="none" w:sz="0" w:space="0" w:color="auto"/>
        <w:bottom w:val="none" w:sz="0" w:space="0" w:color="auto"/>
        <w:right w:val="none" w:sz="0" w:space="0" w:color="auto"/>
      </w:divBdr>
    </w:div>
    <w:div w:id="149711542">
      <w:marLeft w:val="0"/>
      <w:marRight w:val="0"/>
      <w:marTop w:val="240"/>
      <w:marBottom w:val="0"/>
      <w:divBdr>
        <w:top w:val="none" w:sz="0" w:space="0" w:color="auto"/>
        <w:left w:val="none" w:sz="0" w:space="0" w:color="auto"/>
        <w:bottom w:val="none" w:sz="0" w:space="0" w:color="auto"/>
        <w:right w:val="none" w:sz="0" w:space="0" w:color="auto"/>
      </w:divBdr>
    </w:div>
    <w:div w:id="149950776">
      <w:marLeft w:val="0"/>
      <w:marRight w:val="0"/>
      <w:marTop w:val="0"/>
      <w:marBottom w:val="0"/>
      <w:divBdr>
        <w:top w:val="none" w:sz="0" w:space="0" w:color="auto"/>
        <w:left w:val="none" w:sz="0" w:space="0" w:color="auto"/>
        <w:bottom w:val="none" w:sz="0" w:space="0" w:color="auto"/>
        <w:right w:val="none" w:sz="0" w:space="0" w:color="auto"/>
      </w:divBdr>
      <w:divsChild>
        <w:div w:id="1015956081">
          <w:marLeft w:val="0"/>
          <w:marRight w:val="0"/>
          <w:marTop w:val="0"/>
          <w:marBottom w:val="0"/>
          <w:divBdr>
            <w:top w:val="none" w:sz="0" w:space="0" w:color="auto"/>
            <w:left w:val="none" w:sz="0" w:space="0" w:color="auto"/>
            <w:bottom w:val="none" w:sz="0" w:space="0" w:color="auto"/>
            <w:right w:val="none" w:sz="0" w:space="0" w:color="auto"/>
          </w:divBdr>
          <w:divsChild>
            <w:div w:id="151345544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50101001">
      <w:marLeft w:val="0"/>
      <w:marRight w:val="0"/>
      <w:marTop w:val="240"/>
      <w:marBottom w:val="0"/>
      <w:divBdr>
        <w:top w:val="none" w:sz="0" w:space="0" w:color="auto"/>
        <w:left w:val="none" w:sz="0" w:space="0" w:color="auto"/>
        <w:bottom w:val="none" w:sz="0" w:space="0" w:color="auto"/>
        <w:right w:val="none" w:sz="0" w:space="0" w:color="auto"/>
      </w:divBdr>
    </w:div>
    <w:div w:id="150105028">
      <w:marLeft w:val="0"/>
      <w:marRight w:val="0"/>
      <w:marTop w:val="240"/>
      <w:marBottom w:val="0"/>
      <w:divBdr>
        <w:top w:val="none" w:sz="0" w:space="0" w:color="auto"/>
        <w:left w:val="none" w:sz="0" w:space="0" w:color="auto"/>
        <w:bottom w:val="none" w:sz="0" w:space="0" w:color="auto"/>
        <w:right w:val="none" w:sz="0" w:space="0" w:color="auto"/>
      </w:divBdr>
    </w:div>
    <w:div w:id="152383076">
      <w:marLeft w:val="0"/>
      <w:marRight w:val="0"/>
      <w:marTop w:val="200"/>
      <w:marBottom w:val="0"/>
      <w:divBdr>
        <w:top w:val="none" w:sz="0" w:space="0" w:color="auto"/>
        <w:left w:val="none" w:sz="0" w:space="0" w:color="auto"/>
        <w:bottom w:val="none" w:sz="0" w:space="0" w:color="auto"/>
        <w:right w:val="none" w:sz="0" w:space="0" w:color="auto"/>
      </w:divBdr>
    </w:div>
    <w:div w:id="152918236">
      <w:marLeft w:val="0"/>
      <w:marRight w:val="0"/>
      <w:marTop w:val="0"/>
      <w:marBottom w:val="0"/>
      <w:divBdr>
        <w:top w:val="none" w:sz="0" w:space="0" w:color="auto"/>
        <w:left w:val="none" w:sz="0" w:space="0" w:color="auto"/>
        <w:bottom w:val="none" w:sz="0" w:space="0" w:color="auto"/>
        <w:right w:val="none" w:sz="0" w:space="0" w:color="auto"/>
      </w:divBdr>
      <w:divsChild>
        <w:div w:id="1223979176">
          <w:marLeft w:val="0"/>
          <w:marRight w:val="0"/>
          <w:marTop w:val="0"/>
          <w:marBottom w:val="0"/>
          <w:divBdr>
            <w:top w:val="none" w:sz="0" w:space="0" w:color="auto"/>
            <w:left w:val="none" w:sz="0" w:space="0" w:color="auto"/>
            <w:bottom w:val="none" w:sz="0" w:space="0" w:color="auto"/>
            <w:right w:val="none" w:sz="0" w:space="0" w:color="auto"/>
          </w:divBdr>
        </w:div>
      </w:divsChild>
    </w:div>
    <w:div w:id="153842494">
      <w:marLeft w:val="0"/>
      <w:marRight w:val="0"/>
      <w:marTop w:val="240"/>
      <w:marBottom w:val="0"/>
      <w:divBdr>
        <w:top w:val="none" w:sz="0" w:space="0" w:color="auto"/>
        <w:left w:val="none" w:sz="0" w:space="0" w:color="auto"/>
        <w:bottom w:val="none" w:sz="0" w:space="0" w:color="auto"/>
        <w:right w:val="none" w:sz="0" w:space="0" w:color="auto"/>
      </w:divBdr>
    </w:div>
    <w:div w:id="154421749">
      <w:marLeft w:val="0"/>
      <w:marRight w:val="0"/>
      <w:marTop w:val="200"/>
      <w:marBottom w:val="0"/>
      <w:divBdr>
        <w:top w:val="none" w:sz="0" w:space="0" w:color="auto"/>
        <w:left w:val="none" w:sz="0" w:space="0" w:color="auto"/>
        <w:bottom w:val="none" w:sz="0" w:space="0" w:color="auto"/>
        <w:right w:val="none" w:sz="0" w:space="0" w:color="auto"/>
      </w:divBdr>
    </w:div>
    <w:div w:id="155072608">
      <w:marLeft w:val="0"/>
      <w:marRight w:val="0"/>
      <w:marTop w:val="240"/>
      <w:marBottom w:val="0"/>
      <w:divBdr>
        <w:top w:val="none" w:sz="0" w:space="0" w:color="auto"/>
        <w:left w:val="none" w:sz="0" w:space="0" w:color="auto"/>
        <w:bottom w:val="none" w:sz="0" w:space="0" w:color="auto"/>
        <w:right w:val="none" w:sz="0" w:space="0" w:color="auto"/>
      </w:divBdr>
    </w:div>
    <w:div w:id="155342064">
      <w:marLeft w:val="0"/>
      <w:marRight w:val="0"/>
      <w:marTop w:val="240"/>
      <w:marBottom w:val="0"/>
      <w:divBdr>
        <w:top w:val="none" w:sz="0" w:space="0" w:color="auto"/>
        <w:left w:val="none" w:sz="0" w:space="0" w:color="auto"/>
        <w:bottom w:val="none" w:sz="0" w:space="0" w:color="auto"/>
        <w:right w:val="none" w:sz="0" w:space="0" w:color="auto"/>
      </w:divBdr>
    </w:div>
    <w:div w:id="155464079">
      <w:marLeft w:val="0"/>
      <w:marRight w:val="0"/>
      <w:marTop w:val="60"/>
      <w:marBottom w:val="0"/>
      <w:divBdr>
        <w:top w:val="none" w:sz="0" w:space="0" w:color="auto"/>
        <w:left w:val="none" w:sz="0" w:space="0" w:color="auto"/>
        <w:bottom w:val="none" w:sz="0" w:space="0" w:color="auto"/>
        <w:right w:val="none" w:sz="0" w:space="0" w:color="auto"/>
      </w:divBdr>
    </w:div>
    <w:div w:id="155650883">
      <w:marLeft w:val="0"/>
      <w:marRight w:val="0"/>
      <w:marTop w:val="240"/>
      <w:marBottom w:val="0"/>
      <w:divBdr>
        <w:top w:val="none" w:sz="0" w:space="0" w:color="auto"/>
        <w:left w:val="none" w:sz="0" w:space="0" w:color="auto"/>
        <w:bottom w:val="none" w:sz="0" w:space="0" w:color="auto"/>
        <w:right w:val="none" w:sz="0" w:space="0" w:color="auto"/>
      </w:divBdr>
    </w:div>
    <w:div w:id="156044726">
      <w:marLeft w:val="0"/>
      <w:marRight w:val="0"/>
      <w:marTop w:val="240"/>
      <w:marBottom w:val="0"/>
      <w:divBdr>
        <w:top w:val="none" w:sz="0" w:space="0" w:color="auto"/>
        <w:left w:val="none" w:sz="0" w:space="0" w:color="auto"/>
        <w:bottom w:val="none" w:sz="0" w:space="0" w:color="auto"/>
        <w:right w:val="none" w:sz="0" w:space="0" w:color="auto"/>
      </w:divBdr>
    </w:div>
    <w:div w:id="157505276">
      <w:marLeft w:val="0"/>
      <w:marRight w:val="0"/>
      <w:marTop w:val="240"/>
      <w:marBottom w:val="0"/>
      <w:divBdr>
        <w:top w:val="none" w:sz="0" w:space="0" w:color="auto"/>
        <w:left w:val="none" w:sz="0" w:space="0" w:color="auto"/>
        <w:bottom w:val="none" w:sz="0" w:space="0" w:color="auto"/>
        <w:right w:val="none" w:sz="0" w:space="0" w:color="auto"/>
      </w:divBdr>
    </w:div>
    <w:div w:id="158430127">
      <w:marLeft w:val="0"/>
      <w:marRight w:val="0"/>
      <w:marTop w:val="240"/>
      <w:marBottom w:val="0"/>
      <w:divBdr>
        <w:top w:val="none" w:sz="0" w:space="0" w:color="auto"/>
        <w:left w:val="none" w:sz="0" w:space="0" w:color="auto"/>
        <w:bottom w:val="none" w:sz="0" w:space="0" w:color="auto"/>
        <w:right w:val="none" w:sz="0" w:space="0" w:color="auto"/>
      </w:divBdr>
    </w:div>
    <w:div w:id="159274883">
      <w:marLeft w:val="0"/>
      <w:marRight w:val="0"/>
      <w:marTop w:val="0"/>
      <w:marBottom w:val="0"/>
      <w:divBdr>
        <w:top w:val="none" w:sz="0" w:space="0" w:color="auto"/>
        <w:left w:val="none" w:sz="0" w:space="0" w:color="auto"/>
        <w:bottom w:val="none" w:sz="0" w:space="0" w:color="auto"/>
        <w:right w:val="none" w:sz="0" w:space="0" w:color="auto"/>
      </w:divBdr>
      <w:divsChild>
        <w:div w:id="1290824588">
          <w:marLeft w:val="0"/>
          <w:marRight w:val="0"/>
          <w:marTop w:val="120"/>
          <w:marBottom w:val="0"/>
          <w:divBdr>
            <w:top w:val="none" w:sz="0" w:space="0" w:color="auto"/>
            <w:left w:val="none" w:sz="0" w:space="0" w:color="auto"/>
            <w:bottom w:val="none" w:sz="0" w:space="0" w:color="auto"/>
            <w:right w:val="none" w:sz="0" w:space="0" w:color="auto"/>
          </w:divBdr>
        </w:div>
      </w:divsChild>
    </w:div>
    <w:div w:id="160002388">
      <w:marLeft w:val="0"/>
      <w:marRight w:val="0"/>
      <w:marTop w:val="240"/>
      <w:marBottom w:val="0"/>
      <w:divBdr>
        <w:top w:val="none" w:sz="0" w:space="0" w:color="auto"/>
        <w:left w:val="none" w:sz="0" w:space="0" w:color="auto"/>
        <w:bottom w:val="none" w:sz="0" w:space="0" w:color="auto"/>
        <w:right w:val="none" w:sz="0" w:space="0" w:color="auto"/>
      </w:divBdr>
    </w:div>
    <w:div w:id="160972722">
      <w:marLeft w:val="0"/>
      <w:marRight w:val="0"/>
      <w:marTop w:val="240"/>
      <w:marBottom w:val="0"/>
      <w:divBdr>
        <w:top w:val="none" w:sz="0" w:space="0" w:color="auto"/>
        <w:left w:val="none" w:sz="0" w:space="0" w:color="auto"/>
        <w:bottom w:val="none" w:sz="0" w:space="0" w:color="auto"/>
        <w:right w:val="none" w:sz="0" w:space="0" w:color="auto"/>
      </w:divBdr>
    </w:div>
    <w:div w:id="161742950">
      <w:marLeft w:val="0"/>
      <w:marRight w:val="0"/>
      <w:marTop w:val="240"/>
      <w:marBottom w:val="0"/>
      <w:divBdr>
        <w:top w:val="none" w:sz="0" w:space="0" w:color="auto"/>
        <w:left w:val="none" w:sz="0" w:space="0" w:color="auto"/>
        <w:bottom w:val="none" w:sz="0" w:space="0" w:color="auto"/>
        <w:right w:val="none" w:sz="0" w:space="0" w:color="auto"/>
      </w:divBdr>
    </w:div>
    <w:div w:id="161970867">
      <w:marLeft w:val="0"/>
      <w:marRight w:val="0"/>
      <w:marTop w:val="240"/>
      <w:marBottom w:val="0"/>
      <w:divBdr>
        <w:top w:val="none" w:sz="0" w:space="0" w:color="auto"/>
        <w:left w:val="none" w:sz="0" w:space="0" w:color="auto"/>
        <w:bottom w:val="none" w:sz="0" w:space="0" w:color="auto"/>
        <w:right w:val="none" w:sz="0" w:space="0" w:color="auto"/>
      </w:divBdr>
    </w:div>
    <w:div w:id="163906277">
      <w:marLeft w:val="0"/>
      <w:marRight w:val="0"/>
      <w:marTop w:val="0"/>
      <w:marBottom w:val="0"/>
      <w:divBdr>
        <w:top w:val="none" w:sz="0" w:space="0" w:color="auto"/>
        <w:left w:val="none" w:sz="0" w:space="0" w:color="auto"/>
        <w:bottom w:val="none" w:sz="0" w:space="0" w:color="auto"/>
        <w:right w:val="none" w:sz="0" w:space="0" w:color="auto"/>
      </w:divBdr>
      <w:divsChild>
        <w:div w:id="665284359">
          <w:marLeft w:val="0"/>
          <w:marRight w:val="0"/>
          <w:marTop w:val="0"/>
          <w:marBottom w:val="0"/>
          <w:divBdr>
            <w:top w:val="none" w:sz="0" w:space="0" w:color="auto"/>
            <w:left w:val="none" w:sz="0" w:space="0" w:color="auto"/>
            <w:bottom w:val="none" w:sz="0" w:space="0" w:color="auto"/>
            <w:right w:val="none" w:sz="0" w:space="0" w:color="auto"/>
          </w:divBdr>
          <w:divsChild>
            <w:div w:id="50051179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66330402">
      <w:marLeft w:val="0"/>
      <w:marRight w:val="0"/>
      <w:marTop w:val="0"/>
      <w:marBottom w:val="0"/>
      <w:divBdr>
        <w:top w:val="none" w:sz="0" w:space="0" w:color="auto"/>
        <w:left w:val="none" w:sz="0" w:space="0" w:color="auto"/>
        <w:bottom w:val="none" w:sz="0" w:space="0" w:color="auto"/>
        <w:right w:val="none" w:sz="0" w:space="0" w:color="auto"/>
      </w:divBdr>
      <w:divsChild>
        <w:div w:id="893077309">
          <w:marLeft w:val="0"/>
          <w:marRight w:val="0"/>
          <w:marTop w:val="120"/>
          <w:marBottom w:val="0"/>
          <w:divBdr>
            <w:top w:val="none" w:sz="0" w:space="0" w:color="auto"/>
            <w:left w:val="none" w:sz="0" w:space="0" w:color="auto"/>
            <w:bottom w:val="none" w:sz="0" w:space="0" w:color="auto"/>
            <w:right w:val="none" w:sz="0" w:space="0" w:color="auto"/>
          </w:divBdr>
        </w:div>
      </w:divsChild>
    </w:div>
    <w:div w:id="168254801">
      <w:marLeft w:val="0"/>
      <w:marRight w:val="0"/>
      <w:marTop w:val="240"/>
      <w:marBottom w:val="0"/>
      <w:divBdr>
        <w:top w:val="none" w:sz="0" w:space="0" w:color="auto"/>
        <w:left w:val="none" w:sz="0" w:space="0" w:color="auto"/>
        <w:bottom w:val="none" w:sz="0" w:space="0" w:color="auto"/>
        <w:right w:val="none" w:sz="0" w:space="0" w:color="auto"/>
      </w:divBdr>
    </w:div>
    <w:div w:id="172108582">
      <w:marLeft w:val="0"/>
      <w:marRight w:val="0"/>
      <w:marTop w:val="300"/>
      <w:marBottom w:val="0"/>
      <w:divBdr>
        <w:top w:val="none" w:sz="0" w:space="0" w:color="auto"/>
        <w:left w:val="none" w:sz="0" w:space="0" w:color="auto"/>
        <w:bottom w:val="none" w:sz="0" w:space="0" w:color="auto"/>
        <w:right w:val="none" w:sz="0" w:space="0" w:color="auto"/>
      </w:divBdr>
    </w:div>
    <w:div w:id="173229939">
      <w:marLeft w:val="0"/>
      <w:marRight w:val="0"/>
      <w:marTop w:val="240"/>
      <w:marBottom w:val="0"/>
      <w:divBdr>
        <w:top w:val="none" w:sz="0" w:space="0" w:color="auto"/>
        <w:left w:val="none" w:sz="0" w:space="0" w:color="auto"/>
        <w:bottom w:val="none" w:sz="0" w:space="0" w:color="auto"/>
        <w:right w:val="none" w:sz="0" w:space="0" w:color="auto"/>
      </w:divBdr>
    </w:div>
    <w:div w:id="173422763">
      <w:marLeft w:val="0"/>
      <w:marRight w:val="0"/>
      <w:marTop w:val="240"/>
      <w:marBottom w:val="0"/>
      <w:divBdr>
        <w:top w:val="none" w:sz="0" w:space="0" w:color="auto"/>
        <w:left w:val="none" w:sz="0" w:space="0" w:color="auto"/>
        <w:bottom w:val="none" w:sz="0" w:space="0" w:color="auto"/>
        <w:right w:val="none" w:sz="0" w:space="0" w:color="auto"/>
      </w:divBdr>
    </w:div>
    <w:div w:id="173543671">
      <w:marLeft w:val="0"/>
      <w:marRight w:val="0"/>
      <w:marTop w:val="60"/>
      <w:marBottom w:val="0"/>
      <w:divBdr>
        <w:top w:val="none" w:sz="0" w:space="0" w:color="auto"/>
        <w:left w:val="none" w:sz="0" w:space="0" w:color="auto"/>
        <w:bottom w:val="none" w:sz="0" w:space="0" w:color="auto"/>
        <w:right w:val="none" w:sz="0" w:space="0" w:color="auto"/>
      </w:divBdr>
    </w:div>
    <w:div w:id="180363508">
      <w:marLeft w:val="0"/>
      <w:marRight w:val="0"/>
      <w:marTop w:val="240"/>
      <w:marBottom w:val="0"/>
      <w:divBdr>
        <w:top w:val="none" w:sz="0" w:space="0" w:color="auto"/>
        <w:left w:val="none" w:sz="0" w:space="0" w:color="auto"/>
        <w:bottom w:val="none" w:sz="0" w:space="0" w:color="auto"/>
        <w:right w:val="none" w:sz="0" w:space="0" w:color="auto"/>
      </w:divBdr>
    </w:div>
    <w:div w:id="181405248">
      <w:marLeft w:val="0"/>
      <w:marRight w:val="0"/>
      <w:marTop w:val="180"/>
      <w:marBottom w:val="0"/>
      <w:divBdr>
        <w:top w:val="none" w:sz="0" w:space="0" w:color="auto"/>
        <w:left w:val="none" w:sz="0" w:space="0" w:color="auto"/>
        <w:bottom w:val="none" w:sz="0" w:space="0" w:color="auto"/>
        <w:right w:val="none" w:sz="0" w:space="0" w:color="auto"/>
      </w:divBdr>
    </w:div>
    <w:div w:id="184948067">
      <w:marLeft w:val="0"/>
      <w:marRight w:val="0"/>
      <w:marTop w:val="240"/>
      <w:marBottom w:val="0"/>
      <w:divBdr>
        <w:top w:val="none" w:sz="0" w:space="0" w:color="auto"/>
        <w:left w:val="none" w:sz="0" w:space="0" w:color="auto"/>
        <w:bottom w:val="none" w:sz="0" w:space="0" w:color="auto"/>
        <w:right w:val="none" w:sz="0" w:space="0" w:color="auto"/>
      </w:divBdr>
    </w:div>
    <w:div w:id="186411171">
      <w:marLeft w:val="0"/>
      <w:marRight w:val="0"/>
      <w:marTop w:val="240"/>
      <w:marBottom w:val="0"/>
      <w:divBdr>
        <w:top w:val="none" w:sz="0" w:space="0" w:color="auto"/>
        <w:left w:val="none" w:sz="0" w:space="0" w:color="auto"/>
        <w:bottom w:val="none" w:sz="0" w:space="0" w:color="auto"/>
        <w:right w:val="none" w:sz="0" w:space="0" w:color="auto"/>
      </w:divBdr>
    </w:div>
    <w:div w:id="187574282">
      <w:marLeft w:val="0"/>
      <w:marRight w:val="0"/>
      <w:marTop w:val="0"/>
      <w:marBottom w:val="0"/>
      <w:divBdr>
        <w:top w:val="none" w:sz="0" w:space="0" w:color="auto"/>
        <w:left w:val="none" w:sz="0" w:space="0" w:color="auto"/>
        <w:bottom w:val="none" w:sz="0" w:space="0" w:color="auto"/>
        <w:right w:val="none" w:sz="0" w:space="0" w:color="auto"/>
      </w:divBdr>
      <w:divsChild>
        <w:div w:id="462120524">
          <w:marLeft w:val="0"/>
          <w:marRight w:val="0"/>
          <w:marTop w:val="0"/>
          <w:marBottom w:val="0"/>
          <w:divBdr>
            <w:top w:val="none" w:sz="0" w:space="0" w:color="auto"/>
            <w:left w:val="none" w:sz="0" w:space="0" w:color="auto"/>
            <w:bottom w:val="none" w:sz="0" w:space="0" w:color="auto"/>
            <w:right w:val="none" w:sz="0" w:space="0" w:color="auto"/>
          </w:divBdr>
          <w:divsChild>
            <w:div w:id="2348692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88228835">
      <w:marLeft w:val="0"/>
      <w:marRight w:val="0"/>
      <w:marTop w:val="240"/>
      <w:marBottom w:val="240"/>
      <w:divBdr>
        <w:top w:val="none" w:sz="0" w:space="0" w:color="auto"/>
        <w:left w:val="none" w:sz="0" w:space="0" w:color="auto"/>
        <w:bottom w:val="none" w:sz="0" w:space="0" w:color="auto"/>
        <w:right w:val="none" w:sz="0" w:space="0" w:color="auto"/>
      </w:divBdr>
    </w:div>
    <w:div w:id="188376794">
      <w:marLeft w:val="0"/>
      <w:marRight w:val="0"/>
      <w:marTop w:val="240"/>
      <w:marBottom w:val="0"/>
      <w:divBdr>
        <w:top w:val="none" w:sz="0" w:space="0" w:color="auto"/>
        <w:left w:val="none" w:sz="0" w:space="0" w:color="auto"/>
        <w:bottom w:val="none" w:sz="0" w:space="0" w:color="auto"/>
        <w:right w:val="none" w:sz="0" w:space="0" w:color="auto"/>
      </w:divBdr>
    </w:div>
    <w:div w:id="188419525">
      <w:marLeft w:val="0"/>
      <w:marRight w:val="0"/>
      <w:marTop w:val="300"/>
      <w:marBottom w:val="60"/>
      <w:divBdr>
        <w:top w:val="none" w:sz="0" w:space="0" w:color="auto"/>
        <w:left w:val="none" w:sz="0" w:space="0" w:color="auto"/>
        <w:bottom w:val="none" w:sz="0" w:space="0" w:color="auto"/>
        <w:right w:val="none" w:sz="0" w:space="0" w:color="auto"/>
      </w:divBdr>
    </w:div>
    <w:div w:id="188570079">
      <w:marLeft w:val="0"/>
      <w:marRight w:val="0"/>
      <w:marTop w:val="240"/>
      <w:marBottom w:val="0"/>
      <w:divBdr>
        <w:top w:val="none" w:sz="0" w:space="0" w:color="auto"/>
        <w:left w:val="none" w:sz="0" w:space="0" w:color="auto"/>
        <w:bottom w:val="none" w:sz="0" w:space="0" w:color="auto"/>
        <w:right w:val="none" w:sz="0" w:space="0" w:color="auto"/>
      </w:divBdr>
    </w:div>
    <w:div w:id="191037605">
      <w:marLeft w:val="0"/>
      <w:marRight w:val="0"/>
      <w:marTop w:val="200"/>
      <w:marBottom w:val="0"/>
      <w:divBdr>
        <w:top w:val="none" w:sz="0" w:space="0" w:color="auto"/>
        <w:left w:val="none" w:sz="0" w:space="0" w:color="auto"/>
        <w:bottom w:val="none" w:sz="0" w:space="0" w:color="auto"/>
        <w:right w:val="none" w:sz="0" w:space="0" w:color="auto"/>
      </w:divBdr>
    </w:div>
    <w:div w:id="192500557">
      <w:marLeft w:val="0"/>
      <w:marRight w:val="0"/>
      <w:marTop w:val="240"/>
      <w:marBottom w:val="0"/>
      <w:divBdr>
        <w:top w:val="none" w:sz="0" w:space="0" w:color="auto"/>
        <w:left w:val="none" w:sz="0" w:space="0" w:color="auto"/>
        <w:bottom w:val="none" w:sz="0" w:space="0" w:color="auto"/>
        <w:right w:val="none" w:sz="0" w:space="0" w:color="auto"/>
      </w:divBdr>
    </w:div>
    <w:div w:id="193887791">
      <w:marLeft w:val="0"/>
      <w:marRight w:val="0"/>
      <w:marTop w:val="240"/>
      <w:marBottom w:val="0"/>
      <w:divBdr>
        <w:top w:val="none" w:sz="0" w:space="0" w:color="auto"/>
        <w:left w:val="none" w:sz="0" w:space="0" w:color="auto"/>
        <w:bottom w:val="none" w:sz="0" w:space="0" w:color="auto"/>
        <w:right w:val="none" w:sz="0" w:space="0" w:color="auto"/>
      </w:divBdr>
    </w:div>
    <w:div w:id="198278394">
      <w:marLeft w:val="0"/>
      <w:marRight w:val="0"/>
      <w:marTop w:val="0"/>
      <w:marBottom w:val="0"/>
      <w:divBdr>
        <w:top w:val="none" w:sz="0" w:space="0" w:color="auto"/>
        <w:left w:val="none" w:sz="0" w:space="0" w:color="auto"/>
        <w:bottom w:val="none" w:sz="0" w:space="0" w:color="auto"/>
        <w:right w:val="none" w:sz="0" w:space="0" w:color="auto"/>
      </w:divBdr>
      <w:divsChild>
        <w:div w:id="1085418980">
          <w:marLeft w:val="0"/>
          <w:marRight w:val="0"/>
          <w:marTop w:val="0"/>
          <w:marBottom w:val="0"/>
          <w:divBdr>
            <w:top w:val="none" w:sz="0" w:space="0" w:color="auto"/>
            <w:left w:val="none" w:sz="0" w:space="0" w:color="auto"/>
            <w:bottom w:val="none" w:sz="0" w:space="0" w:color="auto"/>
            <w:right w:val="none" w:sz="0" w:space="0" w:color="auto"/>
          </w:divBdr>
        </w:div>
      </w:divsChild>
    </w:div>
    <w:div w:id="200291890">
      <w:marLeft w:val="0"/>
      <w:marRight w:val="0"/>
      <w:marTop w:val="240"/>
      <w:marBottom w:val="0"/>
      <w:divBdr>
        <w:top w:val="none" w:sz="0" w:space="0" w:color="auto"/>
        <w:left w:val="none" w:sz="0" w:space="0" w:color="auto"/>
        <w:bottom w:val="none" w:sz="0" w:space="0" w:color="auto"/>
        <w:right w:val="none" w:sz="0" w:space="0" w:color="auto"/>
      </w:divBdr>
    </w:div>
    <w:div w:id="201209946">
      <w:marLeft w:val="0"/>
      <w:marRight w:val="0"/>
      <w:marTop w:val="180"/>
      <w:marBottom w:val="0"/>
      <w:divBdr>
        <w:top w:val="none" w:sz="0" w:space="0" w:color="auto"/>
        <w:left w:val="none" w:sz="0" w:space="0" w:color="auto"/>
        <w:bottom w:val="none" w:sz="0" w:space="0" w:color="auto"/>
        <w:right w:val="none" w:sz="0" w:space="0" w:color="auto"/>
      </w:divBdr>
    </w:div>
    <w:div w:id="201213379">
      <w:marLeft w:val="0"/>
      <w:marRight w:val="0"/>
      <w:marTop w:val="0"/>
      <w:marBottom w:val="0"/>
      <w:divBdr>
        <w:top w:val="none" w:sz="0" w:space="0" w:color="auto"/>
        <w:left w:val="none" w:sz="0" w:space="0" w:color="auto"/>
        <w:bottom w:val="none" w:sz="0" w:space="0" w:color="auto"/>
        <w:right w:val="none" w:sz="0" w:space="0" w:color="auto"/>
      </w:divBdr>
      <w:divsChild>
        <w:div w:id="2016347347">
          <w:marLeft w:val="0"/>
          <w:marRight w:val="0"/>
          <w:marTop w:val="0"/>
          <w:marBottom w:val="0"/>
          <w:divBdr>
            <w:top w:val="none" w:sz="0" w:space="0" w:color="auto"/>
            <w:left w:val="none" w:sz="0" w:space="0" w:color="auto"/>
            <w:bottom w:val="none" w:sz="0" w:space="0" w:color="auto"/>
            <w:right w:val="none" w:sz="0" w:space="0" w:color="auto"/>
          </w:divBdr>
        </w:div>
      </w:divsChild>
    </w:div>
    <w:div w:id="204342078">
      <w:marLeft w:val="0"/>
      <w:marRight w:val="0"/>
      <w:marTop w:val="120"/>
      <w:marBottom w:val="60"/>
      <w:divBdr>
        <w:top w:val="none" w:sz="0" w:space="0" w:color="auto"/>
        <w:left w:val="none" w:sz="0" w:space="0" w:color="auto"/>
        <w:bottom w:val="none" w:sz="0" w:space="0" w:color="auto"/>
        <w:right w:val="none" w:sz="0" w:space="0" w:color="auto"/>
      </w:divBdr>
    </w:div>
    <w:div w:id="207423273">
      <w:marLeft w:val="0"/>
      <w:marRight w:val="0"/>
      <w:marTop w:val="240"/>
      <w:marBottom w:val="0"/>
      <w:divBdr>
        <w:top w:val="none" w:sz="0" w:space="0" w:color="auto"/>
        <w:left w:val="none" w:sz="0" w:space="0" w:color="auto"/>
        <w:bottom w:val="none" w:sz="0" w:space="0" w:color="auto"/>
        <w:right w:val="none" w:sz="0" w:space="0" w:color="auto"/>
      </w:divBdr>
    </w:div>
    <w:div w:id="208618088">
      <w:marLeft w:val="0"/>
      <w:marRight w:val="0"/>
      <w:marTop w:val="240"/>
      <w:marBottom w:val="0"/>
      <w:divBdr>
        <w:top w:val="none" w:sz="0" w:space="0" w:color="auto"/>
        <w:left w:val="none" w:sz="0" w:space="0" w:color="auto"/>
        <w:bottom w:val="none" w:sz="0" w:space="0" w:color="auto"/>
        <w:right w:val="none" w:sz="0" w:space="0" w:color="auto"/>
      </w:divBdr>
    </w:div>
    <w:div w:id="209076232">
      <w:marLeft w:val="0"/>
      <w:marRight w:val="0"/>
      <w:marTop w:val="240"/>
      <w:marBottom w:val="240"/>
      <w:divBdr>
        <w:top w:val="none" w:sz="0" w:space="0" w:color="auto"/>
        <w:left w:val="none" w:sz="0" w:space="0" w:color="auto"/>
        <w:bottom w:val="none" w:sz="0" w:space="0" w:color="auto"/>
        <w:right w:val="none" w:sz="0" w:space="0" w:color="auto"/>
      </w:divBdr>
    </w:div>
    <w:div w:id="209077826">
      <w:marLeft w:val="0"/>
      <w:marRight w:val="0"/>
      <w:marTop w:val="240"/>
      <w:marBottom w:val="0"/>
      <w:divBdr>
        <w:top w:val="none" w:sz="0" w:space="0" w:color="auto"/>
        <w:left w:val="none" w:sz="0" w:space="0" w:color="auto"/>
        <w:bottom w:val="none" w:sz="0" w:space="0" w:color="auto"/>
        <w:right w:val="none" w:sz="0" w:space="0" w:color="auto"/>
      </w:divBdr>
    </w:div>
    <w:div w:id="211308328">
      <w:marLeft w:val="0"/>
      <w:marRight w:val="0"/>
      <w:marTop w:val="240"/>
      <w:marBottom w:val="0"/>
      <w:divBdr>
        <w:top w:val="none" w:sz="0" w:space="0" w:color="auto"/>
        <w:left w:val="none" w:sz="0" w:space="0" w:color="auto"/>
        <w:bottom w:val="none" w:sz="0" w:space="0" w:color="auto"/>
        <w:right w:val="none" w:sz="0" w:space="0" w:color="auto"/>
      </w:divBdr>
    </w:div>
    <w:div w:id="211964987">
      <w:marLeft w:val="0"/>
      <w:marRight w:val="0"/>
      <w:marTop w:val="200"/>
      <w:marBottom w:val="0"/>
      <w:divBdr>
        <w:top w:val="none" w:sz="0" w:space="0" w:color="auto"/>
        <w:left w:val="none" w:sz="0" w:space="0" w:color="auto"/>
        <w:bottom w:val="none" w:sz="0" w:space="0" w:color="auto"/>
        <w:right w:val="none" w:sz="0" w:space="0" w:color="auto"/>
      </w:divBdr>
    </w:div>
    <w:div w:id="213271777">
      <w:marLeft w:val="0"/>
      <w:marRight w:val="0"/>
      <w:marTop w:val="240"/>
      <w:marBottom w:val="0"/>
      <w:divBdr>
        <w:top w:val="none" w:sz="0" w:space="0" w:color="auto"/>
        <w:left w:val="none" w:sz="0" w:space="0" w:color="auto"/>
        <w:bottom w:val="none" w:sz="0" w:space="0" w:color="auto"/>
        <w:right w:val="none" w:sz="0" w:space="0" w:color="auto"/>
      </w:divBdr>
    </w:div>
    <w:div w:id="214244481">
      <w:marLeft w:val="0"/>
      <w:marRight w:val="0"/>
      <w:marTop w:val="160"/>
      <w:marBottom w:val="0"/>
      <w:divBdr>
        <w:top w:val="none" w:sz="0" w:space="0" w:color="auto"/>
        <w:left w:val="none" w:sz="0" w:space="0" w:color="auto"/>
        <w:bottom w:val="none" w:sz="0" w:space="0" w:color="auto"/>
        <w:right w:val="none" w:sz="0" w:space="0" w:color="auto"/>
      </w:divBdr>
      <w:divsChild>
        <w:div w:id="1249388251">
          <w:marLeft w:val="0"/>
          <w:marRight w:val="0"/>
          <w:marTop w:val="0"/>
          <w:marBottom w:val="0"/>
          <w:divBdr>
            <w:top w:val="none" w:sz="0" w:space="0" w:color="auto"/>
            <w:left w:val="none" w:sz="0" w:space="0" w:color="auto"/>
            <w:bottom w:val="none" w:sz="0" w:space="0" w:color="auto"/>
            <w:right w:val="none" w:sz="0" w:space="0" w:color="auto"/>
          </w:divBdr>
        </w:div>
        <w:div w:id="535167563">
          <w:marLeft w:val="0"/>
          <w:marRight w:val="0"/>
          <w:marTop w:val="0"/>
          <w:marBottom w:val="0"/>
          <w:divBdr>
            <w:top w:val="none" w:sz="0" w:space="0" w:color="auto"/>
            <w:left w:val="none" w:sz="0" w:space="0" w:color="auto"/>
            <w:bottom w:val="none" w:sz="0" w:space="0" w:color="auto"/>
            <w:right w:val="none" w:sz="0" w:space="0" w:color="auto"/>
          </w:divBdr>
        </w:div>
      </w:divsChild>
    </w:div>
    <w:div w:id="217403207">
      <w:marLeft w:val="0"/>
      <w:marRight w:val="0"/>
      <w:marTop w:val="240"/>
      <w:marBottom w:val="0"/>
      <w:divBdr>
        <w:top w:val="none" w:sz="0" w:space="0" w:color="auto"/>
        <w:left w:val="none" w:sz="0" w:space="0" w:color="auto"/>
        <w:bottom w:val="none" w:sz="0" w:space="0" w:color="auto"/>
        <w:right w:val="none" w:sz="0" w:space="0" w:color="auto"/>
      </w:divBdr>
    </w:div>
    <w:div w:id="219168809">
      <w:marLeft w:val="0"/>
      <w:marRight w:val="0"/>
      <w:marTop w:val="100"/>
      <w:marBottom w:val="120"/>
      <w:divBdr>
        <w:top w:val="none" w:sz="0" w:space="0" w:color="auto"/>
        <w:left w:val="none" w:sz="0" w:space="0" w:color="auto"/>
        <w:bottom w:val="none" w:sz="0" w:space="0" w:color="auto"/>
        <w:right w:val="none" w:sz="0" w:space="0" w:color="auto"/>
      </w:divBdr>
    </w:div>
    <w:div w:id="220873870">
      <w:marLeft w:val="0"/>
      <w:marRight w:val="0"/>
      <w:marTop w:val="0"/>
      <w:marBottom w:val="0"/>
      <w:divBdr>
        <w:top w:val="none" w:sz="0" w:space="0" w:color="auto"/>
        <w:left w:val="none" w:sz="0" w:space="0" w:color="auto"/>
        <w:bottom w:val="none" w:sz="0" w:space="0" w:color="auto"/>
        <w:right w:val="none" w:sz="0" w:space="0" w:color="auto"/>
      </w:divBdr>
      <w:divsChild>
        <w:div w:id="1948196626">
          <w:marLeft w:val="0"/>
          <w:marRight w:val="0"/>
          <w:marTop w:val="120"/>
          <w:marBottom w:val="0"/>
          <w:divBdr>
            <w:top w:val="none" w:sz="0" w:space="0" w:color="auto"/>
            <w:left w:val="none" w:sz="0" w:space="0" w:color="auto"/>
            <w:bottom w:val="none" w:sz="0" w:space="0" w:color="auto"/>
            <w:right w:val="none" w:sz="0" w:space="0" w:color="auto"/>
          </w:divBdr>
        </w:div>
      </w:divsChild>
    </w:div>
    <w:div w:id="223222532">
      <w:marLeft w:val="0"/>
      <w:marRight w:val="0"/>
      <w:marTop w:val="0"/>
      <w:marBottom w:val="0"/>
      <w:divBdr>
        <w:top w:val="none" w:sz="0" w:space="0" w:color="auto"/>
        <w:left w:val="none" w:sz="0" w:space="0" w:color="auto"/>
        <w:bottom w:val="none" w:sz="0" w:space="0" w:color="auto"/>
        <w:right w:val="none" w:sz="0" w:space="0" w:color="auto"/>
      </w:divBdr>
      <w:divsChild>
        <w:div w:id="747993514">
          <w:marLeft w:val="0"/>
          <w:marRight w:val="0"/>
          <w:marTop w:val="0"/>
          <w:marBottom w:val="0"/>
          <w:divBdr>
            <w:top w:val="none" w:sz="0" w:space="0" w:color="auto"/>
            <w:left w:val="none" w:sz="0" w:space="0" w:color="auto"/>
            <w:bottom w:val="none" w:sz="0" w:space="0" w:color="auto"/>
            <w:right w:val="none" w:sz="0" w:space="0" w:color="auto"/>
          </w:divBdr>
        </w:div>
      </w:divsChild>
    </w:div>
    <w:div w:id="223297284">
      <w:marLeft w:val="0"/>
      <w:marRight w:val="0"/>
      <w:marTop w:val="0"/>
      <w:marBottom w:val="0"/>
      <w:divBdr>
        <w:top w:val="none" w:sz="0" w:space="0" w:color="auto"/>
        <w:left w:val="none" w:sz="0" w:space="0" w:color="auto"/>
        <w:bottom w:val="none" w:sz="0" w:space="0" w:color="auto"/>
        <w:right w:val="none" w:sz="0" w:space="0" w:color="auto"/>
      </w:divBdr>
      <w:divsChild>
        <w:div w:id="747072677">
          <w:marLeft w:val="0"/>
          <w:marRight w:val="0"/>
          <w:marTop w:val="0"/>
          <w:marBottom w:val="0"/>
          <w:divBdr>
            <w:top w:val="none" w:sz="0" w:space="0" w:color="auto"/>
            <w:left w:val="none" w:sz="0" w:space="0" w:color="auto"/>
            <w:bottom w:val="none" w:sz="0" w:space="0" w:color="auto"/>
            <w:right w:val="none" w:sz="0" w:space="0" w:color="auto"/>
          </w:divBdr>
          <w:divsChild>
            <w:div w:id="125652245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223831951">
      <w:marLeft w:val="0"/>
      <w:marRight w:val="0"/>
      <w:marTop w:val="240"/>
      <w:marBottom w:val="240"/>
      <w:divBdr>
        <w:top w:val="none" w:sz="0" w:space="0" w:color="auto"/>
        <w:left w:val="none" w:sz="0" w:space="0" w:color="auto"/>
        <w:bottom w:val="none" w:sz="0" w:space="0" w:color="auto"/>
        <w:right w:val="none" w:sz="0" w:space="0" w:color="auto"/>
      </w:divBdr>
    </w:div>
    <w:div w:id="229048987">
      <w:marLeft w:val="0"/>
      <w:marRight w:val="0"/>
      <w:marTop w:val="0"/>
      <w:marBottom w:val="0"/>
      <w:divBdr>
        <w:top w:val="none" w:sz="0" w:space="0" w:color="auto"/>
        <w:left w:val="none" w:sz="0" w:space="0" w:color="auto"/>
        <w:bottom w:val="none" w:sz="0" w:space="0" w:color="auto"/>
        <w:right w:val="none" w:sz="0" w:space="0" w:color="auto"/>
      </w:divBdr>
    </w:div>
    <w:div w:id="229775795">
      <w:marLeft w:val="0"/>
      <w:marRight w:val="0"/>
      <w:marTop w:val="0"/>
      <w:marBottom w:val="0"/>
      <w:divBdr>
        <w:top w:val="none" w:sz="0" w:space="0" w:color="auto"/>
        <w:left w:val="none" w:sz="0" w:space="0" w:color="auto"/>
        <w:bottom w:val="none" w:sz="0" w:space="0" w:color="auto"/>
        <w:right w:val="none" w:sz="0" w:space="0" w:color="auto"/>
      </w:divBdr>
      <w:divsChild>
        <w:div w:id="975068517">
          <w:marLeft w:val="0"/>
          <w:marRight w:val="0"/>
          <w:marTop w:val="0"/>
          <w:marBottom w:val="0"/>
          <w:divBdr>
            <w:top w:val="none" w:sz="0" w:space="0" w:color="auto"/>
            <w:left w:val="none" w:sz="0" w:space="0" w:color="auto"/>
            <w:bottom w:val="none" w:sz="0" w:space="0" w:color="auto"/>
            <w:right w:val="none" w:sz="0" w:space="0" w:color="auto"/>
          </w:divBdr>
        </w:div>
      </w:divsChild>
    </w:div>
    <w:div w:id="231087882">
      <w:marLeft w:val="0"/>
      <w:marRight w:val="0"/>
      <w:marTop w:val="240"/>
      <w:marBottom w:val="0"/>
      <w:divBdr>
        <w:top w:val="none" w:sz="0" w:space="0" w:color="auto"/>
        <w:left w:val="none" w:sz="0" w:space="0" w:color="auto"/>
        <w:bottom w:val="none" w:sz="0" w:space="0" w:color="auto"/>
        <w:right w:val="none" w:sz="0" w:space="0" w:color="auto"/>
      </w:divBdr>
    </w:div>
    <w:div w:id="232547299">
      <w:marLeft w:val="0"/>
      <w:marRight w:val="0"/>
      <w:marTop w:val="240"/>
      <w:marBottom w:val="0"/>
      <w:divBdr>
        <w:top w:val="none" w:sz="0" w:space="0" w:color="auto"/>
        <w:left w:val="none" w:sz="0" w:space="0" w:color="auto"/>
        <w:bottom w:val="none" w:sz="0" w:space="0" w:color="auto"/>
        <w:right w:val="none" w:sz="0" w:space="0" w:color="auto"/>
      </w:divBdr>
    </w:div>
    <w:div w:id="233197550">
      <w:marLeft w:val="0"/>
      <w:marRight w:val="0"/>
      <w:marTop w:val="200"/>
      <w:marBottom w:val="0"/>
      <w:divBdr>
        <w:top w:val="none" w:sz="0" w:space="0" w:color="auto"/>
        <w:left w:val="none" w:sz="0" w:space="0" w:color="auto"/>
        <w:bottom w:val="none" w:sz="0" w:space="0" w:color="auto"/>
        <w:right w:val="none" w:sz="0" w:space="0" w:color="auto"/>
      </w:divBdr>
    </w:div>
    <w:div w:id="234171331">
      <w:marLeft w:val="0"/>
      <w:marRight w:val="0"/>
      <w:marTop w:val="160"/>
      <w:marBottom w:val="0"/>
      <w:divBdr>
        <w:top w:val="none" w:sz="0" w:space="0" w:color="auto"/>
        <w:left w:val="none" w:sz="0" w:space="0" w:color="auto"/>
        <w:bottom w:val="none" w:sz="0" w:space="0" w:color="auto"/>
        <w:right w:val="none" w:sz="0" w:space="0" w:color="auto"/>
      </w:divBdr>
      <w:divsChild>
        <w:div w:id="266929264">
          <w:marLeft w:val="0"/>
          <w:marRight w:val="0"/>
          <w:marTop w:val="0"/>
          <w:marBottom w:val="0"/>
          <w:divBdr>
            <w:top w:val="none" w:sz="0" w:space="0" w:color="auto"/>
            <w:left w:val="none" w:sz="0" w:space="0" w:color="auto"/>
            <w:bottom w:val="none" w:sz="0" w:space="0" w:color="auto"/>
            <w:right w:val="none" w:sz="0" w:space="0" w:color="auto"/>
          </w:divBdr>
        </w:div>
      </w:divsChild>
    </w:div>
    <w:div w:id="235478703">
      <w:marLeft w:val="0"/>
      <w:marRight w:val="0"/>
      <w:marTop w:val="240"/>
      <w:marBottom w:val="0"/>
      <w:divBdr>
        <w:top w:val="none" w:sz="0" w:space="0" w:color="auto"/>
        <w:left w:val="none" w:sz="0" w:space="0" w:color="auto"/>
        <w:bottom w:val="none" w:sz="0" w:space="0" w:color="auto"/>
        <w:right w:val="none" w:sz="0" w:space="0" w:color="auto"/>
      </w:divBdr>
    </w:div>
    <w:div w:id="236599009">
      <w:marLeft w:val="0"/>
      <w:marRight w:val="0"/>
      <w:marTop w:val="140"/>
      <w:marBottom w:val="0"/>
      <w:divBdr>
        <w:top w:val="none" w:sz="0" w:space="0" w:color="auto"/>
        <w:left w:val="none" w:sz="0" w:space="0" w:color="auto"/>
        <w:bottom w:val="none" w:sz="0" w:space="0" w:color="auto"/>
        <w:right w:val="none" w:sz="0" w:space="0" w:color="auto"/>
      </w:divBdr>
    </w:div>
    <w:div w:id="237253686">
      <w:marLeft w:val="0"/>
      <w:marRight w:val="0"/>
      <w:marTop w:val="0"/>
      <w:marBottom w:val="0"/>
      <w:divBdr>
        <w:top w:val="none" w:sz="0" w:space="0" w:color="auto"/>
        <w:left w:val="none" w:sz="0" w:space="0" w:color="auto"/>
        <w:bottom w:val="none" w:sz="0" w:space="0" w:color="auto"/>
        <w:right w:val="none" w:sz="0" w:space="0" w:color="auto"/>
      </w:divBdr>
      <w:divsChild>
        <w:div w:id="1944920010">
          <w:marLeft w:val="0"/>
          <w:marRight w:val="0"/>
          <w:marTop w:val="0"/>
          <w:marBottom w:val="0"/>
          <w:divBdr>
            <w:top w:val="none" w:sz="0" w:space="0" w:color="auto"/>
            <w:left w:val="none" w:sz="0" w:space="0" w:color="auto"/>
            <w:bottom w:val="none" w:sz="0" w:space="0" w:color="auto"/>
            <w:right w:val="none" w:sz="0" w:space="0" w:color="auto"/>
          </w:divBdr>
        </w:div>
      </w:divsChild>
    </w:div>
    <w:div w:id="238173582">
      <w:marLeft w:val="0"/>
      <w:marRight w:val="0"/>
      <w:marTop w:val="0"/>
      <w:marBottom w:val="0"/>
      <w:divBdr>
        <w:top w:val="none" w:sz="0" w:space="0" w:color="auto"/>
        <w:left w:val="none" w:sz="0" w:space="0" w:color="auto"/>
        <w:bottom w:val="none" w:sz="0" w:space="0" w:color="auto"/>
        <w:right w:val="none" w:sz="0" w:space="0" w:color="auto"/>
      </w:divBdr>
    </w:div>
    <w:div w:id="238372756">
      <w:marLeft w:val="0"/>
      <w:marRight w:val="0"/>
      <w:marTop w:val="120"/>
      <w:marBottom w:val="0"/>
      <w:divBdr>
        <w:top w:val="none" w:sz="0" w:space="0" w:color="auto"/>
        <w:left w:val="none" w:sz="0" w:space="0" w:color="auto"/>
        <w:bottom w:val="none" w:sz="0" w:space="0" w:color="auto"/>
        <w:right w:val="none" w:sz="0" w:space="0" w:color="auto"/>
      </w:divBdr>
    </w:div>
    <w:div w:id="244387576">
      <w:marLeft w:val="0"/>
      <w:marRight w:val="0"/>
      <w:marTop w:val="160"/>
      <w:marBottom w:val="0"/>
      <w:divBdr>
        <w:top w:val="none" w:sz="0" w:space="0" w:color="auto"/>
        <w:left w:val="none" w:sz="0" w:space="0" w:color="auto"/>
        <w:bottom w:val="none" w:sz="0" w:space="0" w:color="auto"/>
        <w:right w:val="none" w:sz="0" w:space="0" w:color="auto"/>
      </w:divBdr>
    </w:div>
    <w:div w:id="245657244">
      <w:marLeft w:val="0"/>
      <w:marRight w:val="0"/>
      <w:marTop w:val="240"/>
      <w:marBottom w:val="0"/>
      <w:divBdr>
        <w:top w:val="none" w:sz="0" w:space="0" w:color="auto"/>
        <w:left w:val="none" w:sz="0" w:space="0" w:color="auto"/>
        <w:bottom w:val="none" w:sz="0" w:space="0" w:color="auto"/>
        <w:right w:val="none" w:sz="0" w:space="0" w:color="auto"/>
      </w:divBdr>
    </w:div>
    <w:div w:id="246308165">
      <w:marLeft w:val="0"/>
      <w:marRight w:val="0"/>
      <w:marTop w:val="240"/>
      <w:marBottom w:val="0"/>
      <w:divBdr>
        <w:top w:val="none" w:sz="0" w:space="0" w:color="auto"/>
        <w:left w:val="none" w:sz="0" w:space="0" w:color="auto"/>
        <w:bottom w:val="none" w:sz="0" w:space="0" w:color="auto"/>
        <w:right w:val="none" w:sz="0" w:space="0" w:color="auto"/>
      </w:divBdr>
    </w:div>
    <w:div w:id="246614906">
      <w:marLeft w:val="0"/>
      <w:marRight w:val="0"/>
      <w:marTop w:val="200"/>
      <w:marBottom w:val="0"/>
      <w:divBdr>
        <w:top w:val="none" w:sz="0" w:space="0" w:color="auto"/>
        <w:left w:val="none" w:sz="0" w:space="0" w:color="auto"/>
        <w:bottom w:val="none" w:sz="0" w:space="0" w:color="auto"/>
        <w:right w:val="none" w:sz="0" w:space="0" w:color="auto"/>
      </w:divBdr>
    </w:div>
    <w:div w:id="247007984">
      <w:marLeft w:val="0"/>
      <w:marRight w:val="0"/>
      <w:marTop w:val="0"/>
      <w:marBottom w:val="0"/>
      <w:divBdr>
        <w:top w:val="none" w:sz="0" w:space="0" w:color="auto"/>
        <w:left w:val="none" w:sz="0" w:space="0" w:color="auto"/>
        <w:bottom w:val="none" w:sz="0" w:space="0" w:color="auto"/>
        <w:right w:val="none" w:sz="0" w:space="0" w:color="auto"/>
      </w:divBdr>
      <w:divsChild>
        <w:div w:id="1414165869">
          <w:marLeft w:val="0"/>
          <w:marRight w:val="0"/>
          <w:marTop w:val="0"/>
          <w:marBottom w:val="0"/>
          <w:divBdr>
            <w:top w:val="none" w:sz="0" w:space="0" w:color="auto"/>
            <w:left w:val="none" w:sz="0" w:space="0" w:color="auto"/>
            <w:bottom w:val="none" w:sz="0" w:space="0" w:color="auto"/>
            <w:right w:val="none" w:sz="0" w:space="0" w:color="auto"/>
          </w:divBdr>
        </w:div>
      </w:divsChild>
    </w:div>
    <w:div w:id="247010112">
      <w:marLeft w:val="0"/>
      <w:marRight w:val="0"/>
      <w:marTop w:val="240"/>
      <w:marBottom w:val="240"/>
      <w:divBdr>
        <w:top w:val="none" w:sz="0" w:space="0" w:color="auto"/>
        <w:left w:val="none" w:sz="0" w:space="0" w:color="auto"/>
        <w:bottom w:val="none" w:sz="0" w:space="0" w:color="auto"/>
        <w:right w:val="none" w:sz="0" w:space="0" w:color="auto"/>
      </w:divBdr>
    </w:div>
    <w:div w:id="248320359">
      <w:marLeft w:val="0"/>
      <w:marRight w:val="0"/>
      <w:marTop w:val="240"/>
      <w:marBottom w:val="0"/>
      <w:divBdr>
        <w:top w:val="none" w:sz="0" w:space="0" w:color="auto"/>
        <w:left w:val="none" w:sz="0" w:space="0" w:color="auto"/>
        <w:bottom w:val="none" w:sz="0" w:space="0" w:color="auto"/>
        <w:right w:val="none" w:sz="0" w:space="0" w:color="auto"/>
      </w:divBdr>
    </w:div>
    <w:div w:id="249854871">
      <w:marLeft w:val="0"/>
      <w:marRight w:val="0"/>
      <w:marTop w:val="240"/>
      <w:marBottom w:val="0"/>
      <w:divBdr>
        <w:top w:val="none" w:sz="0" w:space="0" w:color="auto"/>
        <w:left w:val="none" w:sz="0" w:space="0" w:color="auto"/>
        <w:bottom w:val="none" w:sz="0" w:space="0" w:color="auto"/>
        <w:right w:val="none" w:sz="0" w:space="0" w:color="auto"/>
      </w:divBdr>
    </w:div>
    <w:div w:id="252670826">
      <w:marLeft w:val="0"/>
      <w:marRight w:val="0"/>
      <w:marTop w:val="160"/>
      <w:marBottom w:val="0"/>
      <w:divBdr>
        <w:top w:val="none" w:sz="0" w:space="0" w:color="auto"/>
        <w:left w:val="none" w:sz="0" w:space="0" w:color="auto"/>
        <w:bottom w:val="none" w:sz="0" w:space="0" w:color="auto"/>
        <w:right w:val="none" w:sz="0" w:space="0" w:color="auto"/>
      </w:divBdr>
      <w:divsChild>
        <w:div w:id="2134203273">
          <w:marLeft w:val="0"/>
          <w:marRight w:val="0"/>
          <w:marTop w:val="0"/>
          <w:marBottom w:val="0"/>
          <w:divBdr>
            <w:top w:val="none" w:sz="0" w:space="0" w:color="auto"/>
            <w:left w:val="none" w:sz="0" w:space="0" w:color="auto"/>
            <w:bottom w:val="none" w:sz="0" w:space="0" w:color="auto"/>
            <w:right w:val="none" w:sz="0" w:space="0" w:color="auto"/>
          </w:divBdr>
        </w:div>
        <w:div w:id="912084430">
          <w:marLeft w:val="0"/>
          <w:marRight w:val="0"/>
          <w:marTop w:val="0"/>
          <w:marBottom w:val="0"/>
          <w:divBdr>
            <w:top w:val="none" w:sz="0" w:space="0" w:color="auto"/>
            <w:left w:val="none" w:sz="0" w:space="0" w:color="auto"/>
            <w:bottom w:val="none" w:sz="0" w:space="0" w:color="auto"/>
            <w:right w:val="none" w:sz="0" w:space="0" w:color="auto"/>
          </w:divBdr>
        </w:div>
      </w:divsChild>
    </w:div>
    <w:div w:id="253124858">
      <w:marLeft w:val="0"/>
      <w:marRight w:val="0"/>
      <w:marTop w:val="240"/>
      <w:marBottom w:val="0"/>
      <w:divBdr>
        <w:top w:val="none" w:sz="0" w:space="0" w:color="auto"/>
        <w:left w:val="none" w:sz="0" w:space="0" w:color="auto"/>
        <w:bottom w:val="none" w:sz="0" w:space="0" w:color="auto"/>
        <w:right w:val="none" w:sz="0" w:space="0" w:color="auto"/>
      </w:divBdr>
    </w:div>
    <w:div w:id="254637085">
      <w:marLeft w:val="0"/>
      <w:marRight w:val="0"/>
      <w:marTop w:val="240"/>
      <w:marBottom w:val="0"/>
      <w:divBdr>
        <w:top w:val="none" w:sz="0" w:space="0" w:color="auto"/>
        <w:left w:val="none" w:sz="0" w:space="0" w:color="auto"/>
        <w:bottom w:val="none" w:sz="0" w:space="0" w:color="auto"/>
        <w:right w:val="none" w:sz="0" w:space="0" w:color="auto"/>
      </w:divBdr>
    </w:div>
    <w:div w:id="255484596">
      <w:marLeft w:val="0"/>
      <w:marRight w:val="0"/>
      <w:marTop w:val="240"/>
      <w:marBottom w:val="0"/>
      <w:divBdr>
        <w:top w:val="none" w:sz="0" w:space="0" w:color="auto"/>
        <w:left w:val="none" w:sz="0" w:space="0" w:color="auto"/>
        <w:bottom w:val="none" w:sz="0" w:space="0" w:color="auto"/>
        <w:right w:val="none" w:sz="0" w:space="0" w:color="auto"/>
      </w:divBdr>
    </w:div>
    <w:div w:id="259146927">
      <w:marLeft w:val="0"/>
      <w:marRight w:val="0"/>
      <w:marTop w:val="240"/>
      <w:marBottom w:val="0"/>
      <w:divBdr>
        <w:top w:val="none" w:sz="0" w:space="0" w:color="auto"/>
        <w:left w:val="none" w:sz="0" w:space="0" w:color="auto"/>
        <w:bottom w:val="none" w:sz="0" w:space="0" w:color="auto"/>
        <w:right w:val="none" w:sz="0" w:space="0" w:color="auto"/>
      </w:divBdr>
    </w:div>
    <w:div w:id="262232021">
      <w:marLeft w:val="0"/>
      <w:marRight w:val="0"/>
      <w:marTop w:val="180"/>
      <w:marBottom w:val="0"/>
      <w:divBdr>
        <w:top w:val="none" w:sz="0" w:space="0" w:color="auto"/>
        <w:left w:val="none" w:sz="0" w:space="0" w:color="auto"/>
        <w:bottom w:val="none" w:sz="0" w:space="0" w:color="auto"/>
        <w:right w:val="none" w:sz="0" w:space="0" w:color="auto"/>
      </w:divBdr>
    </w:div>
    <w:div w:id="262609859">
      <w:marLeft w:val="0"/>
      <w:marRight w:val="0"/>
      <w:marTop w:val="160"/>
      <w:marBottom w:val="0"/>
      <w:divBdr>
        <w:top w:val="none" w:sz="0" w:space="0" w:color="auto"/>
        <w:left w:val="none" w:sz="0" w:space="0" w:color="auto"/>
        <w:bottom w:val="none" w:sz="0" w:space="0" w:color="auto"/>
        <w:right w:val="none" w:sz="0" w:space="0" w:color="auto"/>
      </w:divBdr>
      <w:divsChild>
        <w:div w:id="433986607">
          <w:marLeft w:val="0"/>
          <w:marRight w:val="0"/>
          <w:marTop w:val="0"/>
          <w:marBottom w:val="0"/>
          <w:divBdr>
            <w:top w:val="none" w:sz="0" w:space="0" w:color="auto"/>
            <w:left w:val="none" w:sz="0" w:space="0" w:color="auto"/>
            <w:bottom w:val="none" w:sz="0" w:space="0" w:color="auto"/>
            <w:right w:val="none" w:sz="0" w:space="0" w:color="auto"/>
          </w:divBdr>
        </w:div>
        <w:div w:id="1134831693">
          <w:marLeft w:val="0"/>
          <w:marRight w:val="0"/>
          <w:marTop w:val="0"/>
          <w:marBottom w:val="0"/>
          <w:divBdr>
            <w:top w:val="none" w:sz="0" w:space="0" w:color="auto"/>
            <w:left w:val="none" w:sz="0" w:space="0" w:color="auto"/>
            <w:bottom w:val="none" w:sz="0" w:space="0" w:color="auto"/>
            <w:right w:val="none" w:sz="0" w:space="0" w:color="auto"/>
          </w:divBdr>
        </w:div>
      </w:divsChild>
    </w:div>
    <w:div w:id="263853437">
      <w:marLeft w:val="0"/>
      <w:marRight w:val="0"/>
      <w:marTop w:val="100"/>
      <w:marBottom w:val="0"/>
      <w:divBdr>
        <w:top w:val="none" w:sz="0" w:space="0" w:color="auto"/>
        <w:left w:val="none" w:sz="0" w:space="0" w:color="auto"/>
        <w:bottom w:val="none" w:sz="0" w:space="0" w:color="auto"/>
        <w:right w:val="none" w:sz="0" w:space="0" w:color="auto"/>
      </w:divBdr>
      <w:divsChild>
        <w:div w:id="569270209">
          <w:marLeft w:val="0"/>
          <w:marRight w:val="0"/>
          <w:marTop w:val="0"/>
          <w:marBottom w:val="0"/>
          <w:divBdr>
            <w:top w:val="none" w:sz="0" w:space="0" w:color="auto"/>
            <w:left w:val="none" w:sz="0" w:space="0" w:color="auto"/>
            <w:bottom w:val="none" w:sz="0" w:space="0" w:color="auto"/>
            <w:right w:val="none" w:sz="0" w:space="0" w:color="auto"/>
          </w:divBdr>
        </w:div>
        <w:div w:id="441077147">
          <w:marLeft w:val="0"/>
          <w:marRight w:val="0"/>
          <w:marTop w:val="0"/>
          <w:marBottom w:val="0"/>
          <w:divBdr>
            <w:top w:val="none" w:sz="0" w:space="0" w:color="auto"/>
            <w:left w:val="none" w:sz="0" w:space="0" w:color="auto"/>
            <w:bottom w:val="none" w:sz="0" w:space="0" w:color="auto"/>
            <w:right w:val="none" w:sz="0" w:space="0" w:color="auto"/>
          </w:divBdr>
        </w:div>
        <w:div w:id="1606964843">
          <w:marLeft w:val="0"/>
          <w:marRight w:val="0"/>
          <w:marTop w:val="0"/>
          <w:marBottom w:val="0"/>
          <w:divBdr>
            <w:top w:val="none" w:sz="0" w:space="0" w:color="auto"/>
            <w:left w:val="none" w:sz="0" w:space="0" w:color="auto"/>
            <w:bottom w:val="none" w:sz="0" w:space="0" w:color="auto"/>
            <w:right w:val="none" w:sz="0" w:space="0" w:color="auto"/>
          </w:divBdr>
        </w:div>
        <w:div w:id="1760105295">
          <w:marLeft w:val="0"/>
          <w:marRight w:val="0"/>
          <w:marTop w:val="0"/>
          <w:marBottom w:val="0"/>
          <w:divBdr>
            <w:top w:val="none" w:sz="0" w:space="0" w:color="auto"/>
            <w:left w:val="none" w:sz="0" w:space="0" w:color="auto"/>
            <w:bottom w:val="none" w:sz="0" w:space="0" w:color="auto"/>
            <w:right w:val="none" w:sz="0" w:space="0" w:color="auto"/>
          </w:divBdr>
        </w:div>
      </w:divsChild>
    </w:div>
    <w:div w:id="266236065">
      <w:marLeft w:val="0"/>
      <w:marRight w:val="0"/>
      <w:marTop w:val="240"/>
      <w:marBottom w:val="240"/>
      <w:divBdr>
        <w:top w:val="none" w:sz="0" w:space="0" w:color="auto"/>
        <w:left w:val="none" w:sz="0" w:space="0" w:color="auto"/>
        <w:bottom w:val="none" w:sz="0" w:space="0" w:color="auto"/>
        <w:right w:val="none" w:sz="0" w:space="0" w:color="auto"/>
      </w:divBdr>
    </w:div>
    <w:div w:id="268440486">
      <w:marLeft w:val="0"/>
      <w:marRight w:val="0"/>
      <w:marTop w:val="240"/>
      <w:marBottom w:val="0"/>
      <w:divBdr>
        <w:top w:val="none" w:sz="0" w:space="0" w:color="auto"/>
        <w:left w:val="none" w:sz="0" w:space="0" w:color="auto"/>
        <w:bottom w:val="none" w:sz="0" w:space="0" w:color="auto"/>
        <w:right w:val="none" w:sz="0" w:space="0" w:color="auto"/>
      </w:divBdr>
    </w:div>
    <w:div w:id="270087014">
      <w:marLeft w:val="0"/>
      <w:marRight w:val="0"/>
      <w:marTop w:val="240"/>
      <w:marBottom w:val="0"/>
      <w:divBdr>
        <w:top w:val="none" w:sz="0" w:space="0" w:color="auto"/>
        <w:left w:val="none" w:sz="0" w:space="0" w:color="auto"/>
        <w:bottom w:val="none" w:sz="0" w:space="0" w:color="auto"/>
        <w:right w:val="none" w:sz="0" w:space="0" w:color="auto"/>
      </w:divBdr>
    </w:div>
    <w:div w:id="270553893">
      <w:marLeft w:val="0"/>
      <w:marRight w:val="0"/>
      <w:marTop w:val="0"/>
      <w:marBottom w:val="0"/>
      <w:divBdr>
        <w:top w:val="none" w:sz="0" w:space="0" w:color="auto"/>
        <w:left w:val="none" w:sz="0" w:space="0" w:color="auto"/>
        <w:bottom w:val="none" w:sz="0" w:space="0" w:color="auto"/>
        <w:right w:val="none" w:sz="0" w:space="0" w:color="auto"/>
      </w:divBdr>
      <w:divsChild>
        <w:div w:id="627667369">
          <w:marLeft w:val="0"/>
          <w:marRight w:val="0"/>
          <w:marTop w:val="0"/>
          <w:marBottom w:val="0"/>
          <w:divBdr>
            <w:top w:val="none" w:sz="0" w:space="0" w:color="auto"/>
            <w:left w:val="none" w:sz="0" w:space="0" w:color="auto"/>
            <w:bottom w:val="none" w:sz="0" w:space="0" w:color="auto"/>
            <w:right w:val="none" w:sz="0" w:space="0" w:color="auto"/>
          </w:divBdr>
        </w:div>
      </w:divsChild>
    </w:div>
    <w:div w:id="271281747">
      <w:marLeft w:val="0"/>
      <w:marRight w:val="0"/>
      <w:marTop w:val="240"/>
      <w:marBottom w:val="240"/>
      <w:divBdr>
        <w:top w:val="none" w:sz="0" w:space="0" w:color="auto"/>
        <w:left w:val="none" w:sz="0" w:space="0" w:color="auto"/>
        <w:bottom w:val="none" w:sz="0" w:space="0" w:color="auto"/>
        <w:right w:val="none" w:sz="0" w:space="0" w:color="auto"/>
      </w:divBdr>
    </w:div>
    <w:div w:id="271474004">
      <w:marLeft w:val="0"/>
      <w:marRight w:val="0"/>
      <w:marTop w:val="100"/>
      <w:marBottom w:val="0"/>
      <w:divBdr>
        <w:top w:val="none" w:sz="0" w:space="0" w:color="auto"/>
        <w:left w:val="none" w:sz="0" w:space="0" w:color="auto"/>
        <w:bottom w:val="none" w:sz="0" w:space="0" w:color="auto"/>
        <w:right w:val="none" w:sz="0" w:space="0" w:color="auto"/>
      </w:divBdr>
      <w:divsChild>
        <w:div w:id="1075205077">
          <w:marLeft w:val="0"/>
          <w:marRight w:val="0"/>
          <w:marTop w:val="0"/>
          <w:marBottom w:val="0"/>
          <w:divBdr>
            <w:top w:val="none" w:sz="0" w:space="0" w:color="auto"/>
            <w:left w:val="none" w:sz="0" w:space="0" w:color="auto"/>
            <w:bottom w:val="none" w:sz="0" w:space="0" w:color="auto"/>
            <w:right w:val="none" w:sz="0" w:space="0" w:color="auto"/>
          </w:divBdr>
        </w:div>
        <w:div w:id="1122309777">
          <w:marLeft w:val="0"/>
          <w:marRight w:val="0"/>
          <w:marTop w:val="0"/>
          <w:marBottom w:val="0"/>
          <w:divBdr>
            <w:top w:val="none" w:sz="0" w:space="0" w:color="auto"/>
            <w:left w:val="none" w:sz="0" w:space="0" w:color="auto"/>
            <w:bottom w:val="none" w:sz="0" w:space="0" w:color="auto"/>
            <w:right w:val="none" w:sz="0" w:space="0" w:color="auto"/>
          </w:divBdr>
        </w:div>
        <w:div w:id="1465461393">
          <w:marLeft w:val="0"/>
          <w:marRight w:val="0"/>
          <w:marTop w:val="0"/>
          <w:marBottom w:val="0"/>
          <w:divBdr>
            <w:top w:val="none" w:sz="0" w:space="0" w:color="auto"/>
            <w:left w:val="none" w:sz="0" w:space="0" w:color="auto"/>
            <w:bottom w:val="none" w:sz="0" w:space="0" w:color="auto"/>
            <w:right w:val="none" w:sz="0" w:space="0" w:color="auto"/>
          </w:divBdr>
        </w:div>
        <w:div w:id="402719093">
          <w:marLeft w:val="0"/>
          <w:marRight w:val="0"/>
          <w:marTop w:val="0"/>
          <w:marBottom w:val="0"/>
          <w:divBdr>
            <w:top w:val="none" w:sz="0" w:space="0" w:color="auto"/>
            <w:left w:val="none" w:sz="0" w:space="0" w:color="auto"/>
            <w:bottom w:val="none" w:sz="0" w:space="0" w:color="auto"/>
            <w:right w:val="none" w:sz="0" w:space="0" w:color="auto"/>
          </w:divBdr>
        </w:div>
        <w:div w:id="1645353186">
          <w:marLeft w:val="0"/>
          <w:marRight w:val="0"/>
          <w:marTop w:val="0"/>
          <w:marBottom w:val="0"/>
          <w:divBdr>
            <w:top w:val="none" w:sz="0" w:space="0" w:color="auto"/>
            <w:left w:val="none" w:sz="0" w:space="0" w:color="auto"/>
            <w:bottom w:val="none" w:sz="0" w:space="0" w:color="auto"/>
            <w:right w:val="none" w:sz="0" w:space="0" w:color="auto"/>
          </w:divBdr>
        </w:div>
        <w:div w:id="382289613">
          <w:marLeft w:val="0"/>
          <w:marRight w:val="0"/>
          <w:marTop w:val="0"/>
          <w:marBottom w:val="0"/>
          <w:divBdr>
            <w:top w:val="none" w:sz="0" w:space="0" w:color="auto"/>
            <w:left w:val="none" w:sz="0" w:space="0" w:color="auto"/>
            <w:bottom w:val="none" w:sz="0" w:space="0" w:color="auto"/>
            <w:right w:val="none" w:sz="0" w:space="0" w:color="auto"/>
          </w:divBdr>
        </w:div>
      </w:divsChild>
    </w:div>
    <w:div w:id="273639392">
      <w:marLeft w:val="0"/>
      <w:marRight w:val="0"/>
      <w:marTop w:val="0"/>
      <w:marBottom w:val="0"/>
      <w:divBdr>
        <w:top w:val="none" w:sz="0" w:space="0" w:color="auto"/>
        <w:left w:val="none" w:sz="0" w:space="0" w:color="auto"/>
        <w:bottom w:val="none" w:sz="0" w:space="0" w:color="auto"/>
        <w:right w:val="none" w:sz="0" w:space="0" w:color="auto"/>
      </w:divBdr>
      <w:divsChild>
        <w:div w:id="131484307">
          <w:marLeft w:val="0"/>
          <w:marRight w:val="0"/>
          <w:marTop w:val="0"/>
          <w:marBottom w:val="0"/>
          <w:divBdr>
            <w:top w:val="none" w:sz="0" w:space="0" w:color="auto"/>
            <w:left w:val="none" w:sz="0" w:space="0" w:color="auto"/>
            <w:bottom w:val="none" w:sz="0" w:space="0" w:color="auto"/>
            <w:right w:val="none" w:sz="0" w:space="0" w:color="auto"/>
          </w:divBdr>
          <w:divsChild>
            <w:div w:id="20055996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277226650">
      <w:marLeft w:val="0"/>
      <w:marRight w:val="0"/>
      <w:marTop w:val="0"/>
      <w:marBottom w:val="0"/>
      <w:divBdr>
        <w:top w:val="none" w:sz="0" w:space="0" w:color="auto"/>
        <w:left w:val="none" w:sz="0" w:space="0" w:color="auto"/>
        <w:bottom w:val="none" w:sz="0" w:space="0" w:color="auto"/>
        <w:right w:val="none" w:sz="0" w:space="0" w:color="auto"/>
      </w:divBdr>
      <w:divsChild>
        <w:div w:id="256132738">
          <w:marLeft w:val="0"/>
          <w:marRight w:val="0"/>
          <w:marTop w:val="0"/>
          <w:marBottom w:val="0"/>
          <w:divBdr>
            <w:top w:val="none" w:sz="0" w:space="0" w:color="auto"/>
            <w:left w:val="none" w:sz="0" w:space="0" w:color="auto"/>
            <w:bottom w:val="none" w:sz="0" w:space="0" w:color="auto"/>
            <w:right w:val="none" w:sz="0" w:space="0" w:color="auto"/>
          </w:divBdr>
          <w:divsChild>
            <w:div w:id="125201039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277614557">
      <w:marLeft w:val="0"/>
      <w:marRight w:val="0"/>
      <w:marTop w:val="220"/>
      <w:marBottom w:val="0"/>
      <w:divBdr>
        <w:top w:val="none" w:sz="0" w:space="0" w:color="auto"/>
        <w:left w:val="none" w:sz="0" w:space="0" w:color="auto"/>
        <w:bottom w:val="none" w:sz="0" w:space="0" w:color="auto"/>
        <w:right w:val="none" w:sz="0" w:space="0" w:color="auto"/>
      </w:divBdr>
    </w:div>
    <w:div w:id="277642168">
      <w:marLeft w:val="0"/>
      <w:marRight w:val="0"/>
      <w:marTop w:val="240"/>
      <w:marBottom w:val="0"/>
      <w:divBdr>
        <w:top w:val="none" w:sz="0" w:space="0" w:color="auto"/>
        <w:left w:val="none" w:sz="0" w:space="0" w:color="auto"/>
        <w:bottom w:val="none" w:sz="0" w:space="0" w:color="auto"/>
        <w:right w:val="none" w:sz="0" w:space="0" w:color="auto"/>
      </w:divBdr>
    </w:div>
    <w:div w:id="277831862">
      <w:marLeft w:val="0"/>
      <w:marRight w:val="0"/>
      <w:marTop w:val="240"/>
      <w:marBottom w:val="0"/>
      <w:divBdr>
        <w:top w:val="none" w:sz="0" w:space="0" w:color="auto"/>
        <w:left w:val="none" w:sz="0" w:space="0" w:color="auto"/>
        <w:bottom w:val="none" w:sz="0" w:space="0" w:color="auto"/>
        <w:right w:val="none" w:sz="0" w:space="0" w:color="auto"/>
      </w:divBdr>
    </w:div>
    <w:div w:id="278076063">
      <w:marLeft w:val="0"/>
      <w:marRight w:val="0"/>
      <w:marTop w:val="0"/>
      <w:marBottom w:val="0"/>
      <w:divBdr>
        <w:top w:val="none" w:sz="0" w:space="0" w:color="auto"/>
        <w:left w:val="none" w:sz="0" w:space="0" w:color="auto"/>
        <w:bottom w:val="none" w:sz="0" w:space="0" w:color="auto"/>
        <w:right w:val="none" w:sz="0" w:space="0" w:color="auto"/>
      </w:divBdr>
    </w:div>
    <w:div w:id="278491729">
      <w:marLeft w:val="0"/>
      <w:marRight w:val="0"/>
      <w:marTop w:val="120"/>
      <w:marBottom w:val="0"/>
      <w:divBdr>
        <w:top w:val="none" w:sz="0" w:space="0" w:color="auto"/>
        <w:left w:val="none" w:sz="0" w:space="0" w:color="auto"/>
        <w:bottom w:val="none" w:sz="0" w:space="0" w:color="auto"/>
        <w:right w:val="none" w:sz="0" w:space="0" w:color="auto"/>
      </w:divBdr>
    </w:div>
    <w:div w:id="281615382">
      <w:marLeft w:val="0"/>
      <w:marRight w:val="0"/>
      <w:marTop w:val="240"/>
      <w:marBottom w:val="0"/>
      <w:divBdr>
        <w:top w:val="none" w:sz="0" w:space="0" w:color="auto"/>
        <w:left w:val="none" w:sz="0" w:space="0" w:color="auto"/>
        <w:bottom w:val="none" w:sz="0" w:space="0" w:color="auto"/>
        <w:right w:val="none" w:sz="0" w:space="0" w:color="auto"/>
      </w:divBdr>
    </w:div>
    <w:div w:id="282351800">
      <w:marLeft w:val="0"/>
      <w:marRight w:val="0"/>
      <w:marTop w:val="240"/>
      <w:marBottom w:val="0"/>
      <w:divBdr>
        <w:top w:val="none" w:sz="0" w:space="0" w:color="auto"/>
        <w:left w:val="none" w:sz="0" w:space="0" w:color="auto"/>
        <w:bottom w:val="none" w:sz="0" w:space="0" w:color="auto"/>
        <w:right w:val="none" w:sz="0" w:space="0" w:color="auto"/>
      </w:divBdr>
    </w:div>
    <w:div w:id="284236161">
      <w:marLeft w:val="0"/>
      <w:marRight w:val="0"/>
      <w:marTop w:val="240"/>
      <w:marBottom w:val="0"/>
      <w:divBdr>
        <w:top w:val="none" w:sz="0" w:space="0" w:color="auto"/>
        <w:left w:val="none" w:sz="0" w:space="0" w:color="auto"/>
        <w:bottom w:val="none" w:sz="0" w:space="0" w:color="auto"/>
        <w:right w:val="none" w:sz="0" w:space="0" w:color="auto"/>
      </w:divBdr>
    </w:div>
    <w:div w:id="284316984">
      <w:marLeft w:val="0"/>
      <w:marRight w:val="0"/>
      <w:marTop w:val="0"/>
      <w:marBottom w:val="0"/>
      <w:divBdr>
        <w:top w:val="none" w:sz="0" w:space="0" w:color="auto"/>
        <w:left w:val="none" w:sz="0" w:space="0" w:color="auto"/>
        <w:bottom w:val="none" w:sz="0" w:space="0" w:color="auto"/>
        <w:right w:val="none" w:sz="0" w:space="0" w:color="auto"/>
      </w:divBdr>
      <w:divsChild>
        <w:div w:id="941842149">
          <w:marLeft w:val="0"/>
          <w:marRight w:val="0"/>
          <w:marTop w:val="0"/>
          <w:marBottom w:val="0"/>
          <w:divBdr>
            <w:top w:val="none" w:sz="0" w:space="0" w:color="auto"/>
            <w:left w:val="none" w:sz="0" w:space="0" w:color="auto"/>
            <w:bottom w:val="none" w:sz="0" w:space="0" w:color="auto"/>
            <w:right w:val="none" w:sz="0" w:space="0" w:color="auto"/>
          </w:divBdr>
          <w:divsChild>
            <w:div w:id="63734566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285353528">
      <w:marLeft w:val="0"/>
      <w:marRight w:val="0"/>
      <w:marTop w:val="0"/>
      <w:marBottom w:val="0"/>
      <w:divBdr>
        <w:top w:val="none" w:sz="0" w:space="0" w:color="auto"/>
        <w:left w:val="none" w:sz="0" w:space="0" w:color="auto"/>
        <w:bottom w:val="none" w:sz="0" w:space="0" w:color="auto"/>
        <w:right w:val="none" w:sz="0" w:space="0" w:color="auto"/>
      </w:divBdr>
      <w:divsChild>
        <w:div w:id="1903909174">
          <w:marLeft w:val="0"/>
          <w:marRight w:val="0"/>
          <w:marTop w:val="0"/>
          <w:marBottom w:val="0"/>
          <w:divBdr>
            <w:top w:val="none" w:sz="0" w:space="0" w:color="auto"/>
            <w:left w:val="none" w:sz="0" w:space="0" w:color="auto"/>
            <w:bottom w:val="none" w:sz="0" w:space="0" w:color="auto"/>
            <w:right w:val="none" w:sz="0" w:space="0" w:color="auto"/>
          </w:divBdr>
          <w:divsChild>
            <w:div w:id="2799033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287124601">
      <w:marLeft w:val="0"/>
      <w:marRight w:val="0"/>
      <w:marTop w:val="0"/>
      <w:marBottom w:val="0"/>
      <w:divBdr>
        <w:top w:val="none" w:sz="0" w:space="0" w:color="auto"/>
        <w:left w:val="none" w:sz="0" w:space="0" w:color="auto"/>
        <w:bottom w:val="none" w:sz="0" w:space="0" w:color="auto"/>
        <w:right w:val="none" w:sz="0" w:space="0" w:color="auto"/>
      </w:divBdr>
      <w:divsChild>
        <w:div w:id="808937630">
          <w:marLeft w:val="0"/>
          <w:marRight w:val="0"/>
          <w:marTop w:val="0"/>
          <w:marBottom w:val="0"/>
          <w:divBdr>
            <w:top w:val="none" w:sz="0" w:space="0" w:color="auto"/>
            <w:left w:val="none" w:sz="0" w:space="0" w:color="auto"/>
            <w:bottom w:val="none" w:sz="0" w:space="0" w:color="auto"/>
            <w:right w:val="none" w:sz="0" w:space="0" w:color="auto"/>
          </w:divBdr>
        </w:div>
      </w:divsChild>
    </w:div>
    <w:div w:id="287585009">
      <w:marLeft w:val="0"/>
      <w:marRight w:val="0"/>
      <w:marTop w:val="100"/>
      <w:marBottom w:val="0"/>
      <w:divBdr>
        <w:top w:val="none" w:sz="0" w:space="0" w:color="auto"/>
        <w:left w:val="none" w:sz="0" w:space="0" w:color="auto"/>
        <w:bottom w:val="none" w:sz="0" w:space="0" w:color="auto"/>
        <w:right w:val="none" w:sz="0" w:space="0" w:color="auto"/>
      </w:divBdr>
    </w:div>
    <w:div w:id="291402080">
      <w:marLeft w:val="0"/>
      <w:marRight w:val="0"/>
      <w:marTop w:val="240"/>
      <w:marBottom w:val="120"/>
      <w:divBdr>
        <w:top w:val="none" w:sz="0" w:space="0" w:color="auto"/>
        <w:left w:val="none" w:sz="0" w:space="0" w:color="auto"/>
        <w:bottom w:val="none" w:sz="0" w:space="0" w:color="auto"/>
        <w:right w:val="none" w:sz="0" w:space="0" w:color="auto"/>
      </w:divBdr>
    </w:div>
    <w:div w:id="292639524">
      <w:marLeft w:val="0"/>
      <w:marRight w:val="0"/>
      <w:marTop w:val="100"/>
      <w:marBottom w:val="0"/>
      <w:divBdr>
        <w:top w:val="none" w:sz="0" w:space="0" w:color="auto"/>
        <w:left w:val="none" w:sz="0" w:space="0" w:color="auto"/>
        <w:bottom w:val="none" w:sz="0" w:space="0" w:color="auto"/>
        <w:right w:val="none" w:sz="0" w:space="0" w:color="auto"/>
      </w:divBdr>
      <w:divsChild>
        <w:div w:id="375278466">
          <w:marLeft w:val="0"/>
          <w:marRight w:val="0"/>
          <w:marTop w:val="0"/>
          <w:marBottom w:val="0"/>
          <w:divBdr>
            <w:top w:val="none" w:sz="0" w:space="0" w:color="auto"/>
            <w:left w:val="none" w:sz="0" w:space="0" w:color="auto"/>
            <w:bottom w:val="none" w:sz="0" w:space="0" w:color="auto"/>
            <w:right w:val="none" w:sz="0" w:space="0" w:color="auto"/>
          </w:divBdr>
        </w:div>
        <w:div w:id="1459294959">
          <w:marLeft w:val="0"/>
          <w:marRight w:val="0"/>
          <w:marTop w:val="0"/>
          <w:marBottom w:val="0"/>
          <w:divBdr>
            <w:top w:val="none" w:sz="0" w:space="0" w:color="auto"/>
            <w:left w:val="none" w:sz="0" w:space="0" w:color="auto"/>
            <w:bottom w:val="none" w:sz="0" w:space="0" w:color="auto"/>
            <w:right w:val="none" w:sz="0" w:space="0" w:color="auto"/>
          </w:divBdr>
        </w:div>
        <w:div w:id="1921402092">
          <w:marLeft w:val="0"/>
          <w:marRight w:val="0"/>
          <w:marTop w:val="0"/>
          <w:marBottom w:val="0"/>
          <w:divBdr>
            <w:top w:val="none" w:sz="0" w:space="0" w:color="auto"/>
            <w:left w:val="none" w:sz="0" w:space="0" w:color="auto"/>
            <w:bottom w:val="none" w:sz="0" w:space="0" w:color="auto"/>
            <w:right w:val="none" w:sz="0" w:space="0" w:color="auto"/>
          </w:divBdr>
        </w:div>
        <w:div w:id="1040082903">
          <w:marLeft w:val="0"/>
          <w:marRight w:val="0"/>
          <w:marTop w:val="0"/>
          <w:marBottom w:val="0"/>
          <w:divBdr>
            <w:top w:val="none" w:sz="0" w:space="0" w:color="auto"/>
            <w:left w:val="none" w:sz="0" w:space="0" w:color="auto"/>
            <w:bottom w:val="none" w:sz="0" w:space="0" w:color="auto"/>
            <w:right w:val="none" w:sz="0" w:space="0" w:color="auto"/>
          </w:divBdr>
        </w:div>
        <w:div w:id="1187869307">
          <w:marLeft w:val="0"/>
          <w:marRight w:val="0"/>
          <w:marTop w:val="0"/>
          <w:marBottom w:val="0"/>
          <w:divBdr>
            <w:top w:val="none" w:sz="0" w:space="0" w:color="auto"/>
            <w:left w:val="none" w:sz="0" w:space="0" w:color="auto"/>
            <w:bottom w:val="none" w:sz="0" w:space="0" w:color="auto"/>
            <w:right w:val="none" w:sz="0" w:space="0" w:color="auto"/>
          </w:divBdr>
        </w:div>
        <w:div w:id="1962612485">
          <w:marLeft w:val="0"/>
          <w:marRight w:val="0"/>
          <w:marTop w:val="0"/>
          <w:marBottom w:val="0"/>
          <w:divBdr>
            <w:top w:val="none" w:sz="0" w:space="0" w:color="auto"/>
            <w:left w:val="none" w:sz="0" w:space="0" w:color="auto"/>
            <w:bottom w:val="none" w:sz="0" w:space="0" w:color="auto"/>
            <w:right w:val="none" w:sz="0" w:space="0" w:color="auto"/>
          </w:divBdr>
        </w:div>
        <w:div w:id="502088318">
          <w:marLeft w:val="0"/>
          <w:marRight w:val="0"/>
          <w:marTop w:val="0"/>
          <w:marBottom w:val="0"/>
          <w:divBdr>
            <w:top w:val="none" w:sz="0" w:space="0" w:color="auto"/>
            <w:left w:val="none" w:sz="0" w:space="0" w:color="auto"/>
            <w:bottom w:val="none" w:sz="0" w:space="0" w:color="auto"/>
            <w:right w:val="none" w:sz="0" w:space="0" w:color="auto"/>
          </w:divBdr>
        </w:div>
      </w:divsChild>
    </w:div>
    <w:div w:id="292758787">
      <w:marLeft w:val="0"/>
      <w:marRight w:val="0"/>
      <w:marTop w:val="180"/>
      <w:marBottom w:val="0"/>
      <w:divBdr>
        <w:top w:val="none" w:sz="0" w:space="0" w:color="auto"/>
        <w:left w:val="none" w:sz="0" w:space="0" w:color="auto"/>
        <w:bottom w:val="none" w:sz="0" w:space="0" w:color="auto"/>
        <w:right w:val="none" w:sz="0" w:space="0" w:color="auto"/>
      </w:divBdr>
    </w:div>
    <w:div w:id="293146573">
      <w:marLeft w:val="0"/>
      <w:marRight w:val="0"/>
      <w:marTop w:val="0"/>
      <w:marBottom w:val="0"/>
      <w:divBdr>
        <w:top w:val="none" w:sz="0" w:space="0" w:color="auto"/>
        <w:left w:val="none" w:sz="0" w:space="0" w:color="auto"/>
        <w:bottom w:val="none" w:sz="0" w:space="0" w:color="auto"/>
        <w:right w:val="none" w:sz="0" w:space="0" w:color="auto"/>
      </w:divBdr>
    </w:div>
    <w:div w:id="295112179">
      <w:marLeft w:val="0"/>
      <w:marRight w:val="0"/>
      <w:marTop w:val="240"/>
      <w:marBottom w:val="0"/>
      <w:divBdr>
        <w:top w:val="none" w:sz="0" w:space="0" w:color="auto"/>
        <w:left w:val="none" w:sz="0" w:space="0" w:color="auto"/>
        <w:bottom w:val="none" w:sz="0" w:space="0" w:color="auto"/>
        <w:right w:val="none" w:sz="0" w:space="0" w:color="auto"/>
      </w:divBdr>
    </w:div>
    <w:div w:id="295262548">
      <w:marLeft w:val="0"/>
      <w:marRight w:val="0"/>
      <w:marTop w:val="240"/>
      <w:marBottom w:val="0"/>
      <w:divBdr>
        <w:top w:val="none" w:sz="0" w:space="0" w:color="auto"/>
        <w:left w:val="none" w:sz="0" w:space="0" w:color="auto"/>
        <w:bottom w:val="none" w:sz="0" w:space="0" w:color="auto"/>
        <w:right w:val="none" w:sz="0" w:space="0" w:color="auto"/>
      </w:divBdr>
    </w:div>
    <w:div w:id="299262015">
      <w:marLeft w:val="0"/>
      <w:marRight w:val="0"/>
      <w:marTop w:val="240"/>
      <w:marBottom w:val="240"/>
      <w:divBdr>
        <w:top w:val="none" w:sz="0" w:space="0" w:color="auto"/>
        <w:left w:val="none" w:sz="0" w:space="0" w:color="auto"/>
        <w:bottom w:val="none" w:sz="0" w:space="0" w:color="auto"/>
        <w:right w:val="none" w:sz="0" w:space="0" w:color="auto"/>
      </w:divBdr>
    </w:div>
    <w:div w:id="300624267">
      <w:marLeft w:val="0"/>
      <w:marRight w:val="0"/>
      <w:marTop w:val="60"/>
      <w:marBottom w:val="0"/>
      <w:divBdr>
        <w:top w:val="none" w:sz="0" w:space="0" w:color="auto"/>
        <w:left w:val="none" w:sz="0" w:space="0" w:color="auto"/>
        <w:bottom w:val="none" w:sz="0" w:space="0" w:color="auto"/>
        <w:right w:val="none" w:sz="0" w:space="0" w:color="auto"/>
      </w:divBdr>
    </w:div>
    <w:div w:id="300692770">
      <w:marLeft w:val="0"/>
      <w:marRight w:val="0"/>
      <w:marTop w:val="240"/>
      <w:marBottom w:val="0"/>
      <w:divBdr>
        <w:top w:val="none" w:sz="0" w:space="0" w:color="auto"/>
        <w:left w:val="none" w:sz="0" w:space="0" w:color="auto"/>
        <w:bottom w:val="none" w:sz="0" w:space="0" w:color="auto"/>
        <w:right w:val="none" w:sz="0" w:space="0" w:color="auto"/>
      </w:divBdr>
    </w:div>
    <w:div w:id="301424015">
      <w:marLeft w:val="0"/>
      <w:marRight w:val="0"/>
      <w:marTop w:val="240"/>
      <w:marBottom w:val="0"/>
      <w:divBdr>
        <w:top w:val="none" w:sz="0" w:space="0" w:color="auto"/>
        <w:left w:val="none" w:sz="0" w:space="0" w:color="auto"/>
        <w:bottom w:val="none" w:sz="0" w:space="0" w:color="auto"/>
        <w:right w:val="none" w:sz="0" w:space="0" w:color="auto"/>
      </w:divBdr>
    </w:div>
    <w:div w:id="304704410">
      <w:marLeft w:val="0"/>
      <w:marRight w:val="0"/>
      <w:marTop w:val="240"/>
      <w:marBottom w:val="0"/>
      <w:divBdr>
        <w:top w:val="none" w:sz="0" w:space="0" w:color="auto"/>
        <w:left w:val="none" w:sz="0" w:space="0" w:color="auto"/>
        <w:bottom w:val="none" w:sz="0" w:space="0" w:color="auto"/>
        <w:right w:val="none" w:sz="0" w:space="0" w:color="auto"/>
      </w:divBdr>
    </w:div>
    <w:div w:id="306739656">
      <w:marLeft w:val="0"/>
      <w:marRight w:val="0"/>
      <w:marTop w:val="140"/>
      <w:marBottom w:val="0"/>
      <w:divBdr>
        <w:top w:val="none" w:sz="0" w:space="0" w:color="auto"/>
        <w:left w:val="none" w:sz="0" w:space="0" w:color="auto"/>
        <w:bottom w:val="none" w:sz="0" w:space="0" w:color="auto"/>
        <w:right w:val="none" w:sz="0" w:space="0" w:color="auto"/>
      </w:divBdr>
    </w:div>
    <w:div w:id="307245090">
      <w:marLeft w:val="0"/>
      <w:marRight w:val="0"/>
      <w:marTop w:val="60"/>
      <w:marBottom w:val="0"/>
      <w:divBdr>
        <w:top w:val="none" w:sz="0" w:space="0" w:color="auto"/>
        <w:left w:val="none" w:sz="0" w:space="0" w:color="auto"/>
        <w:bottom w:val="none" w:sz="0" w:space="0" w:color="auto"/>
        <w:right w:val="none" w:sz="0" w:space="0" w:color="auto"/>
      </w:divBdr>
    </w:div>
    <w:div w:id="307369799">
      <w:marLeft w:val="0"/>
      <w:marRight w:val="0"/>
      <w:marTop w:val="60"/>
      <w:marBottom w:val="0"/>
      <w:divBdr>
        <w:top w:val="none" w:sz="0" w:space="0" w:color="auto"/>
        <w:left w:val="none" w:sz="0" w:space="0" w:color="auto"/>
        <w:bottom w:val="none" w:sz="0" w:space="0" w:color="auto"/>
        <w:right w:val="none" w:sz="0" w:space="0" w:color="auto"/>
      </w:divBdr>
    </w:div>
    <w:div w:id="307705190">
      <w:marLeft w:val="0"/>
      <w:marRight w:val="0"/>
      <w:marTop w:val="240"/>
      <w:marBottom w:val="0"/>
      <w:divBdr>
        <w:top w:val="none" w:sz="0" w:space="0" w:color="auto"/>
        <w:left w:val="none" w:sz="0" w:space="0" w:color="auto"/>
        <w:bottom w:val="none" w:sz="0" w:space="0" w:color="auto"/>
        <w:right w:val="none" w:sz="0" w:space="0" w:color="auto"/>
      </w:divBdr>
    </w:div>
    <w:div w:id="307976870">
      <w:marLeft w:val="0"/>
      <w:marRight w:val="0"/>
      <w:marTop w:val="200"/>
      <w:marBottom w:val="0"/>
      <w:divBdr>
        <w:top w:val="none" w:sz="0" w:space="0" w:color="auto"/>
        <w:left w:val="none" w:sz="0" w:space="0" w:color="auto"/>
        <w:bottom w:val="none" w:sz="0" w:space="0" w:color="auto"/>
        <w:right w:val="none" w:sz="0" w:space="0" w:color="auto"/>
      </w:divBdr>
    </w:div>
    <w:div w:id="311638220">
      <w:marLeft w:val="0"/>
      <w:marRight w:val="0"/>
      <w:marTop w:val="220"/>
      <w:marBottom w:val="0"/>
      <w:divBdr>
        <w:top w:val="none" w:sz="0" w:space="0" w:color="auto"/>
        <w:left w:val="none" w:sz="0" w:space="0" w:color="auto"/>
        <w:bottom w:val="none" w:sz="0" w:space="0" w:color="auto"/>
        <w:right w:val="none" w:sz="0" w:space="0" w:color="auto"/>
      </w:divBdr>
    </w:div>
    <w:div w:id="313997195">
      <w:marLeft w:val="0"/>
      <w:marRight w:val="0"/>
      <w:marTop w:val="180"/>
      <w:marBottom w:val="0"/>
      <w:divBdr>
        <w:top w:val="none" w:sz="0" w:space="0" w:color="auto"/>
        <w:left w:val="none" w:sz="0" w:space="0" w:color="auto"/>
        <w:bottom w:val="none" w:sz="0" w:space="0" w:color="auto"/>
        <w:right w:val="none" w:sz="0" w:space="0" w:color="auto"/>
      </w:divBdr>
    </w:div>
    <w:div w:id="314455463">
      <w:marLeft w:val="0"/>
      <w:marRight w:val="0"/>
      <w:marTop w:val="240"/>
      <w:marBottom w:val="0"/>
      <w:divBdr>
        <w:top w:val="none" w:sz="0" w:space="0" w:color="auto"/>
        <w:left w:val="none" w:sz="0" w:space="0" w:color="auto"/>
        <w:bottom w:val="none" w:sz="0" w:space="0" w:color="auto"/>
        <w:right w:val="none" w:sz="0" w:space="0" w:color="auto"/>
      </w:divBdr>
    </w:div>
    <w:div w:id="314652948">
      <w:marLeft w:val="0"/>
      <w:marRight w:val="0"/>
      <w:marTop w:val="240"/>
      <w:marBottom w:val="0"/>
      <w:divBdr>
        <w:top w:val="none" w:sz="0" w:space="0" w:color="auto"/>
        <w:left w:val="none" w:sz="0" w:space="0" w:color="auto"/>
        <w:bottom w:val="none" w:sz="0" w:space="0" w:color="auto"/>
        <w:right w:val="none" w:sz="0" w:space="0" w:color="auto"/>
      </w:divBdr>
    </w:div>
    <w:div w:id="315645544">
      <w:marLeft w:val="0"/>
      <w:marRight w:val="0"/>
      <w:marTop w:val="240"/>
      <w:marBottom w:val="0"/>
      <w:divBdr>
        <w:top w:val="none" w:sz="0" w:space="0" w:color="auto"/>
        <w:left w:val="none" w:sz="0" w:space="0" w:color="auto"/>
        <w:bottom w:val="none" w:sz="0" w:space="0" w:color="auto"/>
        <w:right w:val="none" w:sz="0" w:space="0" w:color="auto"/>
      </w:divBdr>
    </w:div>
    <w:div w:id="316031912">
      <w:marLeft w:val="0"/>
      <w:marRight w:val="0"/>
      <w:marTop w:val="240"/>
      <w:marBottom w:val="0"/>
      <w:divBdr>
        <w:top w:val="none" w:sz="0" w:space="0" w:color="auto"/>
        <w:left w:val="none" w:sz="0" w:space="0" w:color="auto"/>
        <w:bottom w:val="none" w:sz="0" w:space="0" w:color="auto"/>
        <w:right w:val="none" w:sz="0" w:space="0" w:color="auto"/>
      </w:divBdr>
    </w:div>
    <w:div w:id="316540582">
      <w:marLeft w:val="0"/>
      <w:marRight w:val="0"/>
      <w:marTop w:val="120"/>
      <w:marBottom w:val="0"/>
      <w:divBdr>
        <w:top w:val="none" w:sz="0" w:space="0" w:color="auto"/>
        <w:left w:val="none" w:sz="0" w:space="0" w:color="auto"/>
        <w:bottom w:val="none" w:sz="0" w:space="0" w:color="auto"/>
        <w:right w:val="none" w:sz="0" w:space="0" w:color="auto"/>
      </w:divBdr>
    </w:div>
    <w:div w:id="316878800">
      <w:marLeft w:val="0"/>
      <w:marRight w:val="0"/>
      <w:marTop w:val="240"/>
      <w:marBottom w:val="0"/>
      <w:divBdr>
        <w:top w:val="none" w:sz="0" w:space="0" w:color="auto"/>
        <w:left w:val="none" w:sz="0" w:space="0" w:color="auto"/>
        <w:bottom w:val="none" w:sz="0" w:space="0" w:color="auto"/>
        <w:right w:val="none" w:sz="0" w:space="0" w:color="auto"/>
      </w:divBdr>
    </w:div>
    <w:div w:id="316880714">
      <w:marLeft w:val="0"/>
      <w:marRight w:val="0"/>
      <w:marTop w:val="0"/>
      <w:marBottom w:val="0"/>
      <w:divBdr>
        <w:top w:val="none" w:sz="0" w:space="0" w:color="auto"/>
        <w:left w:val="none" w:sz="0" w:space="0" w:color="auto"/>
        <w:bottom w:val="none" w:sz="0" w:space="0" w:color="auto"/>
        <w:right w:val="none" w:sz="0" w:space="0" w:color="auto"/>
      </w:divBdr>
    </w:div>
    <w:div w:id="318458703">
      <w:marLeft w:val="0"/>
      <w:marRight w:val="0"/>
      <w:marTop w:val="200"/>
      <w:marBottom w:val="0"/>
      <w:divBdr>
        <w:top w:val="none" w:sz="0" w:space="0" w:color="auto"/>
        <w:left w:val="none" w:sz="0" w:space="0" w:color="auto"/>
        <w:bottom w:val="none" w:sz="0" w:space="0" w:color="auto"/>
        <w:right w:val="none" w:sz="0" w:space="0" w:color="auto"/>
      </w:divBdr>
    </w:div>
    <w:div w:id="318655852">
      <w:marLeft w:val="0"/>
      <w:marRight w:val="0"/>
      <w:marTop w:val="220"/>
      <w:marBottom w:val="0"/>
      <w:divBdr>
        <w:top w:val="none" w:sz="0" w:space="0" w:color="auto"/>
        <w:left w:val="none" w:sz="0" w:space="0" w:color="auto"/>
        <w:bottom w:val="none" w:sz="0" w:space="0" w:color="auto"/>
        <w:right w:val="none" w:sz="0" w:space="0" w:color="auto"/>
      </w:divBdr>
    </w:div>
    <w:div w:id="318732473">
      <w:marLeft w:val="0"/>
      <w:marRight w:val="0"/>
      <w:marTop w:val="240"/>
      <w:marBottom w:val="0"/>
      <w:divBdr>
        <w:top w:val="none" w:sz="0" w:space="0" w:color="auto"/>
        <w:left w:val="none" w:sz="0" w:space="0" w:color="auto"/>
        <w:bottom w:val="none" w:sz="0" w:space="0" w:color="auto"/>
        <w:right w:val="none" w:sz="0" w:space="0" w:color="auto"/>
      </w:divBdr>
    </w:div>
    <w:div w:id="318925887">
      <w:marLeft w:val="0"/>
      <w:marRight w:val="0"/>
      <w:marTop w:val="240"/>
      <w:marBottom w:val="0"/>
      <w:divBdr>
        <w:top w:val="none" w:sz="0" w:space="0" w:color="auto"/>
        <w:left w:val="none" w:sz="0" w:space="0" w:color="auto"/>
        <w:bottom w:val="none" w:sz="0" w:space="0" w:color="auto"/>
        <w:right w:val="none" w:sz="0" w:space="0" w:color="auto"/>
      </w:divBdr>
    </w:div>
    <w:div w:id="319502848">
      <w:marLeft w:val="0"/>
      <w:marRight w:val="0"/>
      <w:marTop w:val="220"/>
      <w:marBottom w:val="0"/>
      <w:divBdr>
        <w:top w:val="none" w:sz="0" w:space="0" w:color="auto"/>
        <w:left w:val="none" w:sz="0" w:space="0" w:color="auto"/>
        <w:bottom w:val="none" w:sz="0" w:space="0" w:color="auto"/>
        <w:right w:val="none" w:sz="0" w:space="0" w:color="auto"/>
      </w:divBdr>
    </w:div>
    <w:div w:id="320473754">
      <w:marLeft w:val="0"/>
      <w:marRight w:val="0"/>
      <w:marTop w:val="0"/>
      <w:marBottom w:val="0"/>
      <w:divBdr>
        <w:top w:val="none" w:sz="0" w:space="0" w:color="auto"/>
        <w:left w:val="none" w:sz="0" w:space="0" w:color="auto"/>
        <w:bottom w:val="none" w:sz="0" w:space="0" w:color="auto"/>
        <w:right w:val="none" w:sz="0" w:space="0" w:color="auto"/>
      </w:divBdr>
      <w:divsChild>
        <w:div w:id="1224095385">
          <w:marLeft w:val="0"/>
          <w:marRight w:val="0"/>
          <w:marTop w:val="120"/>
          <w:marBottom w:val="0"/>
          <w:divBdr>
            <w:top w:val="none" w:sz="0" w:space="0" w:color="auto"/>
            <w:left w:val="none" w:sz="0" w:space="0" w:color="auto"/>
            <w:bottom w:val="none" w:sz="0" w:space="0" w:color="auto"/>
            <w:right w:val="none" w:sz="0" w:space="0" w:color="auto"/>
          </w:divBdr>
        </w:div>
      </w:divsChild>
    </w:div>
    <w:div w:id="322855308">
      <w:marLeft w:val="0"/>
      <w:marRight w:val="0"/>
      <w:marTop w:val="240"/>
      <w:marBottom w:val="0"/>
      <w:divBdr>
        <w:top w:val="none" w:sz="0" w:space="0" w:color="auto"/>
        <w:left w:val="none" w:sz="0" w:space="0" w:color="auto"/>
        <w:bottom w:val="none" w:sz="0" w:space="0" w:color="auto"/>
        <w:right w:val="none" w:sz="0" w:space="0" w:color="auto"/>
      </w:divBdr>
    </w:div>
    <w:div w:id="322971185">
      <w:marLeft w:val="0"/>
      <w:marRight w:val="0"/>
      <w:marTop w:val="240"/>
      <w:marBottom w:val="0"/>
      <w:divBdr>
        <w:top w:val="none" w:sz="0" w:space="0" w:color="auto"/>
        <w:left w:val="none" w:sz="0" w:space="0" w:color="auto"/>
        <w:bottom w:val="none" w:sz="0" w:space="0" w:color="auto"/>
        <w:right w:val="none" w:sz="0" w:space="0" w:color="auto"/>
      </w:divBdr>
    </w:div>
    <w:div w:id="323827352">
      <w:marLeft w:val="0"/>
      <w:marRight w:val="0"/>
      <w:marTop w:val="240"/>
      <w:marBottom w:val="0"/>
      <w:divBdr>
        <w:top w:val="none" w:sz="0" w:space="0" w:color="auto"/>
        <w:left w:val="none" w:sz="0" w:space="0" w:color="auto"/>
        <w:bottom w:val="none" w:sz="0" w:space="0" w:color="auto"/>
        <w:right w:val="none" w:sz="0" w:space="0" w:color="auto"/>
      </w:divBdr>
    </w:div>
    <w:div w:id="324480363">
      <w:marLeft w:val="0"/>
      <w:marRight w:val="0"/>
      <w:marTop w:val="0"/>
      <w:marBottom w:val="0"/>
      <w:divBdr>
        <w:top w:val="none" w:sz="0" w:space="0" w:color="auto"/>
        <w:left w:val="none" w:sz="0" w:space="0" w:color="auto"/>
        <w:bottom w:val="none" w:sz="0" w:space="0" w:color="auto"/>
        <w:right w:val="none" w:sz="0" w:space="0" w:color="auto"/>
      </w:divBdr>
      <w:divsChild>
        <w:div w:id="683553783">
          <w:marLeft w:val="0"/>
          <w:marRight w:val="0"/>
          <w:marTop w:val="0"/>
          <w:marBottom w:val="0"/>
          <w:divBdr>
            <w:top w:val="none" w:sz="0" w:space="0" w:color="auto"/>
            <w:left w:val="none" w:sz="0" w:space="0" w:color="auto"/>
            <w:bottom w:val="none" w:sz="0" w:space="0" w:color="auto"/>
            <w:right w:val="none" w:sz="0" w:space="0" w:color="auto"/>
          </w:divBdr>
        </w:div>
      </w:divsChild>
    </w:div>
    <w:div w:id="328100547">
      <w:marLeft w:val="0"/>
      <w:marRight w:val="0"/>
      <w:marTop w:val="0"/>
      <w:marBottom w:val="0"/>
      <w:divBdr>
        <w:top w:val="none" w:sz="0" w:space="0" w:color="auto"/>
        <w:left w:val="none" w:sz="0" w:space="0" w:color="auto"/>
        <w:bottom w:val="none" w:sz="0" w:space="0" w:color="auto"/>
        <w:right w:val="none" w:sz="0" w:space="0" w:color="auto"/>
      </w:divBdr>
      <w:divsChild>
        <w:div w:id="1155103943">
          <w:marLeft w:val="0"/>
          <w:marRight w:val="0"/>
          <w:marTop w:val="120"/>
          <w:marBottom w:val="0"/>
          <w:divBdr>
            <w:top w:val="none" w:sz="0" w:space="0" w:color="auto"/>
            <w:left w:val="none" w:sz="0" w:space="0" w:color="auto"/>
            <w:bottom w:val="none" w:sz="0" w:space="0" w:color="auto"/>
            <w:right w:val="none" w:sz="0" w:space="0" w:color="auto"/>
          </w:divBdr>
        </w:div>
      </w:divsChild>
    </w:div>
    <w:div w:id="330524378">
      <w:marLeft w:val="0"/>
      <w:marRight w:val="0"/>
      <w:marTop w:val="240"/>
      <w:marBottom w:val="0"/>
      <w:divBdr>
        <w:top w:val="none" w:sz="0" w:space="0" w:color="auto"/>
        <w:left w:val="none" w:sz="0" w:space="0" w:color="auto"/>
        <w:bottom w:val="none" w:sz="0" w:space="0" w:color="auto"/>
        <w:right w:val="none" w:sz="0" w:space="0" w:color="auto"/>
      </w:divBdr>
    </w:div>
    <w:div w:id="331105987">
      <w:marLeft w:val="0"/>
      <w:marRight w:val="0"/>
      <w:marTop w:val="200"/>
      <w:marBottom w:val="0"/>
      <w:divBdr>
        <w:top w:val="none" w:sz="0" w:space="0" w:color="auto"/>
        <w:left w:val="none" w:sz="0" w:space="0" w:color="auto"/>
        <w:bottom w:val="none" w:sz="0" w:space="0" w:color="auto"/>
        <w:right w:val="none" w:sz="0" w:space="0" w:color="auto"/>
      </w:divBdr>
    </w:div>
    <w:div w:id="331298835">
      <w:marLeft w:val="0"/>
      <w:marRight w:val="0"/>
      <w:marTop w:val="0"/>
      <w:marBottom w:val="0"/>
      <w:divBdr>
        <w:top w:val="none" w:sz="0" w:space="0" w:color="auto"/>
        <w:left w:val="none" w:sz="0" w:space="0" w:color="auto"/>
        <w:bottom w:val="none" w:sz="0" w:space="0" w:color="auto"/>
        <w:right w:val="none" w:sz="0" w:space="0" w:color="auto"/>
      </w:divBdr>
      <w:divsChild>
        <w:div w:id="1299455749">
          <w:marLeft w:val="0"/>
          <w:marRight w:val="0"/>
          <w:marTop w:val="0"/>
          <w:marBottom w:val="0"/>
          <w:divBdr>
            <w:top w:val="none" w:sz="0" w:space="0" w:color="auto"/>
            <w:left w:val="none" w:sz="0" w:space="0" w:color="auto"/>
            <w:bottom w:val="none" w:sz="0" w:space="0" w:color="auto"/>
            <w:right w:val="none" w:sz="0" w:space="0" w:color="auto"/>
          </w:divBdr>
        </w:div>
      </w:divsChild>
    </w:div>
    <w:div w:id="332533900">
      <w:marLeft w:val="0"/>
      <w:marRight w:val="0"/>
      <w:marTop w:val="0"/>
      <w:marBottom w:val="0"/>
      <w:divBdr>
        <w:top w:val="none" w:sz="0" w:space="0" w:color="auto"/>
        <w:left w:val="none" w:sz="0" w:space="0" w:color="auto"/>
        <w:bottom w:val="none" w:sz="0" w:space="0" w:color="auto"/>
        <w:right w:val="none" w:sz="0" w:space="0" w:color="auto"/>
      </w:divBdr>
      <w:divsChild>
        <w:div w:id="948781318">
          <w:marLeft w:val="0"/>
          <w:marRight w:val="0"/>
          <w:marTop w:val="0"/>
          <w:marBottom w:val="0"/>
          <w:divBdr>
            <w:top w:val="none" w:sz="0" w:space="0" w:color="auto"/>
            <w:left w:val="none" w:sz="0" w:space="0" w:color="auto"/>
            <w:bottom w:val="none" w:sz="0" w:space="0" w:color="auto"/>
            <w:right w:val="none" w:sz="0" w:space="0" w:color="auto"/>
          </w:divBdr>
          <w:divsChild>
            <w:div w:id="37751606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334069741">
      <w:marLeft w:val="0"/>
      <w:marRight w:val="0"/>
      <w:marTop w:val="240"/>
      <w:marBottom w:val="240"/>
      <w:divBdr>
        <w:top w:val="none" w:sz="0" w:space="0" w:color="auto"/>
        <w:left w:val="none" w:sz="0" w:space="0" w:color="auto"/>
        <w:bottom w:val="none" w:sz="0" w:space="0" w:color="auto"/>
        <w:right w:val="none" w:sz="0" w:space="0" w:color="auto"/>
      </w:divBdr>
    </w:div>
    <w:div w:id="336545320">
      <w:marLeft w:val="0"/>
      <w:marRight w:val="0"/>
      <w:marTop w:val="240"/>
      <w:marBottom w:val="0"/>
      <w:divBdr>
        <w:top w:val="none" w:sz="0" w:space="0" w:color="auto"/>
        <w:left w:val="none" w:sz="0" w:space="0" w:color="auto"/>
        <w:bottom w:val="none" w:sz="0" w:space="0" w:color="auto"/>
        <w:right w:val="none" w:sz="0" w:space="0" w:color="auto"/>
      </w:divBdr>
    </w:div>
    <w:div w:id="338626446">
      <w:marLeft w:val="0"/>
      <w:marRight w:val="0"/>
      <w:marTop w:val="0"/>
      <w:marBottom w:val="0"/>
      <w:divBdr>
        <w:top w:val="none" w:sz="0" w:space="0" w:color="auto"/>
        <w:left w:val="none" w:sz="0" w:space="0" w:color="auto"/>
        <w:bottom w:val="none" w:sz="0" w:space="0" w:color="auto"/>
        <w:right w:val="none" w:sz="0" w:space="0" w:color="auto"/>
      </w:divBdr>
      <w:divsChild>
        <w:div w:id="227955615">
          <w:marLeft w:val="0"/>
          <w:marRight w:val="0"/>
          <w:marTop w:val="120"/>
          <w:marBottom w:val="0"/>
          <w:divBdr>
            <w:top w:val="none" w:sz="0" w:space="0" w:color="auto"/>
            <w:left w:val="none" w:sz="0" w:space="0" w:color="auto"/>
            <w:bottom w:val="none" w:sz="0" w:space="0" w:color="auto"/>
            <w:right w:val="none" w:sz="0" w:space="0" w:color="auto"/>
          </w:divBdr>
        </w:div>
      </w:divsChild>
    </w:div>
    <w:div w:id="340157643">
      <w:marLeft w:val="0"/>
      <w:marRight w:val="0"/>
      <w:marTop w:val="60"/>
      <w:marBottom w:val="0"/>
      <w:divBdr>
        <w:top w:val="none" w:sz="0" w:space="0" w:color="auto"/>
        <w:left w:val="none" w:sz="0" w:space="0" w:color="auto"/>
        <w:bottom w:val="none" w:sz="0" w:space="0" w:color="auto"/>
        <w:right w:val="none" w:sz="0" w:space="0" w:color="auto"/>
      </w:divBdr>
    </w:div>
    <w:div w:id="341666237">
      <w:marLeft w:val="0"/>
      <w:marRight w:val="0"/>
      <w:marTop w:val="240"/>
      <w:marBottom w:val="0"/>
      <w:divBdr>
        <w:top w:val="none" w:sz="0" w:space="0" w:color="auto"/>
        <w:left w:val="none" w:sz="0" w:space="0" w:color="auto"/>
        <w:bottom w:val="none" w:sz="0" w:space="0" w:color="auto"/>
        <w:right w:val="none" w:sz="0" w:space="0" w:color="auto"/>
      </w:divBdr>
    </w:div>
    <w:div w:id="343291060">
      <w:marLeft w:val="0"/>
      <w:marRight w:val="0"/>
      <w:marTop w:val="0"/>
      <w:marBottom w:val="0"/>
      <w:divBdr>
        <w:top w:val="none" w:sz="0" w:space="0" w:color="auto"/>
        <w:left w:val="none" w:sz="0" w:space="0" w:color="auto"/>
        <w:bottom w:val="none" w:sz="0" w:space="0" w:color="auto"/>
        <w:right w:val="none" w:sz="0" w:space="0" w:color="auto"/>
      </w:divBdr>
      <w:divsChild>
        <w:div w:id="1900435453">
          <w:marLeft w:val="0"/>
          <w:marRight w:val="0"/>
          <w:marTop w:val="0"/>
          <w:marBottom w:val="0"/>
          <w:divBdr>
            <w:top w:val="none" w:sz="0" w:space="0" w:color="auto"/>
            <w:left w:val="none" w:sz="0" w:space="0" w:color="auto"/>
            <w:bottom w:val="none" w:sz="0" w:space="0" w:color="auto"/>
            <w:right w:val="none" w:sz="0" w:space="0" w:color="auto"/>
          </w:divBdr>
        </w:div>
      </w:divsChild>
    </w:div>
    <w:div w:id="344792965">
      <w:marLeft w:val="0"/>
      <w:marRight w:val="0"/>
      <w:marTop w:val="240"/>
      <w:marBottom w:val="0"/>
      <w:divBdr>
        <w:top w:val="none" w:sz="0" w:space="0" w:color="auto"/>
        <w:left w:val="none" w:sz="0" w:space="0" w:color="auto"/>
        <w:bottom w:val="none" w:sz="0" w:space="0" w:color="auto"/>
        <w:right w:val="none" w:sz="0" w:space="0" w:color="auto"/>
      </w:divBdr>
    </w:div>
    <w:div w:id="346979550">
      <w:marLeft w:val="0"/>
      <w:marRight w:val="0"/>
      <w:marTop w:val="300"/>
      <w:marBottom w:val="0"/>
      <w:divBdr>
        <w:top w:val="none" w:sz="0" w:space="0" w:color="auto"/>
        <w:left w:val="none" w:sz="0" w:space="0" w:color="auto"/>
        <w:bottom w:val="none" w:sz="0" w:space="0" w:color="auto"/>
        <w:right w:val="none" w:sz="0" w:space="0" w:color="auto"/>
      </w:divBdr>
    </w:div>
    <w:div w:id="348218395">
      <w:marLeft w:val="0"/>
      <w:marRight w:val="0"/>
      <w:marTop w:val="160"/>
      <w:marBottom w:val="0"/>
      <w:divBdr>
        <w:top w:val="none" w:sz="0" w:space="0" w:color="auto"/>
        <w:left w:val="none" w:sz="0" w:space="0" w:color="auto"/>
        <w:bottom w:val="none" w:sz="0" w:space="0" w:color="auto"/>
        <w:right w:val="none" w:sz="0" w:space="0" w:color="auto"/>
      </w:divBdr>
    </w:div>
    <w:div w:id="348413744">
      <w:marLeft w:val="0"/>
      <w:marRight w:val="0"/>
      <w:marTop w:val="0"/>
      <w:marBottom w:val="0"/>
      <w:divBdr>
        <w:top w:val="none" w:sz="0" w:space="0" w:color="auto"/>
        <w:left w:val="none" w:sz="0" w:space="0" w:color="auto"/>
        <w:bottom w:val="none" w:sz="0" w:space="0" w:color="auto"/>
        <w:right w:val="none" w:sz="0" w:space="0" w:color="auto"/>
      </w:divBdr>
      <w:divsChild>
        <w:div w:id="1985428845">
          <w:marLeft w:val="0"/>
          <w:marRight w:val="0"/>
          <w:marTop w:val="0"/>
          <w:marBottom w:val="0"/>
          <w:divBdr>
            <w:top w:val="none" w:sz="0" w:space="0" w:color="auto"/>
            <w:left w:val="none" w:sz="0" w:space="0" w:color="auto"/>
            <w:bottom w:val="none" w:sz="0" w:space="0" w:color="auto"/>
            <w:right w:val="none" w:sz="0" w:space="0" w:color="auto"/>
          </w:divBdr>
          <w:divsChild>
            <w:div w:id="22152877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348678453">
      <w:marLeft w:val="0"/>
      <w:marRight w:val="0"/>
      <w:marTop w:val="180"/>
      <w:marBottom w:val="240"/>
      <w:divBdr>
        <w:top w:val="none" w:sz="0" w:space="0" w:color="auto"/>
        <w:left w:val="none" w:sz="0" w:space="0" w:color="auto"/>
        <w:bottom w:val="none" w:sz="0" w:space="0" w:color="auto"/>
        <w:right w:val="none" w:sz="0" w:space="0" w:color="auto"/>
      </w:divBdr>
    </w:div>
    <w:div w:id="348988263">
      <w:marLeft w:val="0"/>
      <w:marRight w:val="0"/>
      <w:marTop w:val="240"/>
      <w:marBottom w:val="0"/>
      <w:divBdr>
        <w:top w:val="none" w:sz="0" w:space="0" w:color="auto"/>
        <w:left w:val="none" w:sz="0" w:space="0" w:color="auto"/>
        <w:bottom w:val="none" w:sz="0" w:space="0" w:color="auto"/>
        <w:right w:val="none" w:sz="0" w:space="0" w:color="auto"/>
      </w:divBdr>
    </w:div>
    <w:div w:id="352418047">
      <w:marLeft w:val="0"/>
      <w:marRight w:val="0"/>
      <w:marTop w:val="240"/>
      <w:marBottom w:val="0"/>
      <w:divBdr>
        <w:top w:val="none" w:sz="0" w:space="0" w:color="auto"/>
        <w:left w:val="none" w:sz="0" w:space="0" w:color="auto"/>
        <w:bottom w:val="none" w:sz="0" w:space="0" w:color="auto"/>
        <w:right w:val="none" w:sz="0" w:space="0" w:color="auto"/>
      </w:divBdr>
    </w:div>
    <w:div w:id="354500329">
      <w:marLeft w:val="0"/>
      <w:marRight w:val="0"/>
      <w:marTop w:val="0"/>
      <w:marBottom w:val="0"/>
      <w:divBdr>
        <w:top w:val="none" w:sz="0" w:space="0" w:color="auto"/>
        <w:left w:val="none" w:sz="0" w:space="0" w:color="auto"/>
        <w:bottom w:val="none" w:sz="0" w:space="0" w:color="auto"/>
        <w:right w:val="none" w:sz="0" w:space="0" w:color="auto"/>
      </w:divBdr>
      <w:divsChild>
        <w:div w:id="307824854">
          <w:marLeft w:val="0"/>
          <w:marRight w:val="0"/>
          <w:marTop w:val="0"/>
          <w:marBottom w:val="0"/>
          <w:divBdr>
            <w:top w:val="none" w:sz="0" w:space="0" w:color="auto"/>
            <w:left w:val="none" w:sz="0" w:space="0" w:color="auto"/>
            <w:bottom w:val="none" w:sz="0" w:space="0" w:color="auto"/>
            <w:right w:val="none" w:sz="0" w:space="0" w:color="auto"/>
          </w:divBdr>
          <w:divsChild>
            <w:div w:id="199753751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356194915">
      <w:marLeft w:val="0"/>
      <w:marRight w:val="0"/>
      <w:marTop w:val="180"/>
      <w:marBottom w:val="0"/>
      <w:divBdr>
        <w:top w:val="none" w:sz="0" w:space="0" w:color="auto"/>
        <w:left w:val="none" w:sz="0" w:space="0" w:color="auto"/>
        <w:bottom w:val="none" w:sz="0" w:space="0" w:color="auto"/>
        <w:right w:val="none" w:sz="0" w:space="0" w:color="auto"/>
      </w:divBdr>
    </w:div>
    <w:div w:id="358044015">
      <w:marLeft w:val="0"/>
      <w:marRight w:val="0"/>
      <w:marTop w:val="240"/>
      <w:marBottom w:val="0"/>
      <w:divBdr>
        <w:top w:val="none" w:sz="0" w:space="0" w:color="auto"/>
        <w:left w:val="none" w:sz="0" w:space="0" w:color="auto"/>
        <w:bottom w:val="none" w:sz="0" w:space="0" w:color="auto"/>
        <w:right w:val="none" w:sz="0" w:space="0" w:color="auto"/>
      </w:divBdr>
    </w:div>
    <w:div w:id="358363479">
      <w:marLeft w:val="0"/>
      <w:marRight w:val="0"/>
      <w:marTop w:val="240"/>
      <w:marBottom w:val="0"/>
      <w:divBdr>
        <w:top w:val="none" w:sz="0" w:space="0" w:color="auto"/>
        <w:left w:val="none" w:sz="0" w:space="0" w:color="auto"/>
        <w:bottom w:val="none" w:sz="0" w:space="0" w:color="auto"/>
        <w:right w:val="none" w:sz="0" w:space="0" w:color="auto"/>
      </w:divBdr>
    </w:div>
    <w:div w:id="359210824">
      <w:marLeft w:val="0"/>
      <w:marRight w:val="0"/>
      <w:marTop w:val="0"/>
      <w:marBottom w:val="0"/>
      <w:divBdr>
        <w:top w:val="none" w:sz="0" w:space="0" w:color="auto"/>
        <w:left w:val="none" w:sz="0" w:space="0" w:color="auto"/>
        <w:bottom w:val="none" w:sz="0" w:space="0" w:color="auto"/>
        <w:right w:val="none" w:sz="0" w:space="0" w:color="auto"/>
      </w:divBdr>
      <w:divsChild>
        <w:div w:id="1671786885">
          <w:marLeft w:val="0"/>
          <w:marRight w:val="0"/>
          <w:marTop w:val="120"/>
          <w:marBottom w:val="0"/>
          <w:divBdr>
            <w:top w:val="none" w:sz="0" w:space="0" w:color="auto"/>
            <w:left w:val="none" w:sz="0" w:space="0" w:color="auto"/>
            <w:bottom w:val="none" w:sz="0" w:space="0" w:color="auto"/>
            <w:right w:val="none" w:sz="0" w:space="0" w:color="auto"/>
          </w:divBdr>
        </w:div>
      </w:divsChild>
    </w:div>
    <w:div w:id="361439130">
      <w:marLeft w:val="0"/>
      <w:marRight w:val="0"/>
      <w:marTop w:val="180"/>
      <w:marBottom w:val="0"/>
      <w:divBdr>
        <w:top w:val="none" w:sz="0" w:space="0" w:color="auto"/>
        <w:left w:val="none" w:sz="0" w:space="0" w:color="auto"/>
        <w:bottom w:val="none" w:sz="0" w:space="0" w:color="auto"/>
        <w:right w:val="none" w:sz="0" w:space="0" w:color="auto"/>
      </w:divBdr>
    </w:div>
    <w:div w:id="361980613">
      <w:marLeft w:val="0"/>
      <w:marRight w:val="0"/>
      <w:marTop w:val="100"/>
      <w:marBottom w:val="0"/>
      <w:divBdr>
        <w:top w:val="none" w:sz="0" w:space="0" w:color="auto"/>
        <w:left w:val="none" w:sz="0" w:space="0" w:color="auto"/>
        <w:bottom w:val="none" w:sz="0" w:space="0" w:color="auto"/>
        <w:right w:val="none" w:sz="0" w:space="0" w:color="auto"/>
      </w:divBdr>
    </w:div>
    <w:div w:id="362289576">
      <w:marLeft w:val="0"/>
      <w:marRight w:val="0"/>
      <w:marTop w:val="240"/>
      <w:marBottom w:val="0"/>
      <w:divBdr>
        <w:top w:val="none" w:sz="0" w:space="0" w:color="auto"/>
        <w:left w:val="none" w:sz="0" w:space="0" w:color="auto"/>
        <w:bottom w:val="none" w:sz="0" w:space="0" w:color="auto"/>
        <w:right w:val="none" w:sz="0" w:space="0" w:color="auto"/>
      </w:divBdr>
    </w:div>
    <w:div w:id="362949503">
      <w:marLeft w:val="0"/>
      <w:marRight w:val="0"/>
      <w:marTop w:val="180"/>
      <w:marBottom w:val="0"/>
      <w:divBdr>
        <w:top w:val="none" w:sz="0" w:space="0" w:color="auto"/>
        <w:left w:val="none" w:sz="0" w:space="0" w:color="auto"/>
        <w:bottom w:val="none" w:sz="0" w:space="0" w:color="auto"/>
        <w:right w:val="none" w:sz="0" w:space="0" w:color="auto"/>
      </w:divBdr>
    </w:div>
    <w:div w:id="363868081">
      <w:marLeft w:val="0"/>
      <w:marRight w:val="0"/>
      <w:marTop w:val="240"/>
      <w:marBottom w:val="0"/>
      <w:divBdr>
        <w:top w:val="none" w:sz="0" w:space="0" w:color="auto"/>
        <w:left w:val="none" w:sz="0" w:space="0" w:color="auto"/>
        <w:bottom w:val="none" w:sz="0" w:space="0" w:color="auto"/>
        <w:right w:val="none" w:sz="0" w:space="0" w:color="auto"/>
      </w:divBdr>
    </w:div>
    <w:div w:id="365179730">
      <w:marLeft w:val="0"/>
      <w:marRight w:val="0"/>
      <w:marTop w:val="180"/>
      <w:marBottom w:val="0"/>
      <w:divBdr>
        <w:top w:val="none" w:sz="0" w:space="0" w:color="auto"/>
        <w:left w:val="none" w:sz="0" w:space="0" w:color="auto"/>
        <w:bottom w:val="none" w:sz="0" w:space="0" w:color="auto"/>
        <w:right w:val="none" w:sz="0" w:space="0" w:color="auto"/>
      </w:divBdr>
    </w:div>
    <w:div w:id="365373982">
      <w:marLeft w:val="0"/>
      <w:marRight w:val="0"/>
      <w:marTop w:val="180"/>
      <w:marBottom w:val="0"/>
      <w:divBdr>
        <w:top w:val="none" w:sz="0" w:space="0" w:color="auto"/>
        <w:left w:val="none" w:sz="0" w:space="0" w:color="auto"/>
        <w:bottom w:val="none" w:sz="0" w:space="0" w:color="auto"/>
        <w:right w:val="none" w:sz="0" w:space="0" w:color="auto"/>
      </w:divBdr>
    </w:div>
    <w:div w:id="367994463">
      <w:marLeft w:val="0"/>
      <w:marRight w:val="0"/>
      <w:marTop w:val="300"/>
      <w:marBottom w:val="0"/>
      <w:divBdr>
        <w:top w:val="none" w:sz="0" w:space="0" w:color="auto"/>
        <w:left w:val="none" w:sz="0" w:space="0" w:color="auto"/>
        <w:bottom w:val="none" w:sz="0" w:space="0" w:color="auto"/>
        <w:right w:val="none" w:sz="0" w:space="0" w:color="auto"/>
      </w:divBdr>
    </w:div>
    <w:div w:id="369917768">
      <w:marLeft w:val="0"/>
      <w:marRight w:val="0"/>
      <w:marTop w:val="180"/>
      <w:marBottom w:val="0"/>
      <w:divBdr>
        <w:top w:val="none" w:sz="0" w:space="0" w:color="auto"/>
        <w:left w:val="none" w:sz="0" w:space="0" w:color="auto"/>
        <w:bottom w:val="none" w:sz="0" w:space="0" w:color="auto"/>
        <w:right w:val="none" w:sz="0" w:space="0" w:color="auto"/>
      </w:divBdr>
    </w:div>
    <w:div w:id="375475747">
      <w:marLeft w:val="0"/>
      <w:marRight w:val="0"/>
      <w:marTop w:val="240"/>
      <w:marBottom w:val="0"/>
      <w:divBdr>
        <w:top w:val="none" w:sz="0" w:space="0" w:color="auto"/>
        <w:left w:val="none" w:sz="0" w:space="0" w:color="auto"/>
        <w:bottom w:val="none" w:sz="0" w:space="0" w:color="auto"/>
        <w:right w:val="none" w:sz="0" w:space="0" w:color="auto"/>
      </w:divBdr>
    </w:div>
    <w:div w:id="375551272">
      <w:marLeft w:val="0"/>
      <w:marRight w:val="0"/>
      <w:marTop w:val="240"/>
      <w:marBottom w:val="0"/>
      <w:divBdr>
        <w:top w:val="none" w:sz="0" w:space="0" w:color="auto"/>
        <w:left w:val="none" w:sz="0" w:space="0" w:color="auto"/>
        <w:bottom w:val="none" w:sz="0" w:space="0" w:color="auto"/>
        <w:right w:val="none" w:sz="0" w:space="0" w:color="auto"/>
      </w:divBdr>
    </w:div>
    <w:div w:id="375930104">
      <w:marLeft w:val="0"/>
      <w:marRight w:val="0"/>
      <w:marTop w:val="240"/>
      <w:marBottom w:val="0"/>
      <w:divBdr>
        <w:top w:val="none" w:sz="0" w:space="0" w:color="auto"/>
        <w:left w:val="none" w:sz="0" w:space="0" w:color="auto"/>
        <w:bottom w:val="none" w:sz="0" w:space="0" w:color="auto"/>
        <w:right w:val="none" w:sz="0" w:space="0" w:color="auto"/>
      </w:divBdr>
    </w:div>
    <w:div w:id="377320893">
      <w:marLeft w:val="0"/>
      <w:marRight w:val="0"/>
      <w:marTop w:val="0"/>
      <w:marBottom w:val="0"/>
      <w:divBdr>
        <w:top w:val="none" w:sz="0" w:space="0" w:color="auto"/>
        <w:left w:val="none" w:sz="0" w:space="0" w:color="auto"/>
        <w:bottom w:val="none" w:sz="0" w:space="0" w:color="auto"/>
        <w:right w:val="none" w:sz="0" w:space="0" w:color="auto"/>
      </w:divBdr>
    </w:div>
    <w:div w:id="377703214">
      <w:marLeft w:val="0"/>
      <w:marRight w:val="0"/>
      <w:marTop w:val="300"/>
      <w:marBottom w:val="0"/>
      <w:divBdr>
        <w:top w:val="none" w:sz="0" w:space="0" w:color="auto"/>
        <w:left w:val="none" w:sz="0" w:space="0" w:color="auto"/>
        <w:bottom w:val="none" w:sz="0" w:space="0" w:color="auto"/>
        <w:right w:val="none" w:sz="0" w:space="0" w:color="auto"/>
      </w:divBdr>
    </w:div>
    <w:div w:id="379986538">
      <w:marLeft w:val="0"/>
      <w:marRight w:val="0"/>
      <w:marTop w:val="240"/>
      <w:marBottom w:val="0"/>
      <w:divBdr>
        <w:top w:val="none" w:sz="0" w:space="0" w:color="auto"/>
        <w:left w:val="none" w:sz="0" w:space="0" w:color="auto"/>
        <w:bottom w:val="none" w:sz="0" w:space="0" w:color="auto"/>
        <w:right w:val="none" w:sz="0" w:space="0" w:color="auto"/>
      </w:divBdr>
    </w:div>
    <w:div w:id="381056250">
      <w:marLeft w:val="0"/>
      <w:marRight w:val="0"/>
      <w:marTop w:val="200"/>
      <w:marBottom w:val="0"/>
      <w:divBdr>
        <w:top w:val="none" w:sz="0" w:space="0" w:color="auto"/>
        <w:left w:val="none" w:sz="0" w:space="0" w:color="auto"/>
        <w:bottom w:val="none" w:sz="0" w:space="0" w:color="auto"/>
        <w:right w:val="none" w:sz="0" w:space="0" w:color="auto"/>
      </w:divBdr>
    </w:div>
    <w:div w:id="381757701">
      <w:marLeft w:val="0"/>
      <w:marRight w:val="0"/>
      <w:marTop w:val="240"/>
      <w:marBottom w:val="0"/>
      <w:divBdr>
        <w:top w:val="none" w:sz="0" w:space="0" w:color="auto"/>
        <w:left w:val="none" w:sz="0" w:space="0" w:color="auto"/>
        <w:bottom w:val="none" w:sz="0" w:space="0" w:color="auto"/>
        <w:right w:val="none" w:sz="0" w:space="0" w:color="auto"/>
      </w:divBdr>
    </w:div>
    <w:div w:id="382876938">
      <w:marLeft w:val="0"/>
      <w:marRight w:val="0"/>
      <w:marTop w:val="180"/>
      <w:marBottom w:val="0"/>
      <w:divBdr>
        <w:top w:val="none" w:sz="0" w:space="0" w:color="auto"/>
        <w:left w:val="none" w:sz="0" w:space="0" w:color="auto"/>
        <w:bottom w:val="none" w:sz="0" w:space="0" w:color="auto"/>
        <w:right w:val="none" w:sz="0" w:space="0" w:color="auto"/>
      </w:divBdr>
    </w:div>
    <w:div w:id="383725172">
      <w:marLeft w:val="0"/>
      <w:marRight w:val="0"/>
      <w:marTop w:val="240"/>
      <w:marBottom w:val="0"/>
      <w:divBdr>
        <w:top w:val="none" w:sz="0" w:space="0" w:color="auto"/>
        <w:left w:val="none" w:sz="0" w:space="0" w:color="auto"/>
        <w:bottom w:val="none" w:sz="0" w:space="0" w:color="auto"/>
        <w:right w:val="none" w:sz="0" w:space="0" w:color="auto"/>
      </w:divBdr>
    </w:div>
    <w:div w:id="384839003">
      <w:marLeft w:val="0"/>
      <w:marRight w:val="0"/>
      <w:marTop w:val="240"/>
      <w:marBottom w:val="0"/>
      <w:divBdr>
        <w:top w:val="none" w:sz="0" w:space="0" w:color="auto"/>
        <w:left w:val="none" w:sz="0" w:space="0" w:color="auto"/>
        <w:bottom w:val="none" w:sz="0" w:space="0" w:color="auto"/>
        <w:right w:val="none" w:sz="0" w:space="0" w:color="auto"/>
      </w:divBdr>
    </w:div>
    <w:div w:id="385957483">
      <w:marLeft w:val="0"/>
      <w:marRight w:val="0"/>
      <w:marTop w:val="240"/>
      <w:marBottom w:val="240"/>
      <w:divBdr>
        <w:top w:val="none" w:sz="0" w:space="0" w:color="auto"/>
        <w:left w:val="none" w:sz="0" w:space="0" w:color="auto"/>
        <w:bottom w:val="none" w:sz="0" w:space="0" w:color="auto"/>
        <w:right w:val="none" w:sz="0" w:space="0" w:color="auto"/>
      </w:divBdr>
    </w:div>
    <w:div w:id="387806963">
      <w:marLeft w:val="0"/>
      <w:marRight w:val="0"/>
      <w:marTop w:val="120"/>
      <w:marBottom w:val="0"/>
      <w:divBdr>
        <w:top w:val="none" w:sz="0" w:space="0" w:color="auto"/>
        <w:left w:val="none" w:sz="0" w:space="0" w:color="auto"/>
        <w:bottom w:val="none" w:sz="0" w:space="0" w:color="auto"/>
        <w:right w:val="none" w:sz="0" w:space="0" w:color="auto"/>
      </w:divBdr>
    </w:div>
    <w:div w:id="388501047">
      <w:marLeft w:val="0"/>
      <w:marRight w:val="0"/>
      <w:marTop w:val="240"/>
      <w:marBottom w:val="0"/>
      <w:divBdr>
        <w:top w:val="none" w:sz="0" w:space="0" w:color="auto"/>
        <w:left w:val="none" w:sz="0" w:space="0" w:color="auto"/>
        <w:bottom w:val="none" w:sz="0" w:space="0" w:color="auto"/>
        <w:right w:val="none" w:sz="0" w:space="0" w:color="auto"/>
      </w:divBdr>
    </w:div>
    <w:div w:id="390152378">
      <w:marLeft w:val="0"/>
      <w:marRight w:val="0"/>
      <w:marTop w:val="240"/>
      <w:marBottom w:val="0"/>
      <w:divBdr>
        <w:top w:val="none" w:sz="0" w:space="0" w:color="auto"/>
        <w:left w:val="none" w:sz="0" w:space="0" w:color="auto"/>
        <w:bottom w:val="none" w:sz="0" w:space="0" w:color="auto"/>
        <w:right w:val="none" w:sz="0" w:space="0" w:color="auto"/>
      </w:divBdr>
    </w:div>
    <w:div w:id="393820181">
      <w:marLeft w:val="0"/>
      <w:marRight w:val="0"/>
      <w:marTop w:val="100"/>
      <w:marBottom w:val="240"/>
      <w:divBdr>
        <w:top w:val="none" w:sz="0" w:space="0" w:color="auto"/>
        <w:left w:val="none" w:sz="0" w:space="0" w:color="auto"/>
        <w:bottom w:val="none" w:sz="0" w:space="0" w:color="auto"/>
        <w:right w:val="none" w:sz="0" w:space="0" w:color="auto"/>
      </w:divBdr>
    </w:div>
    <w:div w:id="394745825">
      <w:marLeft w:val="0"/>
      <w:marRight w:val="0"/>
      <w:marTop w:val="240"/>
      <w:marBottom w:val="0"/>
      <w:divBdr>
        <w:top w:val="none" w:sz="0" w:space="0" w:color="auto"/>
        <w:left w:val="none" w:sz="0" w:space="0" w:color="auto"/>
        <w:bottom w:val="none" w:sz="0" w:space="0" w:color="auto"/>
        <w:right w:val="none" w:sz="0" w:space="0" w:color="auto"/>
      </w:divBdr>
    </w:div>
    <w:div w:id="395594875">
      <w:marLeft w:val="0"/>
      <w:marRight w:val="0"/>
      <w:marTop w:val="0"/>
      <w:marBottom w:val="60"/>
      <w:divBdr>
        <w:top w:val="none" w:sz="0" w:space="0" w:color="auto"/>
        <w:left w:val="none" w:sz="0" w:space="0" w:color="auto"/>
        <w:bottom w:val="none" w:sz="0" w:space="0" w:color="auto"/>
        <w:right w:val="none" w:sz="0" w:space="0" w:color="auto"/>
      </w:divBdr>
    </w:div>
    <w:div w:id="395934648">
      <w:marLeft w:val="0"/>
      <w:marRight w:val="0"/>
      <w:marTop w:val="240"/>
      <w:marBottom w:val="0"/>
      <w:divBdr>
        <w:top w:val="none" w:sz="0" w:space="0" w:color="auto"/>
        <w:left w:val="none" w:sz="0" w:space="0" w:color="auto"/>
        <w:bottom w:val="none" w:sz="0" w:space="0" w:color="auto"/>
        <w:right w:val="none" w:sz="0" w:space="0" w:color="auto"/>
      </w:divBdr>
    </w:div>
    <w:div w:id="396123878">
      <w:marLeft w:val="0"/>
      <w:marRight w:val="0"/>
      <w:marTop w:val="0"/>
      <w:marBottom w:val="0"/>
      <w:divBdr>
        <w:top w:val="none" w:sz="0" w:space="0" w:color="auto"/>
        <w:left w:val="none" w:sz="0" w:space="0" w:color="auto"/>
        <w:bottom w:val="none" w:sz="0" w:space="0" w:color="auto"/>
        <w:right w:val="none" w:sz="0" w:space="0" w:color="auto"/>
      </w:divBdr>
      <w:divsChild>
        <w:div w:id="1056851523">
          <w:marLeft w:val="0"/>
          <w:marRight w:val="0"/>
          <w:marTop w:val="0"/>
          <w:marBottom w:val="0"/>
          <w:divBdr>
            <w:top w:val="none" w:sz="0" w:space="0" w:color="auto"/>
            <w:left w:val="none" w:sz="0" w:space="0" w:color="auto"/>
            <w:bottom w:val="none" w:sz="0" w:space="0" w:color="auto"/>
            <w:right w:val="none" w:sz="0" w:space="0" w:color="auto"/>
          </w:divBdr>
        </w:div>
      </w:divsChild>
    </w:div>
    <w:div w:id="396365259">
      <w:marLeft w:val="0"/>
      <w:marRight w:val="0"/>
      <w:marTop w:val="140"/>
      <w:marBottom w:val="0"/>
      <w:divBdr>
        <w:top w:val="none" w:sz="0" w:space="0" w:color="auto"/>
        <w:left w:val="none" w:sz="0" w:space="0" w:color="auto"/>
        <w:bottom w:val="none" w:sz="0" w:space="0" w:color="auto"/>
        <w:right w:val="none" w:sz="0" w:space="0" w:color="auto"/>
      </w:divBdr>
    </w:div>
    <w:div w:id="397241520">
      <w:marLeft w:val="0"/>
      <w:marRight w:val="0"/>
      <w:marTop w:val="0"/>
      <w:marBottom w:val="0"/>
      <w:divBdr>
        <w:top w:val="none" w:sz="0" w:space="0" w:color="auto"/>
        <w:left w:val="none" w:sz="0" w:space="0" w:color="auto"/>
        <w:bottom w:val="none" w:sz="0" w:space="0" w:color="auto"/>
        <w:right w:val="none" w:sz="0" w:space="0" w:color="auto"/>
      </w:divBdr>
    </w:div>
    <w:div w:id="397291530">
      <w:marLeft w:val="0"/>
      <w:marRight w:val="0"/>
      <w:marTop w:val="180"/>
      <w:marBottom w:val="0"/>
      <w:divBdr>
        <w:top w:val="none" w:sz="0" w:space="0" w:color="auto"/>
        <w:left w:val="none" w:sz="0" w:space="0" w:color="auto"/>
        <w:bottom w:val="none" w:sz="0" w:space="0" w:color="auto"/>
        <w:right w:val="none" w:sz="0" w:space="0" w:color="auto"/>
      </w:divBdr>
    </w:div>
    <w:div w:id="398360107">
      <w:marLeft w:val="0"/>
      <w:marRight w:val="0"/>
      <w:marTop w:val="0"/>
      <w:marBottom w:val="0"/>
      <w:divBdr>
        <w:top w:val="none" w:sz="0" w:space="0" w:color="auto"/>
        <w:left w:val="none" w:sz="0" w:space="0" w:color="auto"/>
        <w:bottom w:val="none" w:sz="0" w:space="0" w:color="auto"/>
        <w:right w:val="none" w:sz="0" w:space="0" w:color="auto"/>
      </w:divBdr>
      <w:divsChild>
        <w:div w:id="1598904210">
          <w:marLeft w:val="0"/>
          <w:marRight w:val="0"/>
          <w:marTop w:val="0"/>
          <w:marBottom w:val="0"/>
          <w:divBdr>
            <w:top w:val="none" w:sz="0" w:space="0" w:color="auto"/>
            <w:left w:val="none" w:sz="0" w:space="0" w:color="auto"/>
            <w:bottom w:val="none" w:sz="0" w:space="0" w:color="auto"/>
            <w:right w:val="none" w:sz="0" w:space="0" w:color="auto"/>
          </w:divBdr>
          <w:divsChild>
            <w:div w:id="194938718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398794429">
      <w:marLeft w:val="0"/>
      <w:marRight w:val="0"/>
      <w:marTop w:val="160"/>
      <w:marBottom w:val="0"/>
      <w:divBdr>
        <w:top w:val="none" w:sz="0" w:space="0" w:color="auto"/>
        <w:left w:val="none" w:sz="0" w:space="0" w:color="auto"/>
        <w:bottom w:val="none" w:sz="0" w:space="0" w:color="auto"/>
        <w:right w:val="none" w:sz="0" w:space="0" w:color="auto"/>
      </w:divBdr>
      <w:divsChild>
        <w:div w:id="1675454018">
          <w:marLeft w:val="0"/>
          <w:marRight w:val="0"/>
          <w:marTop w:val="0"/>
          <w:marBottom w:val="0"/>
          <w:divBdr>
            <w:top w:val="none" w:sz="0" w:space="0" w:color="auto"/>
            <w:left w:val="none" w:sz="0" w:space="0" w:color="auto"/>
            <w:bottom w:val="none" w:sz="0" w:space="0" w:color="auto"/>
            <w:right w:val="none" w:sz="0" w:space="0" w:color="auto"/>
          </w:divBdr>
        </w:div>
        <w:div w:id="655300069">
          <w:marLeft w:val="0"/>
          <w:marRight w:val="0"/>
          <w:marTop w:val="0"/>
          <w:marBottom w:val="0"/>
          <w:divBdr>
            <w:top w:val="none" w:sz="0" w:space="0" w:color="auto"/>
            <w:left w:val="none" w:sz="0" w:space="0" w:color="auto"/>
            <w:bottom w:val="none" w:sz="0" w:space="0" w:color="auto"/>
            <w:right w:val="none" w:sz="0" w:space="0" w:color="auto"/>
          </w:divBdr>
        </w:div>
        <w:div w:id="2107342629">
          <w:marLeft w:val="0"/>
          <w:marRight w:val="0"/>
          <w:marTop w:val="0"/>
          <w:marBottom w:val="0"/>
          <w:divBdr>
            <w:top w:val="none" w:sz="0" w:space="0" w:color="auto"/>
            <w:left w:val="none" w:sz="0" w:space="0" w:color="auto"/>
            <w:bottom w:val="none" w:sz="0" w:space="0" w:color="auto"/>
            <w:right w:val="none" w:sz="0" w:space="0" w:color="auto"/>
          </w:divBdr>
        </w:div>
      </w:divsChild>
    </w:div>
    <w:div w:id="399789045">
      <w:marLeft w:val="0"/>
      <w:marRight w:val="0"/>
      <w:marTop w:val="240"/>
      <w:marBottom w:val="0"/>
      <w:divBdr>
        <w:top w:val="none" w:sz="0" w:space="0" w:color="auto"/>
        <w:left w:val="none" w:sz="0" w:space="0" w:color="auto"/>
        <w:bottom w:val="none" w:sz="0" w:space="0" w:color="auto"/>
        <w:right w:val="none" w:sz="0" w:space="0" w:color="auto"/>
      </w:divBdr>
    </w:div>
    <w:div w:id="401559398">
      <w:marLeft w:val="0"/>
      <w:marRight w:val="0"/>
      <w:marTop w:val="60"/>
      <w:marBottom w:val="0"/>
      <w:divBdr>
        <w:top w:val="none" w:sz="0" w:space="0" w:color="auto"/>
        <w:left w:val="none" w:sz="0" w:space="0" w:color="auto"/>
        <w:bottom w:val="none" w:sz="0" w:space="0" w:color="auto"/>
        <w:right w:val="none" w:sz="0" w:space="0" w:color="auto"/>
      </w:divBdr>
    </w:div>
    <w:div w:id="402875194">
      <w:marLeft w:val="0"/>
      <w:marRight w:val="0"/>
      <w:marTop w:val="240"/>
      <w:marBottom w:val="0"/>
      <w:divBdr>
        <w:top w:val="none" w:sz="0" w:space="0" w:color="auto"/>
        <w:left w:val="none" w:sz="0" w:space="0" w:color="auto"/>
        <w:bottom w:val="none" w:sz="0" w:space="0" w:color="auto"/>
        <w:right w:val="none" w:sz="0" w:space="0" w:color="auto"/>
      </w:divBdr>
    </w:div>
    <w:div w:id="403796175">
      <w:marLeft w:val="0"/>
      <w:marRight w:val="0"/>
      <w:marTop w:val="240"/>
      <w:marBottom w:val="0"/>
      <w:divBdr>
        <w:top w:val="none" w:sz="0" w:space="0" w:color="auto"/>
        <w:left w:val="none" w:sz="0" w:space="0" w:color="auto"/>
        <w:bottom w:val="none" w:sz="0" w:space="0" w:color="auto"/>
        <w:right w:val="none" w:sz="0" w:space="0" w:color="auto"/>
      </w:divBdr>
    </w:div>
    <w:div w:id="404498225">
      <w:marLeft w:val="0"/>
      <w:marRight w:val="0"/>
      <w:marTop w:val="240"/>
      <w:marBottom w:val="0"/>
      <w:divBdr>
        <w:top w:val="none" w:sz="0" w:space="0" w:color="auto"/>
        <w:left w:val="none" w:sz="0" w:space="0" w:color="auto"/>
        <w:bottom w:val="none" w:sz="0" w:space="0" w:color="auto"/>
        <w:right w:val="none" w:sz="0" w:space="0" w:color="auto"/>
      </w:divBdr>
    </w:div>
    <w:div w:id="405299854">
      <w:marLeft w:val="0"/>
      <w:marRight w:val="0"/>
      <w:marTop w:val="300"/>
      <w:marBottom w:val="60"/>
      <w:divBdr>
        <w:top w:val="none" w:sz="0" w:space="0" w:color="auto"/>
        <w:left w:val="none" w:sz="0" w:space="0" w:color="auto"/>
        <w:bottom w:val="none" w:sz="0" w:space="0" w:color="auto"/>
        <w:right w:val="none" w:sz="0" w:space="0" w:color="auto"/>
      </w:divBdr>
    </w:div>
    <w:div w:id="407044458">
      <w:marLeft w:val="0"/>
      <w:marRight w:val="0"/>
      <w:marTop w:val="240"/>
      <w:marBottom w:val="0"/>
      <w:divBdr>
        <w:top w:val="none" w:sz="0" w:space="0" w:color="auto"/>
        <w:left w:val="none" w:sz="0" w:space="0" w:color="auto"/>
        <w:bottom w:val="none" w:sz="0" w:space="0" w:color="auto"/>
        <w:right w:val="none" w:sz="0" w:space="0" w:color="auto"/>
      </w:divBdr>
    </w:div>
    <w:div w:id="408505420">
      <w:marLeft w:val="0"/>
      <w:marRight w:val="0"/>
      <w:marTop w:val="0"/>
      <w:marBottom w:val="0"/>
      <w:divBdr>
        <w:top w:val="none" w:sz="0" w:space="0" w:color="auto"/>
        <w:left w:val="none" w:sz="0" w:space="0" w:color="auto"/>
        <w:bottom w:val="none" w:sz="0" w:space="0" w:color="auto"/>
        <w:right w:val="none" w:sz="0" w:space="0" w:color="auto"/>
      </w:divBdr>
      <w:divsChild>
        <w:div w:id="656305197">
          <w:marLeft w:val="0"/>
          <w:marRight w:val="0"/>
          <w:marTop w:val="0"/>
          <w:marBottom w:val="0"/>
          <w:divBdr>
            <w:top w:val="none" w:sz="0" w:space="0" w:color="auto"/>
            <w:left w:val="none" w:sz="0" w:space="0" w:color="auto"/>
            <w:bottom w:val="none" w:sz="0" w:space="0" w:color="auto"/>
            <w:right w:val="none" w:sz="0" w:space="0" w:color="auto"/>
          </w:divBdr>
          <w:divsChild>
            <w:div w:id="62477941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409618109">
      <w:marLeft w:val="0"/>
      <w:marRight w:val="0"/>
      <w:marTop w:val="240"/>
      <w:marBottom w:val="0"/>
      <w:divBdr>
        <w:top w:val="none" w:sz="0" w:space="0" w:color="auto"/>
        <w:left w:val="none" w:sz="0" w:space="0" w:color="auto"/>
        <w:bottom w:val="none" w:sz="0" w:space="0" w:color="auto"/>
        <w:right w:val="none" w:sz="0" w:space="0" w:color="auto"/>
      </w:divBdr>
    </w:div>
    <w:div w:id="410812241">
      <w:marLeft w:val="0"/>
      <w:marRight w:val="0"/>
      <w:marTop w:val="180"/>
      <w:marBottom w:val="120"/>
      <w:divBdr>
        <w:top w:val="none" w:sz="0" w:space="0" w:color="auto"/>
        <w:left w:val="none" w:sz="0" w:space="0" w:color="auto"/>
        <w:bottom w:val="none" w:sz="0" w:space="0" w:color="auto"/>
        <w:right w:val="none" w:sz="0" w:space="0" w:color="auto"/>
      </w:divBdr>
    </w:div>
    <w:div w:id="413862477">
      <w:marLeft w:val="0"/>
      <w:marRight w:val="0"/>
      <w:marTop w:val="0"/>
      <w:marBottom w:val="0"/>
      <w:divBdr>
        <w:top w:val="none" w:sz="0" w:space="0" w:color="auto"/>
        <w:left w:val="none" w:sz="0" w:space="0" w:color="auto"/>
        <w:bottom w:val="none" w:sz="0" w:space="0" w:color="auto"/>
        <w:right w:val="none" w:sz="0" w:space="0" w:color="auto"/>
      </w:divBdr>
      <w:divsChild>
        <w:div w:id="672731164">
          <w:marLeft w:val="0"/>
          <w:marRight w:val="0"/>
          <w:marTop w:val="0"/>
          <w:marBottom w:val="0"/>
          <w:divBdr>
            <w:top w:val="none" w:sz="0" w:space="0" w:color="auto"/>
            <w:left w:val="none" w:sz="0" w:space="0" w:color="auto"/>
            <w:bottom w:val="none" w:sz="0" w:space="0" w:color="auto"/>
            <w:right w:val="none" w:sz="0" w:space="0" w:color="auto"/>
          </w:divBdr>
          <w:divsChild>
            <w:div w:id="165900037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414985028">
      <w:marLeft w:val="0"/>
      <w:marRight w:val="0"/>
      <w:marTop w:val="120"/>
      <w:marBottom w:val="0"/>
      <w:divBdr>
        <w:top w:val="none" w:sz="0" w:space="0" w:color="auto"/>
        <w:left w:val="none" w:sz="0" w:space="0" w:color="auto"/>
        <w:bottom w:val="none" w:sz="0" w:space="0" w:color="auto"/>
        <w:right w:val="none" w:sz="0" w:space="0" w:color="auto"/>
      </w:divBdr>
    </w:div>
    <w:div w:id="419133523">
      <w:marLeft w:val="0"/>
      <w:marRight w:val="0"/>
      <w:marTop w:val="240"/>
      <w:marBottom w:val="240"/>
      <w:divBdr>
        <w:top w:val="none" w:sz="0" w:space="0" w:color="auto"/>
        <w:left w:val="none" w:sz="0" w:space="0" w:color="auto"/>
        <w:bottom w:val="none" w:sz="0" w:space="0" w:color="auto"/>
        <w:right w:val="none" w:sz="0" w:space="0" w:color="auto"/>
      </w:divBdr>
    </w:div>
    <w:div w:id="419987438">
      <w:marLeft w:val="0"/>
      <w:marRight w:val="0"/>
      <w:marTop w:val="240"/>
      <w:marBottom w:val="0"/>
      <w:divBdr>
        <w:top w:val="none" w:sz="0" w:space="0" w:color="auto"/>
        <w:left w:val="none" w:sz="0" w:space="0" w:color="auto"/>
        <w:bottom w:val="none" w:sz="0" w:space="0" w:color="auto"/>
        <w:right w:val="none" w:sz="0" w:space="0" w:color="auto"/>
      </w:divBdr>
    </w:div>
    <w:div w:id="420225789">
      <w:marLeft w:val="0"/>
      <w:marRight w:val="0"/>
      <w:marTop w:val="0"/>
      <w:marBottom w:val="0"/>
      <w:divBdr>
        <w:top w:val="none" w:sz="0" w:space="0" w:color="auto"/>
        <w:left w:val="none" w:sz="0" w:space="0" w:color="auto"/>
        <w:bottom w:val="none" w:sz="0" w:space="0" w:color="auto"/>
        <w:right w:val="none" w:sz="0" w:space="0" w:color="auto"/>
      </w:divBdr>
      <w:divsChild>
        <w:div w:id="495801060">
          <w:marLeft w:val="0"/>
          <w:marRight w:val="0"/>
          <w:marTop w:val="0"/>
          <w:marBottom w:val="0"/>
          <w:divBdr>
            <w:top w:val="none" w:sz="0" w:space="0" w:color="auto"/>
            <w:left w:val="none" w:sz="0" w:space="0" w:color="auto"/>
            <w:bottom w:val="none" w:sz="0" w:space="0" w:color="auto"/>
            <w:right w:val="none" w:sz="0" w:space="0" w:color="auto"/>
          </w:divBdr>
          <w:divsChild>
            <w:div w:id="58014313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420952373">
      <w:marLeft w:val="0"/>
      <w:marRight w:val="0"/>
      <w:marTop w:val="240"/>
      <w:marBottom w:val="0"/>
      <w:divBdr>
        <w:top w:val="none" w:sz="0" w:space="0" w:color="auto"/>
        <w:left w:val="none" w:sz="0" w:space="0" w:color="auto"/>
        <w:bottom w:val="none" w:sz="0" w:space="0" w:color="auto"/>
        <w:right w:val="none" w:sz="0" w:space="0" w:color="auto"/>
      </w:divBdr>
    </w:div>
    <w:div w:id="422189038">
      <w:marLeft w:val="0"/>
      <w:marRight w:val="0"/>
      <w:marTop w:val="240"/>
      <w:marBottom w:val="0"/>
      <w:divBdr>
        <w:top w:val="none" w:sz="0" w:space="0" w:color="auto"/>
        <w:left w:val="none" w:sz="0" w:space="0" w:color="auto"/>
        <w:bottom w:val="none" w:sz="0" w:space="0" w:color="auto"/>
        <w:right w:val="none" w:sz="0" w:space="0" w:color="auto"/>
      </w:divBdr>
    </w:div>
    <w:div w:id="422379565">
      <w:marLeft w:val="0"/>
      <w:marRight w:val="0"/>
      <w:marTop w:val="140"/>
      <w:marBottom w:val="0"/>
      <w:divBdr>
        <w:top w:val="none" w:sz="0" w:space="0" w:color="auto"/>
        <w:left w:val="none" w:sz="0" w:space="0" w:color="auto"/>
        <w:bottom w:val="none" w:sz="0" w:space="0" w:color="auto"/>
        <w:right w:val="none" w:sz="0" w:space="0" w:color="auto"/>
      </w:divBdr>
    </w:div>
    <w:div w:id="424426631">
      <w:marLeft w:val="0"/>
      <w:marRight w:val="0"/>
      <w:marTop w:val="240"/>
      <w:marBottom w:val="0"/>
      <w:divBdr>
        <w:top w:val="none" w:sz="0" w:space="0" w:color="auto"/>
        <w:left w:val="none" w:sz="0" w:space="0" w:color="auto"/>
        <w:bottom w:val="none" w:sz="0" w:space="0" w:color="auto"/>
        <w:right w:val="none" w:sz="0" w:space="0" w:color="auto"/>
      </w:divBdr>
    </w:div>
    <w:div w:id="426005255">
      <w:marLeft w:val="0"/>
      <w:marRight w:val="0"/>
      <w:marTop w:val="240"/>
      <w:marBottom w:val="0"/>
      <w:divBdr>
        <w:top w:val="none" w:sz="0" w:space="0" w:color="auto"/>
        <w:left w:val="none" w:sz="0" w:space="0" w:color="auto"/>
        <w:bottom w:val="none" w:sz="0" w:space="0" w:color="auto"/>
        <w:right w:val="none" w:sz="0" w:space="0" w:color="auto"/>
      </w:divBdr>
    </w:div>
    <w:div w:id="428623788">
      <w:marLeft w:val="0"/>
      <w:marRight w:val="0"/>
      <w:marTop w:val="240"/>
      <w:marBottom w:val="0"/>
      <w:divBdr>
        <w:top w:val="none" w:sz="0" w:space="0" w:color="auto"/>
        <w:left w:val="none" w:sz="0" w:space="0" w:color="auto"/>
        <w:bottom w:val="none" w:sz="0" w:space="0" w:color="auto"/>
        <w:right w:val="none" w:sz="0" w:space="0" w:color="auto"/>
      </w:divBdr>
    </w:div>
    <w:div w:id="429550963">
      <w:marLeft w:val="0"/>
      <w:marRight w:val="0"/>
      <w:marTop w:val="240"/>
      <w:marBottom w:val="0"/>
      <w:divBdr>
        <w:top w:val="none" w:sz="0" w:space="0" w:color="auto"/>
        <w:left w:val="none" w:sz="0" w:space="0" w:color="auto"/>
        <w:bottom w:val="none" w:sz="0" w:space="0" w:color="auto"/>
        <w:right w:val="none" w:sz="0" w:space="0" w:color="auto"/>
      </w:divBdr>
    </w:div>
    <w:div w:id="430198412">
      <w:marLeft w:val="0"/>
      <w:marRight w:val="0"/>
      <w:marTop w:val="100"/>
      <w:marBottom w:val="0"/>
      <w:divBdr>
        <w:top w:val="none" w:sz="0" w:space="0" w:color="auto"/>
        <w:left w:val="none" w:sz="0" w:space="0" w:color="auto"/>
        <w:bottom w:val="none" w:sz="0" w:space="0" w:color="auto"/>
        <w:right w:val="none" w:sz="0" w:space="0" w:color="auto"/>
      </w:divBdr>
    </w:div>
    <w:div w:id="430400200">
      <w:marLeft w:val="0"/>
      <w:marRight w:val="0"/>
      <w:marTop w:val="180"/>
      <w:marBottom w:val="0"/>
      <w:divBdr>
        <w:top w:val="none" w:sz="0" w:space="0" w:color="auto"/>
        <w:left w:val="none" w:sz="0" w:space="0" w:color="auto"/>
        <w:bottom w:val="none" w:sz="0" w:space="0" w:color="auto"/>
        <w:right w:val="none" w:sz="0" w:space="0" w:color="auto"/>
      </w:divBdr>
    </w:div>
    <w:div w:id="430710180">
      <w:marLeft w:val="0"/>
      <w:marRight w:val="0"/>
      <w:marTop w:val="240"/>
      <w:marBottom w:val="0"/>
      <w:divBdr>
        <w:top w:val="none" w:sz="0" w:space="0" w:color="auto"/>
        <w:left w:val="none" w:sz="0" w:space="0" w:color="auto"/>
        <w:bottom w:val="none" w:sz="0" w:space="0" w:color="auto"/>
        <w:right w:val="none" w:sz="0" w:space="0" w:color="auto"/>
      </w:divBdr>
    </w:div>
    <w:div w:id="433205984">
      <w:marLeft w:val="0"/>
      <w:marRight w:val="0"/>
      <w:marTop w:val="240"/>
      <w:marBottom w:val="0"/>
      <w:divBdr>
        <w:top w:val="none" w:sz="0" w:space="0" w:color="auto"/>
        <w:left w:val="none" w:sz="0" w:space="0" w:color="auto"/>
        <w:bottom w:val="none" w:sz="0" w:space="0" w:color="auto"/>
        <w:right w:val="none" w:sz="0" w:space="0" w:color="auto"/>
      </w:divBdr>
    </w:div>
    <w:div w:id="433937983">
      <w:marLeft w:val="0"/>
      <w:marRight w:val="0"/>
      <w:marTop w:val="240"/>
      <w:marBottom w:val="0"/>
      <w:divBdr>
        <w:top w:val="none" w:sz="0" w:space="0" w:color="auto"/>
        <w:left w:val="none" w:sz="0" w:space="0" w:color="auto"/>
        <w:bottom w:val="none" w:sz="0" w:space="0" w:color="auto"/>
        <w:right w:val="none" w:sz="0" w:space="0" w:color="auto"/>
      </w:divBdr>
    </w:div>
    <w:div w:id="434328596">
      <w:marLeft w:val="0"/>
      <w:marRight w:val="0"/>
      <w:marTop w:val="0"/>
      <w:marBottom w:val="0"/>
      <w:divBdr>
        <w:top w:val="none" w:sz="0" w:space="0" w:color="auto"/>
        <w:left w:val="none" w:sz="0" w:space="0" w:color="auto"/>
        <w:bottom w:val="none" w:sz="0" w:space="0" w:color="auto"/>
        <w:right w:val="none" w:sz="0" w:space="0" w:color="auto"/>
      </w:divBdr>
    </w:div>
    <w:div w:id="435518187">
      <w:marLeft w:val="0"/>
      <w:marRight w:val="0"/>
      <w:marTop w:val="240"/>
      <w:marBottom w:val="0"/>
      <w:divBdr>
        <w:top w:val="none" w:sz="0" w:space="0" w:color="auto"/>
        <w:left w:val="none" w:sz="0" w:space="0" w:color="auto"/>
        <w:bottom w:val="none" w:sz="0" w:space="0" w:color="auto"/>
        <w:right w:val="none" w:sz="0" w:space="0" w:color="auto"/>
      </w:divBdr>
    </w:div>
    <w:div w:id="435952293">
      <w:marLeft w:val="0"/>
      <w:marRight w:val="0"/>
      <w:marTop w:val="240"/>
      <w:marBottom w:val="0"/>
      <w:divBdr>
        <w:top w:val="none" w:sz="0" w:space="0" w:color="auto"/>
        <w:left w:val="none" w:sz="0" w:space="0" w:color="auto"/>
        <w:bottom w:val="none" w:sz="0" w:space="0" w:color="auto"/>
        <w:right w:val="none" w:sz="0" w:space="0" w:color="auto"/>
      </w:divBdr>
    </w:div>
    <w:div w:id="436144947">
      <w:marLeft w:val="0"/>
      <w:marRight w:val="0"/>
      <w:marTop w:val="200"/>
      <w:marBottom w:val="0"/>
      <w:divBdr>
        <w:top w:val="none" w:sz="0" w:space="0" w:color="auto"/>
        <w:left w:val="none" w:sz="0" w:space="0" w:color="auto"/>
        <w:bottom w:val="none" w:sz="0" w:space="0" w:color="auto"/>
        <w:right w:val="none" w:sz="0" w:space="0" w:color="auto"/>
      </w:divBdr>
    </w:div>
    <w:div w:id="437068082">
      <w:marLeft w:val="0"/>
      <w:marRight w:val="0"/>
      <w:marTop w:val="220"/>
      <w:marBottom w:val="240"/>
      <w:divBdr>
        <w:top w:val="none" w:sz="0" w:space="0" w:color="auto"/>
        <w:left w:val="none" w:sz="0" w:space="0" w:color="auto"/>
        <w:bottom w:val="none" w:sz="0" w:space="0" w:color="auto"/>
        <w:right w:val="none" w:sz="0" w:space="0" w:color="auto"/>
      </w:divBdr>
    </w:div>
    <w:div w:id="438454610">
      <w:marLeft w:val="0"/>
      <w:marRight w:val="0"/>
      <w:marTop w:val="240"/>
      <w:marBottom w:val="0"/>
      <w:divBdr>
        <w:top w:val="none" w:sz="0" w:space="0" w:color="auto"/>
        <w:left w:val="none" w:sz="0" w:space="0" w:color="auto"/>
        <w:bottom w:val="none" w:sz="0" w:space="0" w:color="auto"/>
        <w:right w:val="none" w:sz="0" w:space="0" w:color="auto"/>
      </w:divBdr>
    </w:div>
    <w:div w:id="438574939">
      <w:marLeft w:val="0"/>
      <w:marRight w:val="0"/>
      <w:marTop w:val="180"/>
      <w:marBottom w:val="0"/>
      <w:divBdr>
        <w:top w:val="none" w:sz="0" w:space="0" w:color="auto"/>
        <w:left w:val="none" w:sz="0" w:space="0" w:color="auto"/>
        <w:bottom w:val="none" w:sz="0" w:space="0" w:color="auto"/>
        <w:right w:val="none" w:sz="0" w:space="0" w:color="auto"/>
      </w:divBdr>
    </w:div>
    <w:div w:id="439181107">
      <w:marLeft w:val="0"/>
      <w:marRight w:val="0"/>
      <w:marTop w:val="0"/>
      <w:marBottom w:val="0"/>
      <w:divBdr>
        <w:top w:val="none" w:sz="0" w:space="0" w:color="auto"/>
        <w:left w:val="none" w:sz="0" w:space="0" w:color="auto"/>
        <w:bottom w:val="none" w:sz="0" w:space="0" w:color="auto"/>
        <w:right w:val="none" w:sz="0" w:space="0" w:color="auto"/>
      </w:divBdr>
    </w:div>
    <w:div w:id="439303853">
      <w:marLeft w:val="0"/>
      <w:marRight w:val="0"/>
      <w:marTop w:val="240"/>
      <w:marBottom w:val="0"/>
      <w:divBdr>
        <w:top w:val="none" w:sz="0" w:space="0" w:color="auto"/>
        <w:left w:val="none" w:sz="0" w:space="0" w:color="auto"/>
        <w:bottom w:val="none" w:sz="0" w:space="0" w:color="auto"/>
        <w:right w:val="none" w:sz="0" w:space="0" w:color="auto"/>
      </w:divBdr>
    </w:div>
    <w:div w:id="443038030">
      <w:marLeft w:val="0"/>
      <w:marRight w:val="0"/>
      <w:marTop w:val="160"/>
      <w:marBottom w:val="0"/>
      <w:divBdr>
        <w:top w:val="none" w:sz="0" w:space="0" w:color="auto"/>
        <w:left w:val="none" w:sz="0" w:space="0" w:color="auto"/>
        <w:bottom w:val="none" w:sz="0" w:space="0" w:color="auto"/>
        <w:right w:val="none" w:sz="0" w:space="0" w:color="auto"/>
      </w:divBdr>
      <w:divsChild>
        <w:div w:id="844979177">
          <w:marLeft w:val="0"/>
          <w:marRight w:val="0"/>
          <w:marTop w:val="0"/>
          <w:marBottom w:val="0"/>
          <w:divBdr>
            <w:top w:val="none" w:sz="0" w:space="0" w:color="auto"/>
            <w:left w:val="none" w:sz="0" w:space="0" w:color="auto"/>
            <w:bottom w:val="none" w:sz="0" w:space="0" w:color="auto"/>
            <w:right w:val="none" w:sz="0" w:space="0" w:color="auto"/>
          </w:divBdr>
        </w:div>
        <w:div w:id="563685428">
          <w:marLeft w:val="0"/>
          <w:marRight w:val="0"/>
          <w:marTop w:val="0"/>
          <w:marBottom w:val="0"/>
          <w:divBdr>
            <w:top w:val="none" w:sz="0" w:space="0" w:color="auto"/>
            <w:left w:val="none" w:sz="0" w:space="0" w:color="auto"/>
            <w:bottom w:val="none" w:sz="0" w:space="0" w:color="auto"/>
            <w:right w:val="none" w:sz="0" w:space="0" w:color="auto"/>
          </w:divBdr>
        </w:div>
        <w:div w:id="1664308426">
          <w:marLeft w:val="0"/>
          <w:marRight w:val="0"/>
          <w:marTop w:val="0"/>
          <w:marBottom w:val="0"/>
          <w:divBdr>
            <w:top w:val="none" w:sz="0" w:space="0" w:color="auto"/>
            <w:left w:val="none" w:sz="0" w:space="0" w:color="auto"/>
            <w:bottom w:val="none" w:sz="0" w:space="0" w:color="auto"/>
            <w:right w:val="none" w:sz="0" w:space="0" w:color="auto"/>
          </w:divBdr>
        </w:div>
      </w:divsChild>
    </w:div>
    <w:div w:id="443112723">
      <w:marLeft w:val="0"/>
      <w:marRight w:val="0"/>
      <w:marTop w:val="100"/>
      <w:marBottom w:val="0"/>
      <w:divBdr>
        <w:top w:val="none" w:sz="0" w:space="0" w:color="auto"/>
        <w:left w:val="none" w:sz="0" w:space="0" w:color="auto"/>
        <w:bottom w:val="none" w:sz="0" w:space="0" w:color="auto"/>
        <w:right w:val="none" w:sz="0" w:space="0" w:color="auto"/>
      </w:divBdr>
    </w:div>
    <w:div w:id="443765528">
      <w:marLeft w:val="0"/>
      <w:marRight w:val="0"/>
      <w:marTop w:val="160"/>
      <w:marBottom w:val="0"/>
      <w:divBdr>
        <w:top w:val="none" w:sz="0" w:space="0" w:color="auto"/>
        <w:left w:val="none" w:sz="0" w:space="0" w:color="auto"/>
        <w:bottom w:val="none" w:sz="0" w:space="0" w:color="auto"/>
        <w:right w:val="none" w:sz="0" w:space="0" w:color="auto"/>
      </w:divBdr>
    </w:div>
    <w:div w:id="444155145">
      <w:marLeft w:val="0"/>
      <w:marRight w:val="0"/>
      <w:marTop w:val="240"/>
      <w:marBottom w:val="0"/>
      <w:divBdr>
        <w:top w:val="none" w:sz="0" w:space="0" w:color="auto"/>
        <w:left w:val="none" w:sz="0" w:space="0" w:color="auto"/>
        <w:bottom w:val="none" w:sz="0" w:space="0" w:color="auto"/>
        <w:right w:val="none" w:sz="0" w:space="0" w:color="auto"/>
      </w:divBdr>
    </w:div>
    <w:div w:id="444353758">
      <w:marLeft w:val="0"/>
      <w:marRight w:val="0"/>
      <w:marTop w:val="240"/>
      <w:marBottom w:val="0"/>
      <w:divBdr>
        <w:top w:val="none" w:sz="0" w:space="0" w:color="auto"/>
        <w:left w:val="none" w:sz="0" w:space="0" w:color="auto"/>
        <w:bottom w:val="none" w:sz="0" w:space="0" w:color="auto"/>
        <w:right w:val="none" w:sz="0" w:space="0" w:color="auto"/>
      </w:divBdr>
    </w:div>
    <w:div w:id="447355210">
      <w:marLeft w:val="0"/>
      <w:marRight w:val="0"/>
      <w:marTop w:val="240"/>
      <w:marBottom w:val="0"/>
      <w:divBdr>
        <w:top w:val="none" w:sz="0" w:space="0" w:color="auto"/>
        <w:left w:val="none" w:sz="0" w:space="0" w:color="auto"/>
        <w:bottom w:val="none" w:sz="0" w:space="0" w:color="auto"/>
        <w:right w:val="none" w:sz="0" w:space="0" w:color="auto"/>
      </w:divBdr>
    </w:div>
    <w:div w:id="449662611">
      <w:marLeft w:val="0"/>
      <w:marRight w:val="0"/>
      <w:marTop w:val="140"/>
      <w:marBottom w:val="0"/>
      <w:divBdr>
        <w:top w:val="none" w:sz="0" w:space="0" w:color="auto"/>
        <w:left w:val="none" w:sz="0" w:space="0" w:color="auto"/>
        <w:bottom w:val="none" w:sz="0" w:space="0" w:color="auto"/>
        <w:right w:val="none" w:sz="0" w:space="0" w:color="auto"/>
      </w:divBdr>
    </w:div>
    <w:div w:id="450711750">
      <w:marLeft w:val="0"/>
      <w:marRight w:val="0"/>
      <w:marTop w:val="240"/>
      <w:marBottom w:val="0"/>
      <w:divBdr>
        <w:top w:val="none" w:sz="0" w:space="0" w:color="auto"/>
        <w:left w:val="none" w:sz="0" w:space="0" w:color="auto"/>
        <w:bottom w:val="none" w:sz="0" w:space="0" w:color="auto"/>
        <w:right w:val="none" w:sz="0" w:space="0" w:color="auto"/>
      </w:divBdr>
    </w:div>
    <w:div w:id="452989880">
      <w:marLeft w:val="0"/>
      <w:marRight w:val="0"/>
      <w:marTop w:val="200"/>
      <w:marBottom w:val="0"/>
      <w:divBdr>
        <w:top w:val="none" w:sz="0" w:space="0" w:color="auto"/>
        <w:left w:val="none" w:sz="0" w:space="0" w:color="auto"/>
        <w:bottom w:val="none" w:sz="0" w:space="0" w:color="auto"/>
        <w:right w:val="none" w:sz="0" w:space="0" w:color="auto"/>
      </w:divBdr>
    </w:div>
    <w:div w:id="453597968">
      <w:marLeft w:val="0"/>
      <w:marRight w:val="0"/>
      <w:marTop w:val="240"/>
      <w:marBottom w:val="0"/>
      <w:divBdr>
        <w:top w:val="none" w:sz="0" w:space="0" w:color="auto"/>
        <w:left w:val="none" w:sz="0" w:space="0" w:color="auto"/>
        <w:bottom w:val="none" w:sz="0" w:space="0" w:color="auto"/>
        <w:right w:val="none" w:sz="0" w:space="0" w:color="auto"/>
      </w:divBdr>
    </w:div>
    <w:div w:id="454180222">
      <w:marLeft w:val="0"/>
      <w:marRight w:val="0"/>
      <w:marTop w:val="240"/>
      <w:marBottom w:val="0"/>
      <w:divBdr>
        <w:top w:val="none" w:sz="0" w:space="0" w:color="auto"/>
        <w:left w:val="none" w:sz="0" w:space="0" w:color="auto"/>
        <w:bottom w:val="none" w:sz="0" w:space="0" w:color="auto"/>
        <w:right w:val="none" w:sz="0" w:space="0" w:color="auto"/>
      </w:divBdr>
    </w:div>
    <w:div w:id="455876746">
      <w:marLeft w:val="0"/>
      <w:marRight w:val="0"/>
      <w:marTop w:val="240"/>
      <w:marBottom w:val="0"/>
      <w:divBdr>
        <w:top w:val="none" w:sz="0" w:space="0" w:color="auto"/>
        <w:left w:val="none" w:sz="0" w:space="0" w:color="auto"/>
        <w:bottom w:val="none" w:sz="0" w:space="0" w:color="auto"/>
        <w:right w:val="none" w:sz="0" w:space="0" w:color="auto"/>
      </w:divBdr>
    </w:div>
    <w:div w:id="456030661">
      <w:marLeft w:val="0"/>
      <w:marRight w:val="0"/>
      <w:marTop w:val="240"/>
      <w:marBottom w:val="0"/>
      <w:divBdr>
        <w:top w:val="none" w:sz="0" w:space="0" w:color="auto"/>
        <w:left w:val="none" w:sz="0" w:space="0" w:color="auto"/>
        <w:bottom w:val="none" w:sz="0" w:space="0" w:color="auto"/>
        <w:right w:val="none" w:sz="0" w:space="0" w:color="auto"/>
      </w:divBdr>
    </w:div>
    <w:div w:id="457528829">
      <w:marLeft w:val="0"/>
      <w:marRight w:val="0"/>
      <w:marTop w:val="240"/>
      <w:marBottom w:val="0"/>
      <w:divBdr>
        <w:top w:val="none" w:sz="0" w:space="0" w:color="auto"/>
        <w:left w:val="none" w:sz="0" w:space="0" w:color="auto"/>
        <w:bottom w:val="none" w:sz="0" w:space="0" w:color="auto"/>
        <w:right w:val="none" w:sz="0" w:space="0" w:color="auto"/>
      </w:divBdr>
    </w:div>
    <w:div w:id="457533542">
      <w:marLeft w:val="0"/>
      <w:marRight w:val="0"/>
      <w:marTop w:val="60"/>
      <w:marBottom w:val="0"/>
      <w:divBdr>
        <w:top w:val="none" w:sz="0" w:space="0" w:color="auto"/>
        <w:left w:val="none" w:sz="0" w:space="0" w:color="auto"/>
        <w:bottom w:val="none" w:sz="0" w:space="0" w:color="auto"/>
        <w:right w:val="none" w:sz="0" w:space="0" w:color="auto"/>
      </w:divBdr>
    </w:div>
    <w:div w:id="457647903">
      <w:marLeft w:val="0"/>
      <w:marRight w:val="0"/>
      <w:marTop w:val="180"/>
      <w:marBottom w:val="0"/>
      <w:divBdr>
        <w:top w:val="none" w:sz="0" w:space="0" w:color="auto"/>
        <w:left w:val="none" w:sz="0" w:space="0" w:color="auto"/>
        <w:bottom w:val="none" w:sz="0" w:space="0" w:color="auto"/>
        <w:right w:val="none" w:sz="0" w:space="0" w:color="auto"/>
      </w:divBdr>
    </w:div>
    <w:div w:id="459148809">
      <w:marLeft w:val="0"/>
      <w:marRight w:val="0"/>
      <w:marTop w:val="240"/>
      <w:marBottom w:val="0"/>
      <w:divBdr>
        <w:top w:val="none" w:sz="0" w:space="0" w:color="auto"/>
        <w:left w:val="none" w:sz="0" w:space="0" w:color="auto"/>
        <w:bottom w:val="none" w:sz="0" w:space="0" w:color="auto"/>
        <w:right w:val="none" w:sz="0" w:space="0" w:color="auto"/>
      </w:divBdr>
    </w:div>
    <w:div w:id="459499479">
      <w:marLeft w:val="0"/>
      <w:marRight w:val="0"/>
      <w:marTop w:val="0"/>
      <w:marBottom w:val="0"/>
      <w:divBdr>
        <w:top w:val="none" w:sz="0" w:space="0" w:color="auto"/>
        <w:left w:val="none" w:sz="0" w:space="0" w:color="auto"/>
        <w:bottom w:val="none" w:sz="0" w:space="0" w:color="auto"/>
        <w:right w:val="none" w:sz="0" w:space="0" w:color="auto"/>
      </w:divBdr>
    </w:div>
    <w:div w:id="459500353">
      <w:marLeft w:val="0"/>
      <w:marRight w:val="0"/>
      <w:marTop w:val="240"/>
      <w:marBottom w:val="0"/>
      <w:divBdr>
        <w:top w:val="none" w:sz="0" w:space="0" w:color="auto"/>
        <w:left w:val="none" w:sz="0" w:space="0" w:color="auto"/>
        <w:bottom w:val="none" w:sz="0" w:space="0" w:color="auto"/>
        <w:right w:val="none" w:sz="0" w:space="0" w:color="auto"/>
      </w:divBdr>
    </w:div>
    <w:div w:id="459803644">
      <w:marLeft w:val="0"/>
      <w:marRight w:val="0"/>
      <w:marTop w:val="240"/>
      <w:marBottom w:val="0"/>
      <w:divBdr>
        <w:top w:val="none" w:sz="0" w:space="0" w:color="auto"/>
        <w:left w:val="none" w:sz="0" w:space="0" w:color="auto"/>
        <w:bottom w:val="none" w:sz="0" w:space="0" w:color="auto"/>
        <w:right w:val="none" w:sz="0" w:space="0" w:color="auto"/>
      </w:divBdr>
    </w:div>
    <w:div w:id="462500247">
      <w:marLeft w:val="0"/>
      <w:marRight w:val="0"/>
      <w:marTop w:val="200"/>
      <w:marBottom w:val="0"/>
      <w:divBdr>
        <w:top w:val="none" w:sz="0" w:space="0" w:color="auto"/>
        <w:left w:val="none" w:sz="0" w:space="0" w:color="auto"/>
        <w:bottom w:val="none" w:sz="0" w:space="0" w:color="auto"/>
        <w:right w:val="none" w:sz="0" w:space="0" w:color="auto"/>
      </w:divBdr>
    </w:div>
    <w:div w:id="465513150">
      <w:marLeft w:val="0"/>
      <w:marRight w:val="0"/>
      <w:marTop w:val="0"/>
      <w:marBottom w:val="0"/>
      <w:divBdr>
        <w:top w:val="none" w:sz="0" w:space="0" w:color="auto"/>
        <w:left w:val="none" w:sz="0" w:space="0" w:color="auto"/>
        <w:bottom w:val="none" w:sz="0" w:space="0" w:color="auto"/>
        <w:right w:val="none" w:sz="0" w:space="0" w:color="auto"/>
      </w:divBdr>
      <w:divsChild>
        <w:div w:id="635528530">
          <w:marLeft w:val="0"/>
          <w:marRight w:val="0"/>
          <w:marTop w:val="120"/>
          <w:marBottom w:val="0"/>
          <w:divBdr>
            <w:top w:val="none" w:sz="0" w:space="0" w:color="auto"/>
            <w:left w:val="none" w:sz="0" w:space="0" w:color="auto"/>
            <w:bottom w:val="none" w:sz="0" w:space="0" w:color="auto"/>
            <w:right w:val="none" w:sz="0" w:space="0" w:color="auto"/>
          </w:divBdr>
        </w:div>
      </w:divsChild>
    </w:div>
    <w:div w:id="466321386">
      <w:marLeft w:val="0"/>
      <w:marRight w:val="0"/>
      <w:marTop w:val="160"/>
      <w:marBottom w:val="0"/>
      <w:divBdr>
        <w:top w:val="none" w:sz="0" w:space="0" w:color="auto"/>
        <w:left w:val="none" w:sz="0" w:space="0" w:color="auto"/>
        <w:bottom w:val="none" w:sz="0" w:space="0" w:color="auto"/>
        <w:right w:val="none" w:sz="0" w:space="0" w:color="auto"/>
      </w:divBdr>
      <w:divsChild>
        <w:div w:id="1816331888">
          <w:marLeft w:val="0"/>
          <w:marRight w:val="0"/>
          <w:marTop w:val="0"/>
          <w:marBottom w:val="0"/>
          <w:divBdr>
            <w:top w:val="none" w:sz="0" w:space="0" w:color="auto"/>
            <w:left w:val="none" w:sz="0" w:space="0" w:color="auto"/>
            <w:bottom w:val="none" w:sz="0" w:space="0" w:color="auto"/>
            <w:right w:val="none" w:sz="0" w:space="0" w:color="auto"/>
          </w:divBdr>
        </w:div>
        <w:div w:id="2115322232">
          <w:marLeft w:val="0"/>
          <w:marRight w:val="0"/>
          <w:marTop w:val="0"/>
          <w:marBottom w:val="0"/>
          <w:divBdr>
            <w:top w:val="none" w:sz="0" w:space="0" w:color="auto"/>
            <w:left w:val="none" w:sz="0" w:space="0" w:color="auto"/>
            <w:bottom w:val="none" w:sz="0" w:space="0" w:color="auto"/>
            <w:right w:val="none" w:sz="0" w:space="0" w:color="auto"/>
          </w:divBdr>
        </w:div>
        <w:div w:id="658120723">
          <w:marLeft w:val="0"/>
          <w:marRight w:val="0"/>
          <w:marTop w:val="0"/>
          <w:marBottom w:val="0"/>
          <w:divBdr>
            <w:top w:val="none" w:sz="0" w:space="0" w:color="auto"/>
            <w:left w:val="none" w:sz="0" w:space="0" w:color="auto"/>
            <w:bottom w:val="none" w:sz="0" w:space="0" w:color="auto"/>
            <w:right w:val="none" w:sz="0" w:space="0" w:color="auto"/>
          </w:divBdr>
        </w:div>
        <w:div w:id="147789763">
          <w:marLeft w:val="0"/>
          <w:marRight w:val="0"/>
          <w:marTop w:val="0"/>
          <w:marBottom w:val="0"/>
          <w:divBdr>
            <w:top w:val="none" w:sz="0" w:space="0" w:color="auto"/>
            <w:left w:val="none" w:sz="0" w:space="0" w:color="auto"/>
            <w:bottom w:val="none" w:sz="0" w:space="0" w:color="auto"/>
            <w:right w:val="none" w:sz="0" w:space="0" w:color="auto"/>
          </w:divBdr>
        </w:div>
      </w:divsChild>
    </w:div>
    <w:div w:id="467013371">
      <w:marLeft w:val="0"/>
      <w:marRight w:val="0"/>
      <w:marTop w:val="240"/>
      <w:marBottom w:val="240"/>
      <w:divBdr>
        <w:top w:val="none" w:sz="0" w:space="0" w:color="auto"/>
        <w:left w:val="none" w:sz="0" w:space="0" w:color="auto"/>
        <w:bottom w:val="none" w:sz="0" w:space="0" w:color="auto"/>
        <w:right w:val="none" w:sz="0" w:space="0" w:color="auto"/>
      </w:divBdr>
    </w:div>
    <w:div w:id="467358484">
      <w:marLeft w:val="0"/>
      <w:marRight w:val="0"/>
      <w:marTop w:val="240"/>
      <w:marBottom w:val="0"/>
      <w:divBdr>
        <w:top w:val="none" w:sz="0" w:space="0" w:color="auto"/>
        <w:left w:val="none" w:sz="0" w:space="0" w:color="auto"/>
        <w:bottom w:val="none" w:sz="0" w:space="0" w:color="auto"/>
        <w:right w:val="none" w:sz="0" w:space="0" w:color="auto"/>
      </w:divBdr>
    </w:div>
    <w:div w:id="468598158">
      <w:marLeft w:val="0"/>
      <w:marRight w:val="0"/>
      <w:marTop w:val="140"/>
      <w:marBottom w:val="0"/>
      <w:divBdr>
        <w:top w:val="none" w:sz="0" w:space="0" w:color="auto"/>
        <w:left w:val="none" w:sz="0" w:space="0" w:color="auto"/>
        <w:bottom w:val="none" w:sz="0" w:space="0" w:color="auto"/>
        <w:right w:val="none" w:sz="0" w:space="0" w:color="auto"/>
      </w:divBdr>
    </w:div>
    <w:div w:id="468859539">
      <w:marLeft w:val="0"/>
      <w:marRight w:val="0"/>
      <w:marTop w:val="120"/>
      <w:marBottom w:val="0"/>
      <w:divBdr>
        <w:top w:val="none" w:sz="0" w:space="0" w:color="auto"/>
        <w:left w:val="none" w:sz="0" w:space="0" w:color="auto"/>
        <w:bottom w:val="none" w:sz="0" w:space="0" w:color="auto"/>
        <w:right w:val="none" w:sz="0" w:space="0" w:color="auto"/>
      </w:divBdr>
    </w:div>
    <w:div w:id="470027494">
      <w:marLeft w:val="0"/>
      <w:marRight w:val="0"/>
      <w:marTop w:val="300"/>
      <w:marBottom w:val="0"/>
      <w:divBdr>
        <w:top w:val="none" w:sz="0" w:space="0" w:color="auto"/>
        <w:left w:val="none" w:sz="0" w:space="0" w:color="auto"/>
        <w:bottom w:val="none" w:sz="0" w:space="0" w:color="auto"/>
        <w:right w:val="none" w:sz="0" w:space="0" w:color="auto"/>
      </w:divBdr>
    </w:div>
    <w:div w:id="471945275">
      <w:marLeft w:val="0"/>
      <w:marRight w:val="0"/>
      <w:marTop w:val="120"/>
      <w:marBottom w:val="0"/>
      <w:divBdr>
        <w:top w:val="none" w:sz="0" w:space="0" w:color="auto"/>
        <w:left w:val="none" w:sz="0" w:space="0" w:color="auto"/>
        <w:bottom w:val="none" w:sz="0" w:space="0" w:color="auto"/>
        <w:right w:val="none" w:sz="0" w:space="0" w:color="auto"/>
      </w:divBdr>
    </w:div>
    <w:div w:id="474836753">
      <w:marLeft w:val="0"/>
      <w:marRight w:val="0"/>
      <w:marTop w:val="140"/>
      <w:marBottom w:val="0"/>
      <w:divBdr>
        <w:top w:val="none" w:sz="0" w:space="0" w:color="auto"/>
        <w:left w:val="none" w:sz="0" w:space="0" w:color="auto"/>
        <w:bottom w:val="none" w:sz="0" w:space="0" w:color="auto"/>
        <w:right w:val="none" w:sz="0" w:space="0" w:color="auto"/>
      </w:divBdr>
    </w:div>
    <w:div w:id="474954390">
      <w:marLeft w:val="0"/>
      <w:marRight w:val="0"/>
      <w:marTop w:val="240"/>
      <w:marBottom w:val="0"/>
      <w:divBdr>
        <w:top w:val="none" w:sz="0" w:space="0" w:color="auto"/>
        <w:left w:val="none" w:sz="0" w:space="0" w:color="auto"/>
        <w:bottom w:val="none" w:sz="0" w:space="0" w:color="auto"/>
        <w:right w:val="none" w:sz="0" w:space="0" w:color="auto"/>
      </w:divBdr>
    </w:div>
    <w:div w:id="475420180">
      <w:marLeft w:val="0"/>
      <w:marRight w:val="0"/>
      <w:marTop w:val="200"/>
      <w:marBottom w:val="0"/>
      <w:divBdr>
        <w:top w:val="none" w:sz="0" w:space="0" w:color="auto"/>
        <w:left w:val="none" w:sz="0" w:space="0" w:color="auto"/>
        <w:bottom w:val="none" w:sz="0" w:space="0" w:color="auto"/>
        <w:right w:val="none" w:sz="0" w:space="0" w:color="auto"/>
      </w:divBdr>
    </w:div>
    <w:div w:id="476341222">
      <w:marLeft w:val="0"/>
      <w:marRight w:val="0"/>
      <w:marTop w:val="240"/>
      <w:marBottom w:val="0"/>
      <w:divBdr>
        <w:top w:val="none" w:sz="0" w:space="0" w:color="auto"/>
        <w:left w:val="none" w:sz="0" w:space="0" w:color="auto"/>
        <w:bottom w:val="none" w:sz="0" w:space="0" w:color="auto"/>
        <w:right w:val="none" w:sz="0" w:space="0" w:color="auto"/>
      </w:divBdr>
    </w:div>
    <w:div w:id="477960662">
      <w:marLeft w:val="0"/>
      <w:marRight w:val="0"/>
      <w:marTop w:val="240"/>
      <w:marBottom w:val="0"/>
      <w:divBdr>
        <w:top w:val="none" w:sz="0" w:space="0" w:color="auto"/>
        <w:left w:val="none" w:sz="0" w:space="0" w:color="auto"/>
        <w:bottom w:val="none" w:sz="0" w:space="0" w:color="auto"/>
        <w:right w:val="none" w:sz="0" w:space="0" w:color="auto"/>
      </w:divBdr>
    </w:div>
    <w:div w:id="478808258">
      <w:marLeft w:val="0"/>
      <w:marRight w:val="0"/>
      <w:marTop w:val="0"/>
      <w:marBottom w:val="0"/>
      <w:divBdr>
        <w:top w:val="none" w:sz="0" w:space="0" w:color="auto"/>
        <w:left w:val="none" w:sz="0" w:space="0" w:color="auto"/>
        <w:bottom w:val="none" w:sz="0" w:space="0" w:color="auto"/>
        <w:right w:val="none" w:sz="0" w:space="0" w:color="auto"/>
      </w:divBdr>
      <w:divsChild>
        <w:div w:id="1739282576">
          <w:marLeft w:val="0"/>
          <w:marRight w:val="0"/>
          <w:marTop w:val="0"/>
          <w:marBottom w:val="0"/>
          <w:divBdr>
            <w:top w:val="none" w:sz="0" w:space="0" w:color="auto"/>
            <w:left w:val="none" w:sz="0" w:space="0" w:color="auto"/>
            <w:bottom w:val="none" w:sz="0" w:space="0" w:color="auto"/>
            <w:right w:val="none" w:sz="0" w:space="0" w:color="auto"/>
          </w:divBdr>
          <w:divsChild>
            <w:div w:id="52005109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478808726">
      <w:marLeft w:val="0"/>
      <w:marRight w:val="0"/>
      <w:marTop w:val="60"/>
      <w:marBottom w:val="0"/>
      <w:divBdr>
        <w:top w:val="none" w:sz="0" w:space="0" w:color="auto"/>
        <w:left w:val="none" w:sz="0" w:space="0" w:color="auto"/>
        <w:bottom w:val="none" w:sz="0" w:space="0" w:color="auto"/>
        <w:right w:val="none" w:sz="0" w:space="0" w:color="auto"/>
      </w:divBdr>
      <w:divsChild>
        <w:div w:id="1883205303">
          <w:marLeft w:val="0"/>
          <w:marRight w:val="0"/>
          <w:marTop w:val="0"/>
          <w:marBottom w:val="0"/>
          <w:divBdr>
            <w:top w:val="none" w:sz="0" w:space="0" w:color="auto"/>
            <w:left w:val="none" w:sz="0" w:space="0" w:color="auto"/>
            <w:bottom w:val="none" w:sz="0" w:space="0" w:color="auto"/>
            <w:right w:val="none" w:sz="0" w:space="0" w:color="auto"/>
          </w:divBdr>
        </w:div>
        <w:div w:id="182323304">
          <w:marLeft w:val="0"/>
          <w:marRight w:val="0"/>
          <w:marTop w:val="0"/>
          <w:marBottom w:val="0"/>
          <w:divBdr>
            <w:top w:val="none" w:sz="0" w:space="0" w:color="auto"/>
            <w:left w:val="none" w:sz="0" w:space="0" w:color="auto"/>
            <w:bottom w:val="none" w:sz="0" w:space="0" w:color="auto"/>
            <w:right w:val="none" w:sz="0" w:space="0" w:color="auto"/>
          </w:divBdr>
        </w:div>
        <w:div w:id="2090033726">
          <w:marLeft w:val="0"/>
          <w:marRight w:val="0"/>
          <w:marTop w:val="0"/>
          <w:marBottom w:val="0"/>
          <w:divBdr>
            <w:top w:val="none" w:sz="0" w:space="0" w:color="auto"/>
            <w:left w:val="none" w:sz="0" w:space="0" w:color="auto"/>
            <w:bottom w:val="none" w:sz="0" w:space="0" w:color="auto"/>
            <w:right w:val="none" w:sz="0" w:space="0" w:color="auto"/>
          </w:divBdr>
        </w:div>
      </w:divsChild>
    </w:div>
    <w:div w:id="479080964">
      <w:marLeft w:val="0"/>
      <w:marRight w:val="0"/>
      <w:marTop w:val="200"/>
      <w:marBottom w:val="0"/>
      <w:divBdr>
        <w:top w:val="none" w:sz="0" w:space="0" w:color="auto"/>
        <w:left w:val="none" w:sz="0" w:space="0" w:color="auto"/>
        <w:bottom w:val="none" w:sz="0" w:space="0" w:color="auto"/>
        <w:right w:val="none" w:sz="0" w:space="0" w:color="auto"/>
      </w:divBdr>
    </w:div>
    <w:div w:id="479465247">
      <w:marLeft w:val="0"/>
      <w:marRight w:val="0"/>
      <w:marTop w:val="200"/>
      <w:marBottom w:val="0"/>
      <w:divBdr>
        <w:top w:val="none" w:sz="0" w:space="0" w:color="auto"/>
        <w:left w:val="none" w:sz="0" w:space="0" w:color="auto"/>
        <w:bottom w:val="none" w:sz="0" w:space="0" w:color="auto"/>
        <w:right w:val="none" w:sz="0" w:space="0" w:color="auto"/>
      </w:divBdr>
    </w:div>
    <w:div w:id="480462769">
      <w:marLeft w:val="0"/>
      <w:marRight w:val="0"/>
      <w:marTop w:val="240"/>
      <w:marBottom w:val="0"/>
      <w:divBdr>
        <w:top w:val="none" w:sz="0" w:space="0" w:color="auto"/>
        <w:left w:val="none" w:sz="0" w:space="0" w:color="auto"/>
        <w:bottom w:val="none" w:sz="0" w:space="0" w:color="auto"/>
        <w:right w:val="none" w:sz="0" w:space="0" w:color="auto"/>
      </w:divBdr>
    </w:div>
    <w:div w:id="480582816">
      <w:marLeft w:val="0"/>
      <w:marRight w:val="0"/>
      <w:marTop w:val="240"/>
      <w:marBottom w:val="0"/>
      <w:divBdr>
        <w:top w:val="none" w:sz="0" w:space="0" w:color="auto"/>
        <w:left w:val="none" w:sz="0" w:space="0" w:color="auto"/>
        <w:bottom w:val="none" w:sz="0" w:space="0" w:color="auto"/>
        <w:right w:val="none" w:sz="0" w:space="0" w:color="auto"/>
      </w:divBdr>
    </w:div>
    <w:div w:id="481893473">
      <w:marLeft w:val="0"/>
      <w:marRight w:val="0"/>
      <w:marTop w:val="120"/>
      <w:marBottom w:val="0"/>
      <w:divBdr>
        <w:top w:val="none" w:sz="0" w:space="0" w:color="auto"/>
        <w:left w:val="none" w:sz="0" w:space="0" w:color="auto"/>
        <w:bottom w:val="none" w:sz="0" w:space="0" w:color="auto"/>
        <w:right w:val="none" w:sz="0" w:space="0" w:color="auto"/>
      </w:divBdr>
    </w:div>
    <w:div w:id="483084190">
      <w:marLeft w:val="0"/>
      <w:marRight w:val="0"/>
      <w:marTop w:val="240"/>
      <w:marBottom w:val="0"/>
      <w:divBdr>
        <w:top w:val="none" w:sz="0" w:space="0" w:color="auto"/>
        <w:left w:val="none" w:sz="0" w:space="0" w:color="auto"/>
        <w:bottom w:val="none" w:sz="0" w:space="0" w:color="auto"/>
        <w:right w:val="none" w:sz="0" w:space="0" w:color="auto"/>
      </w:divBdr>
    </w:div>
    <w:div w:id="483202423">
      <w:marLeft w:val="0"/>
      <w:marRight w:val="0"/>
      <w:marTop w:val="240"/>
      <w:marBottom w:val="0"/>
      <w:divBdr>
        <w:top w:val="none" w:sz="0" w:space="0" w:color="auto"/>
        <w:left w:val="none" w:sz="0" w:space="0" w:color="auto"/>
        <w:bottom w:val="none" w:sz="0" w:space="0" w:color="auto"/>
        <w:right w:val="none" w:sz="0" w:space="0" w:color="auto"/>
      </w:divBdr>
    </w:div>
    <w:div w:id="483551886">
      <w:marLeft w:val="0"/>
      <w:marRight w:val="0"/>
      <w:marTop w:val="0"/>
      <w:marBottom w:val="0"/>
      <w:divBdr>
        <w:top w:val="none" w:sz="0" w:space="0" w:color="auto"/>
        <w:left w:val="none" w:sz="0" w:space="0" w:color="auto"/>
        <w:bottom w:val="none" w:sz="0" w:space="0" w:color="auto"/>
        <w:right w:val="none" w:sz="0" w:space="0" w:color="auto"/>
      </w:divBdr>
      <w:divsChild>
        <w:div w:id="588468757">
          <w:marLeft w:val="0"/>
          <w:marRight w:val="0"/>
          <w:marTop w:val="0"/>
          <w:marBottom w:val="0"/>
          <w:divBdr>
            <w:top w:val="none" w:sz="0" w:space="0" w:color="auto"/>
            <w:left w:val="none" w:sz="0" w:space="0" w:color="auto"/>
            <w:bottom w:val="none" w:sz="0" w:space="0" w:color="auto"/>
            <w:right w:val="none" w:sz="0" w:space="0" w:color="auto"/>
          </w:divBdr>
        </w:div>
      </w:divsChild>
    </w:div>
    <w:div w:id="483593652">
      <w:marLeft w:val="0"/>
      <w:marRight w:val="0"/>
      <w:marTop w:val="240"/>
      <w:marBottom w:val="0"/>
      <w:divBdr>
        <w:top w:val="none" w:sz="0" w:space="0" w:color="auto"/>
        <w:left w:val="none" w:sz="0" w:space="0" w:color="auto"/>
        <w:bottom w:val="none" w:sz="0" w:space="0" w:color="auto"/>
        <w:right w:val="none" w:sz="0" w:space="0" w:color="auto"/>
      </w:divBdr>
    </w:div>
    <w:div w:id="485971931">
      <w:marLeft w:val="0"/>
      <w:marRight w:val="0"/>
      <w:marTop w:val="220"/>
      <w:marBottom w:val="0"/>
      <w:divBdr>
        <w:top w:val="none" w:sz="0" w:space="0" w:color="auto"/>
        <w:left w:val="none" w:sz="0" w:space="0" w:color="auto"/>
        <w:bottom w:val="none" w:sz="0" w:space="0" w:color="auto"/>
        <w:right w:val="none" w:sz="0" w:space="0" w:color="auto"/>
      </w:divBdr>
    </w:div>
    <w:div w:id="486096329">
      <w:marLeft w:val="0"/>
      <w:marRight w:val="0"/>
      <w:marTop w:val="240"/>
      <w:marBottom w:val="0"/>
      <w:divBdr>
        <w:top w:val="none" w:sz="0" w:space="0" w:color="auto"/>
        <w:left w:val="none" w:sz="0" w:space="0" w:color="auto"/>
        <w:bottom w:val="none" w:sz="0" w:space="0" w:color="auto"/>
        <w:right w:val="none" w:sz="0" w:space="0" w:color="auto"/>
      </w:divBdr>
    </w:div>
    <w:div w:id="486553350">
      <w:marLeft w:val="0"/>
      <w:marRight w:val="0"/>
      <w:marTop w:val="240"/>
      <w:marBottom w:val="0"/>
      <w:divBdr>
        <w:top w:val="none" w:sz="0" w:space="0" w:color="auto"/>
        <w:left w:val="none" w:sz="0" w:space="0" w:color="auto"/>
        <w:bottom w:val="none" w:sz="0" w:space="0" w:color="auto"/>
        <w:right w:val="none" w:sz="0" w:space="0" w:color="auto"/>
      </w:divBdr>
    </w:div>
    <w:div w:id="487088827">
      <w:marLeft w:val="0"/>
      <w:marRight w:val="0"/>
      <w:marTop w:val="60"/>
      <w:marBottom w:val="240"/>
      <w:divBdr>
        <w:top w:val="none" w:sz="0" w:space="0" w:color="auto"/>
        <w:left w:val="none" w:sz="0" w:space="0" w:color="auto"/>
        <w:bottom w:val="none" w:sz="0" w:space="0" w:color="auto"/>
        <w:right w:val="none" w:sz="0" w:space="0" w:color="auto"/>
      </w:divBdr>
    </w:div>
    <w:div w:id="489367735">
      <w:marLeft w:val="0"/>
      <w:marRight w:val="0"/>
      <w:marTop w:val="240"/>
      <w:marBottom w:val="0"/>
      <w:divBdr>
        <w:top w:val="none" w:sz="0" w:space="0" w:color="auto"/>
        <w:left w:val="none" w:sz="0" w:space="0" w:color="auto"/>
        <w:bottom w:val="none" w:sz="0" w:space="0" w:color="auto"/>
        <w:right w:val="none" w:sz="0" w:space="0" w:color="auto"/>
      </w:divBdr>
    </w:div>
    <w:div w:id="490608635">
      <w:marLeft w:val="0"/>
      <w:marRight w:val="0"/>
      <w:marTop w:val="180"/>
      <w:marBottom w:val="0"/>
      <w:divBdr>
        <w:top w:val="none" w:sz="0" w:space="0" w:color="auto"/>
        <w:left w:val="none" w:sz="0" w:space="0" w:color="auto"/>
        <w:bottom w:val="none" w:sz="0" w:space="0" w:color="auto"/>
        <w:right w:val="none" w:sz="0" w:space="0" w:color="auto"/>
      </w:divBdr>
    </w:div>
    <w:div w:id="491874764">
      <w:marLeft w:val="0"/>
      <w:marRight w:val="0"/>
      <w:marTop w:val="0"/>
      <w:marBottom w:val="0"/>
      <w:divBdr>
        <w:top w:val="none" w:sz="0" w:space="0" w:color="auto"/>
        <w:left w:val="none" w:sz="0" w:space="0" w:color="auto"/>
        <w:bottom w:val="none" w:sz="0" w:space="0" w:color="auto"/>
        <w:right w:val="none" w:sz="0" w:space="0" w:color="auto"/>
      </w:divBdr>
      <w:divsChild>
        <w:div w:id="1302157155">
          <w:marLeft w:val="0"/>
          <w:marRight w:val="0"/>
          <w:marTop w:val="0"/>
          <w:marBottom w:val="0"/>
          <w:divBdr>
            <w:top w:val="none" w:sz="0" w:space="0" w:color="auto"/>
            <w:left w:val="none" w:sz="0" w:space="0" w:color="auto"/>
            <w:bottom w:val="none" w:sz="0" w:space="0" w:color="auto"/>
            <w:right w:val="none" w:sz="0" w:space="0" w:color="auto"/>
          </w:divBdr>
          <w:divsChild>
            <w:div w:id="39905732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491917005">
      <w:marLeft w:val="0"/>
      <w:marRight w:val="0"/>
      <w:marTop w:val="200"/>
      <w:marBottom w:val="0"/>
      <w:divBdr>
        <w:top w:val="none" w:sz="0" w:space="0" w:color="auto"/>
        <w:left w:val="none" w:sz="0" w:space="0" w:color="auto"/>
        <w:bottom w:val="none" w:sz="0" w:space="0" w:color="auto"/>
        <w:right w:val="none" w:sz="0" w:space="0" w:color="auto"/>
      </w:divBdr>
    </w:div>
    <w:div w:id="492140175">
      <w:marLeft w:val="0"/>
      <w:marRight w:val="0"/>
      <w:marTop w:val="240"/>
      <w:marBottom w:val="0"/>
      <w:divBdr>
        <w:top w:val="none" w:sz="0" w:space="0" w:color="auto"/>
        <w:left w:val="none" w:sz="0" w:space="0" w:color="auto"/>
        <w:bottom w:val="none" w:sz="0" w:space="0" w:color="auto"/>
        <w:right w:val="none" w:sz="0" w:space="0" w:color="auto"/>
      </w:divBdr>
    </w:div>
    <w:div w:id="492184666">
      <w:marLeft w:val="0"/>
      <w:marRight w:val="0"/>
      <w:marTop w:val="240"/>
      <w:marBottom w:val="0"/>
      <w:divBdr>
        <w:top w:val="none" w:sz="0" w:space="0" w:color="auto"/>
        <w:left w:val="none" w:sz="0" w:space="0" w:color="auto"/>
        <w:bottom w:val="none" w:sz="0" w:space="0" w:color="auto"/>
        <w:right w:val="none" w:sz="0" w:space="0" w:color="auto"/>
      </w:divBdr>
    </w:div>
    <w:div w:id="496267345">
      <w:marLeft w:val="0"/>
      <w:marRight w:val="0"/>
      <w:marTop w:val="240"/>
      <w:marBottom w:val="0"/>
      <w:divBdr>
        <w:top w:val="none" w:sz="0" w:space="0" w:color="auto"/>
        <w:left w:val="none" w:sz="0" w:space="0" w:color="auto"/>
        <w:bottom w:val="none" w:sz="0" w:space="0" w:color="auto"/>
        <w:right w:val="none" w:sz="0" w:space="0" w:color="auto"/>
      </w:divBdr>
    </w:div>
    <w:div w:id="496269817">
      <w:marLeft w:val="0"/>
      <w:marRight w:val="0"/>
      <w:marTop w:val="0"/>
      <w:marBottom w:val="0"/>
      <w:divBdr>
        <w:top w:val="none" w:sz="0" w:space="0" w:color="auto"/>
        <w:left w:val="none" w:sz="0" w:space="0" w:color="auto"/>
        <w:bottom w:val="none" w:sz="0" w:space="0" w:color="auto"/>
        <w:right w:val="none" w:sz="0" w:space="0" w:color="auto"/>
      </w:divBdr>
    </w:div>
    <w:div w:id="496578171">
      <w:marLeft w:val="0"/>
      <w:marRight w:val="0"/>
      <w:marTop w:val="0"/>
      <w:marBottom w:val="0"/>
      <w:divBdr>
        <w:top w:val="none" w:sz="0" w:space="0" w:color="auto"/>
        <w:left w:val="none" w:sz="0" w:space="0" w:color="auto"/>
        <w:bottom w:val="none" w:sz="0" w:space="0" w:color="auto"/>
        <w:right w:val="none" w:sz="0" w:space="0" w:color="auto"/>
      </w:divBdr>
      <w:divsChild>
        <w:div w:id="429396040">
          <w:marLeft w:val="0"/>
          <w:marRight w:val="0"/>
          <w:marTop w:val="0"/>
          <w:marBottom w:val="0"/>
          <w:divBdr>
            <w:top w:val="none" w:sz="0" w:space="0" w:color="auto"/>
            <w:left w:val="none" w:sz="0" w:space="0" w:color="auto"/>
            <w:bottom w:val="none" w:sz="0" w:space="0" w:color="auto"/>
            <w:right w:val="none" w:sz="0" w:space="0" w:color="auto"/>
          </w:divBdr>
          <w:divsChild>
            <w:div w:id="185225617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496654601">
      <w:marLeft w:val="0"/>
      <w:marRight w:val="0"/>
      <w:marTop w:val="240"/>
      <w:marBottom w:val="0"/>
      <w:divBdr>
        <w:top w:val="none" w:sz="0" w:space="0" w:color="auto"/>
        <w:left w:val="none" w:sz="0" w:space="0" w:color="auto"/>
        <w:bottom w:val="none" w:sz="0" w:space="0" w:color="auto"/>
        <w:right w:val="none" w:sz="0" w:space="0" w:color="auto"/>
      </w:divBdr>
    </w:div>
    <w:div w:id="499542761">
      <w:marLeft w:val="0"/>
      <w:marRight w:val="0"/>
      <w:marTop w:val="240"/>
      <w:marBottom w:val="0"/>
      <w:divBdr>
        <w:top w:val="none" w:sz="0" w:space="0" w:color="auto"/>
        <w:left w:val="none" w:sz="0" w:space="0" w:color="auto"/>
        <w:bottom w:val="none" w:sz="0" w:space="0" w:color="auto"/>
        <w:right w:val="none" w:sz="0" w:space="0" w:color="auto"/>
      </w:divBdr>
    </w:div>
    <w:div w:id="502861856">
      <w:marLeft w:val="0"/>
      <w:marRight w:val="0"/>
      <w:marTop w:val="180"/>
      <w:marBottom w:val="0"/>
      <w:divBdr>
        <w:top w:val="none" w:sz="0" w:space="0" w:color="auto"/>
        <w:left w:val="none" w:sz="0" w:space="0" w:color="auto"/>
        <w:bottom w:val="none" w:sz="0" w:space="0" w:color="auto"/>
        <w:right w:val="none" w:sz="0" w:space="0" w:color="auto"/>
      </w:divBdr>
    </w:div>
    <w:div w:id="503907671">
      <w:marLeft w:val="0"/>
      <w:marRight w:val="0"/>
      <w:marTop w:val="0"/>
      <w:marBottom w:val="0"/>
      <w:divBdr>
        <w:top w:val="none" w:sz="0" w:space="0" w:color="auto"/>
        <w:left w:val="none" w:sz="0" w:space="0" w:color="auto"/>
        <w:bottom w:val="none" w:sz="0" w:space="0" w:color="auto"/>
        <w:right w:val="none" w:sz="0" w:space="0" w:color="auto"/>
      </w:divBdr>
      <w:divsChild>
        <w:div w:id="1273437280">
          <w:marLeft w:val="0"/>
          <w:marRight w:val="0"/>
          <w:marTop w:val="0"/>
          <w:marBottom w:val="0"/>
          <w:divBdr>
            <w:top w:val="none" w:sz="0" w:space="0" w:color="auto"/>
            <w:left w:val="none" w:sz="0" w:space="0" w:color="auto"/>
            <w:bottom w:val="none" w:sz="0" w:space="0" w:color="auto"/>
            <w:right w:val="none" w:sz="0" w:space="0" w:color="auto"/>
          </w:divBdr>
          <w:divsChild>
            <w:div w:id="8561904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504634074">
      <w:marLeft w:val="0"/>
      <w:marRight w:val="0"/>
      <w:marTop w:val="120"/>
      <w:marBottom w:val="0"/>
      <w:divBdr>
        <w:top w:val="none" w:sz="0" w:space="0" w:color="auto"/>
        <w:left w:val="none" w:sz="0" w:space="0" w:color="auto"/>
        <w:bottom w:val="none" w:sz="0" w:space="0" w:color="auto"/>
        <w:right w:val="none" w:sz="0" w:space="0" w:color="auto"/>
      </w:divBdr>
    </w:div>
    <w:div w:id="511263883">
      <w:marLeft w:val="0"/>
      <w:marRight w:val="0"/>
      <w:marTop w:val="240"/>
      <w:marBottom w:val="0"/>
      <w:divBdr>
        <w:top w:val="none" w:sz="0" w:space="0" w:color="auto"/>
        <w:left w:val="none" w:sz="0" w:space="0" w:color="auto"/>
        <w:bottom w:val="none" w:sz="0" w:space="0" w:color="auto"/>
        <w:right w:val="none" w:sz="0" w:space="0" w:color="auto"/>
      </w:divBdr>
    </w:div>
    <w:div w:id="515536420">
      <w:marLeft w:val="0"/>
      <w:marRight w:val="0"/>
      <w:marTop w:val="240"/>
      <w:marBottom w:val="0"/>
      <w:divBdr>
        <w:top w:val="none" w:sz="0" w:space="0" w:color="auto"/>
        <w:left w:val="none" w:sz="0" w:space="0" w:color="auto"/>
        <w:bottom w:val="none" w:sz="0" w:space="0" w:color="auto"/>
        <w:right w:val="none" w:sz="0" w:space="0" w:color="auto"/>
      </w:divBdr>
    </w:div>
    <w:div w:id="516191295">
      <w:marLeft w:val="0"/>
      <w:marRight w:val="0"/>
      <w:marTop w:val="240"/>
      <w:marBottom w:val="0"/>
      <w:divBdr>
        <w:top w:val="none" w:sz="0" w:space="0" w:color="auto"/>
        <w:left w:val="none" w:sz="0" w:space="0" w:color="auto"/>
        <w:bottom w:val="none" w:sz="0" w:space="0" w:color="auto"/>
        <w:right w:val="none" w:sz="0" w:space="0" w:color="auto"/>
      </w:divBdr>
    </w:div>
    <w:div w:id="518399150">
      <w:marLeft w:val="0"/>
      <w:marRight w:val="0"/>
      <w:marTop w:val="240"/>
      <w:marBottom w:val="0"/>
      <w:divBdr>
        <w:top w:val="none" w:sz="0" w:space="0" w:color="auto"/>
        <w:left w:val="none" w:sz="0" w:space="0" w:color="auto"/>
        <w:bottom w:val="none" w:sz="0" w:space="0" w:color="auto"/>
        <w:right w:val="none" w:sz="0" w:space="0" w:color="auto"/>
      </w:divBdr>
    </w:div>
    <w:div w:id="518784135">
      <w:marLeft w:val="0"/>
      <w:marRight w:val="0"/>
      <w:marTop w:val="240"/>
      <w:marBottom w:val="0"/>
      <w:divBdr>
        <w:top w:val="none" w:sz="0" w:space="0" w:color="auto"/>
        <w:left w:val="none" w:sz="0" w:space="0" w:color="auto"/>
        <w:bottom w:val="none" w:sz="0" w:space="0" w:color="auto"/>
        <w:right w:val="none" w:sz="0" w:space="0" w:color="auto"/>
      </w:divBdr>
    </w:div>
    <w:div w:id="520319968">
      <w:marLeft w:val="0"/>
      <w:marRight w:val="0"/>
      <w:marTop w:val="60"/>
      <w:marBottom w:val="240"/>
      <w:divBdr>
        <w:top w:val="none" w:sz="0" w:space="0" w:color="auto"/>
        <w:left w:val="none" w:sz="0" w:space="0" w:color="auto"/>
        <w:bottom w:val="none" w:sz="0" w:space="0" w:color="auto"/>
        <w:right w:val="none" w:sz="0" w:space="0" w:color="auto"/>
      </w:divBdr>
    </w:div>
    <w:div w:id="520823636">
      <w:marLeft w:val="0"/>
      <w:marRight w:val="0"/>
      <w:marTop w:val="240"/>
      <w:marBottom w:val="0"/>
      <w:divBdr>
        <w:top w:val="none" w:sz="0" w:space="0" w:color="auto"/>
        <w:left w:val="none" w:sz="0" w:space="0" w:color="auto"/>
        <w:bottom w:val="none" w:sz="0" w:space="0" w:color="auto"/>
        <w:right w:val="none" w:sz="0" w:space="0" w:color="auto"/>
      </w:divBdr>
    </w:div>
    <w:div w:id="525101056">
      <w:marLeft w:val="0"/>
      <w:marRight w:val="0"/>
      <w:marTop w:val="240"/>
      <w:marBottom w:val="0"/>
      <w:divBdr>
        <w:top w:val="none" w:sz="0" w:space="0" w:color="auto"/>
        <w:left w:val="none" w:sz="0" w:space="0" w:color="auto"/>
        <w:bottom w:val="none" w:sz="0" w:space="0" w:color="auto"/>
        <w:right w:val="none" w:sz="0" w:space="0" w:color="auto"/>
      </w:divBdr>
    </w:div>
    <w:div w:id="526262729">
      <w:marLeft w:val="0"/>
      <w:marRight w:val="0"/>
      <w:marTop w:val="0"/>
      <w:marBottom w:val="0"/>
      <w:divBdr>
        <w:top w:val="none" w:sz="0" w:space="0" w:color="auto"/>
        <w:left w:val="none" w:sz="0" w:space="0" w:color="auto"/>
        <w:bottom w:val="none" w:sz="0" w:space="0" w:color="auto"/>
        <w:right w:val="none" w:sz="0" w:space="0" w:color="auto"/>
      </w:divBdr>
      <w:divsChild>
        <w:div w:id="633097833">
          <w:marLeft w:val="0"/>
          <w:marRight w:val="0"/>
          <w:marTop w:val="0"/>
          <w:marBottom w:val="0"/>
          <w:divBdr>
            <w:top w:val="none" w:sz="0" w:space="0" w:color="auto"/>
            <w:left w:val="none" w:sz="0" w:space="0" w:color="auto"/>
            <w:bottom w:val="none" w:sz="0" w:space="0" w:color="auto"/>
            <w:right w:val="none" w:sz="0" w:space="0" w:color="auto"/>
          </w:divBdr>
        </w:div>
      </w:divsChild>
    </w:div>
    <w:div w:id="527530317">
      <w:marLeft w:val="0"/>
      <w:marRight w:val="0"/>
      <w:marTop w:val="180"/>
      <w:marBottom w:val="0"/>
      <w:divBdr>
        <w:top w:val="none" w:sz="0" w:space="0" w:color="auto"/>
        <w:left w:val="none" w:sz="0" w:space="0" w:color="auto"/>
        <w:bottom w:val="none" w:sz="0" w:space="0" w:color="auto"/>
        <w:right w:val="none" w:sz="0" w:space="0" w:color="auto"/>
      </w:divBdr>
    </w:div>
    <w:div w:id="529877119">
      <w:marLeft w:val="0"/>
      <w:marRight w:val="0"/>
      <w:marTop w:val="240"/>
      <w:marBottom w:val="0"/>
      <w:divBdr>
        <w:top w:val="none" w:sz="0" w:space="0" w:color="auto"/>
        <w:left w:val="none" w:sz="0" w:space="0" w:color="auto"/>
        <w:bottom w:val="none" w:sz="0" w:space="0" w:color="auto"/>
        <w:right w:val="none" w:sz="0" w:space="0" w:color="auto"/>
      </w:divBdr>
    </w:div>
    <w:div w:id="531193354">
      <w:marLeft w:val="0"/>
      <w:marRight w:val="0"/>
      <w:marTop w:val="240"/>
      <w:marBottom w:val="0"/>
      <w:divBdr>
        <w:top w:val="none" w:sz="0" w:space="0" w:color="auto"/>
        <w:left w:val="none" w:sz="0" w:space="0" w:color="auto"/>
        <w:bottom w:val="none" w:sz="0" w:space="0" w:color="auto"/>
        <w:right w:val="none" w:sz="0" w:space="0" w:color="auto"/>
      </w:divBdr>
    </w:div>
    <w:div w:id="531264290">
      <w:marLeft w:val="0"/>
      <w:marRight w:val="0"/>
      <w:marTop w:val="0"/>
      <w:marBottom w:val="0"/>
      <w:divBdr>
        <w:top w:val="none" w:sz="0" w:space="0" w:color="auto"/>
        <w:left w:val="none" w:sz="0" w:space="0" w:color="auto"/>
        <w:bottom w:val="none" w:sz="0" w:space="0" w:color="auto"/>
        <w:right w:val="none" w:sz="0" w:space="0" w:color="auto"/>
      </w:divBdr>
      <w:divsChild>
        <w:div w:id="1889411582">
          <w:marLeft w:val="0"/>
          <w:marRight w:val="0"/>
          <w:marTop w:val="0"/>
          <w:marBottom w:val="0"/>
          <w:divBdr>
            <w:top w:val="none" w:sz="0" w:space="0" w:color="auto"/>
            <w:left w:val="none" w:sz="0" w:space="0" w:color="auto"/>
            <w:bottom w:val="none" w:sz="0" w:space="0" w:color="auto"/>
            <w:right w:val="none" w:sz="0" w:space="0" w:color="auto"/>
          </w:divBdr>
        </w:div>
      </w:divsChild>
    </w:div>
    <w:div w:id="531457390">
      <w:marLeft w:val="0"/>
      <w:marRight w:val="0"/>
      <w:marTop w:val="240"/>
      <w:marBottom w:val="0"/>
      <w:divBdr>
        <w:top w:val="none" w:sz="0" w:space="0" w:color="auto"/>
        <w:left w:val="none" w:sz="0" w:space="0" w:color="auto"/>
        <w:bottom w:val="none" w:sz="0" w:space="0" w:color="auto"/>
        <w:right w:val="none" w:sz="0" w:space="0" w:color="auto"/>
      </w:divBdr>
    </w:div>
    <w:div w:id="533732030">
      <w:marLeft w:val="0"/>
      <w:marRight w:val="0"/>
      <w:marTop w:val="0"/>
      <w:marBottom w:val="0"/>
      <w:divBdr>
        <w:top w:val="none" w:sz="0" w:space="0" w:color="auto"/>
        <w:left w:val="none" w:sz="0" w:space="0" w:color="auto"/>
        <w:bottom w:val="none" w:sz="0" w:space="0" w:color="auto"/>
        <w:right w:val="none" w:sz="0" w:space="0" w:color="auto"/>
      </w:divBdr>
      <w:divsChild>
        <w:div w:id="1161383785">
          <w:marLeft w:val="0"/>
          <w:marRight w:val="0"/>
          <w:marTop w:val="0"/>
          <w:marBottom w:val="0"/>
          <w:divBdr>
            <w:top w:val="none" w:sz="0" w:space="0" w:color="auto"/>
            <w:left w:val="none" w:sz="0" w:space="0" w:color="auto"/>
            <w:bottom w:val="none" w:sz="0" w:space="0" w:color="auto"/>
            <w:right w:val="none" w:sz="0" w:space="0" w:color="auto"/>
          </w:divBdr>
        </w:div>
      </w:divsChild>
    </w:div>
    <w:div w:id="534075564">
      <w:marLeft w:val="0"/>
      <w:marRight w:val="0"/>
      <w:marTop w:val="200"/>
      <w:marBottom w:val="0"/>
      <w:divBdr>
        <w:top w:val="none" w:sz="0" w:space="0" w:color="auto"/>
        <w:left w:val="none" w:sz="0" w:space="0" w:color="auto"/>
        <w:bottom w:val="none" w:sz="0" w:space="0" w:color="auto"/>
        <w:right w:val="none" w:sz="0" w:space="0" w:color="auto"/>
      </w:divBdr>
    </w:div>
    <w:div w:id="534079400">
      <w:marLeft w:val="0"/>
      <w:marRight w:val="0"/>
      <w:marTop w:val="240"/>
      <w:marBottom w:val="0"/>
      <w:divBdr>
        <w:top w:val="none" w:sz="0" w:space="0" w:color="auto"/>
        <w:left w:val="none" w:sz="0" w:space="0" w:color="auto"/>
        <w:bottom w:val="none" w:sz="0" w:space="0" w:color="auto"/>
        <w:right w:val="none" w:sz="0" w:space="0" w:color="auto"/>
      </w:divBdr>
    </w:div>
    <w:div w:id="534318992">
      <w:marLeft w:val="0"/>
      <w:marRight w:val="0"/>
      <w:marTop w:val="0"/>
      <w:marBottom w:val="0"/>
      <w:divBdr>
        <w:top w:val="none" w:sz="0" w:space="0" w:color="auto"/>
        <w:left w:val="none" w:sz="0" w:space="0" w:color="auto"/>
        <w:bottom w:val="none" w:sz="0" w:space="0" w:color="auto"/>
        <w:right w:val="none" w:sz="0" w:space="0" w:color="auto"/>
      </w:divBdr>
      <w:divsChild>
        <w:div w:id="743138258">
          <w:marLeft w:val="0"/>
          <w:marRight w:val="0"/>
          <w:marTop w:val="0"/>
          <w:marBottom w:val="0"/>
          <w:divBdr>
            <w:top w:val="none" w:sz="0" w:space="0" w:color="auto"/>
            <w:left w:val="none" w:sz="0" w:space="0" w:color="auto"/>
            <w:bottom w:val="none" w:sz="0" w:space="0" w:color="auto"/>
            <w:right w:val="none" w:sz="0" w:space="0" w:color="auto"/>
          </w:divBdr>
        </w:div>
      </w:divsChild>
    </w:div>
    <w:div w:id="534932231">
      <w:marLeft w:val="0"/>
      <w:marRight w:val="0"/>
      <w:marTop w:val="240"/>
      <w:marBottom w:val="0"/>
      <w:divBdr>
        <w:top w:val="none" w:sz="0" w:space="0" w:color="auto"/>
        <w:left w:val="none" w:sz="0" w:space="0" w:color="auto"/>
        <w:bottom w:val="none" w:sz="0" w:space="0" w:color="auto"/>
        <w:right w:val="none" w:sz="0" w:space="0" w:color="auto"/>
      </w:divBdr>
    </w:div>
    <w:div w:id="535197119">
      <w:marLeft w:val="0"/>
      <w:marRight w:val="0"/>
      <w:marTop w:val="240"/>
      <w:marBottom w:val="0"/>
      <w:divBdr>
        <w:top w:val="none" w:sz="0" w:space="0" w:color="auto"/>
        <w:left w:val="none" w:sz="0" w:space="0" w:color="auto"/>
        <w:bottom w:val="none" w:sz="0" w:space="0" w:color="auto"/>
        <w:right w:val="none" w:sz="0" w:space="0" w:color="auto"/>
      </w:divBdr>
    </w:div>
    <w:div w:id="536547151">
      <w:marLeft w:val="0"/>
      <w:marRight w:val="0"/>
      <w:marTop w:val="240"/>
      <w:marBottom w:val="0"/>
      <w:divBdr>
        <w:top w:val="none" w:sz="0" w:space="0" w:color="auto"/>
        <w:left w:val="none" w:sz="0" w:space="0" w:color="auto"/>
        <w:bottom w:val="none" w:sz="0" w:space="0" w:color="auto"/>
        <w:right w:val="none" w:sz="0" w:space="0" w:color="auto"/>
      </w:divBdr>
    </w:div>
    <w:div w:id="536697642">
      <w:marLeft w:val="0"/>
      <w:marRight w:val="0"/>
      <w:marTop w:val="300"/>
      <w:marBottom w:val="0"/>
      <w:divBdr>
        <w:top w:val="none" w:sz="0" w:space="0" w:color="auto"/>
        <w:left w:val="none" w:sz="0" w:space="0" w:color="auto"/>
        <w:bottom w:val="none" w:sz="0" w:space="0" w:color="auto"/>
        <w:right w:val="none" w:sz="0" w:space="0" w:color="auto"/>
      </w:divBdr>
    </w:div>
    <w:div w:id="541752307">
      <w:marLeft w:val="0"/>
      <w:marRight w:val="0"/>
      <w:marTop w:val="120"/>
      <w:marBottom w:val="60"/>
      <w:divBdr>
        <w:top w:val="none" w:sz="0" w:space="0" w:color="auto"/>
        <w:left w:val="none" w:sz="0" w:space="0" w:color="auto"/>
        <w:bottom w:val="none" w:sz="0" w:space="0" w:color="auto"/>
        <w:right w:val="none" w:sz="0" w:space="0" w:color="auto"/>
      </w:divBdr>
    </w:div>
    <w:div w:id="542442659">
      <w:marLeft w:val="0"/>
      <w:marRight w:val="0"/>
      <w:marTop w:val="240"/>
      <w:marBottom w:val="0"/>
      <w:divBdr>
        <w:top w:val="none" w:sz="0" w:space="0" w:color="auto"/>
        <w:left w:val="none" w:sz="0" w:space="0" w:color="auto"/>
        <w:bottom w:val="none" w:sz="0" w:space="0" w:color="auto"/>
        <w:right w:val="none" w:sz="0" w:space="0" w:color="auto"/>
      </w:divBdr>
    </w:div>
    <w:div w:id="542523313">
      <w:marLeft w:val="0"/>
      <w:marRight w:val="0"/>
      <w:marTop w:val="180"/>
      <w:marBottom w:val="120"/>
      <w:divBdr>
        <w:top w:val="none" w:sz="0" w:space="0" w:color="auto"/>
        <w:left w:val="none" w:sz="0" w:space="0" w:color="auto"/>
        <w:bottom w:val="none" w:sz="0" w:space="0" w:color="auto"/>
        <w:right w:val="none" w:sz="0" w:space="0" w:color="auto"/>
      </w:divBdr>
    </w:div>
    <w:div w:id="544215643">
      <w:marLeft w:val="0"/>
      <w:marRight w:val="0"/>
      <w:marTop w:val="0"/>
      <w:marBottom w:val="0"/>
      <w:divBdr>
        <w:top w:val="none" w:sz="0" w:space="0" w:color="auto"/>
        <w:left w:val="none" w:sz="0" w:space="0" w:color="auto"/>
        <w:bottom w:val="none" w:sz="0" w:space="0" w:color="auto"/>
        <w:right w:val="none" w:sz="0" w:space="0" w:color="auto"/>
      </w:divBdr>
      <w:divsChild>
        <w:div w:id="799036549">
          <w:marLeft w:val="0"/>
          <w:marRight w:val="0"/>
          <w:marTop w:val="0"/>
          <w:marBottom w:val="0"/>
          <w:divBdr>
            <w:top w:val="none" w:sz="0" w:space="0" w:color="auto"/>
            <w:left w:val="none" w:sz="0" w:space="0" w:color="auto"/>
            <w:bottom w:val="none" w:sz="0" w:space="0" w:color="auto"/>
            <w:right w:val="none" w:sz="0" w:space="0" w:color="auto"/>
          </w:divBdr>
          <w:divsChild>
            <w:div w:id="169569418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545945972">
      <w:marLeft w:val="0"/>
      <w:marRight w:val="0"/>
      <w:marTop w:val="0"/>
      <w:marBottom w:val="0"/>
      <w:divBdr>
        <w:top w:val="none" w:sz="0" w:space="0" w:color="auto"/>
        <w:left w:val="none" w:sz="0" w:space="0" w:color="auto"/>
        <w:bottom w:val="none" w:sz="0" w:space="0" w:color="auto"/>
        <w:right w:val="none" w:sz="0" w:space="0" w:color="auto"/>
      </w:divBdr>
    </w:div>
    <w:div w:id="547884612">
      <w:marLeft w:val="0"/>
      <w:marRight w:val="0"/>
      <w:marTop w:val="0"/>
      <w:marBottom w:val="0"/>
      <w:divBdr>
        <w:top w:val="none" w:sz="0" w:space="0" w:color="auto"/>
        <w:left w:val="none" w:sz="0" w:space="0" w:color="auto"/>
        <w:bottom w:val="none" w:sz="0" w:space="0" w:color="auto"/>
        <w:right w:val="none" w:sz="0" w:space="0" w:color="auto"/>
      </w:divBdr>
      <w:divsChild>
        <w:div w:id="1633512843">
          <w:marLeft w:val="0"/>
          <w:marRight w:val="0"/>
          <w:marTop w:val="0"/>
          <w:marBottom w:val="0"/>
          <w:divBdr>
            <w:top w:val="none" w:sz="0" w:space="0" w:color="auto"/>
            <w:left w:val="none" w:sz="0" w:space="0" w:color="auto"/>
            <w:bottom w:val="none" w:sz="0" w:space="0" w:color="auto"/>
            <w:right w:val="none" w:sz="0" w:space="0" w:color="auto"/>
          </w:divBdr>
          <w:divsChild>
            <w:div w:id="103318955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547959862">
      <w:marLeft w:val="0"/>
      <w:marRight w:val="0"/>
      <w:marTop w:val="140"/>
      <w:marBottom w:val="0"/>
      <w:divBdr>
        <w:top w:val="none" w:sz="0" w:space="0" w:color="auto"/>
        <w:left w:val="none" w:sz="0" w:space="0" w:color="auto"/>
        <w:bottom w:val="none" w:sz="0" w:space="0" w:color="auto"/>
        <w:right w:val="none" w:sz="0" w:space="0" w:color="auto"/>
      </w:divBdr>
    </w:div>
    <w:div w:id="549420652">
      <w:marLeft w:val="0"/>
      <w:marRight w:val="0"/>
      <w:marTop w:val="120"/>
      <w:marBottom w:val="0"/>
      <w:divBdr>
        <w:top w:val="none" w:sz="0" w:space="0" w:color="auto"/>
        <w:left w:val="none" w:sz="0" w:space="0" w:color="auto"/>
        <w:bottom w:val="none" w:sz="0" w:space="0" w:color="auto"/>
        <w:right w:val="none" w:sz="0" w:space="0" w:color="auto"/>
      </w:divBdr>
    </w:div>
    <w:div w:id="549807986">
      <w:marLeft w:val="0"/>
      <w:marRight w:val="0"/>
      <w:marTop w:val="0"/>
      <w:marBottom w:val="0"/>
      <w:divBdr>
        <w:top w:val="none" w:sz="0" w:space="0" w:color="auto"/>
        <w:left w:val="none" w:sz="0" w:space="0" w:color="auto"/>
        <w:bottom w:val="none" w:sz="0" w:space="0" w:color="auto"/>
        <w:right w:val="none" w:sz="0" w:space="0" w:color="auto"/>
      </w:divBdr>
      <w:divsChild>
        <w:div w:id="1751079216">
          <w:marLeft w:val="0"/>
          <w:marRight w:val="0"/>
          <w:marTop w:val="0"/>
          <w:marBottom w:val="0"/>
          <w:divBdr>
            <w:top w:val="none" w:sz="0" w:space="0" w:color="auto"/>
            <w:left w:val="none" w:sz="0" w:space="0" w:color="auto"/>
            <w:bottom w:val="none" w:sz="0" w:space="0" w:color="auto"/>
            <w:right w:val="none" w:sz="0" w:space="0" w:color="auto"/>
          </w:divBdr>
        </w:div>
      </w:divsChild>
    </w:div>
    <w:div w:id="549852880">
      <w:marLeft w:val="0"/>
      <w:marRight w:val="0"/>
      <w:marTop w:val="240"/>
      <w:marBottom w:val="0"/>
      <w:divBdr>
        <w:top w:val="none" w:sz="0" w:space="0" w:color="auto"/>
        <w:left w:val="none" w:sz="0" w:space="0" w:color="auto"/>
        <w:bottom w:val="none" w:sz="0" w:space="0" w:color="auto"/>
        <w:right w:val="none" w:sz="0" w:space="0" w:color="auto"/>
      </w:divBdr>
    </w:div>
    <w:div w:id="550045395">
      <w:marLeft w:val="0"/>
      <w:marRight w:val="0"/>
      <w:marTop w:val="60"/>
      <w:marBottom w:val="0"/>
      <w:divBdr>
        <w:top w:val="none" w:sz="0" w:space="0" w:color="auto"/>
        <w:left w:val="none" w:sz="0" w:space="0" w:color="auto"/>
        <w:bottom w:val="none" w:sz="0" w:space="0" w:color="auto"/>
        <w:right w:val="none" w:sz="0" w:space="0" w:color="auto"/>
      </w:divBdr>
    </w:div>
    <w:div w:id="551813689">
      <w:marLeft w:val="0"/>
      <w:marRight w:val="0"/>
      <w:marTop w:val="0"/>
      <w:marBottom w:val="0"/>
      <w:divBdr>
        <w:top w:val="none" w:sz="0" w:space="0" w:color="auto"/>
        <w:left w:val="none" w:sz="0" w:space="0" w:color="auto"/>
        <w:bottom w:val="none" w:sz="0" w:space="0" w:color="auto"/>
        <w:right w:val="none" w:sz="0" w:space="0" w:color="auto"/>
      </w:divBdr>
      <w:divsChild>
        <w:div w:id="1473592672">
          <w:marLeft w:val="0"/>
          <w:marRight w:val="0"/>
          <w:marTop w:val="0"/>
          <w:marBottom w:val="0"/>
          <w:divBdr>
            <w:top w:val="none" w:sz="0" w:space="0" w:color="auto"/>
            <w:left w:val="none" w:sz="0" w:space="0" w:color="auto"/>
            <w:bottom w:val="none" w:sz="0" w:space="0" w:color="auto"/>
            <w:right w:val="none" w:sz="0" w:space="0" w:color="auto"/>
          </w:divBdr>
        </w:div>
      </w:divsChild>
    </w:div>
    <w:div w:id="557979975">
      <w:marLeft w:val="0"/>
      <w:marRight w:val="0"/>
      <w:marTop w:val="0"/>
      <w:marBottom w:val="0"/>
      <w:divBdr>
        <w:top w:val="none" w:sz="0" w:space="0" w:color="auto"/>
        <w:left w:val="none" w:sz="0" w:space="0" w:color="auto"/>
        <w:bottom w:val="none" w:sz="0" w:space="0" w:color="auto"/>
        <w:right w:val="none" w:sz="0" w:space="0" w:color="auto"/>
      </w:divBdr>
      <w:divsChild>
        <w:div w:id="1799840709">
          <w:marLeft w:val="0"/>
          <w:marRight w:val="0"/>
          <w:marTop w:val="0"/>
          <w:marBottom w:val="0"/>
          <w:divBdr>
            <w:top w:val="none" w:sz="0" w:space="0" w:color="auto"/>
            <w:left w:val="none" w:sz="0" w:space="0" w:color="auto"/>
            <w:bottom w:val="none" w:sz="0" w:space="0" w:color="auto"/>
            <w:right w:val="none" w:sz="0" w:space="0" w:color="auto"/>
          </w:divBdr>
          <w:divsChild>
            <w:div w:id="67989705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562063819">
      <w:marLeft w:val="0"/>
      <w:marRight w:val="0"/>
      <w:marTop w:val="240"/>
      <w:marBottom w:val="0"/>
      <w:divBdr>
        <w:top w:val="none" w:sz="0" w:space="0" w:color="auto"/>
        <w:left w:val="none" w:sz="0" w:space="0" w:color="auto"/>
        <w:bottom w:val="none" w:sz="0" w:space="0" w:color="auto"/>
        <w:right w:val="none" w:sz="0" w:space="0" w:color="auto"/>
      </w:divBdr>
    </w:div>
    <w:div w:id="562911805">
      <w:marLeft w:val="0"/>
      <w:marRight w:val="0"/>
      <w:marTop w:val="240"/>
      <w:marBottom w:val="0"/>
      <w:divBdr>
        <w:top w:val="none" w:sz="0" w:space="0" w:color="auto"/>
        <w:left w:val="none" w:sz="0" w:space="0" w:color="auto"/>
        <w:bottom w:val="none" w:sz="0" w:space="0" w:color="auto"/>
        <w:right w:val="none" w:sz="0" w:space="0" w:color="auto"/>
      </w:divBdr>
    </w:div>
    <w:div w:id="566846592">
      <w:marLeft w:val="0"/>
      <w:marRight w:val="0"/>
      <w:marTop w:val="100"/>
      <w:marBottom w:val="0"/>
      <w:divBdr>
        <w:top w:val="none" w:sz="0" w:space="0" w:color="auto"/>
        <w:left w:val="none" w:sz="0" w:space="0" w:color="auto"/>
        <w:bottom w:val="none" w:sz="0" w:space="0" w:color="auto"/>
        <w:right w:val="none" w:sz="0" w:space="0" w:color="auto"/>
      </w:divBdr>
    </w:div>
    <w:div w:id="569853245">
      <w:marLeft w:val="0"/>
      <w:marRight w:val="0"/>
      <w:marTop w:val="240"/>
      <w:marBottom w:val="0"/>
      <w:divBdr>
        <w:top w:val="none" w:sz="0" w:space="0" w:color="auto"/>
        <w:left w:val="none" w:sz="0" w:space="0" w:color="auto"/>
        <w:bottom w:val="none" w:sz="0" w:space="0" w:color="auto"/>
        <w:right w:val="none" w:sz="0" w:space="0" w:color="auto"/>
      </w:divBdr>
    </w:div>
    <w:div w:id="569966671">
      <w:marLeft w:val="0"/>
      <w:marRight w:val="0"/>
      <w:marTop w:val="0"/>
      <w:marBottom w:val="0"/>
      <w:divBdr>
        <w:top w:val="none" w:sz="0" w:space="0" w:color="auto"/>
        <w:left w:val="none" w:sz="0" w:space="0" w:color="auto"/>
        <w:bottom w:val="none" w:sz="0" w:space="0" w:color="auto"/>
        <w:right w:val="none" w:sz="0" w:space="0" w:color="auto"/>
      </w:divBdr>
      <w:divsChild>
        <w:div w:id="838275818">
          <w:marLeft w:val="0"/>
          <w:marRight w:val="0"/>
          <w:marTop w:val="120"/>
          <w:marBottom w:val="0"/>
          <w:divBdr>
            <w:top w:val="none" w:sz="0" w:space="0" w:color="auto"/>
            <w:left w:val="none" w:sz="0" w:space="0" w:color="auto"/>
            <w:bottom w:val="none" w:sz="0" w:space="0" w:color="auto"/>
            <w:right w:val="none" w:sz="0" w:space="0" w:color="auto"/>
          </w:divBdr>
        </w:div>
      </w:divsChild>
    </w:div>
    <w:div w:id="570233978">
      <w:marLeft w:val="0"/>
      <w:marRight w:val="0"/>
      <w:marTop w:val="240"/>
      <w:marBottom w:val="0"/>
      <w:divBdr>
        <w:top w:val="none" w:sz="0" w:space="0" w:color="auto"/>
        <w:left w:val="none" w:sz="0" w:space="0" w:color="auto"/>
        <w:bottom w:val="none" w:sz="0" w:space="0" w:color="auto"/>
        <w:right w:val="none" w:sz="0" w:space="0" w:color="auto"/>
      </w:divBdr>
    </w:div>
    <w:div w:id="570312406">
      <w:marLeft w:val="0"/>
      <w:marRight w:val="0"/>
      <w:marTop w:val="240"/>
      <w:marBottom w:val="0"/>
      <w:divBdr>
        <w:top w:val="none" w:sz="0" w:space="0" w:color="auto"/>
        <w:left w:val="none" w:sz="0" w:space="0" w:color="auto"/>
        <w:bottom w:val="none" w:sz="0" w:space="0" w:color="auto"/>
        <w:right w:val="none" w:sz="0" w:space="0" w:color="auto"/>
      </w:divBdr>
    </w:div>
    <w:div w:id="570894092">
      <w:marLeft w:val="0"/>
      <w:marRight w:val="0"/>
      <w:marTop w:val="240"/>
      <w:marBottom w:val="0"/>
      <w:divBdr>
        <w:top w:val="none" w:sz="0" w:space="0" w:color="auto"/>
        <w:left w:val="none" w:sz="0" w:space="0" w:color="auto"/>
        <w:bottom w:val="none" w:sz="0" w:space="0" w:color="auto"/>
        <w:right w:val="none" w:sz="0" w:space="0" w:color="auto"/>
      </w:divBdr>
    </w:div>
    <w:div w:id="574170968">
      <w:marLeft w:val="0"/>
      <w:marRight w:val="0"/>
      <w:marTop w:val="240"/>
      <w:marBottom w:val="0"/>
      <w:divBdr>
        <w:top w:val="none" w:sz="0" w:space="0" w:color="auto"/>
        <w:left w:val="none" w:sz="0" w:space="0" w:color="auto"/>
        <w:bottom w:val="none" w:sz="0" w:space="0" w:color="auto"/>
        <w:right w:val="none" w:sz="0" w:space="0" w:color="auto"/>
      </w:divBdr>
    </w:div>
    <w:div w:id="574824034">
      <w:marLeft w:val="0"/>
      <w:marRight w:val="0"/>
      <w:marTop w:val="240"/>
      <w:marBottom w:val="0"/>
      <w:divBdr>
        <w:top w:val="none" w:sz="0" w:space="0" w:color="auto"/>
        <w:left w:val="none" w:sz="0" w:space="0" w:color="auto"/>
        <w:bottom w:val="none" w:sz="0" w:space="0" w:color="auto"/>
        <w:right w:val="none" w:sz="0" w:space="0" w:color="auto"/>
      </w:divBdr>
    </w:div>
    <w:div w:id="575364810">
      <w:marLeft w:val="0"/>
      <w:marRight w:val="0"/>
      <w:marTop w:val="240"/>
      <w:marBottom w:val="240"/>
      <w:divBdr>
        <w:top w:val="none" w:sz="0" w:space="0" w:color="auto"/>
        <w:left w:val="none" w:sz="0" w:space="0" w:color="auto"/>
        <w:bottom w:val="none" w:sz="0" w:space="0" w:color="auto"/>
        <w:right w:val="none" w:sz="0" w:space="0" w:color="auto"/>
      </w:divBdr>
    </w:div>
    <w:div w:id="576207790">
      <w:marLeft w:val="0"/>
      <w:marRight w:val="0"/>
      <w:marTop w:val="240"/>
      <w:marBottom w:val="0"/>
      <w:divBdr>
        <w:top w:val="none" w:sz="0" w:space="0" w:color="auto"/>
        <w:left w:val="none" w:sz="0" w:space="0" w:color="auto"/>
        <w:bottom w:val="none" w:sz="0" w:space="0" w:color="auto"/>
        <w:right w:val="none" w:sz="0" w:space="0" w:color="auto"/>
      </w:divBdr>
    </w:div>
    <w:div w:id="576400870">
      <w:marLeft w:val="0"/>
      <w:marRight w:val="0"/>
      <w:marTop w:val="120"/>
      <w:marBottom w:val="0"/>
      <w:divBdr>
        <w:top w:val="none" w:sz="0" w:space="0" w:color="auto"/>
        <w:left w:val="none" w:sz="0" w:space="0" w:color="auto"/>
        <w:bottom w:val="none" w:sz="0" w:space="0" w:color="auto"/>
        <w:right w:val="none" w:sz="0" w:space="0" w:color="auto"/>
      </w:divBdr>
    </w:div>
    <w:div w:id="577254563">
      <w:marLeft w:val="0"/>
      <w:marRight w:val="0"/>
      <w:marTop w:val="240"/>
      <w:marBottom w:val="240"/>
      <w:divBdr>
        <w:top w:val="none" w:sz="0" w:space="0" w:color="auto"/>
        <w:left w:val="none" w:sz="0" w:space="0" w:color="auto"/>
        <w:bottom w:val="none" w:sz="0" w:space="0" w:color="auto"/>
        <w:right w:val="none" w:sz="0" w:space="0" w:color="auto"/>
      </w:divBdr>
    </w:div>
    <w:div w:id="577831259">
      <w:marLeft w:val="0"/>
      <w:marRight w:val="0"/>
      <w:marTop w:val="240"/>
      <w:marBottom w:val="240"/>
      <w:divBdr>
        <w:top w:val="none" w:sz="0" w:space="0" w:color="auto"/>
        <w:left w:val="none" w:sz="0" w:space="0" w:color="auto"/>
        <w:bottom w:val="none" w:sz="0" w:space="0" w:color="auto"/>
        <w:right w:val="none" w:sz="0" w:space="0" w:color="auto"/>
      </w:divBdr>
    </w:div>
    <w:div w:id="581067980">
      <w:marLeft w:val="0"/>
      <w:marRight w:val="0"/>
      <w:marTop w:val="240"/>
      <w:marBottom w:val="0"/>
      <w:divBdr>
        <w:top w:val="none" w:sz="0" w:space="0" w:color="auto"/>
        <w:left w:val="none" w:sz="0" w:space="0" w:color="auto"/>
        <w:bottom w:val="none" w:sz="0" w:space="0" w:color="auto"/>
        <w:right w:val="none" w:sz="0" w:space="0" w:color="auto"/>
      </w:divBdr>
    </w:div>
    <w:div w:id="582028234">
      <w:marLeft w:val="0"/>
      <w:marRight w:val="0"/>
      <w:marTop w:val="200"/>
      <w:marBottom w:val="0"/>
      <w:divBdr>
        <w:top w:val="none" w:sz="0" w:space="0" w:color="auto"/>
        <w:left w:val="none" w:sz="0" w:space="0" w:color="auto"/>
        <w:bottom w:val="none" w:sz="0" w:space="0" w:color="auto"/>
        <w:right w:val="none" w:sz="0" w:space="0" w:color="auto"/>
      </w:divBdr>
    </w:div>
    <w:div w:id="582303287">
      <w:marLeft w:val="0"/>
      <w:marRight w:val="0"/>
      <w:marTop w:val="140"/>
      <w:marBottom w:val="0"/>
      <w:divBdr>
        <w:top w:val="none" w:sz="0" w:space="0" w:color="auto"/>
        <w:left w:val="none" w:sz="0" w:space="0" w:color="auto"/>
        <w:bottom w:val="none" w:sz="0" w:space="0" w:color="auto"/>
        <w:right w:val="none" w:sz="0" w:space="0" w:color="auto"/>
      </w:divBdr>
    </w:div>
    <w:div w:id="584071106">
      <w:marLeft w:val="0"/>
      <w:marRight w:val="0"/>
      <w:marTop w:val="0"/>
      <w:marBottom w:val="120"/>
      <w:divBdr>
        <w:top w:val="none" w:sz="0" w:space="0" w:color="auto"/>
        <w:left w:val="none" w:sz="0" w:space="0" w:color="auto"/>
        <w:bottom w:val="none" w:sz="0" w:space="0" w:color="auto"/>
        <w:right w:val="none" w:sz="0" w:space="0" w:color="auto"/>
      </w:divBdr>
    </w:div>
    <w:div w:id="584074542">
      <w:marLeft w:val="0"/>
      <w:marRight w:val="0"/>
      <w:marTop w:val="0"/>
      <w:marBottom w:val="0"/>
      <w:divBdr>
        <w:top w:val="none" w:sz="0" w:space="0" w:color="auto"/>
        <w:left w:val="none" w:sz="0" w:space="0" w:color="auto"/>
        <w:bottom w:val="none" w:sz="0" w:space="0" w:color="auto"/>
        <w:right w:val="none" w:sz="0" w:space="0" w:color="auto"/>
      </w:divBdr>
      <w:divsChild>
        <w:div w:id="1749838646">
          <w:marLeft w:val="0"/>
          <w:marRight w:val="0"/>
          <w:marTop w:val="120"/>
          <w:marBottom w:val="0"/>
          <w:divBdr>
            <w:top w:val="none" w:sz="0" w:space="0" w:color="auto"/>
            <w:left w:val="none" w:sz="0" w:space="0" w:color="auto"/>
            <w:bottom w:val="none" w:sz="0" w:space="0" w:color="auto"/>
            <w:right w:val="none" w:sz="0" w:space="0" w:color="auto"/>
          </w:divBdr>
        </w:div>
      </w:divsChild>
    </w:div>
    <w:div w:id="585530658">
      <w:marLeft w:val="0"/>
      <w:marRight w:val="0"/>
      <w:marTop w:val="200"/>
      <w:marBottom w:val="0"/>
      <w:divBdr>
        <w:top w:val="none" w:sz="0" w:space="0" w:color="auto"/>
        <w:left w:val="none" w:sz="0" w:space="0" w:color="auto"/>
        <w:bottom w:val="none" w:sz="0" w:space="0" w:color="auto"/>
        <w:right w:val="none" w:sz="0" w:space="0" w:color="auto"/>
      </w:divBdr>
    </w:div>
    <w:div w:id="587544972">
      <w:marLeft w:val="0"/>
      <w:marRight w:val="0"/>
      <w:marTop w:val="240"/>
      <w:marBottom w:val="0"/>
      <w:divBdr>
        <w:top w:val="none" w:sz="0" w:space="0" w:color="auto"/>
        <w:left w:val="none" w:sz="0" w:space="0" w:color="auto"/>
        <w:bottom w:val="none" w:sz="0" w:space="0" w:color="auto"/>
        <w:right w:val="none" w:sz="0" w:space="0" w:color="auto"/>
      </w:divBdr>
    </w:div>
    <w:div w:id="587890345">
      <w:marLeft w:val="0"/>
      <w:marRight w:val="0"/>
      <w:marTop w:val="200"/>
      <w:marBottom w:val="0"/>
      <w:divBdr>
        <w:top w:val="none" w:sz="0" w:space="0" w:color="auto"/>
        <w:left w:val="none" w:sz="0" w:space="0" w:color="auto"/>
        <w:bottom w:val="none" w:sz="0" w:space="0" w:color="auto"/>
        <w:right w:val="none" w:sz="0" w:space="0" w:color="auto"/>
      </w:divBdr>
    </w:div>
    <w:div w:id="588543059">
      <w:marLeft w:val="0"/>
      <w:marRight w:val="0"/>
      <w:marTop w:val="240"/>
      <w:marBottom w:val="0"/>
      <w:divBdr>
        <w:top w:val="none" w:sz="0" w:space="0" w:color="auto"/>
        <w:left w:val="none" w:sz="0" w:space="0" w:color="auto"/>
        <w:bottom w:val="none" w:sz="0" w:space="0" w:color="auto"/>
        <w:right w:val="none" w:sz="0" w:space="0" w:color="auto"/>
      </w:divBdr>
    </w:div>
    <w:div w:id="590700501">
      <w:marLeft w:val="0"/>
      <w:marRight w:val="0"/>
      <w:marTop w:val="240"/>
      <w:marBottom w:val="0"/>
      <w:divBdr>
        <w:top w:val="none" w:sz="0" w:space="0" w:color="auto"/>
        <w:left w:val="none" w:sz="0" w:space="0" w:color="auto"/>
        <w:bottom w:val="none" w:sz="0" w:space="0" w:color="auto"/>
        <w:right w:val="none" w:sz="0" w:space="0" w:color="auto"/>
      </w:divBdr>
    </w:div>
    <w:div w:id="590939055">
      <w:marLeft w:val="0"/>
      <w:marRight w:val="0"/>
      <w:marTop w:val="200"/>
      <w:marBottom w:val="0"/>
      <w:divBdr>
        <w:top w:val="none" w:sz="0" w:space="0" w:color="auto"/>
        <w:left w:val="none" w:sz="0" w:space="0" w:color="auto"/>
        <w:bottom w:val="none" w:sz="0" w:space="0" w:color="auto"/>
        <w:right w:val="none" w:sz="0" w:space="0" w:color="auto"/>
      </w:divBdr>
    </w:div>
    <w:div w:id="591008632">
      <w:marLeft w:val="0"/>
      <w:marRight w:val="0"/>
      <w:marTop w:val="0"/>
      <w:marBottom w:val="0"/>
      <w:divBdr>
        <w:top w:val="none" w:sz="0" w:space="0" w:color="auto"/>
        <w:left w:val="none" w:sz="0" w:space="0" w:color="auto"/>
        <w:bottom w:val="none" w:sz="0" w:space="0" w:color="auto"/>
        <w:right w:val="none" w:sz="0" w:space="0" w:color="auto"/>
      </w:divBdr>
      <w:divsChild>
        <w:div w:id="830752514">
          <w:marLeft w:val="0"/>
          <w:marRight w:val="0"/>
          <w:marTop w:val="0"/>
          <w:marBottom w:val="0"/>
          <w:divBdr>
            <w:top w:val="none" w:sz="0" w:space="0" w:color="auto"/>
            <w:left w:val="none" w:sz="0" w:space="0" w:color="auto"/>
            <w:bottom w:val="none" w:sz="0" w:space="0" w:color="auto"/>
            <w:right w:val="none" w:sz="0" w:space="0" w:color="auto"/>
          </w:divBdr>
        </w:div>
      </w:divsChild>
    </w:div>
    <w:div w:id="591745576">
      <w:marLeft w:val="0"/>
      <w:marRight w:val="0"/>
      <w:marTop w:val="0"/>
      <w:marBottom w:val="0"/>
      <w:divBdr>
        <w:top w:val="none" w:sz="0" w:space="0" w:color="auto"/>
        <w:left w:val="none" w:sz="0" w:space="0" w:color="auto"/>
        <w:bottom w:val="none" w:sz="0" w:space="0" w:color="auto"/>
        <w:right w:val="none" w:sz="0" w:space="0" w:color="auto"/>
      </w:divBdr>
      <w:divsChild>
        <w:div w:id="819224680">
          <w:marLeft w:val="0"/>
          <w:marRight w:val="0"/>
          <w:marTop w:val="120"/>
          <w:marBottom w:val="0"/>
          <w:divBdr>
            <w:top w:val="none" w:sz="0" w:space="0" w:color="auto"/>
            <w:left w:val="none" w:sz="0" w:space="0" w:color="auto"/>
            <w:bottom w:val="none" w:sz="0" w:space="0" w:color="auto"/>
            <w:right w:val="none" w:sz="0" w:space="0" w:color="auto"/>
          </w:divBdr>
        </w:div>
      </w:divsChild>
    </w:div>
    <w:div w:id="592977862">
      <w:marLeft w:val="0"/>
      <w:marRight w:val="0"/>
      <w:marTop w:val="240"/>
      <w:marBottom w:val="240"/>
      <w:divBdr>
        <w:top w:val="none" w:sz="0" w:space="0" w:color="auto"/>
        <w:left w:val="none" w:sz="0" w:space="0" w:color="auto"/>
        <w:bottom w:val="none" w:sz="0" w:space="0" w:color="auto"/>
        <w:right w:val="none" w:sz="0" w:space="0" w:color="auto"/>
      </w:divBdr>
    </w:div>
    <w:div w:id="593057346">
      <w:marLeft w:val="0"/>
      <w:marRight w:val="0"/>
      <w:marTop w:val="240"/>
      <w:marBottom w:val="240"/>
      <w:divBdr>
        <w:top w:val="none" w:sz="0" w:space="0" w:color="auto"/>
        <w:left w:val="none" w:sz="0" w:space="0" w:color="auto"/>
        <w:bottom w:val="none" w:sz="0" w:space="0" w:color="auto"/>
        <w:right w:val="none" w:sz="0" w:space="0" w:color="auto"/>
      </w:divBdr>
    </w:div>
    <w:div w:id="595754218">
      <w:marLeft w:val="0"/>
      <w:marRight w:val="0"/>
      <w:marTop w:val="240"/>
      <w:marBottom w:val="0"/>
      <w:divBdr>
        <w:top w:val="none" w:sz="0" w:space="0" w:color="auto"/>
        <w:left w:val="none" w:sz="0" w:space="0" w:color="auto"/>
        <w:bottom w:val="none" w:sz="0" w:space="0" w:color="auto"/>
        <w:right w:val="none" w:sz="0" w:space="0" w:color="auto"/>
      </w:divBdr>
    </w:div>
    <w:div w:id="596524180">
      <w:marLeft w:val="0"/>
      <w:marRight w:val="0"/>
      <w:marTop w:val="0"/>
      <w:marBottom w:val="0"/>
      <w:divBdr>
        <w:top w:val="none" w:sz="0" w:space="0" w:color="auto"/>
        <w:left w:val="none" w:sz="0" w:space="0" w:color="auto"/>
        <w:bottom w:val="none" w:sz="0" w:space="0" w:color="auto"/>
        <w:right w:val="none" w:sz="0" w:space="0" w:color="auto"/>
      </w:divBdr>
    </w:div>
    <w:div w:id="596717237">
      <w:marLeft w:val="0"/>
      <w:marRight w:val="0"/>
      <w:marTop w:val="240"/>
      <w:marBottom w:val="240"/>
      <w:divBdr>
        <w:top w:val="none" w:sz="0" w:space="0" w:color="auto"/>
        <w:left w:val="none" w:sz="0" w:space="0" w:color="auto"/>
        <w:bottom w:val="none" w:sz="0" w:space="0" w:color="auto"/>
        <w:right w:val="none" w:sz="0" w:space="0" w:color="auto"/>
      </w:divBdr>
    </w:div>
    <w:div w:id="596988555">
      <w:marLeft w:val="0"/>
      <w:marRight w:val="0"/>
      <w:marTop w:val="240"/>
      <w:marBottom w:val="0"/>
      <w:divBdr>
        <w:top w:val="none" w:sz="0" w:space="0" w:color="auto"/>
        <w:left w:val="none" w:sz="0" w:space="0" w:color="auto"/>
        <w:bottom w:val="none" w:sz="0" w:space="0" w:color="auto"/>
        <w:right w:val="none" w:sz="0" w:space="0" w:color="auto"/>
      </w:divBdr>
    </w:div>
    <w:div w:id="597451201">
      <w:marLeft w:val="0"/>
      <w:marRight w:val="0"/>
      <w:marTop w:val="0"/>
      <w:marBottom w:val="120"/>
      <w:divBdr>
        <w:top w:val="none" w:sz="0" w:space="0" w:color="auto"/>
        <w:left w:val="none" w:sz="0" w:space="0" w:color="auto"/>
        <w:bottom w:val="none" w:sz="0" w:space="0" w:color="auto"/>
        <w:right w:val="none" w:sz="0" w:space="0" w:color="auto"/>
      </w:divBdr>
    </w:div>
    <w:div w:id="598176884">
      <w:marLeft w:val="0"/>
      <w:marRight w:val="0"/>
      <w:marTop w:val="240"/>
      <w:marBottom w:val="240"/>
      <w:divBdr>
        <w:top w:val="none" w:sz="0" w:space="0" w:color="auto"/>
        <w:left w:val="none" w:sz="0" w:space="0" w:color="auto"/>
        <w:bottom w:val="none" w:sz="0" w:space="0" w:color="auto"/>
        <w:right w:val="none" w:sz="0" w:space="0" w:color="auto"/>
      </w:divBdr>
    </w:div>
    <w:div w:id="598876922">
      <w:marLeft w:val="0"/>
      <w:marRight w:val="0"/>
      <w:marTop w:val="240"/>
      <w:marBottom w:val="0"/>
      <w:divBdr>
        <w:top w:val="none" w:sz="0" w:space="0" w:color="auto"/>
        <w:left w:val="none" w:sz="0" w:space="0" w:color="auto"/>
        <w:bottom w:val="none" w:sz="0" w:space="0" w:color="auto"/>
        <w:right w:val="none" w:sz="0" w:space="0" w:color="auto"/>
      </w:divBdr>
    </w:div>
    <w:div w:id="599607914">
      <w:marLeft w:val="0"/>
      <w:marRight w:val="0"/>
      <w:marTop w:val="0"/>
      <w:marBottom w:val="0"/>
      <w:divBdr>
        <w:top w:val="none" w:sz="0" w:space="0" w:color="auto"/>
        <w:left w:val="none" w:sz="0" w:space="0" w:color="auto"/>
        <w:bottom w:val="none" w:sz="0" w:space="0" w:color="auto"/>
        <w:right w:val="none" w:sz="0" w:space="0" w:color="auto"/>
      </w:divBdr>
      <w:divsChild>
        <w:div w:id="900866528">
          <w:marLeft w:val="0"/>
          <w:marRight w:val="0"/>
          <w:marTop w:val="0"/>
          <w:marBottom w:val="0"/>
          <w:divBdr>
            <w:top w:val="none" w:sz="0" w:space="0" w:color="auto"/>
            <w:left w:val="none" w:sz="0" w:space="0" w:color="auto"/>
            <w:bottom w:val="none" w:sz="0" w:space="0" w:color="auto"/>
            <w:right w:val="none" w:sz="0" w:space="0" w:color="auto"/>
          </w:divBdr>
          <w:divsChild>
            <w:div w:id="46420264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600534295">
      <w:marLeft w:val="0"/>
      <w:marRight w:val="0"/>
      <w:marTop w:val="240"/>
      <w:marBottom w:val="0"/>
      <w:divBdr>
        <w:top w:val="none" w:sz="0" w:space="0" w:color="auto"/>
        <w:left w:val="none" w:sz="0" w:space="0" w:color="auto"/>
        <w:bottom w:val="none" w:sz="0" w:space="0" w:color="auto"/>
        <w:right w:val="none" w:sz="0" w:space="0" w:color="auto"/>
      </w:divBdr>
    </w:div>
    <w:div w:id="600989943">
      <w:marLeft w:val="0"/>
      <w:marRight w:val="0"/>
      <w:marTop w:val="240"/>
      <w:marBottom w:val="0"/>
      <w:divBdr>
        <w:top w:val="none" w:sz="0" w:space="0" w:color="auto"/>
        <w:left w:val="none" w:sz="0" w:space="0" w:color="auto"/>
        <w:bottom w:val="none" w:sz="0" w:space="0" w:color="auto"/>
        <w:right w:val="none" w:sz="0" w:space="0" w:color="auto"/>
      </w:divBdr>
    </w:div>
    <w:div w:id="601063308">
      <w:marLeft w:val="0"/>
      <w:marRight w:val="0"/>
      <w:marTop w:val="240"/>
      <w:marBottom w:val="0"/>
      <w:divBdr>
        <w:top w:val="none" w:sz="0" w:space="0" w:color="auto"/>
        <w:left w:val="none" w:sz="0" w:space="0" w:color="auto"/>
        <w:bottom w:val="none" w:sz="0" w:space="0" w:color="auto"/>
        <w:right w:val="none" w:sz="0" w:space="0" w:color="auto"/>
      </w:divBdr>
    </w:div>
    <w:div w:id="601301954">
      <w:marLeft w:val="0"/>
      <w:marRight w:val="0"/>
      <w:marTop w:val="180"/>
      <w:marBottom w:val="0"/>
      <w:divBdr>
        <w:top w:val="none" w:sz="0" w:space="0" w:color="auto"/>
        <w:left w:val="none" w:sz="0" w:space="0" w:color="auto"/>
        <w:bottom w:val="none" w:sz="0" w:space="0" w:color="auto"/>
        <w:right w:val="none" w:sz="0" w:space="0" w:color="auto"/>
      </w:divBdr>
    </w:div>
    <w:div w:id="601379530">
      <w:marLeft w:val="0"/>
      <w:marRight w:val="0"/>
      <w:marTop w:val="240"/>
      <w:marBottom w:val="0"/>
      <w:divBdr>
        <w:top w:val="none" w:sz="0" w:space="0" w:color="auto"/>
        <w:left w:val="none" w:sz="0" w:space="0" w:color="auto"/>
        <w:bottom w:val="none" w:sz="0" w:space="0" w:color="auto"/>
        <w:right w:val="none" w:sz="0" w:space="0" w:color="auto"/>
      </w:divBdr>
    </w:div>
    <w:div w:id="603273618">
      <w:marLeft w:val="0"/>
      <w:marRight w:val="0"/>
      <w:marTop w:val="200"/>
      <w:marBottom w:val="0"/>
      <w:divBdr>
        <w:top w:val="none" w:sz="0" w:space="0" w:color="auto"/>
        <w:left w:val="none" w:sz="0" w:space="0" w:color="auto"/>
        <w:bottom w:val="none" w:sz="0" w:space="0" w:color="auto"/>
        <w:right w:val="none" w:sz="0" w:space="0" w:color="auto"/>
      </w:divBdr>
    </w:div>
    <w:div w:id="603615017">
      <w:marLeft w:val="0"/>
      <w:marRight w:val="0"/>
      <w:marTop w:val="100"/>
      <w:marBottom w:val="0"/>
      <w:divBdr>
        <w:top w:val="none" w:sz="0" w:space="0" w:color="auto"/>
        <w:left w:val="none" w:sz="0" w:space="0" w:color="auto"/>
        <w:bottom w:val="none" w:sz="0" w:space="0" w:color="auto"/>
        <w:right w:val="none" w:sz="0" w:space="0" w:color="auto"/>
      </w:divBdr>
    </w:div>
    <w:div w:id="605625008">
      <w:marLeft w:val="0"/>
      <w:marRight w:val="0"/>
      <w:marTop w:val="240"/>
      <w:marBottom w:val="0"/>
      <w:divBdr>
        <w:top w:val="none" w:sz="0" w:space="0" w:color="auto"/>
        <w:left w:val="none" w:sz="0" w:space="0" w:color="auto"/>
        <w:bottom w:val="none" w:sz="0" w:space="0" w:color="auto"/>
        <w:right w:val="none" w:sz="0" w:space="0" w:color="auto"/>
      </w:divBdr>
    </w:div>
    <w:div w:id="607929485">
      <w:marLeft w:val="0"/>
      <w:marRight w:val="0"/>
      <w:marTop w:val="100"/>
      <w:marBottom w:val="0"/>
      <w:divBdr>
        <w:top w:val="none" w:sz="0" w:space="0" w:color="auto"/>
        <w:left w:val="none" w:sz="0" w:space="0" w:color="auto"/>
        <w:bottom w:val="none" w:sz="0" w:space="0" w:color="auto"/>
        <w:right w:val="none" w:sz="0" w:space="0" w:color="auto"/>
      </w:divBdr>
      <w:divsChild>
        <w:div w:id="2101827708">
          <w:marLeft w:val="0"/>
          <w:marRight w:val="0"/>
          <w:marTop w:val="0"/>
          <w:marBottom w:val="0"/>
          <w:divBdr>
            <w:top w:val="none" w:sz="0" w:space="0" w:color="auto"/>
            <w:left w:val="none" w:sz="0" w:space="0" w:color="auto"/>
            <w:bottom w:val="none" w:sz="0" w:space="0" w:color="auto"/>
            <w:right w:val="none" w:sz="0" w:space="0" w:color="auto"/>
          </w:divBdr>
        </w:div>
        <w:div w:id="478115618">
          <w:marLeft w:val="0"/>
          <w:marRight w:val="0"/>
          <w:marTop w:val="0"/>
          <w:marBottom w:val="0"/>
          <w:divBdr>
            <w:top w:val="none" w:sz="0" w:space="0" w:color="auto"/>
            <w:left w:val="none" w:sz="0" w:space="0" w:color="auto"/>
            <w:bottom w:val="none" w:sz="0" w:space="0" w:color="auto"/>
            <w:right w:val="none" w:sz="0" w:space="0" w:color="auto"/>
          </w:divBdr>
        </w:div>
        <w:div w:id="40523419">
          <w:marLeft w:val="0"/>
          <w:marRight w:val="0"/>
          <w:marTop w:val="0"/>
          <w:marBottom w:val="0"/>
          <w:divBdr>
            <w:top w:val="none" w:sz="0" w:space="0" w:color="auto"/>
            <w:left w:val="none" w:sz="0" w:space="0" w:color="auto"/>
            <w:bottom w:val="none" w:sz="0" w:space="0" w:color="auto"/>
            <w:right w:val="none" w:sz="0" w:space="0" w:color="auto"/>
          </w:divBdr>
        </w:div>
      </w:divsChild>
    </w:div>
    <w:div w:id="610011605">
      <w:marLeft w:val="0"/>
      <w:marRight w:val="0"/>
      <w:marTop w:val="0"/>
      <w:marBottom w:val="0"/>
      <w:divBdr>
        <w:top w:val="none" w:sz="0" w:space="0" w:color="auto"/>
        <w:left w:val="none" w:sz="0" w:space="0" w:color="auto"/>
        <w:bottom w:val="none" w:sz="0" w:space="0" w:color="auto"/>
        <w:right w:val="none" w:sz="0" w:space="0" w:color="auto"/>
      </w:divBdr>
      <w:divsChild>
        <w:div w:id="455566707">
          <w:marLeft w:val="0"/>
          <w:marRight w:val="0"/>
          <w:marTop w:val="0"/>
          <w:marBottom w:val="0"/>
          <w:divBdr>
            <w:top w:val="none" w:sz="0" w:space="0" w:color="auto"/>
            <w:left w:val="none" w:sz="0" w:space="0" w:color="auto"/>
            <w:bottom w:val="none" w:sz="0" w:space="0" w:color="auto"/>
            <w:right w:val="none" w:sz="0" w:space="0" w:color="auto"/>
          </w:divBdr>
          <w:divsChild>
            <w:div w:id="57824836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611402387">
      <w:marLeft w:val="0"/>
      <w:marRight w:val="0"/>
      <w:marTop w:val="60"/>
      <w:marBottom w:val="100"/>
      <w:divBdr>
        <w:top w:val="none" w:sz="0" w:space="0" w:color="auto"/>
        <w:left w:val="none" w:sz="0" w:space="0" w:color="auto"/>
        <w:bottom w:val="none" w:sz="0" w:space="0" w:color="auto"/>
        <w:right w:val="none" w:sz="0" w:space="0" w:color="auto"/>
      </w:divBdr>
    </w:div>
    <w:div w:id="612438101">
      <w:marLeft w:val="0"/>
      <w:marRight w:val="0"/>
      <w:marTop w:val="240"/>
      <w:marBottom w:val="0"/>
      <w:divBdr>
        <w:top w:val="none" w:sz="0" w:space="0" w:color="auto"/>
        <w:left w:val="none" w:sz="0" w:space="0" w:color="auto"/>
        <w:bottom w:val="none" w:sz="0" w:space="0" w:color="auto"/>
        <w:right w:val="none" w:sz="0" w:space="0" w:color="auto"/>
      </w:divBdr>
    </w:div>
    <w:div w:id="613368732">
      <w:marLeft w:val="0"/>
      <w:marRight w:val="0"/>
      <w:marTop w:val="240"/>
      <w:marBottom w:val="0"/>
      <w:divBdr>
        <w:top w:val="none" w:sz="0" w:space="0" w:color="auto"/>
        <w:left w:val="none" w:sz="0" w:space="0" w:color="auto"/>
        <w:bottom w:val="none" w:sz="0" w:space="0" w:color="auto"/>
        <w:right w:val="none" w:sz="0" w:space="0" w:color="auto"/>
      </w:divBdr>
    </w:div>
    <w:div w:id="614605476">
      <w:marLeft w:val="0"/>
      <w:marRight w:val="0"/>
      <w:marTop w:val="200"/>
      <w:marBottom w:val="0"/>
      <w:divBdr>
        <w:top w:val="none" w:sz="0" w:space="0" w:color="auto"/>
        <w:left w:val="none" w:sz="0" w:space="0" w:color="auto"/>
        <w:bottom w:val="none" w:sz="0" w:space="0" w:color="auto"/>
        <w:right w:val="none" w:sz="0" w:space="0" w:color="auto"/>
      </w:divBdr>
    </w:div>
    <w:div w:id="619380888">
      <w:marLeft w:val="0"/>
      <w:marRight w:val="0"/>
      <w:marTop w:val="0"/>
      <w:marBottom w:val="0"/>
      <w:divBdr>
        <w:top w:val="none" w:sz="0" w:space="0" w:color="auto"/>
        <w:left w:val="none" w:sz="0" w:space="0" w:color="auto"/>
        <w:bottom w:val="none" w:sz="0" w:space="0" w:color="auto"/>
        <w:right w:val="none" w:sz="0" w:space="0" w:color="auto"/>
      </w:divBdr>
      <w:divsChild>
        <w:div w:id="751849555">
          <w:marLeft w:val="0"/>
          <w:marRight w:val="0"/>
          <w:marTop w:val="120"/>
          <w:marBottom w:val="0"/>
          <w:divBdr>
            <w:top w:val="none" w:sz="0" w:space="0" w:color="auto"/>
            <w:left w:val="none" w:sz="0" w:space="0" w:color="auto"/>
            <w:bottom w:val="none" w:sz="0" w:space="0" w:color="auto"/>
            <w:right w:val="none" w:sz="0" w:space="0" w:color="auto"/>
          </w:divBdr>
        </w:div>
      </w:divsChild>
    </w:div>
    <w:div w:id="620576894">
      <w:marLeft w:val="0"/>
      <w:marRight w:val="0"/>
      <w:marTop w:val="0"/>
      <w:marBottom w:val="0"/>
      <w:divBdr>
        <w:top w:val="none" w:sz="0" w:space="0" w:color="auto"/>
        <w:left w:val="none" w:sz="0" w:space="0" w:color="auto"/>
        <w:bottom w:val="none" w:sz="0" w:space="0" w:color="auto"/>
        <w:right w:val="none" w:sz="0" w:space="0" w:color="auto"/>
      </w:divBdr>
    </w:div>
    <w:div w:id="621888360">
      <w:marLeft w:val="0"/>
      <w:marRight w:val="0"/>
      <w:marTop w:val="240"/>
      <w:marBottom w:val="0"/>
      <w:divBdr>
        <w:top w:val="none" w:sz="0" w:space="0" w:color="auto"/>
        <w:left w:val="none" w:sz="0" w:space="0" w:color="auto"/>
        <w:bottom w:val="none" w:sz="0" w:space="0" w:color="auto"/>
        <w:right w:val="none" w:sz="0" w:space="0" w:color="auto"/>
      </w:divBdr>
    </w:div>
    <w:div w:id="623344921">
      <w:marLeft w:val="0"/>
      <w:marRight w:val="0"/>
      <w:marTop w:val="160"/>
      <w:marBottom w:val="0"/>
      <w:divBdr>
        <w:top w:val="none" w:sz="0" w:space="0" w:color="auto"/>
        <w:left w:val="none" w:sz="0" w:space="0" w:color="auto"/>
        <w:bottom w:val="none" w:sz="0" w:space="0" w:color="auto"/>
        <w:right w:val="none" w:sz="0" w:space="0" w:color="auto"/>
      </w:divBdr>
    </w:div>
    <w:div w:id="623461046">
      <w:marLeft w:val="0"/>
      <w:marRight w:val="0"/>
      <w:marTop w:val="0"/>
      <w:marBottom w:val="0"/>
      <w:divBdr>
        <w:top w:val="none" w:sz="0" w:space="0" w:color="auto"/>
        <w:left w:val="none" w:sz="0" w:space="0" w:color="auto"/>
        <w:bottom w:val="none" w:sz="0" w:space="0" w:color="auto"/>
        <w:right w:val="none" w:sz="0" w:space="0" w:color="auto"/>
      </w:divBdr>
      <w:divsChild>
        <w:div w:id="1574004484">
          <w:marLeft w:val="0"/>
          <w:marRight w:val="0"/>
          <w:marTop w:val="0"/>
          <w:marBottom w:val="0"/>
          <w:divBdr>
            <w:top w:val="none" w:sz="0" w:space="0" w:color="auto"/>
            <w:left w:val="none" w:sz="0" w:space="0" w:color="auto"/>
            <w:bottom w:val="none" w:sz="0" w:space="0" w:color="auto"/>
            <w:right w:val="none" w:sz="0" w:space="0" w:color="auto"/>
          </w:divBdr>
          <w:divsChild>
            <w:div w:id="48451295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624964673">
      <w:marLeft w:val="0"/>
      <w:marRight w:val="0"/>
      <w:marTop w:val="0"/>
      <w:marBottom w:val="0"/>
      <w:divBdr>
        <w:top w:val="none" w:sz="0" w:space="0" w:color="auto"/>
        <w:left w:val="none" w:sz="0" w:space="0" w:color="auto"/>
        <w:bottom w:val="none" w:sz="0" w:space="0" w:color="auto"/>
        <w:right w:val="none" w:sz="0" w:space="0" w:color="auto"/>
      </w:divBdr>
      <w:divsChild>
        <w:div w:id="1722830257">
          <w:marLeft w:val="0"/>
          <w:marRight w:val="0"/>
          <w:marTop w:val="0"/>
          <w:marBottom w:val="0"/>
          <w:divBdr>
            <w:top w:val="none" w:sz="0" w:space="0" w:color="auto"/>
            <w:left w:val="none" w:sz="0" w:space="0" w:color="auto"/>
            <w:bottom w:val="none" w:sz="0" w:space="0" w:color="auto"/>
            <w:right w:val="none" w:sz="0" w:space="0" w:color="auto"/>
          </w:divBdr>
          <w:divsChild>
            <w:div w:id="204224429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626744263">
      <w:marLeft w:val="0"/>
      <w:marRight w:val="0"/>
      <w:marTop w:val="240"/>
      <w:marBottom w:val="0"/>
      <w:divBdr>
        <w:top w:val="none" w:sz="0" w:space="0" w:color="auto"/>
        <w:left w:val="none" w:sz="0" w:space="0" w:color="auto"/>
        <w:bottom w:val="none" w:sz="0" w:space="0" w:color="auto"/>
        <w:right w:val="none" w:sz="0" w:space="0" w:color="auto"/>
      </w:divBdr>
    </w:div>
    <w:div w:id="626818842">
      <w:marLeft w:val="0"/>
      <w:marRight w:val="0"/>
      <w:marTop w:val="0"/>
      <w:marBottom w:val="0"/>
      <w:divBdr>
        <w:top w:val="none" w:sz="0" w:space="0" w:color="auto"/>
        <w:left w:val="none" w:sz="0" w:space="0" w:color="auto"/>
        <w:bottom w:val="none" w:sz="0" w:space="0" w:color="auto"/>
        <w:right w:val="none" w:sz="0" w:space="0" w:color="auto"/>
      </w:divBdr>
      <w:divsChild>
        <w:div w:id="801269047">
          <w:marLeft w:val="0"/>
          <w:marRight w:val="0"/>
          <w:marTop w:val="0"/>
          <w:marBottom w:val="0"/>
          <w:divBdr>
            <w:top w:val="none" w:sz="0" w:space="0" w:color="auto"/>
            <w:left w:val="none" w:sz="0" w:space="0" w:color="auto"/>
            <w:bottom w:val="none" w:sz="0" w:space="0" w:color="auto"/>
            <w:right w:val="none" w:sz="0" w:space="0" w:color="auto"/>
          </w:divBdr>
          <w:divsChild>
            <w:div w:id="39986259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627397623">
      <w:marLeft w:val="0"/>
      <w:marRight w:val="0"/>
      <w:marTop w:val="180"/>
      <w:marBottom w:val="0"/>
      <w:divBdr>
        <w:top w:val="none" w:sz="0" w:space="0" w:color="auto"/>
        <w:left w:val="none" w:sz="0" w:space="0" w:color="auto"/>
        <w:bottom w:val="none" w:sz="0" w:space="0" w:color="auto"/>
        <w:right w:val="none" w:sz="0" w:space="0" w:color="auto"/>
      </w:divBdr>
    </w:div>
    <w:div w:id="627932876">
      <w:marLeft w:val="0"/>
      <w:marRight w:val="0"/>
      <w:marTop w:val="160"/>
      <w:marBottom w:val="0"/>
      <w:divBdr>
        <w:top w:val="none" w:sz="0" w:space="0" w:color="auto"/>
        <w:left w:val="none" w:sz="0" w:space="0" w:color="auto"/>
        <w:bottom w:val="none" w:sz="0" w:space="0" w:color="auto"/>
        <w:right w:val="none" w:sz="0" w:space="0" w:color="auto"/>
      </w:divBdr>
      <w:divsChild>
        <w:div w:id="822282057">
          <w:marLeft w:val="0"/>
          <w:marRight w:val="0"/>
          <w:marTop w:val="0"/>
          <w:marBottom w:val="0"/>
          <w:divBdr>
            <w:top w:val="none" w:sz="0" w:space="0" w:color="auto"/>
            <w:left w:val="none" w:sz="0" w:space="0" w:color="auto"/>
            <w:bottom w:val="none" w:sz="0" w:space="0" w:color="auto"/>
            <w:right w:val="none" w:sz="0" w:space="0" w:color="auto"/>
          </w:divBdr>
        </w:div>
        <w:div w:id="2090156178">
          <w:marLeft w:val="0"/>
          <w:marRight w:val="0"/>
          <w:marTop w:val="0"/>
          <w:marBottom w:val="0"/>
          <w:divBdr>
            <w:top w:val="none" w:sz="0" w:space="0" w:color="auto"/>
            <w:left w:val="none" w:sz="0" w:space="0" w:color="auto"/>
            <w:bottom w:val="none" w:sz="0" w:space="0" w:color="auto"/>
            <w:right w:val="none" w:sz="0" w:space="0" w:color="auto"/>
          </w:divBdr>
        </w:div>
        <w:div w:id="791095137">
          <w:marLeft w:val="0"/>
          <w:marRight w:val="0"/>
          <w:marTop w:val="0"/>
          <w:marBottom w:val="0"/>
          <w:divBdr>
            <w:top w:val="none" w:sz="0" w:space="0" w:color="auto"/>
            <w:left w:val="none" w:sz="0" w:space="0" w:color="auto"/>
            <w:bottom w:val="none" w:sz="0" w:space="0" w:color="auto"/>
            <w:right w:val="none" w:sz="0" w:space="0" w:color="auto"/>
          </w:divBdr>
        </w:div>
        <w:div w:id="923149985">
          <w:marLeft w:val="0"/>
          <w:marRight w:val="0"/>
          <w:marTop w:val="0"/>
          <w:marBottom w:val="0"/>
          <w:divBdr>
            <w:top w:val="none" w:sz="0" w:space="0" w:color="auto"/>
            <w:left w:val="none" w:sz="0" w:space="0" w:color="auto"/>
            <w:bottom w:val="none" w:sz="0" w:space="0" w:color="auto"/>
            <w:right w:val="none" w:sz="0" w:space="0" w:color="auto"/>
          </w:divBdr>
        </w:div>
      </w:divsChild>
    </w:div>
    <w:div w:id="629476614">
      <w:marLeft w:val="0"/>
      <w:marRight w:val="0"/>
      <w:marTop w:val="240"/>
      <w:marBottom w:val="240"/>
      <w:divBdr>
        <w:top w:val="none" w:sz="0" w:space="0" w:color="auto"/>
        <w:left w:val="none" w:sz="0" w:space="0" w:color="auto"/>
        <w:bottom w:val="none" w:sz="0" w:space="0" w:color="auto"/>
        <w:right w:val="none" w:sz="0" w:space="0" w:color="auto"/>
      </w:divBdr>
    </w:div>
    <w:div w:id="631446635">
      <w:marLeft w:val="0"/>
      <w:marRight w:val="0"/>
      <w:marTop w:val="240"/>
      <w:marBottom w:val="0"/>
      <w:divBdr>
        <w:top w:val="none" w:sz="0" w:space="0" w:color="auto"/>
        <w:left w:val="none" w:sz="0" w:space="0" w:color="auto"/>
        <w:bottom w:val="none" w:sz="0" w:space="0" w:color="auto"/>
        <w:right w:val="none" w:sz="0" w:space="0" w:color="auto"/>
      </w:divBdr>
    </w:div>
    <w:div w:id="631907763">
      <w:marLeft w:val="0"/>
      <w:marRight w:val="0"/>
      <w:marTop w:val="0"/>
      <w:marBottom w:val="0"/>
      <w:divBdr>
        <w:top w:val="none" w:sz="0" w:space="0" w:color="auto"/>
        <w:left w:val="none" w:sz="0" w:space="0" w:color="auto"/>
        <w:bottom w:val="none" w:sz="0" w:space="0" w:color="auto"/>
        <w:right w:val="none" w:sz="0" w:space="0" w:color="auto"/>
      </w:divBdr>
      <w:divsChild>
        <w:div w:id="1398437120">
          <w:marLeft w:val="0"/>
          <w:marRight w:val="0"/>
          <w:marTop w:val="120"/>
          <w:marBottom w:val="0"/>
          <w:divBdr>
            <w:top w:val="none" w:sz="0" w:space="0" w:color="auto"/>
            <w:left w:val="none" w:sz="0" w:space="0" w:color="auto"/>
            <w:bottom w:val="none" w:sz="0" w:space="0" w:color="auto"/>
            <w:right w:val="none" w:sz="0" w:space="0" w:color="auto"/>
          </w:divBdr>
        </w:div>
      </w:divsChild>
    </w:div>
    <w:div w:id="632061819">
      <w:marLeft w:val="0"/>
      <w:marRight w:val="0"/>
      <w:marTop w:val="180"/>
      <w:marBottom w:val="0"/>
      <w:divBdr>
        <w:top w:val="none" w:sz="0" w:space="0" w:color="auto"/>
        <w:left w:val="none" w:sz="0" w:space="0" w:color="auto"/>
        <w:bottom w:val="none" w:sz="0" w:space="0" w:color="auto"/>
        <w:right w:val="none" w:sz="0" w:space="0" w:color="auto"/>
      </w:divBdr>
    </w:div>
    <w:div w:id="632902032">
      <w:marLeft w:val="0"/>
      <w:marRight w:val="0"/>
      <w:marTop w:val="240"/>
      <w:marBottom w:val="0"/>
      <w:divBdr>
        <w:top w:val="none" w:sz="0" w:space="0" w:color="auto"/>
        <w:left w:val="none" w:sz="0" w:space="0" w:color="auto"/>
        <w:bottom w:val="none" w:sz="0" w:space="0" w:color="auto"/>
        <w:right w:val="none" w:sz="0" w:space="0" w:color="auto"/>
      </w:divBdr>
    </w:div>
    <w:div w:id="634456037">
      <w:marLeft w:val="0"/>
      <w:marRight w:val="0"/>
      <w:marTop w:val="240"/>
      <w:marBottom w:val="240"/>
      <w:divBdr>
        <w:top w:val="none" w:sz="0" w:space="0" w:color="auto"/>
        <w:left w:val="none" w:sz="0" w:space="0" w:color="auto"/>
        <w:bottom w:val="none" w:sz="0" w:space="0" w:color="auto"/>
        <w:right w:val="none" w:sz="0" w:space="0" w:color="auto"/>
      </w:divBdr>
    </w:div>
    <w:div w:id="635840003">
      <w:marLeft w:val="0"/>
      <w:marRight w:val="0"/>
      <w:marTop w:val="240"/>
      <w:marBottom w:val="0"/>
      <w:divBdr>
        <w:top w:val="none" w:sz="0" w:space="0" w:color="auto"/>
        <w:left w:val="none" w:sz="0" w:space="0" w:color="auto"/>
        <w:bottom w:val="none" w:sz="0" w:space="0" w:color="auto"/>
        <w:right w:val="none" w:sz="0" w:space="0" w:color="auto"/>
      </w:divBdr>
    </w:div>
    <w:div w:id="637340295">
      <w:marLeft w:val="0"/>
      <w:marRight w:val="0"/>
      <w:marTop w:val="240"/>
      <w:marBottom w:val="0"/>
      <w:divBdr>
        <w:top w:val="none" w:sz="0" w:space="0" w:color="auto"/>
        <w:left w:val="none" w:sz="0" w:space="0" w:color="auto"/>
        <w:bottom w:val="none" w:sz="0" w:space="0" w:color="auto"/>
        <w:right w:val="none" w:sz="0" w:space="0" w:color="auto"/>
      </w:divBdr>
    </w:div>
    <w:div w:id="638262364">
      <w:marLeft w:val="0"/>
      <w:marRight w:val="0"/>
      <w:marTop w:val="0"/>
      <w:marBottom w:val="0"/>
      <w:divBdr>
        <w:top w:val="none" w:sz="0" w:space="0" w:color="auto"/>
        <w:left w:val="none" w:sz="0" w:space="0" w:color="auto"/>
        <w:bottom w:val="none" w:sz="0" w:space="0" w:color="auto"/>
        <w:right w:val="none" w:sz="0" w:space="0" w:color="auto"/>
      </w:divBdr>
      <w:divsChild>
        <w:div w:id="241917416">
          <w:marLeft w:val="0"/>
          <w:marRight w:val="0"/>
          <w:marTop w:val="120"/>
          <w:marBottom w:val="0"/>
          <w:divBdr>
            <w:top w:val="none" w:sz="0" w:space="0" w:color="auto"/>
            <w:left w:val="none" w:sz="0" w:space="0" w:color="auto"/>
            <w:bottom w:val="none" w:sz="0" w:space="0" w:color="auto"/>
            <w:right w:val="none" w:sz="0" w:space="0" w:color="auto"/>
          </w:divBdr>
        </w:div>
      </w:divsChild>
    </w:div>
    <w:div w:id="639843586">
      <w:marLeft w:val="0"/>
      <w:marRight w:val="0"/>
      <w:marTop w:val="180"/>
      <w:marBottom w:val="0"/>
      <w:divBdr>
        <w:top w:val="none" w:sz="0" w:space="0" w:color="auto"/>
        <w:left w:val="none" w:sz="0" w:space="0" w:color="auto"/>
        <w:bottom w:val="none" w:sz="0" w:space="0" w:color="auto"/>
        <w:right w:val="none" w:sz="0" w:space="0" w:color="auto"/>
      </w:divBdr>
    </w:div>
    <w:div w:id="639923633">
      <w:marLeft w:val="0"/>
      <w:marRight w:val="0"/>
      <w:marTop w:val="180"/>
      <w:marBottom w:val="0"/>
      <w:divBdr>
        <w:top w:val="none" w:sz="0" w:space="0" w:color="auto"/>
        <w:left w:val="none" w:sz="0" w:space="0" w:color="auto"/>
        <w:bottom w:val="none" w:sz="0" w:space="0" w:color="auto"/>
        <w:right w:val="none" w:sz="0" w:space="0" w:color="auto"/>
      </w:divBdr>
    </w:div>
    <w:div w:id="644043527">
      <w:marLeft w:val="0"/>
      <w:marRight w:val="0"/>
      <w:marTop w:val="240"/>
      <w:marBottom w:val="0"/>
      <w:divBdr>
        <w:top w:val="none" w:sz="0" w:space="0" w:color="auto"/>
        <w:left w:val="none" w:sz="0" w:space="0" w:color="auto"/>
        <w:bottom w:val="none" w:sz="0" w:space="0" w:color="auto"/>
        <w:right w:val="none" w:sz="0" w:space="0" w:color="auto"/>
      </w:divBdr>
    </w:div>
    <w:div w:id="647052440">
      <w:marLeft w:val="0"/>
      <w:marRight w:val="0"/>
      <w:marTop w:val="0"/>
      <w:marBottom w:val="0"/>
      <w:divBdr>
        <w:top w:val="none" w:sz="0" w:space="0" w:color="auto"/>
        <w:left w:val="none" w:sz="0" w:space="0" w:color="auto"/>
        <w:bottom w:val="none" w:sz="0" w:space="0" w:color="auto"/>
        <w:right w:val="none" w:sz="0" w:space="0" w:color="auto"/>
      </w:divBdr>
      <w:divsChild>
        <w:div w:id="1000742408">
          <w:marLeft w:val="0"/>
          <w:marRight w:val="0"/>
          <w:marTop w:val="0"/>
          <w:marBottom w:val="0"/>
          <w:divBdr>
            <w:top w:val="none" w:sz="0" w:space="0" w:color="auto"/>
            <w:left w:val="none" w:sz="0" w:space="0" w:color="auto"/>
            <w:bottom w:val="none" w:sz="0" w:space="0" w:color="auto"/>
            <w:right w:val="none" w:sz="0" w:space="0" w:color="auto"/>
          </w:divBdr>
          <w:divsChild>
            <w:div w:id="90198304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647249547">
      <w:marLeft w:val="0"/>
      <w:marRight w:val="0"/>
      <w:marTop w:val="0"/>
      <w:marBottom w:val="0"/>
      <w:divBdr>
        <w:top w:val="none" w:sz="0" w:space="0" w:color="auto"/>
        <w:left w:val="none" w:sz="0" w:space="0" w:color="auto"/>
        <w:bottom w:val="none" w:sz="0" w:space="0" w:color="auto"/>
        <w:right w:val="none" w:sz="0" w:space="0" w:color="auto"/>
      </w:divBdr>
      <w:divsChild>
        <w:div w:id="884365993">
          <w:marLeft w:val="0"/>
          <w:marRight w:val="0"/>
          <w:marTop w:val="120"/>
          <w:marBottom w:val="0"/>
          <w:divBdr>
            <w:top w:val="none" w:sz="0" w:space="0" w:color="auto"/>
            <w:left w:val="none" w:sz="0" w:space="0" w:color="auto"/>
            <w:bottom w:val="none" w:sz="0" w:space="0" w:color="auto"/>
            <w:right w:val="none" w:sz="0" w:space="0" w:color="auto"/>
          </w:divBdr>
        </w:div>
      </w:divsChild>
    </w:div>
    <w:div w:id="647591568">
      <w:marLeft w:val="0"/>
      <w:marRight w:val="0"/>
      <w:marTop w:val="200"/>
      <w:marBottom w:val="0"/>
      <w:divBdr>
        <w:top w:val="none" w:sz="0" w:space="0" w:color="auto"/>
        <w:left w:val="none" w:sz="0" w:space="0" w:color="auto"/>
        <w:bottom w:val="none" w:sz="0" w:space="0" w:color="auto"/>
        <w:right w:val="none" w:sz="0" w:space="0" w:color="auto"/>
      </w:divBdr>
    </w:div>
    <w:div w:id="648097655">
      <w:marLeft w:val="0"/>
      <w:marRight w:val="0"/>
      <w:marTop w:val="120"/>
      <w:marBottom w:val="0"/>
      <w:divBdr>
        <w:top w:val="none" w:sz="0" w:space="0" w:color="auto"/>
        <w:left w:val="none" w:sz="0" w:space="0" w:color="auto"/>
        <w:bottom w:val="none" w:sz="0" w:space="0" w:color="auto"/>
        <w:right w:val="none" w:sz="0" w:space="0" w:color="auto"/>
      </w:divBdr>
    </w:div>
    <w:div w:id="653876337">
      <w:marLeft w:val="0"/>
      <w:marRight w:val="0"/>
      <w:marTop w:val="0"/>
      <w:marBottom w:val="0"/>
      <w:divBdr>
        <w:top w:val="none" w:sz="0" w:space="0" w:color="auto"/>
        <w:left w:val="none" w:sz="0" w:space="0" w:color="auto"/>
        <w:bottom w:val="none" w:sz="0" w:space="0" w:color="auto"/>
        <w:right w:val="none" w:sz="0" w:space="0" w:color="auto"/>
      </w:divBdr>
    </w:div>
    <w:div w:id="656760693">
      <w:marLeft w:val="0"/>
      <w:marRight w:val="0"/>
      <w:marTop w:val="240"/>
      <w:marBottom w:val="0"/>
      <w:divBdr>
        <w:top w:val="none" w:sz="0" w:space="0" w:color="auto"/>
        <w:left w:val="none" w:sz="0" w:space="0" w:color="auto"/>
        <w:bottom w:val="none" w:sz="0" w:space="0" w:color="auto"/>
        <w:right w:val="none" w:sz="0" w:space="0" w:color="auto"/>
      </w:divBdr>
    </w:div>
    <w:div w:id="659431840">
      <w:marLeft w:val="0"/>
      <w:marRight w:val="0"/>
      <w:marTop w:val="180"/>
      <w:marBottom w:val="0"/>
      <w:divBdr>
        <w:top w:val="none" w:sz="0" w:space="0" w:color="auto"/>
        <w:left w:val="none" w:sz="0" w:space="0" w:color="auto"/>
        <w:bottom w:val="none" w:sz="0" w:space="0" w:color="auto"/>
        <w:right w:val="none" w:sz="0" w:space="0" w:color="auto"/>
      </w:divBdr>
    </w:div>
    <w:div w:id="659698962">
      <w:marLeft w:val="0"/>
      <w:marRight w:val="0"/>
      <w:marTop w:val="300"/>
      <w:marBottom w:val="0"/>
      <w:divBdr>
        <w:top w:val="none" w:sz="0" w:space="0" w:color="auto"/>
        <w:left w:val="none" w:sz="0" w:space="0" w:color="auto"/>
        <w:bottom w:val="none" w:sz="0" w:space="0" w:color="auto"/>
        <w:right w:val="none" w:sz="0" w:space="0" w:color="auto"/>
      </w:divBdr>
    </w:div>
    <w:div w:id="661084427">
      <w:marLeft w:val="0"/>
      <w:marRight w:val="0"/>
      <w:marTop w:val="60"/>
      <w:marBottom w:val="0"/>
      <w:divBdr>
        <w:top w:val="none" w:sz="0" w:space="0" w:color="auto"/>
        <w:left w:val="none" w:sz="0" w:space="0" w:color="auto"/>
        <w:bottom w:val="none" w:sz="0" w:space="0" w:color="auto"/>
        <w:right w:val="none" w:sz="0" w:space="0" w:color="auto"/>
      </w:divBdr>
    </w:div>
    <w:div w:id="661196367">
      <w:marLeft w:val="0"/>
      <w:marRight w:val="0"/>
      <w:marTop w:val="240"/>
      <w:marBottom w:val="0"/>
      <w:divBdr>
        <w:top w:val="none" w:sz="0" w:space="0" w:color="auto"/>
        <w:left w:val="none" w:sz="0" w:space="0" w:color="auto"/>
        <w:bottom w:val="none" w:sz="0" w:space="0" w:color="auto"/>
        <w:right w:val="none" w:sz="0" w:space="0" w:color="auto"/>
      </w:divBdr>
    </w:div>
    <w:div w:id="661933408">
      <w:marLeft w:val="0"/>
      <w:marRight w:val="0"/>
      <w:marTop w:val="300"/>
      <w:marBottom w:val="0"/>
      <w:divBdr>
        <w:top w:val="none" w:sz="0" w:space="0" w:color="auto"/>
        <w:left w:val="none" w:sz="0" w:space="0" w:color="auto"/>
        <w:bottom w:val="none" w:sz="0" w:space="0" w:color="auto"/>
        <w:right w:val="none" w:sz="0" w:space="0" w:color="auto"/>
      </w:divBdr>
    </w:div>
    <w:div w:id="662051122">
      <w:marLeft w:val="0"/>
      <w:marRight w:val="0"/>
      <w:marTop w:val="0"/>
      <w:marBottom w:val="0"/>
      <w:divBdr>
        <w:top w:val="none" w:sz="0" w:space="0" w:color="auto"/>
        <w:left w:val="none" w:sz="0" w:space="0" w:color="auto"/>
        <w:bottom w:val="none" w:sz="0" w:space="0" w:color="auto"/>
        <w:right w:val="none" w:sz="0" w:space="0" w:color="auto"/>
      </w:divBdr>
      <w:divsChild>
        <w:div w:id="1311180454">
          <w:marLeft w:val="0"/>
          <w:marRight w:val="0"/>
          <w:marTop w:val="0"/>
          <w:marBottom w:val="0"/>
          <w:divBdr>
            <w:top w:val="none" w:sz="0" w:space="0" w:color="auto"/>
            <w:left w:val="none" w:sz="0" w:space="0" w:color="auto"/>
            <w:bottom w:val="none" w:sz="0" w:space="0" w:color="auto"/>
            <w:right w:val="none" w:sz="0" w:space="0" w:color="auto"/>
          </w:divBdr>
          <w:divsChild>
            <w:div w:id="54834779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662587785">
      <w:marLeft w:val="0"/>
      <w:marRight w:val="0"/>
      <w:marTop w:val="300"/>
      <w:marBottom w:val="0"/>
      <w:divBdr>
        <w:top w:val="none" w:sz="0" w:space="0" w:color="auto"/>
        <w:left w:val="none" w:sz="0" w:space="0" w:color="auto"/>
        <w:bottom w:val="none" w:sz="0" w:space="0" w:color="auto"/>
        <w:right w:val="none" w:sz="0" w:space="0" w:color="auto"/>
      </w:divBdr>
    </w:div>
    <w:div w:id="664434521">
      <w:marLeft w:val="0"/>
      <w:marRight w:val="0"/>
      <w:marTop w:val="240"/>
      <w:marBottom w:val="0"/>
      <w:divBdr>
        <w:top w:val="none" w:sz="0" w:space="0" w:color="auto"/>
        <w:left w:val="none" w:sz="0" w:space="0" w:color="auto"/>
        <w:bottom w:val="none" w:sz="0" w:space="0" w:color="auto"/>
        <w:right w:val="none" w:sz="0" w:space="0" w:color="auto"/>
      </w:divBdr>
    </w:div>
    <w:div w:id="665061906">
      <w:marLeft w:val="0"/>
      <w:marRight w:val="0"/>
      <w:marTop w:val="0"/>
      <w:marBottom w:val="0"/>
      <w:divBdr>
        <w:top w:val="none" w:sz="0" w:space="0" w:color="auto"/>
        <w:left w:val="none" w:sz="0" w:space="0" w:color="auto"/>
        <w:bottom w:val="none" w:sz="0" w:space="0" w:color="auto"/>
        <w:right w:val="none" w:sz="0" w:space="0" w:color="auto"/>
      </w:divBdr>
      <w:divsChild>
        <w:div w:id="738480999">
          <w:marLeft w:val="0"/>
          <w:marRight w:val="0"/>
          <w:marTop w:val="0"/>
          <w:marBottom w:val="0"/>
          <w:divBdr>
            <w:top w:val="none" w:sz="0" w:space="0" w:color="auto"/>
            <w:left w:val="none" w:sz="0" w:space="0" w:color="auto"/>
            <w:bottom w:val="none" w:sz="0" w:space="0" w:color="auto"/>
            <w:right w:val="none" w:sz="0" w:space="0" w:color="auto"/>
          </w:divBdr>
          <w:divsChild>
            <w:div w:id="94411768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665866299">
      <w:marLeft w:val="0"/>
      <w:marRight w:val="0"/>
      <w:marTop w:val="240"/>
      <w:marBottom w:val="0"/>
      <w:divBdr>
        <w:top w:val="none" w:sz="0" w:space="0" w:color="auto"/>
        <w:left w:val="none" w:sz="0" w:space="0" w:color="auto"/>
        <w:bottom w:val="none" w:sz="0" w:space="0" w:color="auto"/>
        <w:right w:val="none" w:sz="0" w:space="0" w:color="auto"/>
      </w:divBdr>
    </w:div>
    <w:div w:id="668751466">
      <w:marLeft w:val="0"/>
      <w:marRight w:val="0"/>
      <w:marTop w:val="240"/>
      <w:marBottom w:val="0"/>
      <w:divBdr>
        <w:top w:val="none" w:sz="0" w:space="0" w:color="auto"/>
        <w:left w:val="none" w:sz="0" w:space="0" w:color="auto"/>
        <w:bottom w:val="none" w:sz="0" w:space="0" w:color="auto"/>
        <w:right w:val="none" w:sz="0" w:space="0" w:color="auto"/>
      </w:divBdr>
    </w:div>
    <w:div w:id="668948390">
      <w:marLeft w:val="0"/>
      <w:marRight w:val="0"/>
      <w:marTop w:val="240"/>
      <w:marBottom w:val="0"/>
      <w:divBdr>
        <w:top w:val="none" w:sz="0" w:space="0" w:color="auto"/>
        <w:left w:val="none" w:sz="0" w:space="0" w:color="auto"/>
        <w:bottom w:val="none" w:sz="0" w:space="0" w:color="auto"/>
        <w:right w:val="none" w:sz="0" w:space="0" w:color="auto"/>
      </w:divBdr>
    </w:div>
    <w:div w:id="669331601">
      <w:marLeft w:val="0"/>
      <w:marRight w:val="0"/>
      <w:marTop w:val="240"/>
      <w:marBottom w:val="0"/>
      <w:divBdr>
        <w:top w:val="none" w:sz="0" w:space="0" w:color="auto"/>
        <w:left w:val="none" w:sz="0" w:space="0" w:color="auto"/>
        <w:bottom w:val="none" w:sz="0" w:space="0" w:color="auto"/>
        <w:right w:val="none" w:sz="0" w:space="0" w:color="auto"/>
      </w:divBdr>
    </w:div>
    <w:div w:id="669605379">
      <w:marLeft w:val="0"/>
      <w:marRight w:val="0"/>
      <w:marTop w:val="100"/>
      <w:marBottom w:val="240"/>
      <w:divBdr>
        <w:top w:val="none" w:sz="0" w:space="0" w:color="auto"/>
        <w:left w:val="none" w:sz="0" w:space="0" w:color="auto"/>
        <w:bottom w:val="none" w:sz="0" w:space="0" w:color="auto"/>
        <w:right w:val="none" w:sz="0" w:space="0" w:color="auto"/>
      </w:divBdr>
    </w:div>
    <w:div w:id="675231251">
      <w:marLeft w:val="0"/>
      <w:marRight w:val="0"/>
      <w:marTop w:val="240"/>
      <w:marBottom w:val="0"/>
      <w:divBdr>
        <w:top w:val="none" w:sz="0" w:space="0" w:color="auto"/>
        <w:left w:val="none" w:sz="0" w:space="0" w:color="auto"/>
        <w:bottom w:val="none" w:sz="0" w:space="0" w:color="auto"/>
        <w:right w:val="none" w:sz="0" w:space="0" w:color="auto"/>
      </w:divBdr>
    </w:div>
    <w:div w:id="675426976">
      <w:marLeft w:val="0"/>
      <w:marRight w:val="0"/>
      <w:marTop w:val="240"/>
      <w:marBottom w:val="0"/>
      <w:divBdr>
        <w:top w:val="none" w:sz="0" w:space="0" w:color="auto"/>
        <w:left w:val="none" w:sz="0" w:space="0" w:color="auto"/>
        <w:bottom w:val="none" w:sz="0" w:space="0" w:color="auto"/>
        <w:right w:val="none" w:sz="0" w:space="0" w:color="auto"/>
      </w:divBdr>
    </w:div>
    <w:div w:id="675815318">
      <w:marLeft w:val="0"/>
      <w:marRight w:val="0"/>
      <w:marTop w:val="0"/>
      <w:marBottom w:val="0"/>
      <w:divBdr>
        <w:top w:val="none" w:sz="0" w:space="0" w:color="auto"/>
        <w:left w:val="none" w:sz="0" w:space="0" w:color="auto"/>
        <w:bottom w:val="none" w:sz="0" w:space="0" w:color="auto"/>
        <w:right w:val="none" w:sz="0" w:space="0" w:color="auto"/>
      </w:divBdr>
      <w:divsChild>
        <w:div w:id="1348555069">
          <w:marLeft w:val="0"/>
          <w:marRight w:val="0"/>
          <w:marTop w:val="0"/>
          <w:marBottom w:val="0"/>
          <w:divBdr>
            <w:top w:val="none" w:sz="0" w:space="0" w:color="auto"/>
            <w:left w:val="none" w:sz="0" w:space="0" w:color="auto"/>
            <w:bottom w:val="none" w:sz="0" w:space="0" w:color="auto"/>
            <w:right w:val="none" w:sz="0" w:space="0" w:color="auto"/>
          </w:divBdr>
          <w:divsChild>
            <w:div w:id="155072326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679745027">
      <w:marLeft w:val="0"/>
      <w:marRight w:val="0"/>
      <w:marTop w:val="200"/>
      <w:marBottom w:val="0"/>
      <w:divBdr>
        <w:top w:val="none" w:sz="0" w:space="0" w:color="auto"/>
        <w:left w:val="none" w:sz="0" w:space="0" w:color="auto"/>
        <w:bottom w:val="none" w:sz="0" w:space="0" w:color="auto"/>
        <w:right w:val="none" w:sz="0" w:space="0" w:color="auto"/>
      </w:divBdr>
    </w:div>
    <w:div w:id="683288925">
      <w:marLeft w:val="0"/>
      <w:marRight w:val="0"/>
      <w:marTop w:val="200"/>
      <w:marBottom w:val="0"/>
      <w:divBdr>
        <w:top w:val="none" w:sz="0" w:space="0" w:color="auto"/>
        <w:left w:val="none" w:sz="0" w:space="0" w:color="auto"/>
        <w:bottom w:val="none" w:sz="0" w:space="0" w:color="auto"/>
        <w:right w:val="none" w:sz="0" w:space="0" w:color="auto"/>
      </w:divBdr>
    </w:div>
    <w:div w:id="684285751">
      <w:marLeft w:val="0"/>
      <w:marRight w:val="0"/>
      <w:marTop w:val="240"/>
      <w:marBottom w:val="0"/>
      <w:divBdr>
        <w:top w:val="none" w:sz="0" w:space="0" w:color="auto"/>
        <w:left w:val="none" w:sz="0" w:space="0" w:color="auto"/>
        <w:bottom w:val="none" w:sz="0" w:space="0" w:color="auto"/>
        <w:right w:val="none" w:sz="0" w:space="0" w:color="auto"/>
      </w:divBdr>
    </w:div>
    <w:div w:id="684594197">
      <w:marLeft w:val="0"/>
      <w:marRight w:val="0"/>
      <w:marTop w:val="240"/>
      <w:marBottom w:val="0"/>
      <w:divBdr>
        <w:top w:val="none" w:sz="0" w:space="0" w:color="auto"/>
        <w:left w:val="none" w:sz="0" w:space="0" w:color="auto"/>
        <w:bottom w:val="none" w:sz="0" w:space="0" w:color="auto"/>
        <w:right w:val="none" w:sz="0" w:space="0" w:color="auto"/>
      </w:divBdr>
    </w:div>
    <w:div w:id="685139374">
      <w:marLeft w:val="0"/>
      <w:marRight w:val="0"/>
      <w:marTop w:val="240"/>
      <w:marBottom w:val="0"/>
      <w:divBdr>
        <w:top w:val="none" w:sz="0" w:space="0" w:color="auto"/>
        <w:left w:val="none" w:sz="0" w:space="0" w:color="auto"/>
        <w:bottom w:val="none" w:sz="0" w:space="0" w:color="auto"/>
        <w:right w:val="none" w:sz="0" w:space="0" w:color="auto"/>
      </w:divBdr>
    </w:div>
    <w:div w:id="685638686">
      <w:marLeft w:val="0"/>
      <w:marRight w:val="0"/>
      <w:marTop w:val="240"/>
      <w:marBottom w:val="0"/>
      <w:divBdr>
        <w:top w:val="none" w:sz="0" w:space="0" w:color="auto"/>
        <w:left w:val="none" w:sz="0" w:space="0" w:color="auto"/>
        <w:bottom w:val="none" w:sz="0" w:space="0" w:color="auto"/>
        <w:right w:val="none" w:sz="0" w:space="0" w:color="auto"/>
      </w:divBdr>
    </w:div>
    <w:div w:id="689571763">
      <w:marLeft w:val="0"/>
      <w:marRight w:val="0"/>
      <w:marTop w:val="240"/>
      <w:marBottom w:val="0"/>
      <w:divBdr>
        <w:top w:val="none" w:sz="0" w:space="0" w:color="auto"/>
        <w:left w:val="none" w:sz="0" w:space="0" w:color="auto"/>
        <w:bottom w:val="none" w:sz="0" w:space="0" w:color="auto"/>
        <w:right w:val="none" w:sz="0" w:space="0" w:color="auto"/>
      </w:divBdr>
    </w:div>
    <w:div w:id="689839704">
      <w:marLeft w:val="0"/>
      <w:marRight w:val="0"/>
      <w:marTop w:val="240"/>
      <w:marBottom w:val="0"/>
      <w:divBdr>
        <w:top w:val="none" w:sz="0" w:space="0" w:color="auto"/>
        <w:left w:val="none" w:sz="0" w:space="0" w:color="auto"/>
        <w:bottom w:val="none" w:sz="0" w:space="0" w:color="auto"/>
        <w:right w:val="none" w:sz="0" w:space="0" w:color="auto"/>
      </w:divBdr>
    </w:div>
    <w:div w:id="690381365">
      <w:marLeft w:val="0"/>
      <w:marRight w:val="0"/>
      <w:marTop w:val="0"/>
      <w:marBottom w:val="0"/>
      <w:divBdr>
        <w:top w:val="none" w:sz="0" w:space="0" w:color="auto"/>
        <w:left w:val="none" w:sz="0" w:space="0" w:color="auto"/>
        <w:bottom w:val="none" w:sz="0" w:space="0" w:color="auto"/>
        <w:right w:val="none" w:sz="0" w:space="0" w:color="auto"/>
      </w:divBdr>
      <w:divsChild>
        <w:div w:id="1478455612">
          <w:marLeft w:val="0"/>
          <w:marRight w:val="0"/>
          <w:marTop w:val="0"/>
          <w:marBottom w:val="0"/>
          <w:divBdr>
            <w:top w:val="none" w:sz="0" w:space="0" w:color="auto"/>
            <w:left w:val="none" w:sz="0" w:space="0" w:color="auto"/>
            <w:bottom w:val="none" w:sz="0" w:space="0" w:color="auto"/>
            <w:right w:val="none" w:sz="0" w:space="0" w:color="auto"/>
          </w:divBdr>
        </w:div>
      </w:divsChild>
    </w:div>
    <w:div w:id="690499859">
      <w:marLeft w:val="0"/>
      <w:marRight w:val="0"/>
      <w:marTop w:val="0"/>
      <w:marBottom w:val="0"/>
      <w:divBdr>
        <w:top w:val="none" w:sz="0" w:space="0" w:color="auto"/>
        <w:left w:val="none" w:sz="0" w:space="0" w:color="auto"/>
        <w:bottom w:val="none" w:sz="0" w:space="0" w:color="auto"/>
        <w:right w:val="none" w:sz="0" w:space="0" w:color="auto"/>
      </w:divBdr>
      <w:divsChild>
        <w:div w:id="1632903265">
          <w:marLeft w:val="0"/>
          <w:marRight w:val="0"/>
          <w:marTop w:val="0"/>
          <w:marBottom w:val="0"/>
          <w:divBdr>
            <w:top w:val="none" w:sz="0" w:space="0" w:color="auto"/>
            <w:left w:val="none" w:sz="0" w:space="0" w:color="auto"/>
            <w:bottom w:val="none" w:sz="0" w:space="0" w:color="auto"/>
            <w:right w:val="none" w:sz="0" w:space="0" w:color="auto"/>
          </w:divBdr>
          <w:divsChild>
            <w:div w:id="210615227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691301534">
      <w:marLeft w:val="0"/>
      <w:marRight w:val="0"/>
      <w:marTop w:val="240"/>
      <w:marBottom w:val="0"/>
      <w:divBdr>
        <w:top w:val="none" w:sz="0" w:space="0" w:color="auto"/>
        <w:left w:val="none" w:sz="0" w:space="0" w:color="auto"/>
        <w:bottom w:val="none" w:sz="0" w:space="0" w:color="auto"/>
        <w:right w:val="none" w:sz="0" w:space="0" w:color="auto"/>
      </w:divBdr>
    </w:div>
    <w:div w:id="693075001">
      <w:marLeft w:val="0"/>
      <w:marRight w:val="0"/>
      <w:marTop w:val="200"/>
      <w:marBottom w:val="0"/>
      <w:divBdr>
        <w:top w:val="none" w:sz="0" w:space="0" w:color="auto"/>
        <w:left w:val="none" w:sz="0" w:space="0" w:color="auto"/>
        <w:bottom w:val="none" w:sz="0" w:space="0" w:color="auto"/>
        <w:right w:val="none" w:sz="0" w:space="0" w:color="auto"/>
      </w:divBdr>
    </w:div>
    <w:div w:id="693772304">
      <w:marLeft w:val="0"/>
      <w:marRight w:val="0"/>
      <w:marTop w:val="0"/>
      <w:marBottom w:val="0"/>
      <w:divBdr>
        <w:top w:val="none" w:sz="0" w:space="0" w:color="auto"/>
        <w:left w:val="none" w:sz="0" w:space="0" w:color="auto"/>
        <w:bottom w:val="none" w:sz="0" w:space="0" w:color="auto"/>
        <w:right w:val="none" w:sz="0" w:space="0" w:color="auto"/>
      </w:divBdr>
    </w:div>
    <w:div w:id="694775183">
      <w:marLeft w:val="0"/>
      <w:marRight w:val="0"/>
      <w:marTop w:val="100"/>
      <w:marBottom w:val="0"/>
      <w:divBdr>
        <w:top w:val="none" w:sz="0" w:space="0" w:color="auto"/>
        <w:left w:val="none" w:sz="0" w:space="0" w:color="auto"/>
        <w:bottom w:val="none" w:sz="0" w:space="0" w:color="auto"/>
        <w:right w:val="none" w:sz="0" w:space="0" w:color="auto"/>
      </w:divBdr>
      <w:divsChild>
        <w:div w:id="2016107472">
          <w:marLeft w:val="0"/>
          <w:marRight w:val="0"/>
          <w:marTop w:val="0"/>
          <w:marBottom w:val="0"/>
          <w:divBdr>
            <w:top w:val="none" w:sz="0" w:space="0" w:color="auto"/>
            <w:left w:val="none" w:sz="0" w:space="0" w:color="auto"/>
            <w:bottom w:val="none" w:sz="0" w:space="0" w:color="auto"/>
            <w:right w:val="none" w:sz="0" w:space="0" w:color="auto"/>
          </w:divBdr>
        </w:div>
      </w:divsChild>
    </w:div>
    <w:div w:id="695347228">
      <w:marLeft w:val="0"/>
      <w:marRight w:val="0"/>
      <w:marTop w:val="240"/>
      <w:marBottom w:val="0"/>
      <w:divBdr>
        <w:top w:val="none" w:sz="0" w:space="0" w:color="auto"/>
        <w:left w:val="none" w:sz="0" w:space="0" w:color="auto"/>
        <w:bottom w:val="none" w:sz="0" w:space="0" w:color="auto"/>
        <w:right w:val="none" w:sz="0" w:space="0" w:color="auto"/>
      </w:divBdr>
    </w:div>
    <w:div w:id="695351799">
      <w:marLeft w:val="0"/>
      <w:marRight w:val="0"/>
      <w:marTop w:val="220"/>
      <w:marBottom w:val="0"/>
      <w:divBdr>
        <w:top w:val="none" w:sz="0" w:space="0" w:color="auto"/>
        <w:left w:val="none" w:sz="0" w:space="0" w:color="auto"/>
        <w:bottom w:val="none" w:sz="0" w:space="0" w:color="auto"/>
        <w:right w:val="none" w:sz="0" w:space="0" w:color="auto"/>
      </w:divBdr>
      <w:divsChild>
        <w:div w:id="1169903841">
          <w:marLeft w:val="0"/>
          <w:marRight w:val="0"/>
          <w:marTop w:val="0"/>
          <w:marBottom w:val="0"/>
          <w:divBdr>
            <w:top w:val="none" w:sz="0" w:space="0" w:color="auto"/>
            <w:left w:val="none" w:sz="0" w:space="0" w:color="auto"/>
            <w:bottom w:val="none" w:sz="0" w:space="0" w:color="auto"/>
            <w:right w:val="none" w:sz="0" w:space="0" w:color="auto"/>
          </w:divBdr>
        </w:div>
        <w:div w:id="1976911143">
          <w:marLeft w:val="0"/>
          <w:marRight w:val="0"/>
          <w:marTop w:val="0"/>
          <w:marBottom w:val="0"/>
          <w:divBdr>
            <w:top w:val="none" w:sz="0" w:space="0" w:color="auto"/>
            <w:left w:val="none" w:sz="0" w:space="0" w:color="auto"/>
            <w:bottom w:val="none" w:sz="0" w:space="0" w:color="auto"/>
            <w:right w:val="none" w:sz="0" w:space="0" w:color="auto"/>
          </w:divBdr>
        </w:div>
        <w:div w:id="60298166">
          <w:marLeft w:val="0"/>
          <w:marRight w:val="0"/>
          <w:marTop w:val="0"/>
          <w:marBottom w:val="0"/>
          <w:divBdr>
            <w:top w:val="none" w:sz="0" w:space="0" w:color="auto"/>
            <w:left w:val="none" w:sz="0" w:space="0" w:color="auto"/>
            <w:bottom w:val="none" w:sz="0" w:space="0" w:color="auto"/>
            <w:right w:val="none" w:sz="0" w:space="0" w:color="auto"/>
          </w:divBdr>
        </w:div>
      </w:divsChild>
    </w:div>
    <w:div w:id="696008579">
      <w:marLeft w:val="0"/>
      <w:marRight w:val="0"/>
      <w:marTop w:val="240"/>
      <w:marBottom w:val="0"/>
      <w:divBdr>
        <w:top w:val="none" w:sz="0" w:space="0" w:color="auto"/>
        <w:left w:val="none" w:sz="0" w:space="0" w:color="auto"/>
        <w:bottom w:val="none" w:sz="0" w:space="0" w:color="auto"/>
        <w:right w:val="none" w:sz="0" w:space="0" w:color="auto"/>
      </w:divBdr>
    </w:div>
    <w:div w:id="696466042">
      <w:marLeft w:val="0"/>
      <w:marRight w:val="0"/>
      <w:marTop w:val="240"/>
      <w:marBottom w:val="0"/>
      <w:divBdr>
        <w:top w:val="none" w:sz="0" w:space="0" w:color="auto"/>
        <w:left w:val="none" w:sz="0" w:space="0" w:color="auto"/>
        <w:bottom w:val="none" w:sz="0" w:space="0" w:color="auto"/>
        <w:right w:val="none" w:sz="0" w:space="0" w:color="auto"/>
      </w:divBdr>
    </w:div>
    <w:div w:id="696934253">
      <w:marLeft w:val="0"/>
      <w:marRight w:val="0"/>
      <w:marTop w:val="240"/>
      <w:marBottom w:val="0"/>
      <w:divBdr>
        <w:top w:val="none" w:sz="0" w:space="0" w:color="auto"/>
        <w:left w:val="none" w:sz="0" w:space="0" w:color="auto"/>
        <w:bottom w:val="none" w:sz="0" w:space="0" w:color="auto"/>
        <w:right w:val="none" w:sz="0" w:space="0" w:color="auto"/>
      </w:divBdr>
    </w:div>
    <w:div w:id="699087939">
      <w:marLeft w:val="0"/>
      <w:marRight w:val="0"/>
      <w:marTop w:val="140"/>
      <w:marBottom w:val="0"/>
      <w:divBdr>
        <w:top w:val="none" w:sz="0" w:space="0" w:color="auto"/>
        <w:left w:val="none" w:sz="0" w:space="0" w:color="auto"/>
        <w:bottom w:val="none" w:sz="0" w:space="0" w:color="auto"/>
        <w:right w:val="none" w:sz="0" w:space="0" w:color="auto"/>
      </w:divBdr>
    </w:div>
    <w:div w:id="700014335">
      <w:marLeft w:val="0"/>
      <w:marRight w:val="0"/>
      <w:marTop w:val="240"/>
      <w:marBottom w:val="0"/>
      <w:divBdr>
        <w:top w:val="none" w:sz="0" w:space="0" w:color="auto"/>
        <w:left w:val="none" w:sz="0" w:space="0" w:color="auto"/>
        <w:bottom w:val="none" w:sz="0" w:space="0" w:color="auto"/>
        <w:right w:val="none" w:sz="0" w:space="0" w:color="auto"/>
      </w:divBdr>
    </w:div>
    <w:div w:id="700055672">
      <w:marLeft w:val="0"/>
      <w:marRight w:val="0"/>
      <w:marTop w:val="0"/>
      <w:marBottom w:val="0"/>
      <w:divBdr>
        <w:top w:val="none" w:sz="0" w:space="0" w:color="auto"/>
        <w:left w:val="none" w:sz="0" w:space="0" w:color="auto"/>
        <w:bottom w:val="none" w:sz="0" w:space="0" w:color="auto"/>
        <w:right w:val="none" w:sz="0" w:space="0" w:color="auto"/>
      </w:divBdr>
      <w:divsChild>
        <w:div w:id="796339254">
          <w:marLeft w:val="0"/>
          <w:marRight w:val="0"/>
          <w:marTop w:val="0"/>
          <w:marBottom w:val="0"/>
          <w:divBdr>
            <w:top w:val="none" w:sz="0" w:space="0" w:color="auto"/>
            <w:left w:val="none" w:sz="0" w:space="0" w:color="auto"/>
            <w:bottom w:val="none" w:sz="0" w:space="0" w:color="auto"/>
            <w:right w:val="none" w:sz="0" w:space="0" w:color="auto"/>
          </w:divBdr>
        </w:div>
      </w:divsChild>
    </w:div>
    <w:div w:id="700278708">
      <w:marLeft w:val="0"/>
      <w:marRight w:val="0"/>
      <w:marTop w:val="220"/>
      <w:marBottom w:val="240"/>
      <w:divBdr>
        <w:top w:val="none" w:sz="0" w:space="0" w:color="auto"/>
        <w:left w:val="none" w:sz="0" w:space="0" w:color="auto"/>
        <w:bottom w:val="none" w:sz="0" w:space="0" w:color="auto"/>
        <w:right w:val="none" w:sz="0" w:space="0" w:color="auto"/>
      </w:divBdr>
    </w:div>
    <w:div w:id="700516194">
      <w:marLeft w:val="0"/>
      <w:marRight w:val="0"/>
      <w:marTop w:val="240"/>
      <w:marBottom w:val="0"/>
      <w:divBdr>
        <w:top w:val="none" w:sz="0" w:space="0" w:color="auto"/>
        <w:left w:val="none" w:sz="0" w:space="0" w:color="auto"/>
        <w:bottom w:val="none" w:sz="0" w:space="0" w:color="auto"/>
        <w:right w:val="none" w:sz="0" w:space="0" w:color="auto"/>
      </w:divBdr>
    </w:div>
    <w:div w:id="702442878">
      <w:marLeft w:val="0"/>
      <w:marRight w:val="0"/>
      <w:marTop w:val="240"/>
      <w:marBottom w:val="0"/>
      <w:divBdr>
        <w:top w:val="none" w:sz="0" w:space="0" w:color="auto"/>
        <w:left w:val="none" w:sz="0" w:space="0" w:color="auto"/>
        <w:bottom w:val="none" w:sz="0" w:space="0" w:color="auto"/>
        <w:right w:val="none" w:sz="0" w:space="0" w:color="auto"/>
      </w:divBdr>
    </w:div>
    <w:div w:id="702485709">
      <w:marLeft w:val="0"/>
      <w:marRight w:val="0"/>
      <w:marTop w:val="180"/>
      <w:marBottom w:val="0"/>
      <w:divBdr>
        <w:top w:val="none" w:sz="0" w:space="0" w:color="auto"/>
        <w:left w:val="none" w:sz="0" w:space="0" w:color="auto"/>
        <w:bottom w:val="none" w:sz="0" w:space="0" w:color="auto"/>
        <w:right w:val="none" w:sz="0" w:space="0" w:color="auto"/>
      </w:divBdr>
    </w:div>
    <w:div w:id="702632168">
      <w:marLeft w:val="0"/>
      <w:marRight w:val="0"/>
      <w:marTop w:val="300"/>
      <w:marBottom w:val="0"/>
      <w:divBdr>
        <w:top w:val="none" w:sz="0" w:space="0" w:color="auto"/>
        <w:left w:val="none" w:sz="0" w:space="0" w:color="auto"/>
        <w:bottom w:val="none" w:sz="0" w:space="0" w:color="auto"/>
        <w:right w:val="none" w:sz="0" w:space="0" w:color="auto"/>
      </w:divBdr>
    </w:div>
    <w:div w:id="702677919">
      <w:marLeft w:val="0"/>
      <w:marRight w:val="0"/>
      <w:marTop w:val="0"/>
      <w:marBottom w:val="0"/>
      <w:divBdr>
        <w:top w:val="none" w:sz="0" w:space="0" w:color="auto"/>
        <w:left w:val="none" w:sz="0" w:space="0" w:color="auto"/>
        <w:bottom w:val="none" w:sz="0" w:space="0" w:color="auto"/>
        <w:right w:val="none" w:sz="0" w:space="0" w:color="auto"/>
      </w:divBdr>
      <w:divsChild>
        <w:div w:id="1669668457">
          <w:marLeft w:val="0"/>
          <w:marRight w:val="0"/>
          <w:marTop w:val="0"/>
          <w:marBottom w:val="0"/>
          <w:divBdr>
            <w:top w:val="none" w:sz="0" w:space="0" w:color="auto"/>
            <w:left w:val="none" w:sz="0" w:space="0" w:color="auto"/>
            <w:bottom w:val="none" w:sz="0" w:space="0" w:color="auto"/>
            <w:right w:val="none" w:sz="0" w:space="0" w:color="auto"/>
          </w:divBdr>
          <w:divsChild>
            <w:div w:id="10677910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702748084">
      <w:marLeft w:val="0"/>
      <w:marRight w:val="0"/>
      <w:marTop w:val="240"/>
      <w:marBottom w:val="0"/>
      <w:divBdr>
        <w:top w:val="none" w:sz="0" w:space="0" w:color="auto"/>
        <w:left w:val="none" w:sz="0" w:space="0" w:color="auto"/>
        <w:bottom w:val="none" w:sz="0" w:space="0" w:color="auto"/>
        <w:right w:val="none" w:sz="0" w:space="0" w:color="auto"/>
      </w:divBdr>
    </w:div>
    <w:div w:id="703020402">
      <w:marLeft w:val="0"/>
      <w:marRight w:val="0"/>
      <w:marTop w:val="240"/>
      <w:marBottom w:val="0"/>
      <w:divBdr>
        <w:top w:val="none" w:sz="0" w:space="0" w:color="auto"/>
        <w:left w:val="none" w:sz="0" w:space="0" w:color="auto"/>
        <w:bottom w:val="none" w:sz="0" w:space="0" w:color="auto"/>
        <w:right w:val="none" w:sz="0" w:space="0" w:color="auto"/>
      </w:divBdr>
    </w:div>
    <w:div w:id="705713091">
      <w:marLeft w:val="0"/>
      <w:marRight w:val="0"/>
      <w:marTop w:val="200"/>
      <w:marBottom w:val="0"/>
      <w:divBdr>
        <w:top w:val="none" w:sz="0" w:space="0" w:color="auto"/>
        <w:left w:val="none" w:sz="0" w:space="0" w:color="auto"/>
        <w:bottom w:val="none" w:sz="0" w:space="0" w:color="auto"/>
        <w:right w:val="none" w:sz="0" w:space="0" w:color="auto"/>
      </w:divBdr>
    </w:div>
    <w:div w:id="705986128">
      <w:marLeft w:val="0"/>
      <w:marRight w:val="0"/>
      <w:marTop w:val="0"/>
      <w:marBottom w:val="0"/>
      <w:divBdr>
        <w:top w:val="none" w:sz="0" w:space="0" w:color="auto"/>
        <w:left w:val="none" w:sz="0" w:space="0" w:color="auto"/>
        <w:bottom w:val="none" w:sz="0" w:space="0" w:color="auto"/>
        <w:right w:val="none" w:sz="0" w:space="0" w:color="auto"/>
      </w:divBdr>
      <w:divsChild>
        <w:div w:id="1706904149">
          <w:marLeft w:val="0"/>
          <w:marRight w:val="0"/>
          <w:marTop w:val="120"/>
          <w:marBottom w:val="0"/>
          <w:divBdr>
            <w:top w:val="none" w:sz="0" w:space="0" w:color="auto"/>
            <w:left w:val="none" w:sz="0" w:space="0" w:color="auto"/>
            <w:bottom w:val="none" w:sz="0" w:space="0" w:color="auto"/>
            <w:right w:val="none" w:sz="0" w:space="0" w:color="auto"/>
          </w:divBdr>
        </w:div>
      </w:divsChild>
    </w:div>
    <w:div w:id="707410362">
      <w:marLeft w:val="0"/>
      <w:marRight w:val="0"/>
      <w:marTop w:val="240"/>
      <w:marBottom w:val="0"/>
      <w:divBdr>
        <w:top w:val="none" w:sz="0" w:space="0" w:color="auto"/>
        <w:left w:val="none" w:sz="0" w:space="0" w:color="auto"/>
        <w:bottom w:val="none" w:sz="0" w:space="0" w:color="auto"/>
        <w:right w:val="none" w:sz="0" w:space="0" w:color="auto"/>
      </w:divBdr>
    </w:div>
    <w:div w:id="709498172">
      <w:marLeft w:val="0"/>
      <w:marRight w:val="0"/>
      <w:marTop w:val="240"/>
      <w:marBottom w:val="0"/>
      <w:divBdr>
        <w:top w:val="none" w:sz="0" w:space="0" w:color="auto"/>
        <w:left w:val="none" w:sz="0" w:space="0" w:color="auto"/>
        <w:bottom w:val="none" w:sz="0" w:space="0" w:color="auto"/>
        <w:right w:val="none" w:sz="0" w:space="0" w:color="auto"/>
      </w:divBdr>
    </w:div>
    <w:div w:id="709499641">
      <w:marLeft w:val="0"/>
      <w:marRight w:val="0"/>
      <w:marTop w:val="240"/>
      <w:marBottom w:val="0"/>
      <w:divBdr>
        <w:top w:val="none" w:sz="0" w:space="0" w:color="auto"/>
        <w:left w:val="none" w:sz="0" w:space="0" w:color="auto"/>
        <w:bottom w:val="none" w:sz="0" w:space="0" w:color="auto"/>
        <w:right w:val="none" w:sz="0" w:space="0" w:color="auto"/>
      </w:divBdr>
    </w:div>
    <w:div w:id="712460453">
      <w:marLeft w:val="0"/>
      <w:marRight w:val="0"/>
      <w:marTop w:val="0"/>
      <w:marBottom w:val="0"/>
      <w:divBdr>
        <w:top w:val="none" w:sz="0" w:space="0" w:color="auto"/>
        <w:left w:val="none" w:sz="0" w:space="0" w:color="auto"/>
        <w:bottom w:val="none" w:sz="0" w:space="0" w:color="auto"/>
        <w:right w:val="none" w:sz="0" w:space="0" w:color="auto"/>
      </w:divBdr>
    </w:div>
    <w:div w:id="712535970">
      <w:marLeft w:val="0"/>
      <w:marRight w:val="0"/>
      <w:marTop w:val="0"/>
      <w:marBottom w:val="0"/>
      <w:divBdr>
        <w:top w:val="none" w:sz="0" w:space="0" w:color="auto"/>
        <w:left w:val="none" w:sz="0" w:space="0" w:color="auto"/>
        <w:bottom w:val="none" w:sz="0" w:space="0" w:color="auto"/>
        <w:right w:val="none" w:sz="0" w:space="0" w:color="auto"/>
      </w:divBdr>
      <w:divsChild>
        <w:div w:id="434908598">
          <w:marLeft w:val="0"/>
          <w:marRight w:val="0"/>
          <w:marTop w:val="0"/>
          <w:marBottom w:val="0"/>
          <w:divBdr>
            <w:top w:val="none" w:sz="0" w:space="0" w:color="auto"/>
            <w:left w:val="none" w:sz="0" w:space="0" w:color="auto"/>
            <w:bottom w:val="none" w:sz="0" w:space="0" w:color="auto"/>
            <w:right w:val="none" w:sz="0" w:space="0" w:color="auto"/>
          </w:divBdr>
        </w:div>
      </w:divsChild>
    </w:div>
    <w:div w:id="713768848">
      <w:marLeft w:val="0"/>
      <w:marRight w:val="0"/>
      <w:marTop w:val="0"/>
      <w:marBottom w:val="0"/>
      <w:divBdr>
        <w:top w:val="none" w:sz="0" w:space="0" w:color="auto"/>
        <w:left w:val="none" w:sz="0" w:space="0" w:color="auto"/>
        <w:bottom w:val="none" w:sz="0" w:space="0" w:color="auto"/>
        <w:right w:val="none" w:sz="0" w:space="0" w:color="auto"/>
      </w:divBdr>
      <w:divsChild>
        <w:div w:id="2077433939">
          <w:marLeft w:val="0"/>
          <w:marRight w:val="0"/>
          <w:marTop w:val="0"/>
          <w:marBottom w:val="0"/>
          <w:divBdr>
            <w:top w:val="none" w:sz="0" w:space="0" w:color="auto"/>
            <w:left w:val="none" w:sz="0" w:space="0" w:color="auto"/>
            <w:bottom w:val="none" w:sz="0" w:space="0" w:color="auto"/>
            <w:right w:val="none" w:sz="0" w:space="0" w:color="auto"/>
          </w:divBdr>
        </w:div>
      </w:divsChild>
    </w:div>
    <w:div w:id="715666809">
      <w:marLeft w:val="0"/>
      <w:marRight w:val="0"/>
      <w:marTop w:val="100"/>
      <w:marBottom w:val="0"/>
      <w:divBdr>
        <w:top w:val="none" w:sz="0" w:space="0" w:color="auto"/>
        <w:left w:val="none" w:sz="0" w:space="0" w:color="auto"/>
        <w:bottom w:val="none" w:sz="0" w:space="0" w:color="auto"/>
        <w:right w:val="none" w:sz="0" w:space="0" w:color="auto"/>
      </w:divBdr>
      <w:divsChild>
        <w:div w:id="310523285">
          <w:marLeft w:val="0"/>
          <w:marRight w:val="0"/>
          <w:marTop w:val="0"/>
          <w:marBottom w:val="0"/>
          <w:divBdr>
            <w:top w:val="none" w:sz="0" w:space="0" w:color="auto"/>
            <w:left w:val="none" w:sz="0" w:space="0" w:color="auto"/>
            <w:bottom w:val="none" w:sz="0" w:space="0" w:color="auto"/>
            <w:right w:val="none" w:sz="0" w:space="0" w:color="auto"/>
          </w:divBdr>
        </w:div>
      </w:divsChild>
    </w:div>
    <w:div w:id="716976772">
      <w:marLeft w:val="0"/>
      <w:marRight w:val="0"/>
      <w:marTop w:val="240"/>
      <w:marBottom w:val="0"/>
      <w:divBdr>
        <w:top w:val="none" w:sz="0" w:space="0" w:color="auto"/>
        <w:left w:val="none" w:sz="0" w:space="0" w:color="auto"/>
        <w:bottom w:val="none" w:sz="0" w:space="0" w:color="auto"/>
        <w:right w:val="none" w:sz="0" w:space="0" w:color="auto"/>
      </w:divBdr>
    </w:div>
    <w:div w:id="717048831">
      <w:marLeft w:val="0"/>
      <w:marRight w:val="0"/>
      <w:marTop w:val="140"/>
      <w:marBottom w:val="0"/>
      <w:divBdr>
        <w:top w:val="none" w:sz="0" w:space="0" w:color="auto"/>
        <w:left w:val="none" w:sz="0" w:space="0" w:color="auto"/>
        <w:bottom w:val="none" w:sz="0" w:space="0" w:color="auto"/>
        <w:right w:val="none" w:sz="0" w:space="0" w:color="auto"/>
      </w:divBdr>
    </w:div>
    <w:div w:id="717972651">
      <w:marLeft w:val="0"/>
      <w:marRight w:val="0"/>
      <w:marTop w:val="0"/>
      <w:marBottom w:val="0"/>
      <w:divBdr>
        <w:top w:val="none" w:sz="0" w:space="0" w:color="auto"/>
        <w:left w:val="none" w:sz="0" w:space="0" w:color="auto"/>
        <w:bottom w:val="none" w:sz="0" w:space="0" w:color="auto"/>
        <w:right w:val="none" w:sz="0" w:space="0" w:color="auto"/>
      </w:divBdr>
    </w:div>
    <w:div w:id="718014329">
      <w:marLeft w:val="0"/>
      <w:marRight w:val="0"/>
      <w:marTop w:val="240"/>
      <w:marBottom w:val="120"/>
      <w:divBdr>
        <w:top w:val="none" w:sz="0" w:space="0" w:color="auto"/>
        <w:left w:val="none" w:sz="0" w:space="0" w:color="auto"/>
        <w:bottom w:val="none" w:sz="0" w:space="0" w:color="auto"/>
        <w:right w:val="none" w:sz="0" w:space="0" w:color="auto"/>
      </w:divBdr>
    </w:div>
    <w:div w:id="718406298">
      <w:marLeft w:val="0"/>
      <w:marRight w:val="0"/>
      <w:marTop w:val="200"/>
      <w:marBottom w:val="0"/>
      <w:divBdr>
        <w:top w:val="none" w:sz="0" w:space="0" w:color="auto"/>
        <w:left w:val="none" w:sz="0" w:space="0" w:color="auto"/>
        <w:bottom w:val="none" w:sz="0" w:space="0" w:color="auto"/>
        <w:right w:val="none" w:sz="0" w:space="0" w:color="auto"/>
      </w:divBdr>
    </w:div>
    <w:div w:id="719209634">
      <w:marLeft w:val="0"/>
      <w:marRight w:val="0"/>
      <w:marTop w:val="240"/>
      <w:marBottom w:val="0"/>
      <w:divBdr>
        <w:top w:val="none" w:sz="0" w:space="0" w:color="auto"/>
        <w:left w:val="none" w:sz="0" w:space="0" w:color="auto"/>
        <w:bottom w:val="none" w:sz="0" w:space="0" w:color="auto"/>
        <w:right w:val="none" w:sz="0" w:space="0" w:color="auto"/>
      </w:divBdr>
    </w:div>
    <w:div w:id="720061874">
      <w:marLeft w:val="0"/>
      <w:marRight w:val="0"/>
      <w:marTop w:val="240"/>
      <w:marBottom w:val="0"/>
      <w:divBdr>
        <w:top w:val="none" w:sz="0" w:space="0" w:color="auto"/>
        <w:left w:val="none" w:sz="0" w:space="0" w:color="auto"/>
        <w:bottom w:val="none" w:sz="0" w:space="0" w:color="auto"/>
        <w:right w:val="none" w:sz="0" w:space="0" w:color="auto"/>
      </w:divBdr>
    </w:div>
    <w:div w:id="720321950">
      <w:marLeft w:val="0"/>
      <w:marRight w:val="0"/>
      <w:marTop w:val="240"/>
      <w:marBottom w:val="0"/>
      <w:divBdr>
        <w:top w:val="none" w:sz="0" w:space="0" w:color="auto"/>
        <w:left w:val="none" w:sz="0" w:space="0" w:color="auto"/>
        <w:bottom w:val="none" w:sz="0" w:space="0" w:color="auto"/>
        <w:right w:val="none" w:sz="0" w:space="0" w:color="auto"/>
      </w:divBdr>
    </w:div>
    <w:div w:id="722338378">
      <w:marLeft w:val="0"/>
      <w:marRight w:val="0"/>
      <w:marTop w:val="0"/>
      <w:marBottom w:val="0"/>
      <w:divBdr>
        <w:top w:val="none" w:sz="0" w:space="0" w:color="auto"/>
        <w:left w:val="none" w:sz="0" w:space="0" w:color="auto"/>
        <w:bottom w:val="none" w:sz="0" w:space="0" w:color="auto"/>
        <w:right w:val="none" w:sz="0" w:space="0" w:color="auto"/>
      </w:divBdr>
      <w:divsChild>
        <w:div w:id="236668177">
          <w:marLeft w:val="0"/>
          <w:marRight w:val="0"/>
          <w:marTop w:val="0"/>
          <w:marBottom w:val="0"/>
          <w:divBdr>
            <w:top w:val="none" w:sz="0" w:space="0" w:color="auto"/>
            <w:left w:val="none" w:sz="0" w:space="0" w:color="auto"/>
            <w:bottom w:val="none" w:sz="0" w:space="0" w:color="auto"/>
            <w:right w:val="none" w:sz="0" w:space="0" w:color="auto"/>
          </w:divBdr>
        </w:div>
      </w:divsChild>
    </w:div>
    <w:div w:id="723217704">
      <w:marLeft w:val="0"/>
      <w:marRight w:val="0"/>
      <w:marTop w:val="240"/>
      <w:marBottom w:val="0"/>
      <w:divBdr>
        <w:top w:val="none" w:sz="0" w:space="0" w:color="auto"/>
        <w:left w:val="none" w:sz="0" w:space="0" w:color="auto"/>
        <w:bottom w:val="none" w:sz="0" w:space="0" w:color="auto"/>
        <w:right w:val="none" w:sz="0" w:space="0" w:color="auto"/>
      </w:divBdr>
    </w:div>
    <w:div w:id="723648708">
      <w:marLeft w:val="0"/>
      <w:marRight w:val="0"/>
      <w:marTop w:val="0"/>
      <w:marBottom w:val="0"/>
      <w:divBdr>
        <w:top w:val="none" w:sz="0" w:space="0" w:color="auto"/>
        <w:left w:val="none" w:sz="0" w:space="0" w:color="auto"/>
        <w:bottom w:val="none" w:sz="0" w:space="0" w:color="auto"/>
        <w:right w:val="none" w:sz="0" w:space="0" w:color="auto"/>
      </w:divBdr>
      <w:divsChild>
        <w:div w:id="627248390">
          <w:marLeft w:val="0"/>
          <w:marRight w:val="0"/>
          <w:marTop w:val="0"/>
          <w:marBottom w:val="0"/>
          <w:divBdr>
            <w:top w:val="none" w:sz="0" w:space="0" w:color="auto"/>
            <w:left w:val="none" w:sz="0" w:space="0" w:color="auto"/>
            <w:bottom w:val="none" w:sz="0" w:space="0" w:color="auto"/>
            <w:right w:val="none" w:sz="0" w:space="0" w:color="auto"/>
          </w:divBdr>
          <w:divsChild>
            <w:div w:id="95166741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723677581">
      <w:marLeft w:val="0"/>
      <w:marRight w:val="0"/>
      <w:marTop w:val="0"/>
      <w:marBottom w:val="60"/>
      <w:divBdr>
        <w:top w:val="none" w:sz="0" w:space="0" w:color="auto"/>
        <w:left w:val="none" w:sz="0" w:space="0" w:color="auto"/>
        <w:bottom w:val="none" w:sz="0" w:space="0" w:color="auto"/>
        <w:right w:val="none" w:sz="0" w:space="0" w:color="auto"/>
      </w:divBdr>
    </w:div>
    <w:div w:id="726144460">
      <w:marLeft w:val="0"/>
      <w:marRight w:val="0"/>
      <w:marTop w:val="0"/>
      <w:marBottom w:val="0"/>
      <w:divBdr>
        <w:top w:val="none" w:sz="0" w:space="0" w:color="auto"/>
        <w:left w:val="none" w:sz="0" w:space="0" w:color="auto"/>
        <w:bottom w:val="none" w:sz="0" w:space="0" w:color="auto"/>
        <w:right w:val="none" w:sz="0" w:space="0" w:color="auto"/>
      </w:divBdr>
      <w:divsChild>
        <w:div w:id="385446257">
          <w:marLeft w:val="0"/>
          <w:marRight w:val="0"/>
          <w:marTop w:val="0"/>
          <w:marBottom w:val="0"/>
          <w:divBdr>
            <w:top w:val="none" w:sz="0" w:space="0" w:color="auto"/>
            <w:left w:val="none" w:sz="0" w:space="0" w:color="auto"/>
            <w:bottom w:val="none" w:sz="0" w:space="0" w:color="auto"/>
            <w:right w:val="none" w:sz="0" w:space="0" w:color="auto"/>
          </w:divBdr>
        </w:div>
      </w:divsChild>
    </w:div>
    <w:div w:id="727462050">
      <w:marLeft w:val="0"/>
      <w:marRight w:val="0"/>
      <w:marTop w:val="0"/>
      <w:marBottom w:val="0"/>
      <w:divBdr>
        <w:top w:val="none" w:sz="0" w:space="0" w:color="auto"/>
        <w:left w:val="none" w:sz="0" w:space="0" w:color="auto"/>
        <w:bottom w:val="none" w:sz="0" w:space="0" w:color="auto"/>
        <w:right w:val="none" w:sz="0" w:space="0" w:color="auto"/>
      </w:divBdr>
    </w:div>
    <w:div w:id="728453814">
      <w:marLeft w:val="0"/>
      <w:marRight w:val="0"/>
      <w:marTop w:val="240"/>
      <w:marBottom w:val="0"/>
      <w:divBdr>
        <w:top w:val="none" w:sz="0" w:space="0" w:color="auto"/>
        <w:left w:val="none" w:sz="0" w:space="0" w:color="auto"/>
        <w:bottom w:val="none" w:sz="0" w:space="0" w:color="auto"/>
        <w:right w:val="none" w:sz="0" w:space="0" w:color="auto"/>
      </w:divBdr>
    </w:div>
    <w:div w:id="729695915">
      <w:marLeft w:val="0"/>
      <w:marRight w:val="0"/>
      <w:marTop w:val="0"/>
      <w:marBottom w:val="0"/>
      <w:divBdr>
        <w:top w:val="none" w:sz="0" w:space="0" w:color="auto"/>
        <w:left w:val="none" w:sz="0" w:space="0" w:color="auto"/>
        <w:bottom w:val="none" w:sz="0" w:space="0" w:color="auto"/>
        <w:right w:val="none" w:sz="0" w:space="0" w:color="auto"/>
      </w:divBdr>
      <w:divsChild>
        <w:div w:id="1302536405">
          <w:marLeft w:val="0"/>
          <w:marRight w:val="0"/>
          <w:marTop w:val="0"/>
          <w:marBottom w:val="0"/>
          <w:divBdr>
            <w:top w:val="none" w:sz="0" w:space="0" w:color="auto"/>
            <w:left w:val="none" w:sz="0" w:space="0" w:color="auto"/>
            <w:bottom w:val="none" w:sz="0" w:space="0" w:color="auto"/>
            <w:right w:val="none" w:sz="0" w:space="0" w:color="auto"/>
          </w:divBdr>
          <w:divsChild>
            <w:div w:id="86687128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732312419">
      <w:marLeft w:val="0"/>
      <w:marRight w:val="0"/>
      <w:marTop w:val="120"/>
      <w:marBottom w:val="0"/>
      <w:divBdr>
        <w:top w:val="none" w:sz="0" w:space="0" w:color="auto"/>
        <w:left w:val="none" w:sz="0" w:space="0" w:color="auto"/>
        <w:bottom w:val="none" w:sz="0" w:space="0" w:color="auto"/>
        <w:right w:val="none" w:sz="0" w:space="0" w:color="auto"/>
      </w:divBdr>
    </w:div>
    <w:div w:id="733894684">
      <w:marLeft w:val="0"/>
      <w:marRight w:val="0"/>
      <w:marTop w:val="240"/>
      <w:marBottom w:val="0"/>
      <w:divBdr>
        <w:top w:val="none" w:sz="0" w:space="0" w:color="auto"/>
        <w:left w:val="none" w:sz="0" w:space="0" w:color="auto"/>
        <w:bottom w:val="none" w:sz="0" w:space="0" w:color="auto"/>
        <w:right w:val="none" w:sz="0" w:space="0" w:color="auto"/>
      </w:divBdr>
    </w:div>
    <w:div w:id="734815130">
      <w:marLeft w:val="0"/>
      <w:marRight w:val="0"/>
      <w:marTop w:val="160"/>
      <w:marBottom w:val="0"/>
      <w:divBdr>
        <w:top w:val="none" w:sz="0" w:space="0" w:color="auto"/>
        <w:left w:val="none" w:sz="0" w:space="0" w:color="auto"/>
        <w:bottom w:val="none" w:sz="0" w:space="0" w:color="auto"/>
        <w:right w:val="none" w:sz="0" w:space="0" w:color="auto"/>
      </w:divBdr>
    </w:div>
    <w:div w:id="737216652">
      <w:marLeft w:val="0"/>
      <w:marRight w:val="0"/>
      <w:marTop w:val="0"/>
      <w:marBottom w:val="0"/>
      <w:divBdr>
        <w:top w:val="none" w:sz="0" w:space="0" w:color="auto"/>
        <w:left w:val="none" w:sz="0" w:space="0" w:color="auto"/>
        <w:bottom w:val="none" w:sz="0" w:space="0" w:color="auto"/>
        <w:right w:val="none" w:sz="0" w:space="0" w:color="auto"/>
      </w:divBdr>
      <w:divsChild>
        <w:div w:id="598756468">
          <w:marLeft w:val="0"/>
          <w:marRight w:val="0"/>
          <w:marTop w:val="0"/>
          <w:marBottom w:val="0"/>
          <w:divBdr>
            <w:top w:val="none" w:sz="0" w:space="0" w:color="auto"/>
            <w:left w:val="none" w:sz="0" w:space="0" w:color="auto"/>
            <w:bottom w:val="none" w:sz="0" w:space="0" w:color="auto"/>
            <w:right w:val="none" w:sz="0" w:space="0" w:color="auto"/>
          </w:divBdr>
        </w:div>
      </w:divsChild>
    </w:div>
    <w:div w:id="738333403">
      <w:marLeft w:val="0"/>
      <w:marRight w:val="0"/>
      <w:marTop w:val="120"/>
      <w:marBottom w:val="0"/>
      <w:divBdr>
        <w:top w:val="none" w:sz="0" w:space="0" w:color="auto"/>
        <w:left w:val="none" w:sz="0" w:space="0" w:color="auto"/>
        <w:bottom w:val="none" w:sz="0" w:space="0" w:color="auto"/>
        <w:right w:val="none" w:sz="0" w:space="0" w:color="auto"/>
      </w:divBdr>
    </w:div>
    <w:div w:id="738403757">
      <w:marLeft w:val="0"/>
      <w:marRight w:val="0"/>
      <w:marTop w:val="0"/>
      <w:marBottom w:val="0"/>
      <w:divBdr>
        <w:top w:val="none" w:sz="0" w:space="0" w:color="auto"/>
        <w:left w:val="none" w:sz="0" w:space="0" w:color="auto"/>
        <w:bottom w:val="none" w:sz="0" w:space="0" w:color="auto"/>
        <w:right w:val="none" w:sz="0" w:space="0" w:color="auto"/>
      </w:divBdr>
      <w:divsChild>
        <w:div w:id="30037696">
          <w:marLeft w:val="0"/>
          <w:marRight w:val="0"/>
          <w:marTop w:val="0"/>
          <w:marBottom w:val="0"/>
          <w:divBdr>
            <w:top w:val="none" w:sz="0" w:space="0" w:color="auto"/>
            <w:left w:val="none" w:sz="0" w:space="0" w:color="auto"/>
            <w:bottom w:val="none" w:sz="0" w:space="0" w:color="auto"/>
            <w:right w:val="none" w:sz="0" w:space="0" w:color="auto"/>
          </w:divBdr>
        </w:div>
      </w:divsChild>
    </w:div>
    <w:div w:id="738403936">
      <w:marLeft w:val="0"/>
      <w:marRight w:val="0"/>
      <w:marTop w:val="160"/>
      <w:marBottom w:val="0"/>
      <w:divBdr>
        <w:top w:val="none" w:sz="0" w:space="0" w:color="auto"/>
        <w:left w:val="none" w:sz="0" w:space="0" w:color="auto"/>
        <w:bottom w:val="none" w:sz="0" w:space="0" w:color="auto"/>
        <w:right w:val="none" w:sz="0" w:space="0" w:color="auto"/>
      </w:divBdr>
    </w:div>
    <w:div w:id="740564800">
      <w:marLeft w:val="0"/>
      <w:marRight w:val="0"/>
      <w:marTop w:val="200"/>
      <w:marBottom w:val="0"/>
      <w:divBdr>
        <w:top w:val="none" w:sz="0" w:space="0" w:color="auto"/>
        <w:left w:val="none" w:sz="0" w:space="0" w:color="auto"/>
        <w:bottom w:val="none" w:sz="0" w:space="0" w:color="auto"/>
        <w:right w:val="none" w:sz="0" w:space="0" w:color="auto"/>
      </w:divBdr>
    </w:div>
    <w:div w:id="742146397">
      <w:marLeft w:val="0"/>
      <w:marRight w:val="0"/>
      <w:marTop w:val="240"/>
      <w:marBottom w:val="0"/>
      <w:divBdr>
        <w:top w:val="none" w:sz="0" w:space="0" w:color="auto"/>
        <w:left w:val="none" w:sz="0" w:space="0" w:color="auto"/>
        <w:bottom w:val="none" w:sz="0" w:space="0" w:color="auto"/>
        <w:right w:val="none" w:sz="0" w:space="0" w:color="auto"/>
      </w:divBdr>
    </w:div>
    <w:div w:id="742221919">
      <w:marLeft w:val="0"/>
      <w:marRight w:val="0"/>
      <w:marTop w:val="200"/>
      <w:marBottom w:val="0"/>
      <w:divBdr>
        <w:top w:val="none" w:sz="0" w:space="0" w:color="auto"/>
        <w:left w:val="none" w:sz="0" w:space="0" w:color="auto"/>
        <w:bottom w:val="none" w:sz="0" w:space="0" w:color="auto"/>
        <w:right w:val="none" w:sz="0" w:space="0" w:color="auto"/>
      </w:divBdr>
    </w:div>
    <w:div w:id="742993986">
      <w:marLeft w:val="0"/>
      <w:marRight w:val="0"/>
      <w:marTop w:val="0"/>
      <w:marBottom w:val="60"/>
      <w:divBdr>
        <w:top w:val="none" w:sz="0" w:space="0" w:color="auto"/>
        <w:left w:val="none" w:sz="0" w:space="0" w:color="auto"/>
        <w:bottom w:val="none" w:sz="0" w:space="0" w:color="auto"/>
        <w:right w:val="none" w:sz="0" w:space="0" w:color="auto"/>
      </w:divBdr>
    </w:div>
    <w:div w:id="743844661">
      <w:marLeft w:val="0"/>
      <w:marRight w:val="0"/>
      <w:marTop w:val="0"/>
      <w:marBottom w:val="0"/>
      <w:divBdr>
        <w:top w:val="none" w:sz="0" w:space="0" w:color="auto"/>
        <w:left w:val="none" w:sz="0" w:space="0" w:color="auto"/>
        <w:bottom w:val="none" w:sz="0" w:space="0" w:color="auto"/>
        <w:right w:val="none" w:sz="0" w:space="0" w:color="auto"/>
      </w:divBdr>
      <w:divsChild>
        <w:div w:id="881139248">
          <w:marLeft w:val="0"/>
          <w:marRight w:val="0"/>
          <w:marTop w:val="0"/>
          <w:marBottom w:val="0"/>
          <w:divBdr>
            <w:top w:val="none" w:sz="0" w:space="0" w:color="auto"/>
            <w:left w:val="none" w:sz="0" w:space="0" w:color="auto"/>
            <w:bottom w:val="none" w:sz="0" w:space="0" w:color="auto"/>
            <w:right w:val="none" w:sz="0" w:space="0" w:color="auto"/>
          </w:divBdr>
          <w:divsChild>
            <w:div w:id="32474667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744883047">
      <w:marLeft w:val="0"/>
      <w:marRight w:val="0"/>
      <w:marTop w:val="240"/>
      <w:marBottom w:val="0"/>
      <w:divBdr>
        <w:top w:val="none" w:sz="0" w:space="0" w:color="auto"/>
        <w:left w:val="none" w:sz="0" w:space="0" w:color="auto"/>
        <w:bottom w:val="none" w:sz="0" w:space="0" w:color="auto"/>
        <w:right w:val="none" w:sz="0" w:space="0" w:color="auto"/>
      </w:divBdr>
    </w:div>
    <w:div w:id="745152578">
      <w:marLeft w:val="0"/>
      <w:marRight w:val="0"/>
      <w:marTop w:val="240"/>
      <w:marBottom w:val="0"/>
      <w:divBdr>
        <w:top w:val="none" w:sz="0" w:space="0" w:color="auto"/>
        <w:left w:val="none" w:sz="0" w:space="0" w:color="auto"/>
        <w:bottom w:val="none" w:sz="0" w:space="0" w:color="auto"/>
        <w:right w:val="none" w:sz="0" w:space="0" w:color="auto"/>
      </w:divBdr>
    </w:div>
    <w:div w:id="745227558">
      <w:marLeft w:val="0"/>
      <w:marRight w:val="0"/>
      <w:marTop w:val="120"/>
      <w:marBottom w:val="0"/>
      <w:divBdr>
        <w:top w:val="none" w:sz="0" w:space="0" w:color="auto"/>
        <w:left w:val="none" w:sz="0" w:space="0" w:color="auto"/>
        <w:bottom w:val="none" w:sz="0" w:space="0" w:color="auto"/>
        <w:right w:val="none" w:sz="0" w:space="0" w:color="auto"/>
      </w:divBdr>
    </w:div>
    <w:div w:id="745617320">
      <w:marLeft w:val="0"/>
      <w:marRight w:val="0"/>
      <w:marTop w:val="240"/>
      <w:marBottom w:val="0"/>
      <w:divBdr>
        <w:top w:val="none" w:sz="0" w:space="0" w:color="auto"/>
        <w:left w:val="none" w:sz="0" w:space="0" w:color="auto"/>
        <w:bottom w:val="none" w:sz="0" w:space="0" w:color="auto"/>
        <w:right w:val="none" w:sz="0" w:space="0" w:color="auto"/>
      </w:divBdr>
    </w:div>
    <w:div w:id="745807776">
      <w:marLeft w:val="0"/>
      <w:marRight w:val="0"/>
      <w:marTop w:val="180"/>
      <w:marBottom w:val="0"/>
      <w:divBdr>
        <w:top w:val="none" w:sz="0" w:space="0" w:color="auto"/>
        <w:left w:val="none" w:sz="0" w:space="0" w:color="auto"/>
        <w:bottom w:val="none" w:sz="0" w:space="0" w:color="auto"/>
        <w:right w:val="none" w:sz="0" w:space="0" w:color="auto"/>
      </w:divBdr>
    </w:div>
    <w:div w:id="747727434">
      <w:marLeft w:val="0"/>
      <w:marRight w:val="0"/>
      <w:marTop w:val="240"/>
      <w:marBottom w:val="0"/>
      <w:divBdr>
        <w:top w:val="none" w:sz="0" w:space="0" w:color="auto"/>
        <w:left w:val="none" w:sz="0" w:space="0" w:color="auto"/>
        <w:bottom w:val="none" w:sz="0" w:space="0" w:color="auto"/>
        <w:right w:val="none" w:sz="0" w:space="0" w:color="auto"/>
      </w:divBdr>
    </w:div>
    <w:div w:id="749305193">
      <w:marLeft w:val="0"/>
      <w:marRight w:val="0"/>
      <w:marTop w:val="240"/>
      <w:marBottom w:val="0"/>
      <w:divBdr>
        <w:top w:val="none" w:sz="0" w:space="0" w:color="auto"/>
        <w:left w:val="none" w:sz="0" w:space="0" w:color="auto"/>
        <w:bottom w:val="none" w:sz="0" w:space="0" w:color="auto"/>
        <w:right w:val="none" w:sz="0" w:space="0" w:color="auto"/>
      </w:divBdr>
    </w:div>
    <w:div w:id="749887237">
      <w:marLeft w:val="0"/>
      <w:marRight w:val="0"/>
      <w:marTop w:val="240"/>
      <w:marBottom w:val="240"/>
      <w:divBdr>
        <w:top w:val="none" w:sz="0" w:space="0" w:color="auto"/>
        <w:left w:val="none" w:sz="0" w:space="0" w:color="auto"/>
        <w:bottom w:val="none" w:sz="0" w:space="0" w:color="auto"/>
        <w:right w:val="none" w:sz="0" w:space="0" w:color="auto"/>
      </w:divBdr>
    </w:div>
    <w:div w:id="750539407">
      <w:marLeft w:val="0"/>
      <w:marRight w:val="0"/>
      <w:marTop w:val="200"/>
      <w:marBottom w:val="0"/>
      <w:divBdr>
        <w:top w:val="none" w:sz="0" w:space="0" w:color="auto"/>
        <w:left w:val="none" w:sz="0" w:space="0" w:color="auto"/>
        <w:bottom w:val="none" w:sz="0" w:space="0" w:color="auto"/>
        <w:right w:val="none" w:sz="0" w:space="0" w:color="auto"/>
      </w:divBdr>
    </w:div>
    <w:div w:id="751901440">
      <w:marLeft w:val="0"/>
      <w:marRight w:val="0"/>
      <w:marTop w:val="240"/>
      <w:marBottom w:val="0"/>
      <w:divBdr>
        <w:top w:val="none" w:sz="0" w:space="0" w:color="auto"/>
        <w:left w:val="none" w:sz="0" w:space="0" w:color="auto"/>
        <w:bottom w:val="none" w:sz="0" w:space="0" w:color="auto"/>
        <w:right w:val="none" w:sz="0" w:space="0" w:color="auto"/>
      </w:divBdr>
    </w:div>
    <w:div w:id="752582296">
      <w:marLeft w:val="0"/>
      <w:marRight w:val="0"/>
      <w:marTop w:val="140"/>
      <w:marBottom w:val="0"/>
      <w:divBdr>
        <w:top w:val="none" w:sz="0" w:space="0" w:color="auto"/>
        <w:left w:val="none" w:sz="0" w:space="0" w:color="auto"/>
        <w:bottom w:val="none" w:sz="0" w:space="0" w:color="auto"/>
        <w:right w:val="none" w:sz="0" w:space="0" w:color="auto"/>
      </w:divBdr>
    </w:div>
    <w:div w:id="753549360">
      <w:marLeft w:val="0"/>
      <w:marRight w:val="0"/>
      <w:marTop w:val="60"/>
      <w:marBottom w:val="0"/>
      <w:divBdr>
        <w:top w:val="none" w:sz="0" w:space="0" w:color="auto"/>
        <w:left w:val="none" w:sz="0" w:space="0" w:color="auto"/>
        <w:bottom w:val="none" w:sz="0" w:space="0" w:color="auto"/>
        <w:right w:val="none" w:sz="0" w:space="0" w:color="auto"/>
      </w:divBdr>
    </w:div>
    <w:div w:id="753670868">
      <w:marLeft w:val="0"/>
      <w:marRight w:val="0"/>
      <w:marTop w:val="240"/>
      <w:marBottom w:val="0"/>
      <w:divBdr>
        <w:top w:val="none" w:sz="0" w:space="0" w:color="auto"/>
        <w:left w:val="none" w:sz="0" w:space="0" w:color="auto"/>
        <w:bottom w:val="none" w:sz="0" w:space="0" w:color="auto"/>
        <w:right w:val="none" w:sz="0" w:space="0" w:color="auto"/>
      </w:divBdr>
    </w:div>
    <w:div w:id="754286384">
      <w:marLeft w:val="0"/>
      <w:marRight w:val="0"/>
      <w:marTop w:val="240"/>
      <w:marBottom w:val="0"/>
      <w:divBdr>
        <w:top w:val="none" w:sz="0" w:space="0" w:color="auto"/>
        <w:left w:val="none" w:sz="0" w:space="0" w:color="auto"/>
        <w:bottom w:val="none" w:sz="0" w:space="0" w:color="auto"/>
        <w:right w:val="none" w:sz="0" w:space="0" w:color="auto"/>
      </w:divBdr>
    </w:div>
    <w:div w:id="754403177">
      <w:marLeft w:val="0"/>
      <w:marRight w:val="0"/>
      <w:marTop w:val="0"/>
      <w:marBottom w:val="120"/>
      <w:divBdr>
        <w:top w:val="none" w:sz="0" w:space="0" w:color="auto"/>
        <w:left w:val="none" w:sz="0" w:space="0" w:color="auto"/>
        <w:bottom w:val="none" w:sz="0" w:space="0" w:color="auto"/>
        <w:right w:val="none" w:sz="0" w:space="0" w:color="auto"/>
      </w:divBdr>
    </w:div>
    <w:div w:id="756555812">
      <w:marLeft w:val="0"/>
      <w:marRight w:val="0"/>
      <w:marTop w:val="200"/>
      <w:marBottom w:val="0"/>
      <w:divBdr>
        <w:top w:val="none" w:sz="0" w:space="0" w:color="auto"/>
        <w:left w:val="none" w:sz="0" w:space="0" w:color="auto"/>
        <w:bottom w:val="none" w:sz="0" w:space="0" w:color="auto"/>
        <w:right w:val="none" w:sz="0" w:space="0" w:color="auto"/>
      </w:divBdr>
    </w:div>
    <w:div w:id="758016046">
      <w:marLeft w:val="0"/>
      <w:marRight w:val="0"/>
      <w:marTop w:val="0"/>
      <w:marBottom w:val="0"/>
      <w:divBdr>
        <w:top w:val="none" w:sz="0" w:space="0" w:color="auto"/>
        <w:left w:val="none" w:sz="0" w:space="0" w:color="auto"/>
        <w:bottom w:val="none" w:sz="0" w:space="0" w:color="auto"/>
        <w:right w:val="none" w:sz="0" w:space="0" w:color="auto"/>
      </w:divBdr>
    </w:div>
    <w:div w:id="759107790">
      <w:marLeft w:val="0"/>
      <w:marRight w:val="0"/>
      <w:marTop w:val="240"/>
      <w:marBottom w:val="0"/>
      <w:divBdr>
        <w:top w:val="none" w:sz="0" w:space="0" w:color="auto"/>
        <w:left w:val="none" w:sz="0" w:space="0" w:color="auto"/>
        <w:bottom w:val="none" w:sz="0" w:space="0" w:color="auto"/>
        <w:right w:val="none" w:sz="0" w:space="0" w:color="auto"/>
      </w:divBdr>
    </w:div>
    <w:div w:id="762606590">
      <w:marLeft w:val="0"/>
      <w:marRight w:val="0"/>
      <w:marTop w:val="0"/>
      <w:marBottom w:val="0"/>
      <w:divBdr>
        <w:top w:val="none" w:sz="0" w:space="0" w:color="auto"/>
        <w:left w:val="none" w:sz="0" w:space="0" w:color="auto"/>
        <w:bottom w:val="none" w:sz="0" w:space="0" w:color="auto"/>
        <w:right w:val="none" w:sz="0" w:space="0" w:color="auto"/>
      </w:divBdr>
      <w:divsChild>
        <w:div w:id="939681667">
          <w:marLeft w:val="0"/>
          <w:marRight w:val="0"/>
          <w:marTop w:val="0"/>
          <w:marBottom w:val="0"/>
          <w:divBdr>
            <w:top w:val="none" w:sz="0" w:space="0" w:color="auto"/>
            <w:left w:val="none" w:sz="0" w:space="0" w:color="auto"/>
            <w:bottom w:val="none" w:sz="0" w:space="0" w:color="auto"/>
            <w:right w:val="none" w:sz="0" w:space="0" w:color="auto"/>
          </w:divBdr>
          <w:divsChild>
            <w:div w:id="52228074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764304110">
      <w:marLeft w:val="0"/>
      <w:marRight w:val="0"/>
      <w:marTop w:val="220"/>
      <w:marBottom w:val="0"/>
      <w:divBdr>
        <w:top w:val="none" w:sz="0" w:space="0" w:color="auto"/>
        <w:left w:val="none" w:sz="0" w:space="0" w:color="auto"/>
        <w:bottom w:val="none" w:sz="0" w:space="0" w:color="auto"/>
        <w:right w:val="none" w:sz="0" w:space="0" w:color="auto"/>
      </w:divBdr>
    </w:div>
    <w:div w:id="768627574">
      <w:marLeft w:val="0"/>
      <w:marRight w:val="0"/>
      <w:marTop w:val="140"/>
      <w:marBottom w:val="0"/>
      <w:divBdr>
        <w:top w:val="none" w:sz="0" w:space="0" w:color="auto"/>
        <w:left w:val="none" w:sz="0" w:space="0" w:color="auto"/>
        <w:bottom w:val="none" w:sz="0" w:space="0" w:color="auto"/>
        <w:right w:val="none" w:sz="0" w:space="0" w:color="auto"/>
      </w:divBdr>
    </w:div>
    <w:div w:id="771124794">
      <w:marLeft w:val="0"/>
      <w:marRight w:val="0"/>
      <w:marTop w:val="240"/>
      <w:marBottom w:val="0"/>
      <w:divBdr>
        <w:top w:val="none" w:sz="0" w:space="0" w:color="auto"/>
        <w:left w:val="none" w:sz="0" w:space="0" w:color="auto"/>
        <w:bottom w:val="none" w:sz="0" w:space="0" w:color="auto"/>
        <w:right w:val="none" w:sz="0" w:space="0" w:color="auto"/>
      </w:divBdr>
    </w:div>
    <w:div w:id="771247010">
      <w:marLeft w:val="0"/>
      <w:marRight w:val="0"/>
      <w:marTop w:val="240"/>
      <w:marBottom w:val="0"/>
      <w:divBdr>
        <w:top w:val="none" w:sz="0" w:space="0" w:color="auto"/>
        <w:left w:val="none" w:sz="0" w:space="0" w:color="auto"/>
        <w:bottom w:val="none" w:sz="0" w:space="0" w:color="auto"/>
        <w:right w:val="none" w:sz="0" w:space="0" w:color="auto"/>
      </w:divBdr>
    </w:div>
    <w:div w:id="772170710">
      <w:marLeft w:val="0"/>
      <w:marRight w:val="0"/>
      <w:marTop w:val="180"/>
      <w:marBottom w:val="0"/>
      <w:divBdr>
        <w:top w:val="none" w:sz="0" w:space="0" w:color="auto"/>
        <w:left w:val="none" w:sz="0" w:space="0" w:color="auto"/>
        <w:bottom w:val="none" w:sz="0" w:space="0" w:color="auto"/>
        <w:right w:val="none" w:sz="0" w:space="0" w:color="auto"/>
      </w:divBdr>
    </w:div>
    <w:div w:id="772438262">
      <w:marLeft w:val="0"/>
      <w:marRight w:val="0"/>
      <w:marTop w:val="240"/>
      <w:marBottom w:val="0"/>
      <w:divBdr>
        <w:top w:val="none" w:sz="0" w:space="0" w:color="auto"/>
        <w:left w:val="none" w:sz="0" w:space="0" w:color="auto"/>
        <w:bottom w:val="none" w:sz="0" w:space="0" w:color="auto"/>
        <w:right w:val="none" w:sz="0" w:space="0" w:color="auto"/>
      </w:divBdr>
    </w:div>
    <w:div w:id="773132184">
      <w:marLeft w:val="0"/>
      <w:marRight w:val="0"/>
      <w:marTop w:val="240"/>
      <w:marBottom w:val="0"/>
      <w:divBdr>
        <w:top w:val="none" w:sz="0" w:space="0" w:color="auto"/>
        <w:left w:val="none" w:sz="0" w:space="0" w:color="auto"/>
        <w:bottom w:val="none" w:sz="0" w:space="0" w:color="auto"/>
        <w:right w:val="none" w:sz="0" w:space="0" w:color="auto"/>
      </w:divBdr>
    </w:div>
    <w:div w:id="773134846">
      <w:marLeft w:val="0"/>
      <w:marRight w:val="0"/>
      <w:marTop w:val="0"/>
      <w:marBottom w:val="0"/>
      <w:divBdr>
        <w:top w:val="none" w:sz="0" w:space="0" w:color="auto"/>
        <w:left w:val="none" w:sz="0" w:space="0" w:color="auto"/>
        <w:bottom w:val="none" w:sz="0" w:space="0" w:color="auto"/>
        <w:right w:val="none" w:sz="0" w:space="0" w:color="auto"/>
      </w:divBdr>
      <w:divsChild>
        <w:div w:id="558369290">
          <w:marLeft w:val="0"/>
          <w:marRight w:val="0"/>
          <w:marTop w:val="0"/>
          <w:marBottom w:val="0"/>
          <w:divBdr>
            <w:top w:val="none" w:sz="0" w:space="0" w:color="auto"/>
            <w:left w:val="none" w:sz="0" w:space="0" w:color="auto"/>
            <w:bottom w:val="none" w:sz="0" w:space="0" w:color="auto"/>
            <w:right w:val="none" w:sz="0" w:space="0" w:color="auto"/>
          </w:divBdr>
        </w:div>
      </w:divsChild>
    </w:div>
    <w:div w:id="773473715">
      <w:marLeft w:val="0"/>
      <w:marRight w:val="0"/>
      <w:marTop w:val="140"/>
      <w:marBottom w:val="0"/>
      <w:divBdr>
        <w:top w:val="none" w:sz="0" w:space="0" w:color="auto"/>
        <w:left w:val="none" w:sz="0" w:space="0" w:color="auto"/>
        <w:bottom w:val="none" w:sz="0" w:space="0" w:color="auto"/>
        <w:right w:val="none" w:sz="0" w:space="0" w:color="auto"/>
      </w:divBdr>
    </w:div>
    <w:div w:id="776363441">
      <w:marLeft w:val="0"/>
      <w:marRight w:val="0"/>
      <w:marTop w:val="60"/>
      <w:marBottom w:val="0"/>
      <w:divBdr>
        <w:top w:val="none" w:sz="0" w:space="0" w:color="auto"/>
        <w:left w:val="none" w:sz="0" w:space="0" w:color="auto"/>
        <w:bottom w:val="none" w:sz="0" w:space="0" w:color="auto"/>
        <w:right w:val="none" w:sz="0" w:space="0" w:color="auto"/>
      </w:divBdr>
    </w:div>
    <w:div w:id="777456699">
      <w:marLeft w:val="0"/>
      <w:marRight w:val="0"/>
      <w:marTop w:val="0"/>
      <w:marBottom w:val="0"/>
      <w:divBdr>
        <w:top w:val="none" w:sz="0" w:space="0" w:color="auto"/>
        <w:left w:val="none" w:sz="0" w:space="0" w:color="auto"/>
        <w:bottom w:val="none" w:sz="0" w:space="0" w:color="auto"/>
        <w:right w:val="none" w:sz="0" w:space="0" w:color="auto"/>
      </w:divBdr>
      <w:divsChild>
        <w:div w:id="1211961233">
          <w:marLeft w:val="0"/>
          <w:marRight w:val="0"/>
          <w:marTop w:val="0"/>
          <w:marBottom w:val="0"/>
          <w:divBdr>
            <w:top w:val="none" w:sz="0" w:space="0" w:color="auto"/>
            <w:left w:val="none" w:sz="0" w:space="0" w:color="auto"/>
            <w:bottom w:val="none" w:sz="0" w:space="0" w:color="auto"/>
            <w:right w:val="none" w:sz="0" w:space="0" w:color="auto"/>
          </w:divBdr>
          <w:divsChild>
            <w:div w:id="176849847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781152446">
      <w:marLeft w:val="0"/>
      <w:marRight w:val="0"/>
      <w:marTop w:val="240"/>
      <w:marBottom w:val="0"/>
      <w:divBdr>
        <w:top w:val="none" w:sz="0" w:space="0" w:color="auto"/>
        <w:left w:val="none" w:sz="0" w:space="0" w:color="auto"/>
        <w:bottom w:val="none" w:sz="0" w:space="0" w:color="auto"/>
        <w:right w:val="none" w:sz="0" w:space="0" w:color="auto"/>
      </w:divBdr>
    </w:div>
    <w:div w:id="783157181">
      <w:marLeft w:val="0"/>
      <w:marRight w:val="0"/>
      <w:marTop w:val="0"/>
      <w:marBottom w:val="0"/>
      <w:divBdr>
        <w:top w:val="none" w:sz="0" w:space="0" w:color="auto"/>
        <w:left w:val="none" w:sz="0" w:space="0" w:color="auto"/>
        <w:bottom w:val="none" w:sz="0" w:space="0" w:color="auto"/>
        <w:right w:val="none" w:sz="0" w:space="0" w:color="auto"/>
      </w:divBdr>
    </w:div>
    <w:div w:id="783770838">
      <w:marLeft w:val="0"/>
      <w:marRight w:val="0"/>
      <w:marTop w:val="300"/>
      <w:marBottom w:val="0"/>
      <w:divBdr>
        <w:top w:val="none" w:sz="0" w:space="0" w:color="auto"/>
        <w:left w:val="none" w:sz="0" w:space="0" w:color="auto"/>
        <w:bottom w:val="none" w:sz="0" w:space="0" w:color="auto"/>
        <w:right w:val="none" w:sz="0" w:space="0" w:color="auto"/>
      </w:divBdr>
    </w:div>
    <w:div w:id="785544415">
      <w:marLeft w:val="0"/>
      <w:marRight w:val="0"/>
      <w:marTop w:val="0"/>
      <w:marBottom w:val="0"/>
      <w:divBdr>
        <w:top w:val="none" w:sz="0" w:space="0" w:color="auto"/>
        <w:left w:val="none" w:sz="0" w:space="0" w:color="auto"/>
        <w:bottom w:val="none" w:sz="0" w:space="0" w:color="auto"/>
        <w:right w:val="none" w:sz="0" w:space="0" w:color="auto"/>
      </w:divBdr>
      <w:divsChild>
        <w:div w:id="160777082">
          <w:marLeft w:val="0"/>
          <w:marRight w:val="0"/>
          <w:marTop w:val="0"/>
          <w:marBottom w:val="0"/>
          <w:divBdr>
            <w:top w:val="none" w:sz="0" w:space="0" w:color="auto"/>
            <w:left w:val="none" w:sz="0" w:space="0" w:color="auto"/>
            <w:bottom w:val="none" w:sz="0" w:space="0" w:color="auto"/>
            <w:right w:val="none" w:sz="0" w:space="0" w:color="auto"/>
          </w:divBdr>
          <w:divsChild>
            <w:div w:id="194159770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786120801">
      <w:marLeft w:val="0"/>
      <w:marRight w:val="0"/>
      <w:marTop w:val="240"/>
      <w:marBottom w:val="0"/>
      <w:divBdr>
        <w:top w:val="none" w:sz="0" w:space="0" w:color="auto"/>
        <w:left w:val="none" w:sz="0" w:space="0" w:color="auto"/>
        <w:bottom w:val="none" w:sz="0" w:space="0" w:color="auto"/>
        <w:right w:val="none" w:sz="0" w:space="0" w:color="auto"/>
      </w:divBdr>
    </w:div>
    <w:div w:id="787045717">
      <w:marLeft w:val="0"/>
      <w:marRight w:val="0"/>
      <w:marTop w:val="240"/>
      <w:marBottom w:val="0"/>
      <w:divBdr>
        <w:top w:val="none" w:sz="0" w:space="0" w:color="auto"/>
        <w:left w:val="none" w:sz="0" w:space="0" w:color="auto"/>
        <w:bottom w:val="none" w:sz="0" w:space="0" w:color="auto"/>
        <w:right w:val="none" w:sz="0" w:space="0" w:color="auto"/>
      </w:divBdr>
    </w:div>
    <w:div w:id="790199961">
      <w:marLeft w:val="0"/>
      <w:marRight w:val="0"/>
      <w:marTop w:val="0"/>
      <w:marBottom w:val="60"/>
      <w:divBdr>
        <w:top w:val="none" w:sz="0" w:space="0" w:color="auto"/>
        <w:left w:val="none" w:sz="0" w:space="0" w:color="auto"/>
        <w:bottom w:val="none" w:sz="0" w:space="0" w:color="auto"/>
        <w:right w:val="none" w:sz="0" w:space="0" w:color="auto"/>
      </w:divBdr>
    </w:div>
    <w:div w:id="796726580">
      <w:marLeft w:val="0"/>
      <w:marRight w:val="0"/>
      <w:marTop w:val="240"/>
      <w:marBottom w:val="0"/>
      <w:divBdr>
        <w:top w:val="none" w:sz="0" w:space="0" w:color="auto"/>
        <w:left w:val="none" w:sz="0" w:space="0" w:color="auto"/>
        <w:bottom w:val="none" w:sz="0" w:space="0" w:color="auto"/>
        <w:right w:val="none" w:sz="0" w:space="0" w:color="auto"/>
      </w:divBdr>
    </w:div>
    <w:div w:id="796921745">
      <w:marLeft w:val="0"/>
      <w:marRight w:val="0"/>
      <w:marTop w:val="160"/>
      <w:marBottom w:val="0"/>
      <w:divBdr>
        <w:top w:val="none" w:sz="0" w:space="0" w:color="auto"/>
        <w:left w:val="none" w:sz="0" w:space="0" w:color="auto"/>
        <w:bottom w:val="none" w:sz="0" w:space="0" w:color="auto"/>
        <w:right w:val="none" w:sz="0" w:space="0" w:color="auto"/>
      </w:divBdr>
    </w:div>
    <w:div w:id="798959202">
      <w:marLeft w:val="0"/>
      <w:marRight w:val="0"/>
      <w:marTop w:val="180"/>
      <w:marBottom w:val="0"/>
      <w:divBdr>
        <w:top w:val="none" w:sz="0" w:space="0" w:color="auto"/>
        <w:left w:val="none" w:sz="0" w:space="0" w:color="auto"/>
        <w:bottom w:val="none" w:sz="0" w:space="0" w:color="auto"/>
        <w:right w:val="none" w:sz="0" w:space="0" w:color="auto"/>
      </w:divBdr>
    </w:div>
    <w:div w:id="799495296">
      <w:marLeft w:val="0"/>
      <w:marRight w:val="0"/>
      <w:marTop w:val="120"/>
      <w:marBottom w:val="0"/>
      <w:divBdr>
        <w:top w:val="none" w:sz="0" w:space="0" w:color="auto"/>
        <w:left w:val="none" w:sz="0" w:space="0" w:color="auto"/>
        <w:bottom w:val="none" w:sz="0" w:space="0" w:color="auto"/>
        <w:right w:val="none" w:sz="0" w:space="0" w:color="auto"/>
      </w:divBdr>
    </w:div>
    <w:div w:id="801384003">
      <w:marLeft w:val="0"/>
      <w:marRight w:val="0"/>
      <w:marTop w:val="240"/>
      <w:marBottom w:val="0"/>
      <w:divBdr>
        <w:top w:val="none" w:sz="0" w:space="0" w:color="auto"/>
        <w:left w:val="none" w:sz="0" w:space="0" w:color="auto"/>
        <w:bottom w:val="none" w:sz="0" w:space="0" w:color="auto"/>
        <w:right w:val="none" w:sz="0" w:space="0" w:color="auto"/>
      </w:divBdr>
    </w:div>
    <w:div w:id="803355152">
      <w:marLeft w:val="0"/>
      <w:marRight w:val="0"/>
      <w:marTop w:val="240"/>
      <w:marBottom w:val="0"/>
      <w:divBdr>
        <w:top w:val="none" w:sz="0" w:space="0" w:color="auto"/>
        <w:left w:val="none" w:sz="0" w:space="0" w:color="auto"/>
        <w:bottom w:val="none" w:sz="0" w:space="0" w:color="auto"/>
        <w:right w:val="none" w:sz="0" w:space="0" w:color="auto"/>
      </w:divBdr>
    </w:div>
    <w:div w:id="803740935">
      <w:marLeft w:val="0"/>
      <w:marRight w:val="0"/>
      <w:marTop w:val="0"/>
      <w:marBottom w:val="0"/>
      <w:divBdr>
        <w:top w:val="none" w:sz="0" w:space="0" w:color="auto"/>
        <w:left w:val="none" w:sz="0" w:space="0" w:color="auto"/>
        <w:bottom w:val="none" w:sz="0" w:space="0" w:color="auto"/>
        <w:right w:val="none" w:sz="0" w:space="0" w:color="auto"/>
      </w:divBdr>
      <w:divsChild>
        <w:div w:id="856112737">
          <w:marLeft w:val="0"/>
          <w:marRight w:val="0"/>
          <w:marTop w:val="0"/>
          <w:marBottom w:val="0"/>
          <w:divBdr>
            <w:top w:val="none" w:sz="0" w:space="0" w:color="auto"/>
            <w:left w:val="none" w:sz="0" w:space="0" w:color="auto"/>
            <w:bottom w:val="none" w:sz="0" w:space="0" w:color="auto"/>
            <w:right w:val="none" w:sz="0" w:space="0" w:color="auto"/>
          </w:divBdr>
        </w:div>
      </w:divsChild>
    </w:div>
    <w:div w:id="808596343">
      <w:marLeft w:val="0"/>
      <w:marRight w:val="0"/>
      <w:marTop w:val="240"/>
      <w:marBottom w:val="0"/>
      <w:divBdr>
        <w:top w:val="none" w:sz="0" w:space="0" w:color="auto"/>
        <w:left w:val="none" w:sz="0" w:space="0" w:color="auto"/>
        <w:bottom w:val="none" w:sz="0" w:space="0" w:color="auto"/>
        <w:right w:val="none" w:sz="0" w:space="0" w:color="auto"/>
      </w:divBdr>
    </w:div>
    <w:div w:id="808667952">
      <w:marLeft w:val="0"/>
      <w:marRight w:val="0"/>
      <w:marTop w:val="240"/>
      <w:marBottom w:val="0"/>
      <w:divBdr>
        <w:top w:val="none" w:sz="0" w:space="0" w:color="auto"/>
        <w:left w:val="none" w:sz="0" w:space="0" w:color="auto"/>
        <w:bottom w:val="none" w:sz="0" w:space="0" w:color="auto"/>
        <w:right w:val="none" w:sz="0" w:space="0" w:color="auto"/>
      </w:divBdr>
    </w:div>
    <w:div w:id="808940162">
      <w:marLeft w:val="0"/>
      <w:marRight w:val="0"/>
      <w:marTop w:val="240"/>
      <w:marBottom w:val="0"/>
      <w:divBdr>
        <w:top w:val="none" w:sz="0" w:space="0" w:color="auto"/>
        <w:left w:val="none" w:sz="0" w:space="0" w:color="auto"/>
        <w:bottom w:val="none" w:sz="0" w:space="0" w:color="auto"/>
        <w:right w:val="none" w:sz="0" w:space="0" w:color="auto"/>
      </w:divBdr>
    </w:div>
    <w:div w:id="811365732">
      <w:marLeft w:val="0"/>
      <w:marRight w:val="0"/>
      <w:marTop w:val="0"/>
      <w:marBottom w:val="0"/>
      <w:divBdr>
        <w:top w:val="none" w:sz="0" w:space="0" w:color="auto"/>
        <w:left w:val="none" w:sz="0" w:space="0" w:color="auto"/>
        <w:bottom w:val="none" w:sz="0" w:space="0" w:color="auto"/>
        <w:right w:val="none" w:sz="0" w:space="0" w:color="auto"/>
      </w:divBdr>
    </w:div>
    <w:div w:id="813371917">
      <w:marLeft w:val="0"/>
      <w:marRight w:val="0"/>
      <w:marTop w:val="180"/>
      <w:marBottom w:val="0"/>
      <w:divBdr>
        <w:top w:val="none" w:sz="0" w:space="0" w:color="auto"/>
        <w:left w:val="none" w:sz="0" w:space="0" w:color="auto"/>
        <w:bottom w:val="none" w:sz="0" w:space="0" w:color="auto"/>
        <w:right w:val="none" w:sz="0" w:space="0" w:color="auto"/>
      </w:divBdr>
    </w:div>
    <w:div w:id="814101624">
      <w:marLeft w:val="0"/>
      <w:marRight w:val="0"/>
      <w:marTop w:val="100"/>
      <w:marBottom w:val="0"/>
      <w:divBdr>
        <w:top w:val="none" w:sz="0" w:space="0" w:color="auto"/>
        <w:left w:val="none" w:sz="0" w:space="0" w:color="auto"/>
        <w:bottom w:val="none" w:sz="0" w:space="0" w:color="auto"/>
        <w:right w:val="none" w:sz="0" w:space="0" w:color="auto"/>
      </w:divBdr>
    </w:div>
    <w:div w:id="815225687">
      <w:marLeft w:val="0"/>
      <w:marRight w:val="0"/>
      <w:marTop w:val="240"/>
      <w:marBottom w:val="0"/>
      <w:divBdr>
        <w:top w:val="none" w:sz="0" w:space="0" w:color="auto"/>
        <w:left w:val="none" w:sz="0" w:space="0" w:color="auto"/>
        <w:bottom w:val="none" w:sz="0" w:space="0" w:color="auto"/>
        <w:right w:val="none" w:sz="0" w:space="0" w:color="auto"/>
      </w:divBdr>
    </w:div>
    <w:div w:id="816610079">
      <w:marLeft w:val="0"/>
      <w:marRight w:val="0"/>
      <w:marTop w:val="240"/>
      <w:marBottom w:val="0"/>
      <w:divBdr>
        <w:top w:val="none" w:sz="0" w:space="0" w:color="auto"/>
        <w:left w:val="none" w:sz="0" w:space="0" w:color="auto"/>
        <w:bottom w:val="none" w:sz="0" w:space="0" w:color="auto"/>
        <w:right w:val="none" w:sz="0" w:space="0" w:color="auto"/>
      </w:divBdr>
    </w:div>
    <w:div w:id="817579072">
      <w:marLeft w:val="0"/>
      <w:marRight w:val="0"/>
      <w:marTop w:val="220"/>
      <w:marBottom w:val="0"/>
      <w:divBdr>
        <w:top w:val="none" w:sz="0" w:space="0" w:color="auto"/>
        <w:left w:val="none" w:sz="0" w:space="0" w:color="auto"/>
        <w:bottom w:val="none" w:sz="0" w:space="0" w:color="auto"/>
        <w:right w:val="none" w:sz="0" w:space="0" w:color="auto"/>
      </w:divBdr>
    </w:div>
    <w:div w:id="817723641">
      <w:marLeft w:val="0"/>
      <w:marRight w:val="0"/>
      <w:marTop w:val="240"/>
      <w:marBottom w:val="0"/>
      <w:divBdr>
        <w:top w:val="none" w:sz="0" w:space="0" w:color="auto"/>
        <w:left w:val="none" w:sz="0" w:space="0" w:color="auto"/>
        <w:bottom w:val="none" w:sz="0" w:space="0" w:color="auto"/>
        <w:right w:val="none" w:sz="0" w:space="0" w:color="auto"/>
      </w:divBdr>
    </w:div>
    <w:div w:id="819886136">
      <w:marLeft w:val="0"/>
      <w:marRight w:val="0"/>
      <w:marTop w:val="240"/>
      <w:marBottom w:val="0"/>
      <w:divBdr>
        <w:top w:val="none" w:sz="0" w:space="0" w:color="auto"/>
        <w:left w:val="none" w:sz="0" w:space="0" w:color="auto"/>
        <w:bottom w:val="none" w:sz="0" w:space="0" w:color="auto"/>
        <w:right w:val="none" w:sz="0" w:space="0" w:color="auto"/>
      </w:divBdr>
    </w:div>
    <w:div w:id="823592786">
      <w:marLeft w:val="0"/>
      <w:marRight w:val="0"/>
      <w:marTop w:val="220"/>
      <w:marBottom w:val="0"/>
      <w:divBdr>
        <w:top w:val="none" w:sz="0" w:space="0" w:color="auto"/>
        <w:left w:val="none" w:sz="0" w:space="0" w:color="auto"/>
        <w:bottom w:val="none" w:sz="0" w:space="0" w:color="auto"/>
        <w:right w:val="none" w:sz="0" w:space="0" w:color="auto"/>
      </w:divBdr>
    </w:div>
    <w:div w:id="824276145">
      <w:marLeft w:val="0"/>
      <w:marRight w:val="0"/>
      <w:marTop w:val="240"/>
      <w:marBottom w:val="0"/>
      <w:divBdr>
        <w:top w:val="none" w:sz="0" w:space="0" w:color="auto"/>
        <w:left w:val="none" w:sz="0" w:space="0" w:color="auto"/>
        <w:bottom w:val="none" w:sz="0" w:space="0" w:color="auto"/>
        <w:right w:val="none" w:sz="0" w:space="0" w:color="auto"/>
      </w:divBdr>
    </w:div>
    <w:div w:id="824858659">
      <w:marLeft w:val="0"/>
      <w:marRight w:val="0"/>
      <w:marTop w:val="200"/>
      <w:marBottom w:val="0"/>
      <w:divBdr>
        <w:top w:val="none" w:sz="0" w:space="0" w:color="auto"/>
        <w:left w:val="none" w:sz="0" w:space="0" w:color="auto"/>
        <w:bottom w:val="none" w:sz="0" w:space="0" w:color="auto"/>
        <w:right w:val="none" w:sz="0" w:space="0" w:color="auto"/>
      </w:divBdr>
    </w:div>
    <w:div w:id="825124356">
      <w:marLeft w:val="0"/>
      <w:marRight w:val="0"/>
      <w:marTop w:val="240"/>
      <w:marBottom w:val="0"/>
      <w:divBdr>
        <w:top w:val="none" w:sz="0" w:space="0" w:color="auto"/>
        <w:left w:val="none" w:sz="0" w:space="0" w:color="auto"/>
        <w:bottom w:val="none" w:sz="0" w:space="0" w:color="auto"/>
        <w:right w:val="none" w:sz="0" w:space="0" w:color="auto"/>
      </w:divBdr>
    </w:div>
    <w:div w:id="825441278">
      <w:marLeft w:val="0"/>
      <w:marRight w:val="0"/>
      <w:marTop w:val="240"/>
      <w:marBottom w:val="0"/>
      <w:divBdr>
        <w:top w:val="none" w:sz="0" w:space="0" w:color="auto"/>
        <w:left w:val="none" w:sz="0" w:space="0" w:color="auto"/>
        <w:bottom w:val="none" w:sz="0" w:space="0" w:color="auto"/>
        <w:right w:val="none" w:sz="0" w:space="0" w:color="auto"/>
      </w:divBdr>
    </w:div>
    <w:div w:id="825823044">
      <w:marLeft w:val="0"/>
      <w:marRight w:val="0"/>
      <w:marTop w:val="180"/>
      <w:marBottom w:val="0"/>
      <w:divBdr>
        <w:top w:val="none" w:sz="0" w:space="0" w:color="auto"/>
        <w:left w:val="none" w:sz="0" w:space="0" w:color="auto"/>
        <w:bottom w:val="none" w:sz="0" w:space="0" w:color="auto"/>
        <w:right w:val="none" w:sz="0" w:space="0" w:color="auto"/>
      </w:divBdr>
    </w:div>
    <w:div w:id="826019055">
      <w:marLeft w:val="0"/>
      <w:marRight w:val="0"/>
      <w:marTop w:val="220"/>
      <w:marBottom w:val="0"/>
      <w:divBdr>
        <w:top w:val="none" w:sz="0" w:space="0" w:color="auto"/>
        <w:left w:val="none" w:sz="0" w:space="0" w:color="auto"/>
        <w:bottom w:val="none" w:sz="0" w:space="0" w:color="auto"/>
        <w:right w:val="none" w:sz="0" w:space="0" w:color="auto"/>
      </w:divBdr>
    </w:div>
    <w:div w:id="826241877">
      <w:marLeft w:val="0"/>
      <w:marRight w:val="0"/>
      <w:marTop w:val="0"/>
      <w:marBottom w:val="0"/>
      <w:divBdr>
        <w:top w:val="none" w:sz="0" w:space="0" w:color="auto"/>
        <w:left w:val="none" w:sz="0" w:space="0" w:color="auto"/>
        <w:bottom w:val="none" w:sz="0" w:space="0" w:color="auto"/>
        <w:right w:val="none" w:sz="0" w:space="0" w:color="auto"/>
      </w:divBdr>
    </w:div>
    <w:div w:id="827482704">
      <w:marLeft w:val="0"/>
      <w:marRight w:val="0"/>
      <w:marTop w:val="0"/>
      <w:marBottom w:val="0"/>
      <w:divBdr>
        <w:top w:val="none" w:sz="0" w:space="0" w:color="auto"/>
        <w:left w:val="none" w:sz="0" w:space="0" w:color="auto"/>
        <w:bottom w:val="none" w:sz="0" w:space="0" w:color="auto"/>
        <w:right w:val="none" w:sz="0" w:space="0" w:color="auto"/>
      </w:divBdr>
      <w:divsChild>
        <w:div w:id="430517536">
          <w:marLeft w:val="0"/>
          <w:marRight w:val="0"/>
          <w:marTop w:val="0"/>
          <w:marBottom w:val="0"/>
          <w:divBdr>
            <w:top w:val="none" w:sz="0" w:space="0" w:color="auto"/>
            <w:left w:val="none" w:sz="0" w:space="0" w:color="auto"/>
            <w:bottom w:val="none" w:sz="0" w:space="0" w:color="auto"/>
            <w:right w:val="none" w:sz="0" w:space="0" w:color="auto"/>
          </w:divBdr>
          <w:divsChild>
            <w:div w:id="118293337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827789670">
      <w:marLeft w:val="0"/>
      <w:marRight w:val="0"/>
      <w:marTop w:val="240"/>
      <w:marBottom w:val="0"/>
      <w:divBdr>
        <w:top w:val="none" w:sz="0" w:space="0" w:color="auto"/>
        <w:left w:val="none" w:sz="0" w:space="0" w:color="auto"/>
        <w:bottom w:val="none" w:sz="0" w:space="0" w:color="auto"/>
        <w:right w:val="none" w:sz="0" w:space="0" w:color="auto"/>
      </w:divBdr>
    </w:div>
    <w:div w:id="827936822">
      <w:marLeft w:val="0"/>
      <w:marRight w:val="0"/>
      <w:marTop w:val="0"/>
      <w:marBottom w:val="0"/>
      <w:divBdr>
        <w:top w:val="none" w:sz="0" w:space="0" w:color="auto"/>
        <w:left w:val="none" w:sz="0" w:space="0" w:color="auto"/>
        <w:bottom w:val="none" w:sz="0" w:space="0" w:color="auto"/>
        <w:right w:val="none" w:sz="0" w:space="0" w:color="auto"/>
      </w:divBdr>
      <w:divsChild>
        <w:div w:id="1815877094">
          <w:marLeft w:val="0"/>
          <w:marRight w:val="0"/>
          <w:marTop w:val="120"/>
          <w:marBottom w:val="0"/>
          <w:divBdr>
            <w:top w:val="none" w:sz="0" w:space="0" w:color="auto"/>
            <w:left w:val="none" w:sz="0" w:space="0" w:color="auto"/>
            <w:bottom w:val="none" w:sz="0" w:space="0" w:color="auto"/>
            <w:right w:val="none" w:sz="0" w:space="0" w:color="auto"/>
          </w:divBdr>
        </w:div>
      </w:divsChild>
    </w:div>
    <w:div w:id="828863749">
      <w:marLeft w:val="0"/>
      <w:marRight w:val="0"/>
      <w:marTop w:val="240"/>
      <w:marBottom w:val="0"/>
      <w:divBdr>
        <w:top w:val="none" w:sz="0" w:space="0" w:color="auto"/>
        <w:left w:val="none" w:sz="0" w:space="0" w:color="auto"/>
        <w:bottom w:val="none" w:sz="0" w:space="0" w:color="auto"/>
        <w:right w:val="none" w:sz="0" w:space="0" w:color="auto"/>
      </w:divBdr>
    </w:div>
    <w:div w:id="831217200">
      <w:marLeft w:val="0"/>
      <w:marRight w:val="0"/>
      <w:marTop w:val="240"/>
      <w:marBottom w:val="0"/>
      <w:divBdr>
        <w:top w:val="none" w:sz="0" w:space="0" w:color="auto"/>
        <w:left w:val="none" w:sz="0" w:space="0" w:color="auto"/>
        <w:bottom w:val="none" w:sz="0" w:space="0" w:color="auto"/>
        <w:right w:val="none" w:sz="0" w:space="0" w:color="auto"/>
      </w:divBdr>
    </w:div>
    <w:div w:id="833030028">
      <w:marLeft w:val="0"/>
      <w:marRight w:val="0"/>
      <w:marTop w:val="240"/>
      <w:marBottom w:val="0"/>
      <w:divBdr>
        <w:top w:val="none" w:sz="0" w:space="0" w:color="auto"/>
        <w:left w:val="none" w:sz="0" w:space="0" w:color="auto"/>
        <w:bottom w:val="none" w:sz="0" w:space="0" w:color="auto"/>
        <w:right w:val="none" w:sz="0" w:space="0" w:color="auto"/>
      </w:divBdr>
    </w:div>
    <w:div w:id="833181550">
      <w:marLeft w:val="0"/>
      <w:marRight w:val="0"/>
      <w:marTop w:val="0"/>
      <w:marBottom w:val="0"/>
      <w:divBdr>
        <w:top w:val="none" w:sz="0" w:space="0" w:color="auto"/>
        <w:left w:val="none" w:sz="0" w:space="0" w:color="auto"/>
        <w:bottom w:val="none" w:sz="0" w:space="0" w:color="auto"/>
        <w:right w:val="none" w:sz="0" w:space="0" w:color="auto"/>
      </w:divBdr>
      <w:divsChild>
        <w:div w:id="619535127">
          <w:marLeft w:val="0"/>
          <w:marRight w:val="0"/>
          <w:marTop w:val="0"/>
          <w:marBottom w:val="0"/>
          <w:divBdr>
            <w:top w:val="none" w:sz="0" w:space="0" w:color="auto"/>
            <w:left w:val="none" w:sz="0" w:space="0" w:color="auto"/>
            <w:bottom w:val="none" w:sz="0" w:space="0" w:color="auto"/>
            <w:right w:val="none" w:sz="0" w:space="0" w:color="auto"/>
          </w:divBdr>
          <w:divsChild>
            <w:div w:id="180592745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833491809">
      <w:marLeft w:val="0"/>
      <w:marRight w:val="0"/>
      <w:marTop w:val="240"/>
      <w:marBottom w:val="0"/>
      <w:divBdr>
        <w:top w:val="none" w:sz="0" w:space="0" w:color="auto"/>
        <w:left w:val="none" w:sz="0" w:space="0" w:color="auto"/>
        <w:bottom w:val="none" w:sz="0" w:space="0" w:color="auto"/>
        <w:right w:val="none" w:sz="0" w:space="0" w:color="auto"/>
      </w:divBdr>
    </w:div>
    <w:div w:id="834490975">
      <w:marLeft w:val="0"/>
      <w:marRight w:val="0"/>
      <w:marTop w:val="140"/>
      <w:marBottom w:val="0"/>
      <w:divBdr>
        <w:top w:val="none" w:sz="0" w:space="0" w:color="auto"/>
        <w:left w:val="none" w:sz="0" w:space="0" w:color="auto"/>
        <w:bottom w:val="none" w:sz="0" w:space="0" w:color="auto"/>
        <w:right w:val="none" w:sz="0" w:space="0" w:color="auto"/>
      </w:divBdr>
    </w:div>
    <w:div w:id="834802550">
      <w:marLeft w:val="0"/>
      <w:marRight w:val="0"/>
      <w:marTop w:val="240"/>
      <w:marBottom w:val="0"/>
      <w:divBdr>
        <w:top w:val="none" w:sz="0" w:space="0" w:color="auto"/>
        <w:left w:val="none" w:sz="0" w:space="0" w:color="auto"/>
        <w:bottom w:val="none" w:sz="0" w:space="0" w:color="auto"/>
        <w:right w:val="none" w:sz="0" w:space="0" w:color="auto"/>
      </w:divBdr>
    </w:div>
    <w:div w:id="835537217">
      <w:marLeft w:val="0"/>
      <w:marRight w:val="0"/>
      <w:marTop w:val="240"/>
      <w:marBottom w:val="0"/>
      <w:divBdr>
        <w:top w:val="none" w:sz="0" w:space="0" w:color="auto"/>
        <w:left w:val="none" w:sz="0" w:space="0" w:color="auto"/>
        <w:bottom w:val="none" w:sz="0" w:space="0" w:color="auto"/>
        <w:right w:val="none" w:sz="0" w:space="0" w:color="auto"/>
      </w:divBdr>
    </w:div>
    <w:div w:id="836188032">
      <w:marLeft w:val="0"/>
      <w:marRight w:val="0"/>
      <w:marTop w:val="0"/>
      <w:marBottom w:val="0"/>
      <w:divBdr>
        <w:top w:val="none" w:sz="0" w:space="0" w:color="auto"/>
        <w:left w:val="none" w:sz="0" w:space="0" w:color="auto"/>
        <w:bottom w:val="none" w:sz="0" w:space="0" w:color="auto"/>
        <w:right w:val="none" w:sz="0" w:space="0" w:color="auto"/>
      </w:divBdr>
      <w:divsChild>
        <w:div w:id="1921868781">
          <w:marLeft w:val="0"/>
          <w:marRight w:val="0"/>
          <w:marTop w:val="120"/>
          <w:marBottom w:val="0"/>
          <w:divBdr>
            <w:top w:val="none" w:sz="0" w:space="0" w:color="auto"/>
            <w:left w:val="none" w:sz="0" w:space="0" w:color="auto"/>
            <w:bottom w:val="none" w:sz="0" w:space="0" w:color="auto"/>
            <w:right w:val="none" w:sz="0" w:space="0" w:color="auto"/>
          </w:divBdr>
        </w:div>
      </w:divsChild>
    </w:div>
    <w:div w:id="837234343">
      <w:marLeft w:val="0"/>
      <w:marRight w:val="0"/>
      <w:marTop w:val="180"/>
      <w:marBottom w:val="0"/>
      <w:divBdr>
        <w:top w:val="none" w:sz="0" w:space="0" w:color="auto"/>
        <w:left w:val="none" w:sz="0" w:space="0" w:color="auto"/>
        <w:bottom w:val="none" w:sz="0" w:space="0" w:color="auto"/>
        <w:right w:val="none" w:sz="0" w:space="0" w:color="auto"/>
      </w:divBdr>
    </w:div>
    <w:div w:id="837889077">
      <w:marLeft w:val="0"/>
      <w:marRight w:val="0"/>
      <w:marTop w:val="240"/>
      <w:marBottom w:val="0"/>
      <w:divBdr>
        <w:top w:val="none" w:sz="0" w:space="0" w:color="auto"/>
        <w:left w:val="none" w:sz="0" w:space="0" w:color="auto"/>
        <w:bottom w:val="none" w:sz="0" w:space="0" w:color="auto"/>
        <w:right w:val="none" w:sz="0" w:space="0" w:color="auto"/>
      </w:divBdr>
    </w:div>
    <w:div w:id="838152922">
      <w:marLeft w:val="0"/>
      <w:marRight w:val="0"/>
      <w:marTop w:val="240"/>
      <w:marBottom w:val="120"/>
      <w:divBdr>
        <w:top w:val="none" w:sz="0" w:space="0" w:color="auto"/>
        <w:left w:val="none" w:sz="0" w:space="0" w:color="auto"/>
        <w:bottom w:val="none" w:sz="0" w:space="0" w:color="auto"/>
        <w:right w:val="none" w:sz="0" w:space="0" w:color="auto"/>
      </w:divBdr>
    </w:div>
    <w:div w:id="838888706">
      <w:marLeft w:val="0"/>
      <w:marRight w:val="0"/>
      <w:marTop w:val="0"/>
      <w:marBottom w:val="0"/>
      <w:divBdr>
        <w:top w:val="none" w:sz="0" w:space="0" w:color="auto"/>
        <w:left w:val="none" w:sz="0" w:space="0" w:color="auto"/>
        <w:bottom w:val="none" w:sz="0" w:space="0" w:color="auto"/>
        <w:right w:val="none" w:sz="0" w:space="0" w:color="auto"/>
      </w:divBdr>
      <w:divsChild>
        <w:div w:id="812987360">
          <w:marLeft w:val="0"/>
          <w:marRight w:val="0"/>
          <w:marTop w:val="0"/>
          <w:marBottom w:val="0"/>
          <w:divBdr>
            <w:top w:val="none" w:sz="0" w:space="0" w:color="auto"/>
            <w:left w:val="none" w:sz="0" w:space="0" w:color="auto"/>
            <w:bottom w:val="none" w:sz="0" w:space="0" w:color="auto"/>
            <w:right w:val="none" w:sz="0" w:space="0" w:color="auto"/>
          </w:divBdr>
        </w:div>
      </w:divsChild>
    </w:div>
    <w:div w:id="841509977">
      <w:marLeft w:val="0"/>
      <w:marRight w:val="0"/>
      <w:marTop w:val="160"/>
      <w:marBottom w:val="0"/>
      <w:divBdr>
        <w:top w:val="none" w:sz="0" w:space="0" w:color="auto"/>
        <w:left w:val="none" w:sz="0" w:space="0" w:color="auto"/>
        <w:bottom w:val="none" w:sz="0" w:space="0" w:color="auto"/>
        <w:right w:val="none" w:sz="0" w:space="0" w:color="auto"/>
      </w:divBdr>
      <w:divsChild>
        <w:div w:id="2045518744">
          <w:marLeft w:val="0"/>
          <w:marRight w:val="0"/>
          <w:marTop w:val="0"/>
          <w:marBottom w:val="0"/>
          <w:divBdr>
            <w:top w:val="none" w:sz="0" w:space="0" w:color="auto"/>
            <w:left w:val="none" w:sz="0" w:space="0" w:color="auto"/>
            <w:bottom w:val="none" w:sz="0" w:space="0" w:color="auto"/>
            <w:right w:val="none" w:sz="0" w:space="0" w:color="auto"/>
          </w:divBdr>
        </w:div>
      </w:divsChild>
    </w:div>
    <w:div w:id="842672256">
      <w:marLeft w:val="0"/>
      <w:marRight w:val="0"/>
      <w:marTop w:val="240"/>
      <w:marBottom w:val="0"/>
      <w:divBdr>
        <w:top w:val="none" w:sz="0" w:space="0" w:color="auto"/>
        <w:left w:val="none" w:sz="0" w:space="0" w:color="auto"/>
        <w:bottom w:val="none" w:sz="0" w:space="0" w:color="auto"/>
        <w:right w:val="none" w:sz="0" w:space="0" w:color="auto"/>
      </w:divBdr>
    </w:div>
    <w:div w:id="844326859">
      <w:marLeft w:val="0"/>
      <w:marRight w:val="0"/>
      <w:marTop w:val="120"/>
      <w:marBottom w:val="0"/>
      <w:divBdr>
        <w:top w:val="none" w:sz="0" w:space="0" w:color="auto"/>
        <w:left w:val="none" w:sz="0" w:space="0" w:color="auto"/>
        <w:bottom w:val="none" w:sz="0" w:space="0" w:color="auto"/>
        <w:right w:val="none" w:sz="0" w:space="0" w:color="auto"/>
      </w:divBdr>
    </w:div>
    <w:div w:id="846477494">
      <w:marLeft w:val="0"/>
      <w:marRight w:val="0"/>
      <w:marTop w:val="180"/>
      <w:marBottom w:val="0"/>
      <w:divBdr>
        <w:top w:val="none" w:sz="0" w:space="0" w:color="auto"/>
        <w:left w:val="none" w:sz="0" w:space="0" w:color="auto"/>
        <w:bottom w:val="none" w:sz="0" w:space="0" w:color="auto"/>
        <w:right w:val="none" w:sz="0" w:space="0" w:color="auto"/>
      </w:divBdr>
    </w:div>
    <w:div w:id="847258723">
      <w:marLeft w:val="0"/>
      <w:marRight w:val="0"/>
      <w:marTop w:val="180"/>
      <w:marBottom w:val="0"/>
      <w:divBdr>
        <w:top w:val="none" w:sz="0" w:space="0" w:color="auto"/>
        <w:left w:val="none" w:sz="0" w:space="0" w:color="auto"/>
        <w:bottom w:val="none" w:sz="0" w:space="0" w:color="auto"/>
        <w:right w:val="none" w:sz="0" w:space="0" w:color="auto"/>
      </w:divBdr>
    </w:div>
    <w:div w:id="848101566">
      <w:marLeft w:val="0"/>
      <w:marRight w:val="0"/>
      <w:marTop w:val="0"/>
      <w:marBottom w:val="120"/>
      <w:divBdr>
        <w:top w:val="none" w:sz="0" w:space="0" w:color="auto"/>
        <w:left w:val="none" w:sz="0" w:space="0" w:color="auto"/>
        <w:bottom w:val="none" w:sz="0" w:space="0" w:color="auto"/>
        <w:right w:val="none" w:sz="0" w:space="0" w:color="auto"/>
      </w:divBdr>
    </w:div>
    <w:div w:id="849875564">
      <w:marLeft w:val="0"/>
      <w:marRight w:val="0"/>
      <w:marTop w:val="0"/>
      <w:marBottom w:val="0"/>
      <w:divBdr>
        <w:top w:val="none" w:sz="0" w:space="0" w:color="auto"/>
        <w:left w:val="none" w:sz="0" w:space="0" w:color="auto"/>
        <w:bottom w:val="none" w:sz="0" w:space="0" w:color="auto"/>
        <w:right w:val="none" w:sz="0" w:space="0" w:color="auto"/>
      </w:divBdr>
    </w:div>
    <w:div w:id="852114343">
      <w:marLeft w:val="0"/>
      <w:marRight w:val="0"/>
      <w:marTop w:val="240"/>
      <w:marBottom w:val="0"/>
      <w:divBdr>
        <w:top w:val="none" w:sz="0" w:space="0" w:color="auto"/>
        <w:left w:val="none" w:sz="0" w:space="0" w:color="auto"/>
        <w:bottom w:val="none" w:sz="0" w:space="0" w:color="auto"/>
        <w:right w:val="none" w:sz="0" w:space="0" w:color="auto"/>
      </w:divBdr>
    </w:div>
    <w:div w:id="852494001">
      <w:marLeft w:val="0"/>
      <w:marRight w:val="0"/>
      <w:marTop w:val="140"/>
      <w:marBottom w:val="0"/>
      <w:divBdr>
        <w:top w:val="none" w:sz="0" w:space="0" w:color="auto"/>
        <w:left w:val="none" w:sz="0" w:space="0" w:color="auto"/>
        <w:bottom w:val="none" w:sz="0" w:space="0" w:color="auto"/>
        <w:right w:val="none" w:sz="0" w:space="0" w:color="auto"/>
      </w:divBdr>
    </w:div>
    <w:div w:id="856621411">
      <w:marLeft w:val="0"/>
      <w:marRight w:val="0"/>
      <w:marTop w:val="0"/>
      <w:marBottom w:val="0"/>
      <w:divBdr>
        <w:top w:val="none" w:sz="0" w:space="0" w:color="auto"/>
        <w:left w:val="none" w:sz="0" w:space="0" w:color="auto"/>
        <w:bottom w:val="none" w:sz="0" w:space="0" w:color="auto"/>
        <w:right w:val="none" w:sz="0" w:space="0" w:color="auto"/>
      </w:divBdr>
      <w:divsChild>
        <w:div w:id="199975517">
          <w:marLeft w:val="0"/>
          <w:marRight w:val="0"/>
          <w:marTop w:val="0"/>
          <w:marBottom w:val="0"/>
          <w:divBdr>
            <w:top w:val="none" w:sz="0" w:space="0" w:color="auto"/>
            <w:left w:val="none" w:sz="0" w:space="0" w:color="auto"/>
            <w:bottom w:val="none" w:sz="0" w:space="0" w:color="auto"/>
            <w:right w:val="none" w:sz="0" w:space="0" w:color="auto"/>
          </w:divBdr>
          <w:divsChild>
            <w:div w:id="31584546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856843723">
      <w:marLeft w:val="0"/>
      <w:marRight w:val="0"/>
      <w:marTop w:val="240"/>
      <w:marBottom w:val="0"/>
      <w:divBdr>
        <w:top w:val="none" w:sz="0" w:space="0" w:color="auto"/>
        <w:left w:val="none" w:sz="0" w:space="0" w:color="auto"/>
        <w:bottom w:val="none" w:sz="0" w:space="0" w:color="auto"/>
        <w:right w:val="none" w:sz="0" w:space="0" w:color="auto"/>
      </w:divBdr>
    </w:div>
    <w:div w:id="858275262">
      <w:marLeft w:val="0"/>
      <w:marRight w:val="0"/>
      <w:marTop w:val="240"/>
      <w:marBottom w:val="0"/>
      <w:divBdr>
        <w:top w:val="none" w:sz="0" w:space="0" w:color="auto"/>
        <w:left w:val="none" w:sz="0" w:space="0" w:color="auto"/>
        <w:bottom w:val="none" w:sz="0" w:space="0" w:color="auto"/>
        <w:right w:val="none" w:sz="0" w:space="0" w:color="auto"/>
      </w:divBdr>
    </w:div>
    <w:div w:id="859050827">
      <w:marLeft w:val="0"/>
      <w:marRight w:val="0"/>
      <w:marTop w:val="240"/>
      <w:marBottom w:val="0"/>
      <w:divBdr>
        <w:top w:val="none" w:sz="0" w:space="0" w:color="auto"/>
        <w:left w:val="none" w:sz="0" w:space="0" w:color="auto"/>
        <w:bottom w:val="none" w:sz="0" w:space="0" w:color="auto"/>
        <w:right w:val="none" w:sz="0" w:space="0" w:color="auto"/>
      </w:divBdr>
    </w:div>
    <w:div w:id="859584157">
      <w:marLeft w:val="0"/>
      <w:marRight w:val="0"/>
      <w:marTop w:val="0"/>
      <w:marBottom w:val="0"/>
      <w:divBdr>
        <w:top w:val="none" w:sz="0" w:space="0" w:color="auto"/>
        <w:left w:val="none" w:sz="0" w:space="0" w:color="auto"/>
        <w:bottom w:val="none" w:sz="0" w:space="0" w:color="auto"/>
        <w:right w:val="none" w:sz="0" w:space="0" w:color="auto"/>
      </w:divBdr>
      <w:divsChild>
        <w:div w:id="327903674">
          <w:marLeft w:val="0"/>
          <w:marRight w:val="0"/>
          <w:marTop w:val="0"/>
          <w:marBottom w:val="0"/>
          <w:divBdr>
            <w:top w:val="none" w:sz="0" w:space="0" w:color="auto"/>
            <w:left w:val="none" w:sz="0" w:space="0" w:color="auto"/>
            <w:bottom w:val="none" w:sz="0" w:space="0" w:color="auto"/>
            <w:right w:val="none" w:sz="0" w:space="0" w:color="auto"/>
          </w:divBdr>
        </w:div>
      </w:divsChild>
    </w:div>
    <w:div w:id="860049683">
      <w:marLeft w:val="0"/>
      <w:marRight w:val="0"/>
      <w:marTop w:val="60"/>
      <w:marBottom w:val="0"/>
      <w:divBdr>
        <w:top w:val="none" w:sz="0" w:space="0" w:color="auto"/>
        <w:left w:val="none" w:sz="0" w:space="0" w:color="auto"/>
        <w:bottom w:val="none" w:sz="0" w:space="0" w:color="auto"/>
        <w:right w:val="none" w:sz="0" w:space="0" w:color="auto"/>
      </w:divBdr>
    </w:div>
    <w:div w:id="861435021">
      <w:marLeft w:val="0"/>
      <w:marRight w:val="0"/>
      <w:marTop w:val="240"/>
      <w:marBottom w:val="0"/>
      <w:divBdr>
        <w:top w:val="none" w:sz="0" w:space="0" w:color="auto"/>
        <w:left w:val="none" w:sz="0" w:space="0" w:color="auto"/>
        <w:bottom w:val="none" w:sz="0" w:space="0" w:color="auto"/>
        <w:right w:val="none" w:sz="0" w:space="0" w:color="auto"/>
      </w:divBdr>
    </w:div>
    <w:div w:id="862018523">
      <w:marLeft w:val="0"/>
      <w:marRight w:val="0"/>
      <w:marTop w:val="0"/>
      <w:marBottom w:val="0"/>
      <w:divBdr>
        <w:top w:val="none" w:sz="0" w:space="0" w:color="auto"/>
        <w:left w:val="none" w:sz="0" w:space="0" w:color="auto"/>
        <w:bottom w:val="none" w:sz="0" w:space="0" w:color="auto"/>
        <w:right w:val="none" w:sz="0" w:space="0" w:color="auto"/>
      </w:divBdr>
      <w:divsChild>
        <w:div w:id="1506704818">
          <w:marLeft w:val="0"/>
          <w:marRight w:val="0"/>
          <w:marTop w:val="0"/>
          <w:marBottom w:val="0"/>
          <w:divBdr>
            <w:top w:val="none" w:sz="0" w:space="0" w:color="auto"/>
            <w:left w:val="none" w:sz="0" w:space="0" w:color="auto"/>
            <w:bottom w:val="none" w:sz="0" w:space="0" w:color="auto"/>
            <w:right w:val="none" w:sz="0" w:space="0" w:color="auto"/>
          </w:divBdr>
        </w:div>
      </w:divsChild>
    </w:div>
    <w:div w:id="862787090">
      <w:marLeft w:val="0"/>
      <w:marRight w:val="0"/>
      <w:marTop w:val="0"/>
      <w:marBottom w:val="0"/>
      <w:divBdr>
        <w:top w:val="none" w:sz="0" w:space="0" w:color="auto"/>
        <w:left w:val="none" w:sz="0" w:space="0" w:color="auto"/>
        <w:bottom w:val="none" w:sz="0" w:space="0" w:color="auto"/>
        <w:right w:val="none" w:sz="0" w:space="0" w:color="auto"/>
      </w:divBdr>
      <w:divsChild>
        <w:div w:id="557252753">
          <w:marLeft w:val="0"/>
          <w:marRight w:val="0"/>
          <w:marTop w:val="0"/>
          <w:marBottom w:val="0"/>
          <w:divBdr>
            <w:top w:val="none" w:sz="0" w:space="0" w:color="auto"/>
            <w:left w:val="none" w:sz="0" w:space="0" w:color="auto"/>
            <w:bottom w:val="none" w:sz="0" w:space="0" w:color="auto"/>
            <w:right w:val="none" w:sz="0" w:space="0" w:color="auto"/>
          </w:divBdr>
          <w:divsChild>
            <w:div w:id="83172395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862861954">
      <w:marLeft w:val="0"/>
      <w:marRight w:val="0"/>
      <w:marTop w:val="240"/>
      <w:marBottom w:val="0"/>
      <w:divBdr>
        <w:top w:val="none" w:sz="0" w:space="0" w:color="auto"/>
        <w:left w:val="none" w:sz="0" w:space="0" w:color="auto"/>
        <w:bottom w:val="none" w:sz="0" w:space="0" w:color="auto"/>
        <w:right w:val="none" w:sz="0" w:space="0" w:color="auto"/>
      </w:divBdr>
    </w:div>
    <w:div w:id="863441110">
      <w:marLeft w:val="0"/>
      <w:marRight w:val="0"/>
      <w:marTop w:val="200"/>
      <w:marBottom w:val="0"/>
      <w:divBdr>
        <w:top w:val="none" w:sz="0" w:space="0" w:color="auto"/>
        <w:left w:val="none" w:sz="0" w:space="0" w:color="auto"/>
        <w:bottom w:val="none" w:sz="0" w:space="0" w:color="auto"/>
        <w:right w:val="none" w:sz="0" w:space="0" w:color="auto"/>
      </w:divBdr>
    </w:div>
    <w:div w:id="863786882">
      <w:marLeft w:val="0"/>
      <w:marRight w:val="0"/>
      <w:marTop w:val="240"/>
      <w:marBottom w:val="240"/>
      <w:divBdr>
        <w:top w:val="none" w:sz="0" w:space="0" w:color="auto"/>
        <w:left w:val="none" w:sz="0" w:space="0" w:color="auto"/>
        <w:bottom w:val="none" w:sz="0" w:space="0" w:color="auto"/>
        <w:right w:val="none" w:sz="0" w:space="0" w:color="auto"/>
      </w:divBdr>
    </w:div>
    <w:div w:id="864559708">
      <w:marLeft w:val="0"/>
      <w:marRight w:val="0"/>
      <w:marTop w:val="240"/>
      <w:marBottom w:val="0"/>
      <w:divBdr>
        <w:top w:val="none" w:sz="0" w:space="0" w:color="auto"/>
        <w:left w:val="none" w:sz="0" w:space="0" w:color="auto"/>
        <w:bottom w:val="none" w:sz="0" w:space="0" w:color="auto"/>
        <w:right w:val="none" w:sz="0" w:space="0" w:color="auto"/>
      </w:divBdr>
    </w:div>
    <w:div w:id="866874087">
      <w:marLeft w:val="0"/>
      <w:marRight w:val="0"/>
      <w:marTop w:val="0"/>
      <w:marBottom w:val="0"/>
      <w:divBdr>
        <w:top w:val="none" w:sz="0" w:space="0" w:color="auto"/>
        <w:left w:val="none" w:sz="0" w:space="0" w:color="auto"/>
        <w:bottom w:val="none" w:sz="0" w:space="0" w:color="auto"/>
        <w:right w:val="none" w:sz="0" w:space="0" w:color="auto"/>
      </w:divBdr>
      <w:divsChild>
        <w:div w:id="1481920706">
          <w:marLeft w:val="0"/>
          <w:marRight w:val="0"/>
          <w:marTop w:val="0"/>
          <w:marBottom w:val="0"/>
          <w:divBdr>
            <w:top w:val="none" w:sz="0" w:space="0" w:color="auto"/>
            <w:left w:val="none" w:sz="0" w:space="0" w:color="auto"/>
            <w:bottom w:val="none" w:sz="0" w:space="0" w:color="auto"/>
            <w:right w:val="none" w:sz="0" w:space="0" w:color="auto"/>
          </w:divBdr>
        </w:div>
      </w:divsChild>
    </w:div>
    <w:div w:id="866912687">
      <w:marLeft w:val="0"/>
      <w:marRight w:val="0"/>
      <w:marTop w:val="240"/>
      <w:marBottom w:val="0"/>
      <w:divBdr>
        <w:top w:val="none" w:sz="0" w:space="0" w:color="auto"/>
        <w:left w:val="none" w:sz="0" w:space="0" w:color="auto"/>
        <w:bottom w:val="none" w:sz="0" w:space="0" w:color="auto"/>
        <w:right w:val="none" w:sz="0" w:space="0" w:color="auto"/>
      </w:divBdr>
    </w:div>
    <w:div w:id="867377012">
      <w:marLeft w:val="0"/>
      <w:marRight w:val="0"/>
      <w:marTop w:val="0"/>
      <w:marBottom w:val="60"/>
      <w:divBdr>
        <w:top w:val="none" w:sz="0" w:space="0" w:color="auto"/>
        <w:left w:val="none" w:sz="0" w:space="0" w:color="auto"/>
        <w:bottom w:val="none" w:sz="0" w:space="0" w:color="auto"/>
        <w:right w:val="none" w:sz="0" w:space="0" w:color="auto"/>
      </w:divBdr>
    </w:div>
    <w:div w:id="867983688">
      <w:marLeft w:val="0"/>
      <w:marRight w:val="0"/>
      <w:marTop w:val="240"/>
      <w:marBottom w:val="0"/>
      <w:divBdr>
        <w:top w:val="none" w:sz="0" w:space="0" w:color="auto"/>
        <w:left w:val="none" w:sz="0" w:space="0" w:color="auto"/>
        <w:bottom w:val="none" w:sz="0" w:space="0" w:color="auto"/>
        <w:right w:val="none" w:sz="0" w:space="0" w:color="auto"/>
      </w:divBdr>
    </w:div>
    <w:div w:id="868101052">
      <w:marLeft w:val="0"/>
      <w:marRight w:val="0"/>
      <w:marTop w:val="0"/>
      <w:marBottom w:val="0"/>
      <w:divBdr>
        <w:top w:val="none" w:sz="0" w:space="0" w:color="auto"/>
        <w:left w:val="none" w:sz="0" w:space="0" w:color="auto"/>
        <w:bottom w:val="none" w:sz="0" w:space="0" w:color="auto"/>
        <w:right w:val="none" w:sz="0" w:space="0" w:color="auto"/>
      </w:divBdr>
      <w:divsChild>
        <w:div w:id="133065136">
          <w:marLeft w:val="0"/>
          <w:marRight w:val="0"/>
          <w:marTop w:val="0"/>
          <w:marBottom w:val="0"/>
          <w:divBdr>
            <w:top w:val="none" w:sz="0" w:space="0" w:color="auto"/>
            <w:left w:val="none" w:sz="0" w:space="0" w:color="auto"/>
            <w:bottom w:val="none" w:sz="0" w:space="0" w:color="auto"/>
            <w:right w:val="none" w:sz="0" w:space="0" w:color="auto"/>
          </w:divBdr>
        </w:div>
      </w:divsChild>
    </w:div>
    <w:div w:id="868300450">
      <w:marLeft w:val="0"/>
      <w:marRight w:val="0"/>
      <w:marTop w:val="240"/>
      <w:marBottom w:val="0"/>
      <w:divBdr>
        <w:top w:val="none" w:sz="0" w:space="0" w:color="auto"/>
        <w:left w:val="none" w:sz="0" w:space="0" w:color="auto"/>
        <w:bottom w:val="none" w:sz="0" w:space="0" w:color="auto"/>
        <w:right w:val="none" w:sz="0" w:space="0" w:color="auto"/>
      </w:divBdr>
    </w:div>
    <w:div w:id="868837840">
      <w:marLeft w:val="0"/>
      <w:marRight w:val="0"/>
      <w:marTop w:val="0"/>
      <w:marBottom w:val="0"/>
      <w:divBdr>
        <w:top w:val="none" w:sz="0" w:space="0" w:color="auto"/>
        <w:left w:val="none" w:sz="0" w:space="0" w:color="auto"/>
        <w:bottom w:val="none" w:sz="0" w:space="0" w:color="auto"/>
        <w:right w:val="none" w:sz="0" w:space="0" w:color="auto"/>
      </w:divBdr>
      <w:divsChild>
        <w:div w:id="298611701">
          <w:marLeft w:val="0"/>
          <w:marRight w:val="0"/>
          <w:marTop w:val="0"/>
          <w:marBottom w:val="0"/>
          <w:divBdr>
            <w:top w:val="none" w:sz="0" w:space="0" w:color="auto"/>
            <w:left w:val="none" w:sz="0" w:space="0" w:color="auto"/>
            <w:bottom w:val="none" w:sz="0" w:space="0" w:color="auto"/>
            <w:right w:val="none" w:sz="0" w:space="0" w:color="auto"/>
          </w:divBdr>
          <w:divsChild>
            <w:div w:id="180480967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872501115">
      <w:marLeft w:val="0"/>
      <w:marRight w:val="0"/>
      <w:marTop w:val="240"/>
      <w:marBottom w:val="0"/>
      <w:divBdr>
        <w:top w:val="none" w:sz="0" w:space="0" w:color="auto"/>
        <w:left w:val="none" w:sz="0" w:space="0" w:color="auto"/>
        <w:bottom w:val="none" w:sz="0" w:space="0" w:color="auto"/>
        <w:right w:val="none" w:sz="0" w:space="0" w:color="auto"/>
      </w:divBdr>
    </w:div>
    <w:div w:id="872573139">
      <w:marLeft w:val="0"/>
      <w:marRight w:val="0"/>
      <w:marTop w:val="160"/>
      <w:marBottom w:val="0"/>
      <w:divBdr>
        <w:top w:val="none" w:sz="0" w:space="0" w:color="auto"/>
        <w:left w:val="none" w:sz="0" w:space="0" w:color="auto"/>
        <w:bottom w:val="none" w:sz="0" w:space="0" w:color="auto"/>
        <w:right w:val="none" w:sz="0" w:space="0" w:color="auto"/>
      </w:divBdr>
    </w:div>
    <w:div w:id="875196882">
      <w:marLeft w:val="0"/>
      <w:marRight w:val="0"/>
      <w:marTop w:val="240"/>
      <w:marBottom w:val="0"/>
      <w:divBdr>
        <w:top w:val="none" w:sz="0" w:space="0" w:color="auto"/>
        <w:left w:val="none" w:sz="0" w:space="0" w:color="auto"/>
        <w:bottom w:val="none" w:sz="0" w:space="0" w:color="auto"/>
        <w:right w:val="none" w:sz="0" w:space="0" w:color="auto"/>
      </w:divBdr>
    </w:div>
    <w:div w:id="875198433">
      <w:marLeft w:val="0"/>
      <w:marRight w:val="0"/>
      <w:marTop w:val="240"/>
      <w:marBottom w:val="0"/>
      <w:divBdr>
        <w:top w:val="none" w:sz="0" w:space="0" w:color="auto"/>
        <w:left w:val="none" w:sz="0" w:space="0" w:color="auto"/>
        <w:bottom w:val="none" w:sz="0" w:space="0" w:color="auto"/>
        <w:right w:val="none" w:sz="0" w:space="0" w:color="auto"/>
      </w:divBdr>
    </w:div>
    <w:div w:id="876433892">
      <w:marLeft w:val="0"/>
      <w:marRight w:val="0"/>
      <w:marTop w:val="120"/>
      <w:marBottom w:val="0"/>
      <w:divBdr>
        <w:top w:val="none" w:sz="0" w:space="0" w:color="auto"/>
        <w:left w:val="none" w:sz="0" w:space="0" w:color="auto"/>
        <w:bottom w:val="none" w:sz="0" w:space="0" w:color="auto"/>
        <w:right w:val="none" w:sz="0" w:space="0" w:color="auto"/>
      </w:divBdr>
    </w:div>
    <w:div w:id="876939926">
      <w:marLeft w:val="0"/>
      <w:marRight w:val="0"/>
      <w:marTop w:val="240"/>
      <w:marBottom w:val="0"/>
      <w:divBdr>
        <w:top w:val="none" w:sz="0" w:space="0" w:color="auto"/>
        <w:left w:val="none" w:sz="0" w:space="0" w:color="auto"/>
        <w:bottom w:val="none" w:sz="0" w:space="0" w:color="auto"/>
        <w:right w:val="none" w:sz="0" w:space="0" w:color="auto"/>
      </w:divBdr>
    </w:div>
    <w:div w:id="877012412">
      <w:marLeft w:val="0"/>
      <w:marRight w:val="0"/>
      <w:marTop w:val="120"/>
      <w:marBottom w:val="0"/>
      <w:divBdr>
        <w:top w:val="none" w:sz="0" w:space="0" w:color="auto"/>
        <w:left w:val="none" w:sz="0" w:space="0" w:color="auto"/>
        <w:bottom w:val="none" w:sz="0" w:space="0" w:color="auto"/>
        <w:right w:val="none" w:sz="0" w:space="0" w:color="auto"/>
      </w:divBdr>
    </w:div>
    <w:div w:id="880703094">
      <w:marLeft w:val="0"/>
      <w:marRight w:val="0"/>
      <w:marTop w:val="240"/>
      <w:marBottom w:val="0"/>
      <w:divBdr>
        <w:top w:val="none" w:sz="0" w:space="0" w:color="auto"/>
        <w:left w:val="none" w:sz="0" w:space="0" w:color="auto"/>
        <w:bottom w:val="none" w:sz="0" w:space="0" w:color="auto"/>
        <w:right w:val="none" w:sz="0" w:space="0" w:color="auto"/>
      </w:divBdr>
    </w:div>
    <w:div w:id="882135976">
      <w:marLeft w:val="0"/>
      <w:marRight w:val="0"/>
      <w:marTop w:val="240"/>
      <w:marBottom w:val="240"/>
      <w:divBdr>
        <w:top w:val="none" w:sz="0" w:space="0" w:color="auto"/>
        <w:left w:val="none" w:sz="0" w:space="0" w:color="auto"/>
        <w:bottom w:val="none" w:sz="0" w:space="0" w:color="auto"/>
        <w:right w:val="none" w:sz="0" w:space="0" w:color="auto"/>
      </w:divBdr>
    </w:div>
    <w:div w:id="882324750">
      <w:marLeft w:val="0"/>
      <w:marRight w:val="0"/>
      <w:marTop w:val="120"/>
      <w:marBottom w:val="0"/>
      <w:divBdr>
        <w:top w:val="none" w:sz="0" w:space="0" w:color="auto"/>
        <w:left w:val="none" w:sz="0" w:space="0" w:color="auto"/>
        <w:bottom w:val="none" w:sz="0" w:space="0" w:color="auto"/>
        <w:right w:val="none" w:sz="0" w:space="0" w:color="auto"/>
      </w:divBdr>
    </w:div>
    <w:div w:id="884409545">
      <w:marLeft w:val="0"/>
      <w:marRight w:val="0"/>
      <w:marTop w:val="240"/>
      <w:marBottom w:val="0"/>
      <w:divBdr>
        <w:top w:val="none" w:sz="0" w:space="0" w:color="auto"/>
        <w:left w:val="none" w:sz="0" w:space="0" w:color="auto"/>
        <w:bottom w:val="none" w:sz="0" w:space="0" w:color="auto"/>
        <w:right w:val="none" w:sz="0" w:space="0" w:color="auto"/>
      </w:divBdr>
    </w:div>
    <w:div w:id="885069274">
      <w:marLeft w:val="0"/>
      <w:marRight w:val="0"/>
      <w:marTop w:val="180"/>
      <w:marBottom w:val="0"/>
      <w:divBdr>
        <w:top w:val="none" w:sz="0" w:space="0" w:color="auto"/>
        <w:left w:val="none" w:sz="0" w:space="0" w:color="auto"/>
        <w:bottom w:val="none" w:sz="0" w:space="0" w:color="auto"/>
        <w:right w:val="none" w:sz="0" w:space="0" w:color="auto"/>
      </w:divBdr>
    </w:div>
    <w:div w:id="885870016">
      <w:marLeft w:val="0"/>
      <w:marRight w:val="0"/>
      <w:marTop w:val="0"/>
      <w:marBottom w:val="0"/>
      <w:divBdr>
        <w:top w:val="none" w:sz="0" w:space="0" w:color="auto"/>
        <w:left w:val="none" w:sz="0" w:space="0" w:color="auto"/>
        <w:bottom w:val="none" w:sz="0" w:space="0" w:color="auto"/>
        <w:right w:val="none" w:sz="0" w:space="0" w:color="auto"/>
      </w:divBdr>
      <w:divsChild>
        <w:div w:id="307982008">
          <w:marLeft w:val="0"/>
          <w:marRight w:val="0"/>
          <w:marTop w:val="120"/>
          <w:marBottom w:val="0"/>
          <w:divBdr>
            <w:top w:val="none" w:sz="0" w:space="0" w:color="auto"/>
            <w:left w:val="none" w:sz="0" w:space="0" w:color="auto"/>
            <w:bottom w:val="none" w:sz="0" w:space="0" w:color="auto"/>
            <w:right w:val="none" w:sz="0" w:space="0" w:color="auto"/>
          </w:divBdr>
        </w:div>
      </w:divsChild>
    </w:div>
    <w:div w:id="887885288">
      <w:marLeft w:val="0"/>
      <w:marRight w:val="0"/>
      <w:marTop w:val="240"/>
      <w:marBottom w:val="0"/>
      <w:divBdr>
        <w:top w:val="none" w:sz="0" w:space="0" w:color="auto"/>
        <w:left w:val="none" w:sz="0" w:space="0" w:color="auto"/>
        <w:bottom w:val="none" w:sz="0" w:space="0" w:color="auto"/>
        <w:right w:val="none" w:sz="0" w:space="0" w:color="auto"/>
      </w:divBdr>
    </w:div>
    <w:div w:id="888301830">
      <w:marLeft w:val="0"/>
      <w:marRight w:val="0"/>
      <w:marTop w:val="0"/>
      <w:marBottom w:val="0"/>
      <w:divBdr>
        <w:top w:val="none" w:sz="0" w:space="0" w:color="auto"/>
        <w:left w:val="none" w:sz="0" w:space="0" w:color="auto"/>
        <w:bottom w:val="none" w:sz="0" w:space="0" w:color="auto"/>
        <w:right w:val="none" w:sz="0" w:space="0" w:color="auto"/>
      </w:divBdr>
      <w:divsChild>
        <w:div w:id="1410469113">
          <w:marLeft w:val="0"/>
          <w:marRight w:val="0"/>
          <w:marTop w:val="0"/>
          <w:marBottom w:val="0"/>
          <w:divBdr>
            <w:top w:val="none" w:sz="0" w:space="0" w:color="auto"/>
            <w:left w:val="none" w:sz="0" w:space="0" w:color="auto"/>
            <w:bottom w:val="none" w:sz="0" w:space="0" w:color="auto"/>
            <w:right w:val="none" w:sz="0" w:space="0" w:color="auto"/>
          </w:divBdr>
        </w:div>
      </w:divsChild>
    </w:div>
    <w:div w:id="891505499">
      <w:marLeft w:val="0"/>
      <w:marRight w:val="0"/>
      <w:marTop w:val="0"/>
      <w:marBottom w:val="0"/>
      <w:divBdr>
        <w:top w:val="none" w:sz="0" w:space="0" w:color="auto"/>
        <w:left w:val="none" w:sz="0" w:space="0" w:color="auto"/>
        <w:bottom w:val="none" w:sz="0" w:space="0" w:color="auto"/>
        <w:right w:val="none" w:sz="0" w:space="0" w:color="auto"/>
      </w:divBdr>
      <w:divsChild>
        <w:div w:id="1142889061">
          <w:marLeft w:val="0"/>
          <w:marRight w:val="0"/>
          <w:marTop w:val="0"/>
          <w:marBottom w:val="0"/>
          <w:divBdr>
            <w:top w:val="none" w:sz="0" w:space="0" w:color="auto"/>
            <w:left w:val="none" w:sz="0" w:space="0" w:color="auto"/>
            <w:bottom w:val="none" w:sz="0" w:space="0" w:color="auto"/>
            <w:right w:val="none" w:sz="0" w:space="0" w:color="auto"/>
          </w:divBdr>
        </w:div>
      </w:divsChild>
    </w:div>
    <w:div w:id="891618143">
      <w:marLeft w:val="0"/>
      <w:marRight w:val="0"/>
      <w:marTop w:val="0"/>
      <w:marBottom w:val="0"/>
      <w:divBdr>
        <w:top w:val="none" w:sz="0" w:space="0" w:color="auto"/>
        <w:left w:val="none" w:sz="0" w:space="0" w:color="auto"/>
        <w:bottom w:val="none" w:sz="0" w:space="0" w:color="auto"/>
        <w:right w:val="none" w:sz="0" w:space="0" w:color="auto"/>
      </w:divBdr>
      <w:divsChild>
        <w:div w:id="479272653">
          <w:marLeft w:val="0"/>
          <w:marRight w:val="0"/>
          <w:marTop w:val="0"/>
          <w:marBottom w:val="0"/>
          <w:divBdr>
            <w:top w:val="none" w:sz="0" w:space="0" w:color="auto"/>
            <w:left w:val="none" w:sz="0" w:space="0" w:color="auto"/>
            <w:bottom w:val="none" w:sz="0" w:space="0" w:color="auto"/>
            <w:right w:val="none" w:sz="0" w:space="0" w:color="auto"/>
          </w:divBdr>
        </w:div>
      </w:divsChild>
    </w:div>
    <w:div w:id="892348874">
      <w:marLeft w:val="0"/>
      <w:marRight w:val="0"/>
      <w:marTop w:val="240"/>
      <w:marBottom w:val="0"/>
      <w:divBdr>
        <w:top w:val="none" w:sz="0" w:space="0" w:color="auto"/>
        <w:left w:val="none" w:sz="0" w:space="0" w:color="auto"/>
        <w:bottom w:val="none" w:sz="0" w:space="0" w:color="auto"/>
        <w:right w:val="none" w:sz="0" w:space="0" w:color="auto"/>
      </w:divBdr>
    </w:div>
    <w:div w:id="892814766">
      <w:marLeft w:val="0"/>
      <w:marRight w:val="0"/>
      <w:marTop w:val="240"/>
      <w:marBottom w:val="0"/>
      <w:divBdr>
        <w:top w:val="none" w:sz="0" w:space="0" w:color="auto"/>
        <w:left w:val="none" w:sz="0" w:space="0" w:color="auto"/>
        <w:bottom w:val="none" w:sz="0" w:space="0" w:color="auto"/>
        <w:right w:val="none" w:sz="0" w:space="0" w:color="auto"/>
      </w:divBdr>
    </w:div>
    <w:div w:id="893006632">
      <w:marLeft w:val="0"/>
      <w:marRight w:val="0"/>
      <w:marTop w:val="0"/>
      <w:marBottom w:val="0"/>
      <w:divBdr>
        <w:top w:val="none" w:sz="0" w:space="0" w:color="auto"/>
        <w:left w:val="none" w:sz="0" w:space="0" w:color="auto"/>
        <w:bottom w:val="none" w:sz="0" w:space="0" w:color="auto"/>
        <w:right w:val="none" w:sz="0" w:space="0" w:color="auto"/>
      </w:divBdr>
      <w:divsChild>
        <w:div w:id="161431444">
          <w:marLeft w:val="0"/>
          <w:marRight w:val="0"/>
          <w:marTop w:val="0"/>
          <w:marBottom w:val="0"/>
          <w:divBdr>
            <w:top w:val="none" w:sz="0" w:space="0" w:color="auto"/>
            <w:left w:val="none" w:sz="0" w:space="0" w:color="auto"/>
            <w:bottom w:val="none" w:sz="0" w:space="0" w:color="auto"/>
            <w:right w:val="none" w:sz="0" w:space="0" w:color="auto"/>
          </w:divBdr>
          <w:divsChild>
            <w:div w:id="55247362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895313429">
      <w:marLeft w:val="0"/>
      <w:marRight w:val="0"/>
      <w:marTop w:val="180"/>
      <w:marBottom w:val="0"/>
      <w:divBdr>
        <w:top w:val="none" w:sz="0" w:space="0" w:color="auto"/>
        <w:left w:val="none" w:sz="0" w:space="0" w:color="auto"/>
        <w:bottom w:val="none" w:sz="0" w:space="0" w:color="auto"/>
        <w:right w:val="none" w:sz="0" w:space="0" w:color="auto"/>
      </w:divBdr>
    </w:div>
    <w:div w:id="895580739">
      <w:marLeft w:val="0"/>
      <w:marRight w:val="0"/>
      <w:marTop w:val="180"/>
      <w:marBottom w:val="0"/>
      <w:divBdr>
        <w:top w:val="none" w:sz="0" w:space="0" w:color="auto"/>
        <w:left w:val="none" w:sz="0" w:space="0" w:color="auto"/>
        <w:bottom w:val="none" w:sz="0" w:space="0" w:color="auto"/>
        <w:right w:val="none" w:sz="0" w:space="0" w:color="auto"/>
      </w:divBdr>
    </w:div>
    <w:div w:id="897781395">
      <w:marLeft w:val="0"/>
      <w:marRight w:val="0"/>
      <w:marTop w:val="240"/>
      <w:marBottom w:val="0"/>
      <w:divBdr>
        <w:top w:val="none" w:sz="0" w:space="0" w:color="auto"/>
        <w:left w:val="none" w:sz="0" w:space="0" w:color="auto"/>
        <w:bottom w:val="none" w:sz="0" w:space="0" w:color="auto"/>
        <w:right w:val="none" w:sz="0" w:space="0" w:color="auto"/>
      </w:divBdr>
    </w:div>
    <w:div w:id="898399525">
      <w:marLeft w:val="0"/>
      <w:marRight w:val="0"/>
      <w:marTop w:val="240"/>
      <w:marBottom w:val="0"/>
      <w:divBdr>
        <w:top w:val="none" w:sz="0" w:space="0" w:color="auto"/>
        <w:left w:val="none" w:sz="0" w:space="0" w:color="auto"/>
        <w:bottom w:val="none" w:sz="0" w:space="0" w:color="auto"/>
        <w:right w:val="none" w:sz="0" w:space="0" w:color="auto"/>
      </w:divBdr>
    </w:div>
    <w:div w:id="898828886">
      <w:marLeft w:val="0"/>
      <w:marRight w:val="0"/>
      <w:marTop w:val="240"/>
      <w:marBottom w:val="0"/>
      <w:divBdr>
        <w:top w:val="none" w:sz="0" w:space="0" w:color="auto"/>
        <w:left w:val="none" w:sz="0" w:space="0" w:color="auto"/>
        <w:bottom w:val="none" w:sz="0" w:space="0" w:color="auto"/>
        <w:right w:val="none" w:sz="0" w:space="0" w:color="auto"/>
      </w:divBdr>
    </w:div>
    <w:div w:id="899169195">
      <w:marLeft w:val="0"/>
      <w:marRight w:val="0"/>
      <w:marTop w:val="240"/>
      <w:marBottom w:val="0"/>
      <w:divBdr>
        <w:top w:val="none" w:sz="0" w:space="0" w:color="auto"/>
        <w:left w:val="none" w:sz="0" w:space="0" w:color="auto"/>
        <w:bottom w:val="none" w:sz="0" w:space="0" w:color="auto"/>
        <w:right w:val="none" w:sz="0" w:space="0" w:color="auto"/>
      </w:divBdr>
    </w:div>
    <w:div w:id="900017355">
      <w:marLeft w:val="0"/>
      <w:marRight w:val="0"/>
      <w:marTop w:val="120"/>
      <w:marBottom w:val="0"/>
      <w:divBdr>
        <w:top w:val="none" w:sz="0" w:space="0" w:color="auto"/>
        <w:left w:val="none" w:sz="0" w:space="0" w:color="auto"/>
        <w:bottom w:val="none" w:sz="0" w:space="0" w:color="auto"/>
        <w:right w:val="none" w:sz="0" w:space="0" w:color="auto"/>
      </w:divBdr>
    </w:div>
    <w:div w:id="902258017">
      <w:marLeft w:val="0"/>
      <w:marRight w:val="0"/>
      <w:marTop w:val="180"/>
      <w:marBottom w:val="0"/>
      <w:divBdr>
        <w:top w:val="none" w:sz="0" w:space="0" w:color="auto"/>
        <w:left w:val="none" w:sz="0" w:space="0" w:color="auto"/>
        <w:bottom w:val="none" w:sz="0" w:space="0" w:color="auto"/>
        <w:right w:val="none" w:sz="0" w:space="0" w:color="auto"/>
      </w:divBdr>
    </w:div>
    <w:div w:id="903024326">
      <w:marLeft w:val="0"/>
      <w:marRight w:val="0"/>
      <w:marTop w:val="240"/>
      <w:marBottom w:val="240"/>
      <w:divBdr>
        <w:top w:val="none" w:sz="0" w:space="0" w:color="auto"/>
        <w:left w:val="none" w:sz="0" w:space="0" w:color="auto"/>
        <w:bottom w:val="none" w:sz="0" w:space="0" w:color="auto"/>
        <w:right w:val="none" w:sz="0" w:space="0" w:color="auto"/>
      </w:divBdr>
    </w:div>
    <w:div w:id="904225013">
      <w:marLeft w:val="0"/>
      <w:marRight w:val="0"/>
      <w:marTop w:val="140"/>
      <w:marBottom w:val="0"/>
      <w:divBdr>
        <w:top w:val="none" w:sz="0" w:space="0" w:color="auto"/>
        <w:left w:val="none" w:sz="0" w:space="0" w:color="auto"/>
        <w:bottom w:val="none" w:sz="0" w:space="0" w:color="auto"/>
        <w:right w:val="none" w:sz="0" w:space="0" w:color="auto"/>
      </w:divBdr>
    </w:div>
    <w:div w:id="905645100">
      <w:marLeft w:val="0"/>
      <w:marRight w:val="0"/>
      <w:marTop w:val="240"/>
      <w:marBottom w:val="0"/>
      <w:divBdr>
        <w:top w:val="none" w:sz="0" w:space="0" w:color="auto"/>
        <w:left w:val="none" w:sz="0" w:space="0" w:color="auto"/>
        <w:bottom w:val="none" w:sz="0" w:space="0" w:color="auto"/>
        <w:right w:val="none" w:sz="0" w:space="0" w:color="auto"/>
      </w:divBdr>
    </w:div>
    <w:div w:id="905919465">
      <w:marLeft w:val="0"/>
      <w:marRight w:val="0"/>
      <w:marTop w:val="240"/>
      <w:marBottom w:val="0"/>
      <w:divBdr>
        <w:top w:val="none" w:sz="0" w:space="0" w:color="auto"/>
        <w:left w:val="none" w:sz="0" w:space="0" w:color="auto"/>
        <w:bottom w:val="none" w:sz="0" w:space="0" w:color="auto"/>
        <w:right w:val="none" w:sz="0" w:space="0" w:color="auto"/>
      </w:divBdr>
    </w:div>
    <w:div w:id="907181809">
      <w:marLeft w:val="0"/>
      <w:marRight w:val="0"/>
      <w:marTop w:val="240"/>
      <w:marBottom w:val="0"/>
      <w:divBdr>
        <w:top w:val="none" w:sz="0" w:space="0" w:color="auto"/>
        <w:left w:val="none" w:sz="0" w:space="0" w:color="auto"/>
        <w:bottom w:val="none" w:sz="0" w:space="0" w:color="auto"/>
        <w:right w:val="none" w:sz="0" w:space="0" w:color="auto"/>
      </w:divBdr>
    </w:div>
    <w:div w:id="908269361">
      <w:marLeft w:val="0"/>
      <w:marRight w:val="0"/>
      <w:marTop w:val="0"/>
      <w:marBottom w:val="0"/>
      <w:divBdr>
        <w:top w:val="none" w:sz="0" w:space="0" w:color="auto"/>
        <w:left w:val="none" w:sz="0" w:space="0" w:color="auto"/>
        <w:bottom w:val="none" w:sz="0" w:space="0" w:color="auto"/>
        <w:right w:val="none" w:sz="0" w:space="0" w:color="auto"/>
      </w:divBdr>
    </w:div>
    <w:div w:id="908732487">
      <w:marLeft w:val="0"/>
      <w:marRight w:val="0"/>
      <w:marTop w:val="100"/>
      <w:marBottom w:val="0"/>
      <w:divBdr>
        <w:top w:val="none" w:sz="0" w:space="0" w:color="auto"/>
        <w:left w:val="none" w:sz="0" w:space="0" w:color="auto"/>
        <w:bottom w:val="none" w:sz="0" w:space="0" w:color="auto"/>
        <w:right w:val="none" w:sz="0" w:space="0" w:color="auto"/>
      </w:divBdr>
    </w:div>
    <w:div w:id="909728897">
      <w:marLeft w:val="0"/>
      <w:marRight w:val="0"/>
      <w:marTop w:val="200"/>
      <w:marBottom w:val="0"/>
      <w:divBdr>
        <w:top w:val="none" w:sz="0" w:space="0" w:color="auto"/>
        <w:left w:val="none" w:sz="0" w:space="0" w:color="auto"/>
        <w:bottom w:val="none" w:sz="0" w:space="0" w:color="auto"/>
        <w:right w:val="none" w:sz="0" w:space="0" w:color="auto"/>
      </w:divBdr>
    </w:div>
    <w:div w:id="911811361">
      <w:marLeft w:val="0"/>
      <w:marRight w:val="0"/>
      <w:marTop w:val="60"/>
      <w:marBottom w:val="0"/>
      <w:divBdr>
        <w:top w:val="none" w:sz="0" w:space="0" w:color="auto"/>
        <w:left w:val="none" w:sz="0" w:space="0" w:color="auto"/>
        <w:bottom w:val="none" w:sz="0" w:space="0" w:color="auto"/>
        <w:right w:val="none" w:sz="0" w:space="0" w:color="auto"/>
      </w:divBdr>
    </w:div>
    <w:div w:id="912542825">
      <w:marLeft w:val="0"/>
      <w:marRight w:val="0"/>
      <w:marTop w:val="240"/>
      <w:marBottom w:val="0"/>
      <w:divBdr>
        <w:top w:val="none" w:sz="0" w:space="0" w:color="auto"/>
        <w:left w:val="none" w:sz="0" w:space="0" w:color="auto"/>
        <w:bottom w:val="none" w:sz="0" w:space="0" w:color="auto"/>
        <w:right w:val="none" w:sz="0" w:space="0" w:color="auto"/>
      </w:divBdr>
    </w:div>
    <w:div w:id="914975826">
      <w:marLeft w:val="0"/>
      <w:marRight w:val="0"/>
      <w:marTop w:val="240"/>
      <w:marBottom w:val="0"/>
      <w:divBdr>
        <w:top w:val="none" w:sz="0" w:space="0" w:color="auto"/>
        <w:left w:val="none" w:sz="0" w:space="0" w:color="auto"/>
        <w:bottom w:val="none" w:sz="0" w:space="0" w:color="auto"/>
        <w:right w:val="none" w:sz="0" w:space="0" w:color="auto"/>
      </w:divBdr>
    </w:div>
    <w:div w:id="915407599">
      <w:marLeft w:val="0"/>
      <w:marRight w:val="0"/>
      <w:marTop w:val="240"/>
      <w:marBottom w:val="0"/>
      <w:divBdr>
        <w:top w:val="none" w:sz="0" w:space="0" w:color="auto"/>
        <w:left w:val="none" w:sz="0" w:space="0" w:color="auto"/>
        <w:bottom w:val="none" w:sz="0" w:space="0" w:color="auto"/>
        <w:right w:val="none" w:sz="0" w:space="0" w:color="auto"/>
      </w:divBdr>
    </w:div>
    <w:div w:id="916474290">
      <w:marLeft w:val="0"/>
      <w:marRight w:val="0"/>
      <w:marTop w:val="300"/>
      <w:marBottom w:val="0"/>
      <w:divBdr>
        <w:top w:val="none" w:sz="0" w:space="0" w:color="auto"/>
        <w:left w:val="none" w:sz="0" w:space="0" w:color="auto"/>
        <w:bottom w:val="none" w:sz="0" w:space="0" w:color="auto"/>
        <w:right w:val="none" w:sz="0" w:space="0" w:color="auto"/>
      </w:divBdr>
    </w:div>
    <w:div w:id="916599973">
      <w:marLeft w:val="0"/>
      <w:marRight w:val="0"/>
      <w:marTop w:val="240"/>
      <w:marBottom w:val="0"/>
      <w:divBdr>
        <w:top w:val="none" w:sz="0" w:space="0" w:color="auto"/>
        <w:left w:val="none" w:sz="0" w:space="0" w:color="auto"/>
        <w:bottom w:val="none" w:sz="0" w:space="0" w:color="auto"/>
        <w:right w:val="none" w:sz="0" w:space="0" w:color="auto"/>
      </w:divBdr>
    </w:div>
    <w:div w:id="918104234">
      <w:marLeft w:val="0"/>
      <w:marRight w:val="0"/>
      <w:marTop w:val="240"/>
      <w:marBottom w:val="0"/>
      <w:divBdr>
        <w:top w:val="none" w:sz="0" w:space="0" w:color="auto"/>
        <w:left w:val="none" w:sz="0" w:space="0" w:color="auto"/>
        <w:bottom w:val="none" w:sz="0" w:space="0" w:color="auto"/>
        <w:right w:val="none" w:sz="0" w:space="0" w:color="auto"/>
      </w:divBdr>
    </w:div>
    <w:div w:id="920143747">
      <w:marLeft w:val="0"/>
      <w:marRight w:val="0"/>
      <w:marTop w:val="240"/>
      <w:marBottom w:val="0"/>
      <w:divBdr>
        <w:top w:val="none" w:sz="0" w:space="0" w:color="auto"/>
        <w:left w:val="none" w:sz="0" w:space="0" w:color="auto"/>
        <w:bottom w:val="none" w:sz="0" w:space="0" w:color="auto"/>
        <w:right w:val="none" w:sz="0" w:space="0" w:color="auto"/>
      </w:divBdr>
    </w:div>
    <w:div w:id="920412010">
      <w:marLeft w:val="0"/>
      <w:marRight w:val="0"/>
      <w:marTop w:val="180"/>
      <w:marBottom w:val="0"/>
      <w:divBdr>
        <w:top w:val="none" w:sz="0" w:space="0" w:color="auto"/>
        <w:left w:val="none" w:sz="0" w:space="0" w:color="auto"/>
        <w:bottom w:val="none" w:sz="0" w:space="0" w:color="auto"/>
        <w:right w:val="none" w:sz="0" w:space="0" w:color="auto"/>
      </w:divBdr>
    </w:div>
    <w:div w:id="921177693">
      <w:marLeft w:val="0"/>
      <w:marRight w:val="0"/>
      <w:marTop w:val="240"/>
      <w:marBottom w:val="0"/>
      <w:divBdr>
        <w:top w:val="none" w:sz="0" w:space="0" w:color="auto"/>
        <w:left w:val="none" w:sz="0" w:space="0" w:color="auto"/>
        <w:bottom w:val="none" w:sz="0" w:space="0" w:color="auto"/>
        <w:right w:val="none" w:sz="0" w:space="0" w:color="auto"/>
      </w:divBdr>
    </w:div>
    <w:div w:id="922177446">
      <w:marLeft w:val="0"/>
      <w:marRight w:val="0"/>
      <w:marTop w:val="140"/>
      <w:marBottom w:val="0"/>
      <w:divBdr>
        <w:top w:val="none" w:sz="0" w:space="0" w:color="auto"/>
        <w:left w:val="none" w:sz="0" w:space="0" w:color="auto"/>
        <w:bottom w:val="none" w:sz="0" w:space="0" w:color="auto"/>
        <w:right w:val="none" w:sz="0" w:space="0" w:color="auto"/>
      </w:divBdr>
    </w:div>
    <w:div w:id="923224001">
      <w:marLeft w:val="0"/>
      <w:marRight w:val="0"/>
      <w:marTop w:val="300"/>
      <w:marBottom w:val="240"/>
      <w:divBdr>
        <w:top w:val="none" w:sz="0" w:space="0" w:color="auto"/>
        <w:left w:val="none" w:sz="0" w:space="0" w:color="auto"/>
        <w:bottom w:val="none" w:sz="0" w:space="0" w:color="auto"/>
        <w:right w:val="none" w:sz="0" w:space="0" w:color="auto"/>
      </w:divBdr>
    </w:div>
    <w:div w:id="923688834">
      <w:marLeft w:val="0"/>
      <w:marRight w:val="0"/>
      <w:marTop w:val="240"/>
      <w:marBottom w:val="0"/>
      <w:divBdr>
        <w:top w:val="none" w:sz="0" w:space="0" w:color="auto"/>
        <w:left w:val="none" w:sz="0" w:space="0" w:color="auto"/>
        <w:bottom w:val="none" w:sz="0" w:space="0" w:color="auto"/>
        <w:right w:val="none" w:sz="0" w:space="0" w:color="auto"/>
      </w:divBdr>
    </w:div>
    <w:div w:id="925502595">
      <w:marLeft w:val="0"/>
      <w:marRight w:val="0"/>
      <w:marTop w:val="0"/>
      <w:marBottom w:val="0"/>
      <w:divBdr>
        <w:top w:val="none" w:sz="0" w:space="0" w:color="auto"/>
        <w:left w:val="none" w:sz="0" w:space="0" w:color="auto"/>
        <w:bottom w:val="none" w:sz="0" w:space="0" w:color="auto"/>
        <w:right w:val="none" w:sz="0" w:space="0" w:color="auto"/>
      </w:divBdr>
    </w:div>
    <w:div w:id="925963386">
      <w:marLeft w:val="0"/>
      <w:marRight w:val="0"/>
      <w:marTop w:val="240"/>
      <w:marBottom w:val="0"/>
      <w:divBdr>
        <w:top w:val="none" w:sz="0" w:space="0" w:color="auto"/>
        <w:left w:val="none" w:sz="0" w:space="0" w:color="auto"/>
        <w:bottom w:val="none" w:sz="0" w:space="0" w:color="auto"/>
        <w:right w:val="none" w:sz="0" w:space="0" w:color="auto"/>
      </w:divBdr>
    </w:div>
    <w:div w:id="928269338">
      <w:marLeft w:val="0"/>
      <w:marRight w:val="0"/>
      <w:marTop w:val="0"/>
      <w:marBottom w:val="0"/>
      <w:divBdr>
        <w:top w:val="none" w:sz="0" w:space="0" w:color="auto"/>
        <w:left w:val="none" w:sz="0" w:space="0" w:color="auto"/>
        <w:bottom w:val="none" w:sz="0" w:space="0" w:color="auto"/>
        <w:right w:val="none" w:sz="0" w:space="0" w:color="auto"/>
      </w:divBdr>
      <w:divsChild>
        <w:div w:id="2054422639">
          <w:marLeft w:val="0"/>
          <w:marRight w:val="0"/>
          <w:marTop w:val="0"/>
          <w:marBottom w:val="0"/>
          <w:divBdr>
            <w:top w:val="none" w:sz="0" w:space="0" w:color="auto"/>
            <w:left w:val="none" w:sz="0" w:space="0" w:color="auto"/>
            <w:bottom w:val="none" w:sz="0" w:space="0" w:color="auto"/>
            <w:right w:val="none" w:sz="0" w:space="0" w:color="auto"/>
          </w:divBdr>
          <w:divsChild>
            <w:div w:id="184235699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930897582">
      <w:marLeft w:val="0"/>
      <w:marRight w:val="0"/>
      <w:marTop w:val="0"/>
      <w:marBottom w:val="0"/>
      <w:divBdr>
        <w:top w:val="none" w:sz="0" w:space="0" w:color="auto"/>
        <w:left w:val="none" w:sz="0" w:space="0" w:color="auto"/>
        <w:bottom w:val="none" w:sz="0" w:space="0" w:color="auto"/>
        <w:right w:val="none" w:sz="0" w:space="0" w:color="auto"/>
      </w:divBdr>
      <w:divsChild>
        <w:div w:id="1181048667">
          <w:marLeft w:val="0"/>
          <w:marRight w:val="0"/>
          <w:marTop w:val="0"/>
          <w:marBottom w:val="0"/>
          <w:divBdr>
            <w:top w:val="none" w:sz="0" w:space="0" w:color="auto"/>
            <w:left w:val="none" w:sz="0" w:space="0" w:color="auto"/>
            <w:bottom w:val="none" w:sz="0" w:space="0" w:color="auto"/>
            <w:right w:val="none" w:sz="0" w:space="0" w:color="auto"/>
          </w:divBdr>
          <w:divsChild>
            <w:div w:id="171685581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932975718">
      <w:marLeft w:val="0"/>
      <w:marRight w:val="0"/>
      <w:marTop w:val="240"/>
      <w:marBottom w:val="0"/>
      <w:divBdr>
        <w:top w:val="none" w:sz="0" w:space="0" w:color="auto"/>
        <w:left w:val="none" w:sz="0" w:space="0" w:color="auto"/>
        <w:bottom w:val="none" w:sz="0" w:space="0" w:color="auto"/>
        <w:right w:val="none" w:sz="0" w:space="0" w:color="auto"/>
      </w:divBdr>
    </w:div>
    <w:div w:id="933322160">
      <w:marLeft w:val="0"/>
      <w:marRight w:val="0"/>
      <w:marTop w:val="240"/>
      <w:marBottom w:val="0"/>
      <w:divBdr>
        <w:top w:val="none" w:sz="0" w:space="0" w:color="auto"/>
        <w:left w:val="none" w:sz="0" w:space="0" w:color="auto"/>
        <w:bottom w:val="none" w:sz="0" w:space="0" w:color="auto"/>
        <w:right w:val="none" w:sz="0" w:space="0" w:color="auto"/>
      </w:divBdr>
    </w:div>
    <w:div w:id="934707160">
      <w:marLeft w:val="0"/>
      <w:marRight w:val="0"/>
      <w:marTop w:val="240"/>
      <w:marBottom w:val="0"/>
      <w:divBdr>
        <w:top w:val="none" w:sz="0" w:space="0" w:color="auto"/>
        <w:left w:val="none" w:sz="0" w:space="0" w:color="auto"/>
        <w:bottom w:val="none" w:sz="0" w:space="0" w:color="auto"/>
        <w:right w:val="none" w:sz="0" w:space="0" w:color="auto"/>
      </w:divBdr>
    </w:div>
    <w:div w:id="936327237">
      <w:marLeft w:val="0"/>
      <w:marRight w:val="0"/>
      <w:marTop w:val="180"/>
      <w:marBottom w:val="240"/>
      <w:divBdr>
        <w:top w:val="none" w:sz="0" w:space="0" w:color="auto"/>
        <w:left w:val="none" w:sz="0" w:space="0" w:color="auto"/>
        <w:bottom w:val="none" w:sz="0" w:space="0" w:color="auto"/>
        <w:right w:val="none" w:sz="0" w:space="0" w:color="auto"/>
      </w:divBdr>
    </w:div>
    <w:div w:id="936444647">
      <w:marLeft w:val="0"/>
      <w:marRight w:val="0"/>
      <w:marTop w:val="240"/>
      <w:marBottom w:val="0"/>
      <w:divBdr>
        <w:top w:val="none" w:sz="0" w:space="0" w:color="auto"/>
        <w:left w:val="none" w:sz="0" w:space="0" w:color="auto"/>
        <w:bottom w:val="none" w:sz="0" w:space="0" w:color="auto"/>
        <w:right w:val="none" w:sz="0" w:space="0" w:color="auto"/>
      </w:divBdr>
    </w:div>
    <w:div w:id="938608957">
      <w:marLeft w:val="0"/>
      <w:marRight w:val="0"/>
      <w:marTop w:val="300"/>
      <w:marBottom w:val="0"/>
      <w:divBdr>
        <w:top w:val="none" w:sz="0" w:space="0" w:color="auto"/>
        <w:left w:val="none" w:sz="0" w:space="0" w:color="auto"/>
        <w:bottom w:val="none" w:sz="0" w:space="0" w:color="auto"/>
        <w:right w:val="none" w:sz="0" w:space="0" w:color="auto"/>
      </w:divBdr>
    </w:div>
    <w:div w:id="938947772">
      <w:marLeft w:val="0"/>
      <w:marRight w:val="0"/>
      <w:marTop w:val="240"/>
      <w:marBottom w:val="0"/>
      <w:divBdr>
        <w:top w:val="none" w:sz="0" w:space="0" w:color="auto"/>
        <w:left w:val="none" w:sz="0" w:space="0" w:color="auto"/>
        <w:bottom w:val="none" w:sz="0" w:space="0" w:color="auto"/>
        <w:right w:val="none" w:sz="0" w:space="0" w:color="auto"/>
      </w:divBdr>
    </w:div>
    <w:div w:id="942761371">
      <w:marLeft w:val="0"/>
      <w:marRight w:val="0"/>
      <w:marTop w:val="240"/>
      <w:marBottom w:val="0"/>
      <w:divBdr>
        <w:top w:val="none" w:sz="0" w:space="0" w:color="auto"/>
        <w:left w:val="none" w:sz="0" w:space="0" w:color="auto"/>
        <w:bottom w:val="none" w:sz="0" w:space="0" w:color="auto"/>
        <w:right w:val="none" w:sz="0" w:space="0" w:color="auto"/>
      </w:divBdr>
    </w:div>
    <w:div w:id="943074268">
      <w:marLeft w:val="0"/>
      <w:marRight w:val="0"/>
      <w:marTop w:val="140"/>
      <w:marBottom w:val="0"/>
      <w:divBdr>
        <w:top w:val="none" w:sz="0" w:space="0" w:color="auto"/>
        <w:left w:val="none" w:sz="0" w:space="0" w:color="auto"/>
        <w:bottom w:val="none" w:sz="0" w:space="0" w:color="auto"/>
        <w:right w:val="none" w:sz="0" w:space="0" w:color="auto"/>
      </w:divBdr>
    </w:div>
    <w:div w:id="944845651">
      <w:marLeft w:val="0"/>
      <w:marRight w:val="0"/>
      <w:marTop w:val="240"/>
      <w:marBottom w:val="0"/>
      <w:divBdr>
        <w:top w:val="none" w:sz="0" w:space="0" w:color="auto"/>
        <w:left w:val="none" w:sz="0" w:space="0" w:color="auto"/>
        <w:bottom w:val="none" w:sz="0" w:space="0" w:color="auto"/>
        <w:right w:val="none" w:sz="0" w:space="0" w:color="auto"/>
      </w:divBdr>
    </w:div>
    <w:div w:id="945116599">
      <w:marLeft w:val="0"/>
      <w:marRight w:val="0"/>
      <w:marTop w:val="240"/>
      <w:marBottom w:val="0"/>
      <w:divBdr>
        <w:top w:val="none" w:sz="0" w:space="0" w:color="auto"/>
        <w:left w:val="none" w:sz="0" w:space="0" w:color="auto"/>
        <w:bottom w:val="none" w:sz="0" w:space="0" w:color="auto"/>
        <w:right w:val="none" w:sz="0" w:space="0" w:color="auto"/>
      </w:divBdr>
    </w:div>
    <w:div w:id="946541693">
      <w:marLeft w:val="0"/>
      <w:marRight w:val="0"/>
      <w:marTop w:val="240"/>
      <w:marBottom w:val="240"/>
      <w:divBdr>
        <w:top w:val="none" w:sz="0" w:space="0" w:color="auto"/>
        <w:left w:val="none" w:sz="0" w:space="0" w:color="auto"/>
        <w:bottom w:val="none" w:sz="0" w:space="0" w:color="auto"/>
        <w:right w:val="none" w:sz="0" w:space="0" w:color="auto"/>
      </w:divBdr>
    </w:div>
    <w:div w:id="946960744">
      <w:marLeft w:val="0"/>
      <w:marRight w:val="0"/>
      <w:marTop w:val="240"/>
      <w:marBottom w:val="0"/>
      <w:divBdr>
        <w:top w:val="none" w:sz="0" w:space="0" w:color="auto"/>
        <w:left w:val="none" w:sz="0" w:space="0" w:color="auto"/>
        <w:bottom w:val="none" w:sz="0" w:space="0" w:color="auto"/>
        <w:right w:val="none" w:sz="0" w:space="0" w:color="auto"/>
      </w:divBdr>
    </w:div>
    <w:div w:id="948315259">
      <w:marLeft w:val="0"/>
      <w:marRight w:val="0"/>
      <w:marTop w:val="240"/>
      <w:marBottom w:val="0"/>
      <w:divBdr>
        <w:top w:val="none" w:sz="0" w:space="0" w:color="auto"/>
        <w:left w:val="none" w:sz="0" w:space="0" w:color="auto"/>
        <w:bottom w:val="none" w:sz="0" w:space="0" w:color="auto"/>
        <w:right w:val="none" w:sz="0" w:space="0" w:color="auto"/>
      </w:divBdr>
    </w:div>
    <w:div w:id="948973845">
      <w:marLeft w:val="0"/>
      <w:marRight w:val="0"/>
      <w:marTop w:val="0"/>
      <w:marBottom w:val="0"/>
      <w:divBdr>
        <w:top w:val="none" w:sz="0" w:space="0" w:color="auto"/>
        <w:left w:val="none" w:sz="0" w:space="0" w:color="auto"/>
        <w:bottom w:val="none" w:sz="0" w:space="0" w:color="auto"/>
        <w:right w:val="none" w:sz="0" w:space="0" w:color="auto"/>
      </w:divBdr>
    </w:div>
    <w:div w:id="950429358">
      <w:marLeft w:val="0"/>
      <w:marRight w:val="0"/>
      <w:marTop w:val="180"/>
      <w:marBottom w:val="0"/>
      <w:divBdr>
        <w:top w:val="none" w:sz="0" w:space="0" w:color="auto"/>
        <w:left w:val="none" w:sz="0" w:space="0" w:color="auto"/>
        <w:bottom w:val="none" w:sz="0" w:space="0" w:color="auto"/>
        <w:right w:val="none" w:sz="0" w:space="0" w:color="auto"/>
      </w:divBdr>
    </w:div>
    <w:div w:id="953486340">
      <w:marLeft w:val="0"/>
      <w:marRight w:val="0"/>
      <w:marTop w:val="240"/>
      <w:marBottom w:val="0"/>
      <w:divBdr>
        <w:top w:val="none" w:sz="0" w:space="0" w:color="auto"/>
        <w:left w:val="none" w:sz="0" w:space="0" w:color="auto"/>
        <w:bottom w:val="none" w:sz="0" w:space="0" w:color="auto"/>
        <w:right w:val="none" w:sz="0" w:space="0" w:color="auto"/>
      </w:divBdr>
    </w:div>
    <w:div w:id="955988807">
      <w:marLeft w:val="0"/>
      <w:marRight w:val="0"/>
      <w:marTop w:val="240"/>
      <w:marBottom w:val="0"/>
      <w:divBdr>
        <w:top w:val="none" w:sz="0" w:space="0" w:color="auto"/>
        <w:left w:val="none" w:sz="0" w:space="0" w:color="auto"/>
        <w:bottom w:val="none" w:sz="0" w:space="0" w:color="auto"/>
        <w:right w:val="none" w:sz="0" w:space="0" w:color="auto"/>
      </w:divBdr>
    </w:div>
    <w:div w:id="957487769">
      <w:marLeft w:val="0"/>
      <w:marRight w:val="0"/>
      <w:marTop w:val="0"/>
      <w:marBottom w:val="0"/>
      <w:divBdr>
        <w:top w:val="none" w:sz="0" w:space="0" w:color="auto"/>
        <w:left w:val="none" w:sz="0" w:space="0" w:color="auto"/>
        <w:bottom w:val="none" w:sz="0" w:space="0" w:color="auto"/>
        <w:right w:val="none" w:sz="0" w:space="0" w:color="auto"/>
      </w:divBdr>
      <w:divsChild>
        <w:div w:id="681667196">
          <w:marLeft w:val="0"/>
          <w:marRight w:val="0"/>
          <w:marTop w:val="0"/>
          <w:marBottom w:val="0"/>
          <w:divBdr>
            <w:top w:val="none" w:sz="0" w:space="0" w:color="auto"/>
            <w:left w:val="none" w:sz="0" w:space="0" w:color="auto"/>
            <w:bottom w:val="none" w:sz="0" w:space="0" w:color="auto"/>
            <w:right w:val="none" w:sz="0" w:space="0" w:color="auto"/>
          </w:divBdr>
          <w:divsChild>
            <w:div w:id="9240771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959265869">
      <w:marLeft w:val="0"/>
      <w:marRight w:val="0"/>
      <w:marTop w:val="220"/>
      <w:marBottom w:val="240"/>
      <w:divBdr>
        <w:top w:val="none" w:sz="0" w:space="0" w:color="auto"/>
        <w:left w:val="none" w:sz="0" w:space="0" w:color="auto"/>
        <w:bottom w:val="none" w:sz="0" w:space="0" w:color="auto"/>
        <w:right w:val="none" w:sz="0" w:space="0" w:color="auto"/>
      </w:divBdr>
    </w:div>
    <w:div w:id="961114455">
      <w:marLeft w:val="0"/>
      <w:marRight w:val="0"/>
      <w:marTop w:val="240"/>
      <w:marBottom w:val="240"/>
      <w:divBdr>
        <w:top w:val="none" w:sz="0" w:space="0" w:color="auto"/>
        <w:left w:val="none" w:sz="0" w:space="0" w:color="auto"/>
        <w:bottom w:val="none" w:sz="0" w:space="0" w:color="auto"/>
        <w:right w:val="none" w:sz="0" w:space="0" w:color="auto"/>
      </w:divBdr>
    </w:div>
    <w:div w:id="964116960">
      <w:marLeft w:val="0"/>
      <w:marRight w:val="0"/>
      <w:marTop w:val="60"/>
      <w:marBottom w:val="0"/>
      <w:divBdr>
        <w:top w:val="none" w:sz="0" w:space="0" w:color="auto"/>
        <w:left w:val="none" w:sz="0" w:space="0" w:color="auto"/>
        <w:bottom w:val="none" w:sz="0" w:space="0" w:color="auto"/>
        <w:right w:val="none" w:sz="0" w:space="0" w:color="auto"/>
      </w:divBdr>
    </w:div>
    <w:div w:id="965041443">
      <w:marLeft w:val="0"/>
      <w:marRight w:val="0"/>
      <w:marTop w:val="300"/>
      <w:marBottom w:val="0"/>
      <w:divBdr>
        <w:top w:val="none" w:sz="0" w:space="0" w:color="auto"/>
        <w:left w:val="none" w:sz="0" w:space="0" w:color="auto"/>
        <w:bottom w:val="none" w:sz="0" w:space="0" w:color="auto"/>
        <w:right w:val="none" w:sz="0" w:space="0" w:color="auto"/>
      </w:divBdr>
    </w:div>
    <w:div w:id="965506236">
      <w:marLeft w:val="0"/>
      <w:marRight w:val="0"/>
      <w:marTop w:val="180"/>
      <w:marBottom w:val="0"/>
      <w:divBdr>
        <w:top w:val="none" w:sz="0" w:space="0" w:color="auto"/>
        <w:left w:val="none" w:sz="0" w:space="0" w:color="auto"/>
        <w:bottom w:val="none" w:sz="0" w:space="0" w:color="auto"/>
        <w:right w:val="none" w:sz="0" w:space="0" w:color="auto"/>
      </w:divBdr>
    </w:div>
    <w:div w:id="965817718">
      <w:marLeft w:val="0"/>
      <w:marRight w:val="0"/>
      <w:marTop w:val="240"/>
      <w:marBottom w:val="0"/>
      <w:divBdr>
        <w:top w:val="none" w:sz="0" w:space="0" w:color="auto"/>
        <w:left w:val="none" w:sz="0" w:space="0" w:color="auto"/>
        <w:bottom w:val="none" w:sz="0" w:space="0" w:color="auto"/>
        <w:right w:val="none" w:sz="0" w:space="0" w:color="auto"/>
      </w:divBdr>
    </w:div>
    <w:div w:id="965893332">
      <w:marLeft w:val="0"/>
      <w:marRight w:val="0"/>
      <w:marTop w:val="240"/>
      <w:marBottom w:val="0"/>
      <w:divBdr>
        <w:top w:val="none" w:sz="0" w:space="0" w:color="auto"/>
        <w:left w:val="none" w:sz="0" w:space="0" w:color="auto"/>
        <w:bottom w:val="none" w:sz="0" w:space="0" w:color="auto"/>
        <w:right w:val="none" w:sz="0" w:space="0" w:color="auto"/>
      </w:divBdr>
    </w:div>
    <w:div w:id="967662829">
      <w:marLeft w:val="0"/>
      <w:marRight w:val="0"/>
      <w:marTop w:val="160"/>
      <w:marBottom w:val="0"/>
      <w:divBdr>
        <w:top w:val="none" w:sz="0" w:space="0" w:color="auto"/>
        <w:left w:val="none" w:sz="0" w:space="0" w:color="auto"/>
        <w:bottom w:val="none" w:sz="0" w:space="0" w:color="auto"/>
        <w:right w:val="none" w:sz="0" w:space="0" w:color="auto"/>
      </w:divBdr>
    </w:div>
    <w:div w:id="968509528">
      <w:marLeft w:val="0"/>
      <w:marRight w:val="0"/>
      <w:marTop w:val="240"/>
      <w:marBottom w:val="120"/>
      <w:divBdr>
        <w:top w:val="none" w:sz="0" w:space="0" w:color="auto"/>
        <w:left w:val="none" w:sz="0" w:space="0" w:color="auto"/>
        <w:bottom w:val="none" w:sz="0" w:space="0" w:color="auto"/>
        <w:right w:val="none" w:sz="0" w:space="0" w:color="auto"/>
      </w:divBdr>
    </w:div>
    <w:div w:id="970094176">
      <w:marLeft w:val="0"/>
      <w:marRight w:val="0"/>
      <w:marTop w:val="240"/>
      <w:marBottom w:val="0"/>
      <w:divBdr>
        <w:top w:val="none" w:sz="0" w:space="0" w:color="auto"/>
        <w:left w:val="none" w:sz="0" w:space="0" w:color="auto"/>
        <w:bottom w:val="none" w:sz="0" w:space="0" w:color="auto"/>
        <w:right w:val="none" w:sz="0" w:space="0" w:color="auto"/>
      </w:divBdr>
    </w:div>
    <w:div w:id="971596652">
      <w:marLeft w:val="0"/>
      <w:marRight w:val="0"/>
      <w:marTop w:val="240"/>
      <w:marBottom w:val="0"/>
      <w:divBdr>
        <w:top w:val="none" w:sz="0" w:space="0" w:color="auto"/>
        <w:left w:val="none" w:sz="0" w:space="0" w:color="auto"/>
        <w:bottom w:val="none" w:sz="0" w:space="0" w:color="auto"/>
        <w:right w:val="none" w:sz="0" w:space="0" w:color="auto"/>
      </w:divBdr>
    </w:div>
    <w:div w:id="971669213">
      <w:marLeft w:val="0"/>
      <w:marRight w:val="0"/>
      <w:marTop w:val="0"/>
      <w:marBottom w:val="120"/>
      <w:divBdr>
        <w:top w:val="none" w:sz="0" w:space="0" w:color="auto"/>
        <w:left w:val="none" w:sz="0" w:space="0" w:color="auto"/>
        <w:bottom w:val="none" w:sz="0" w:space="0" w:color="auto"/>
        <w:right w:val="none" w:sz="0" w:space="0" w:color="auto"/>
      </w:divBdr>
    </w:div>
    <w:div w:id="971789045">
      <w:marLeft w:val="0"/>
      <w:marRight w:val="0"/>
      <w:marTop w:val="240"/>
      <w:marBottom w:val="0"/>
      <w:divBdr>
        <w:top w:val="none" w:sz="0" w:space="0" w:color="auto"/>
        <w:left w:val="none" w:sz="0" w:space="0" w:color="auto"/>
        <w:bottom w:val="none" w:sz="0" w:space="0" w:color="auto"/>
        <w:right w:val="none" w:sz="0" w:space="0" w:color="auto"/>
      </w:divBdr>
    </w:div>
    <w:div w:id="972830811">
      <w:marLeft w:val="0"/>
      <w:marRight w:val="0"/>
      <w:marTop w:val="180"/>
      <w:marBottom w:val="0"/>
      <w:divBdr>
        <w:top w:val="none" w:sz="0" w:space="0" w:color="auto"/>
        <w:left w:val="none" w:sz="0" w:space="0" w:color="auto"/>
        <w:bottom w:val="none" w:sz="0" w:space="0" w:color="auto"/>
        <w:right w:val="none" w:sz="0" w:space="0" w:color="auto"/>
      </w:divBdr>
    </w:div>
    <w:div w:id="973363278">
      <w:marLeft w:val="0"/>
      <w:marRight w:val="0"/>
      <w:marTop w:val="100"/>
      <w:marBottom w:val="0"/>
      <w:divBdr>
        <w:top w:val="none" w:sz="0" w:space="0" w:color="auto"/>
        <w:left w:val="none" w:sz="0" w:space="0" w:color="auto"/>
        <w:bottom w:val="none" w:sz="0" w:space="0" w:color="auto"/>
        <w:right w:val="none" w:sz="0" w:space="0" w:color="auto"/>
      </w:divBdr>
    </w:div>
    <w:div w:id="973755834">
      <w:marLeft w:val="0"/>
      <w:marRight w:val="0"/>
      <w:marTop w:val="120"/>
      <w:marBottom w:val="0"/>
      <w:divBdr>
        <w:top w:val="none" w:sz="0" w:space="0" w:color="auto"/>
        <w:left w:val="none" w:sz="0" w:space="0" w:color="auto"/>
        <w:bottom w:val="none" w:sz="0" w:space="0" w:color="auto"/>
        <w:right w:val="none" w:sz="0" w:space="0" w:color="auto"/>
      </w:divBdr>
    </w:div>
    <w:div w:id="975523503">
      <w:marLeft w:val="0"/>
      <w:marRight w:val="0"/>
      <w:marTop w:val="220"/>
      <w:marBottom w:val="0"/>
      <w:divBdr>
        <w:top w:val="none" w:sz="0" w:space="0" w:color="auto"/>
        <w:left w:val="none" w:sz="0" w:space="0" w:color="auto"/>
        <w:bottom w:val="none" w:sz="0" w:space="0" w:color="auto"/>
        <w:right w:val="none" w:sz="0" w:space="0" w:color="auto"/>
      </w:divBdr>
      <w:divsChild>
        <w:div w:id="431825309">
          <w:marLeft w:val="0"/>
          <w:marRight w:val="0"/>
          <w:marTop w:val="240"/>
          <w:marBottom w:val="0"/>
          <w:divBdr>
            <w:top w:val="none" w:sz="0" w:space="0" w:color="auto"/>
            <w:left w:val="none" w:sz="0" w:space="0" w:color="auto"/>
            <w:bottom w:val="none" w:sz="0" w:space="0" w:color="auto"/>
            <w:right w:val="none" w:sz="0" w:space="0" w:color="auto"/>
          </w:divBdr>
        </w:div>
        <w:div w:id="512691511">
          <w:marLeft w:val="0"/>
          <w:marRight w:val="0"/>
          <w:marTop w:val="240"/>
          <w:marBottom w:val="0"/>
          <w:divBdr>
            <w:top w:val="none" w:sz="0" w:space="0" w:color="auto"/>
            <w:left w:val="none" w:sz="0" w:space="0" w:color="auto"/>
            <w:bottom w:val="none" w:sz="0" w:space="0" w:color="auto"/>
            <w:right w:val="none" w:sz="0" w:space="0" w:color="auto"/>
          </w:divBdr>
        </w:div>
      </w:divsChild>
    </w:div>
    <w:div w:id="976446707">
      <w:marLeft w:val="0"/>
      <w:marRight w:val="0"/>
      <w:marTop w:val="240"/>
      <w:marBottom w:val="0"/>
      <w:divBdr>
        <w:top w:val="none" w:sz="0" w:space="0" w:color="auto"/>
        <w:left w:val="none" w:sz="0" w:space="0" w:color="auto"/>
        <w:bottom w:val="none" w:sz="0" w:space="0" w:color="auto"/>
        <w:right w:val="none" w:sz="0" w:space="0" w:color="auto"/>
      </w:divBdr>
    </w:div>
    <w:div w:id="977420622">
      <w:marLeft w:val="0"/>
      <w:marRight w:val="0"/>
      <w:marTop w:val="240"/>
      <w:marBottom w:val="0"/>
      <w:divBdr>
        <w:top w:val="none" w:sz="0" w:space="0" w:color="auto"/>
        <w:left w:val="none" w:sz="0" w:space="0" w:color="auto"/>
        <w:bottom w:val="none" w:sz="0" w:space="0" w:color="auto"/>
        <w:right w:val="none" w:sz="0" w:space="0" w:color="auto"/>
      </w:divBdr>
    </w:div>
    <w:div w:id="977489193">
      <w:marLeft w:val="0"/>
      <w:marRight w:val="0"/>
      <w:marTop w:val="240"/>
      <w:marBottom w:val="0"/>
      <w:divBdr>
        <w:top w:val="none" w:sz="0" w:space="0" w:color="auto"/>
        <w:left w:val="none" w:sz="0" w:space="0" w:color="auto"/>
        <w:bottom w:val="none" w:sz="0" w:space="0" w:color="auto"/>
        <w:right w:val="none" w:sz="0" w:space="0" w:color="auto"/>
      </w:divBdr>
    </w:div>
    <w:div w:id="978151956">
      <w:marLeft w:val="0"/>
      <w:marRight w:val="0"/>
      <w:marTop w:val="0"/>
      <w:marBottom w:val="0"/>
      <w:divBdr>
        <w:top w:val="none" w:sz="0" w:space="0" w:color="auto"/>
        <w:left w:val="none" w:sz="0" w:space="0" w:color="auto"/>
        <w:bottom w:val="none" w:sz="0" w:space="0" w:color="auto"/>
        <w:right w:val="none" w:sz="0" w:space="0" w:color="auto"/>
      </w:divBdr>
    </w:div>
    <w:div w:id="978389047">
      <w:marLeft w:val="0"/>
      <w:marRight w:val="0"/>
      <w:marTop w:val="0"/>
      <w:marBottom w:val="60"/>
      <w:divBdr>
        <w:top w:val="none" w:sz="0" w:space="0" w:color="auto"/>
        <w:left w:val="none" w:sz="0" w:space="0" w:color="auto"/>
        <w:bottom w:val="none" w:sz="0" w:space="0" w:color="auto"/>
        <w:right w:val="none" w:sz="0" w:space="0" w:color="auto"/>
      </w:divBdr>
    </w:div>
    <w:div w:id="978806185">
      <w:marLeft w:val="0"/>
      <w:marRight w:val="0"/>
      <w:marTop w:val="200"/>
      <w:marBottom w:val="0"/>
      <w:divBdr>
        <w:top w:val="none" w:sz="0" w:space="0" w:color="auto"/>
        <w:left w:val="none" w:sz="0" w:space="0" w:color="auto"/>
        <w:bottom w:val="none" w:sz="0" w:space="0" w:color="auto"/>
        <w:right w:val="none" w:sz="0" w:space="0" w:color="auto"/>
      </w:divBdr>
    </w:div>
    <w:div w:id="983199461">
      <w:marLeft w:val="0"/>
      <w:marRight w:val="0"/>
      <w:marTop w:val="240"/>
      <w:marBottom w:val="0"/>
      <w:divBdr>
        <w:top w:val="none" w:sz="0" w:space="0" w:color="auto"/>
        <w:left w:val="none" w:sz="0" w:space="0" w:color="auto"/>
        <w:bottom w:val="none" w:sz="0" w:space="0" w:color="auto"/>
        <w:right w:val="none" w:sz="0" w:space="0" w:color="auto"/>
      </w:divBdr>
    </w:div>
    <w:div w:id="983658709">
      <w:marLeft w:val="0"/>
      <w:marRight w:val="0"/>
      <w:marTop w:val="0"/>
      <w:marBottom w:val="0"/>
      <w:divBdr>
        <w:top w:val="none" w:sz="0" w:space="0" w:color="auto"/>
        <w:left w:val="none" w:sz="0" w:space="0" w:color="auto"/>
        <w:bottom w:val="none" w:sz="0" w:space="0" w:color="auto"/>
        <w:right w:val="none" w:sz="0" w:space="0" w:color="auto"/>
      </w:divBdr>
    </w:div>
    <w:div w:id="985353311">
      <w:marLeft w:val="0"/>
      <w:marRight w:val="0"/>
      <w:marTop w:val="240"/>
      <w:marBottom w:val="0"/>
      <w:divBdr>
        <w:top w:val="none" w:sz="0" w:space="0" w:color="auto"/>
        <w:left w:val="none" w:sz="0" w:space="0" w:color="auto"/>
        <w:bottom w:val="none" w:sz="0" w:space="0" w:color="auto"/>
        <w:right w:val="none" w:sz="0" w:space="0" w:color="auto"/>
      </w:divBdr>
    </w:div>
    <w:div w:id="986711421">
      <w:marLeft w:val="0"/>
      <w:marRight w:val="0"/>
      <w:marTop w:val="0"/>
      <w:marBottom w:val="0"/>
      <w:divBdr>
        <w:top w:val="none" w:sz="0" w:space="0" w:color="auto"/>
        <w:left w:val="none" w:sz="0" w:space="0" w:color="auto"/>
        <w:bottom w:val="none" w:sz="0" w:space="0" w:color="auto"/>
        <w:right w:val="none" w:sz="0" w:space="0" w:color="auto"/>
      </w:divBdr>
    </w:div>
    <w:div w:id="987980067">
      <w:marLeft w:val="0"/>
      <w:marRight w:val="0"/>
      <w:marTop w:val="240"/>
      <w:marBottom w:val="0"/>
      <w:divBdr>
        <w:top w:val="none" w:sz="0" w:space="0" w:color="auto"/>
        <w:left w:val="none" w:sz="0" w:space="0" w:color="auto"/>
        <w:bottom w:val="none" w:sz="0" w:space="0" w:color="auto"/>
        <w:right w:val="none" w:sz="0" w:space="0" w:color="auto"/>
      </w:divBdr>
    </w:div>
    <w:div w:id="990451499">
      <w:marLeft w:val="0"/>
      <w:marRight w:val="0"/>
      <w:marTop w:val="240"/>
      <w:marBottom w:val="0"/>
      <w:divBdr>
        <w:top w:val="none" w:sz="0" w:space="0" w:color="auto"/>
        <w:left w:val="none" w:sz="0" w:space="0" w:color="auto"/>
        <w:bottom w:val="none" w:sz="0" w:space="0" w:color="auto"/>
        <w:right w:val="none" w:sz="0" w:space="0" w:color="auto"/>
      </w:divBdr>
    </w:div>
    <w:div w:id="992486047">
      <w:marLeft w:val="0"/>
      <w:marRight w:val="0"/>
      <w:marTop w:val="220"/>
      <w:marBottom w:val="0"/>
      <w:divBdr>
        <w:top w:val="none" w:sz="0" w:space="0" w:color="auto"/>
        <w:left w:val="none" w:sz="0" w:space="0" w:color="auto"/>
        <w:bottom w:val="none" w:sz="0" w:space="0" w:color="auto"/>
        <w:right w:val="none" w:sz="0" w:space="0" w:color="auto"/>
      </w:divBdr>
    </w:div>
    <w:div w:id="993290283">
      <w:marLeft w:val="0"/>
      <w:marRight w:val="0"/>
      <w:marTop w:val="240"/>
      <w:marBottom w:val="0"/>
      <w:divBdr>
        <w:top w:val="none" w:sz="0" w:space="0" w:color="auto"/>
        <w:left w:val="none" w:sz="0" w:space="0" w:color="auto"/>
        <w:bottom w:val="none" w:sz="0" w:space="0" w:color="auto"/>
        <w:right w:val="none" w:sz="0" w:space="0" w:color="auto"/>
      </w:divBdr>
    </w:div>
    <w:div w:id="993332600">
      <w:marLeft w:val="0"/>
      <w:marRight w:val="0"/>
      <w:marTop w:val="60"/>
      <w:marBottom w:val="0"/>
      <w:divBdr>
        <w:top w:val="none" w:sz="0" w:space="0" w:color="auto"/>
        <w:left w:val="none" w:sz="0" w:space="0" w:color="auto"/>
        <w:bottom w:val="none" w:sz="0" w:space="0" w:color="auto"/>
        <w:right w:val="none" w:sz="0" w:space="0" w:color="auto"/>
      </w:divBdr>
    </w:div>
    <w:div w:id="993728389">
      <w:marLeft w:val="0"/>
      <w:marRight w:val="0"/>
      <w:marTop w:val="180"/>
      <w:marBottom w:val="0"/>
      <w:divBdr>
        <w:top w:val="none" w:sz="0" w:space="0" w:color="auto"/>
        <w:left w:val="none" w:sz="0" w:space="0" w:color="auto"/>
        <w:bottom w:val="none" w:sz="0" w:space="0" w:color="auto"/>
        <w:right w:val="none" w:sz="0" w:space="0" w:color="auto"/>
      </w:divBdr>
    </w:div>
    <w:div w:id="995497003">
      <w:marLeft w:val="0"/>
      <w:marRight w:val="0"/>
      <w:marTop w:val="240"/>
      <w:marBottom w:val="0"/>
      <w:divBdr>
        <w:top w:val="none" w:sz="0" w:space="0" w:color="auto"/>
        <w:left w:val="none" w:sz="0" w:space="0" w:color="auto"/>
        <w:bottom w:val="none" w:sz="0" w:space="0" w:color="auto"/>
        <w:right w:val="none" w:sz="0" w:space="0" w:color="auto"/>
      </w:divBdr>
    </w:div>
    <w:div w:id="996106930">
      <w:marLeft w:val="0"/>
      <w:marRight w:val="0"/>
      <w:marTop w:val="240"/>
      <w:marBottom w:val="0"/>
      <w:divBdr>
        <w:top w:val="none" w:sz="0" w:space="0" w:color="auto"/>
        <w:left w:val="none" w:sz="0" w:space="0" w:color="auto"/>
        <w:bottom w:val="none" w:sz="0" w:space="0" w:color="auto"/>
        <w:right w:val="none" w:sz="0" w:space="0" w:color="auto"/>
      </w:divBdr>
    </w:div>
    <w:div w:id="996151765">
      <w:marLeft w:val="0"/>
      <w:marRight w:val="0"/>
      <w:marTop w:val="240"/>
      <w:marBottom w:val="0"/>
      <w:divBdr>
        <w:top w:val="none" w:sz="0" w:space="0" w:color="auto"/>
        <w:left w:val="none" w:sz="0" w:space="0" w:color="auto"/>
        <w:bottom w:val="none" w:sz="0" w:space="0" w:color="auto"/>
        <w:right w:val="none" w:sz="0" w:space="0" w:color="auto"/>
      </w:divBdr>
    </w:div>
    <w:div w:id="996496723">
      <w:marLeft w:val="0"/>
      <w:marRight w:val="0"/>
      <w:marTop w:val="0"/>
      <w:marBottom w:val="0"/>
      <w:divBdr>
        <w:top w:val="none" w:sz="0" w:space="0" w:color="auto"/>
        <w:left w:val="none" w:sz="0" w:space="0" w:color="auto"/>
        <w:bottom w:val="none" w:sz="0" w:space="0" w:color="auto"/>
        <w:right w:val="none" w:sz="0" w:space="0" w:color="auto"/>
      </w:divBdr>
    </w:div>
    <w:div w:id="996611436">
      <w:marLeft w:val="0"/>
      <w:marRight w:val="0"/>
      <w:marTop w:val="60"/>
      <w:marBottom w:val="0"/>
      <w:divBdr>
        <w:top w:val="none" w:sz="0" w:space="0" w:color="auto"/>
        <w:left w:val="none" w:sz="0" w:space="0" w:color="auto"/>
        <w:bottom w:val="none" w:sz="0" w:space="0" w:color="auto"/>
        <w:right w:val="none" w:sz="0" w:space="0" w:color="auto"/>
      </w:divBdr>
    </w:div>
    <w:div w:id="996690310">
      <w:marLeft w:val="0"/>
      <w:marRight w:val="0"/>
      <w:marTop w:val="240"/>
      <w:marBottom w:val="0"/>
      <w:divBdr>
        <w:top w:val="none" w:sz="0" w:space="0" w:color="auto"/>
        <w:left w:val="none" w:sz="0" w:space="0" w:color="auto"/>
        <w:bottom w:val="none" w:sz="0" w:space="0" w:color="auto"/>
        <w:right w:val="none" w:sz="0" w:space="0" w:color="auto"/>
      </w:divBdr>
    </w:div>
    <w:div w:id="998769759">
      <w:marLeft w:val="0"/>
      <w:marRight w:val="0"/>
      <w:marTop w:val="160"/>
      <w:marBottom w:val="0"/>
      <w:divBdr>
        <w:top w:val="none" w:sz="0" w:space="0" w:color="auto"/>
        <w:left w:val="none" w:sz="0" w:space="0" w:color="auto"/>
        <w:bottom w:val="none" w:sz="0" w:space="0" w:color="auto"/>
        <w:right w:val="none" w:sz="0" w:space="0" w:color="auto"/>
      </w:divBdr>
      <w:divsChild>
        <w:div w:id="1190484553">
          <w:marLeft w:val="0"/>
          <w:marRight w:val="0"/>
          <w:marTop w:val="0"/>
          <w:marBottom w:val="0"/>
          <w:divBdr>
            <w:top w:val="none" w:sz="0" w:space="0" w:color="auto"/>
            <w:left w:val="none" w:sz="0" w:space="0" w:color="auto"/>
            <w:bottom w:val="none" w:sz="0" w:space="0" w:color="auto"/>
            <w:right w:val="none" w:sz="0" w:space="0" w:color="auto"/>
          </w:divBdr>
        </w:div>
        <w:div w:id="1056003659">
          <w:marLeft w:val="0"/>
          <w:marRight w:val="0"/>
          <w:marTop w:val="0"/>
          <w:marBottom w:val="0"/>
          <w:divBdr>
            <w:top w:val="none" w:sz="0" w:space="0" w:color="auto"/>
            <w:left w:val="none" w:sz="0" w:space="0" w:color="auto"/>
            <w:bottom w:val="none" w:sz="0" w:space="0" w:color="auto"/>
            <w:right w:val="none" w:sz="0" w:space="0" w:color="auto"/>
          </w:divBdr>
        </w:div>
        <w:div w:id="356465476">
          <w:marLeft w:val="0"/>
          <w:marRight w:val="0"/>
          <w:marTop w:val="0"/>
          <w:marBottom w:val="0"/>
          <w:divBdr>
            <w:top w:val="none" w:sz="0" w:space="0" w:color="auto"/>
            <w:left w:val="none" w:sz="0" w:space="0" w:color="auto"/>
            <w:bottom w:val="none" w:sz="0" w:space="0" w:color="auto"/>
            <w:right w:val="none" w:sz="0" w:space="0" w:color="auto"/>
          </w:divBdr>
        </w:div>
        <w:div w:id="1153640445">
          <w:marLeft w:val="0"/>
          <w:marRight w:val="0"/>
          <w:marTop w:val="0"/>
          <w:marBottom w:val="0"/>
          <w:divBdr>
            <w:top w:val="none" w:sz="0" w:space="0" w:color="auto"/>
            <w:left w:val="none" w:sz="0" w:space="0" w:color="auto"/>
            <w:bottom w:val="none" w:sz="0" w:space="0" w:color="auto"/>
            <w:right w:val="none" w:sz="0" w:space="0" w:color="auto"/>
          </w:divBdr>
        </w:div>
        <w:div w:id="752356731">
          <w:marLeft w:val="0"/>
          <w:marRight w:val="0"/>
          <w:marTop w:val="0"/>
          <w:marBottom w:val="0"/>
          <w:divBdr>
            <w:top w:val="none" w:sz="0" w:space="0" w:color="auto"/>
            <w:left w:val="none" w:sz="0" w:space="0" w:color="auto"/>
            <w:bottom w:val="none" w:sz="0" w:space="0" w:color="auto"/>
            <w:right w:val="none" w:sz="0" w:space="0" w:color="auto"/>
          </w:divBdr>
        </w:div>
        <w:div w:id="720054701">
          <w:marLeft w:val="0"/>
          <w:marRight w:val="0"/>
          <w:marTop w:val="0"/>
          <w:marBottom w:val="0"/>
          <w:divBdr>
            <w:top w:val="none" w:sz="0" w:space="0" w:color="auto"/>
            <w:left w:val="none" w:sz="0" w:space="0" w:color="auto"/>
            <w:bottom w:val="none" w:sz="0" w:space="0" w:color="auto"/>
            <w:right w:val="none" w:sz="0" w:space="0" w:color="auto"/>
          </w:divBdr>
        </w:div>
        <w:div w:id="2020042919">
          <w:marLeft w:val="0"/>
          <w:marRight w:val="0"/>
          <w:marTop w:val="0"/>
          <w:marBottom w:val="0"/>
          <w:divBdr>
            <w:top w:val="none" w:sz="0" w:space="0" w:color="auto"/>
            <w:left w:val="none" w:sz="0" w:space="0" w:color="auto"/>
            <w:bottom w:val="none" w:sz="0" w:space="0" w:color="auto"/>
            <w:right w:val="none" w:sz="0" w:space="0" w:color="auto"/>
          </w:divBdr>
        </w:div>
        <w:div w:id="2030374129">
          <w:marLeft w:val="0"/>
          <w:marRight w:val="0"/>
          <w:marTop w:val="0"/>
          <w:marBottom w:val="0"/>
          <w:divBdr>
            <w:top w:val="none" w:sz="0" w:space="0" w:color="auto"/>
            <w:left w:val="none" w:sz="0" w:space="0" w:color="auto"/>
            <w:bottom w:val="none" w:sz="0" w:space="0" w:color="auto"/>
            <w:right w:val="none" w:sz="0" w:space="0" w:color="auto"/>
          </w:divBdr>
        </w:div>
      </w:divsChild>
    </w:div>
    <w:div w:id="1001006920">
      <w:marLeft w:val="0"/>
      <w:marRight w:val="0"/>
      <w:marTop w:val="300"/>
      <w:marBottom w:val="0"/>
      <w:divBdr>
        <w:top w:val="none" w:sz="0" w:space="0" w:color="auto"/>
        <w:left w:val="none" w:sz="0" w:space="0" w:color="auto"/>
        <w:bottom w:val="none" w:sz="0" w:space="0" w:color="auto"/>
        <w:right w:val="none" w:sz="0" w:space="0" w:color="auto"/>
      </w:divBdr>
    </w:div>
    <w:div w:id="1002664070">
      <w:marLeft w:val="0"/>
      <w:marRight w:val="0"/>
      <w:marTop w:val="240"/>
      <w:marBottom w:val="0"/>
      <w:divBdr>
        <w:top w:val="none" w:sz="0" w:space="0" w:color="auto"/>
        <w:left w:val="none" w:sz="0" w:space="0" w:color="auto"/>
        <w:bottom w:val="none" w:sz="0" w:space="0" w:color="auto"/>
        <w:right w:val="none" w:sz="0" w:space="0" w:color="auto"/>
      </w:divBdr>
    </w:div>
    <w:div w:id="1002705825">
      <w:marLeft w:val="0"/>
      <w:marRight w:val="0"/>
      <w:marTop w:val="240"/>
      <w:marBottom w:val="0"/>
      <w:divBdr>
        <w:top w:val="none" w:sz="0" w:space="0" w:color="auto"/>
        <w:left w:val="none" w:sz="0" w:space="0" w:color="auto"/>
        <w:bottom w:val="none" w:sz="0" w:space="0" w:color="auto"/>
        <w:right w:val="none" w:sz="0" w:space="0" w:color="auto"/>
      </w:divBdr>
    </w:div>
    <w:div w:id="1003435913">
      <w:marLeft w:val="0"/>
      <w:marRight w:val="0"/>
      <w:marTop w:val="0"/>
      <w:marBottom w:val="0"/>
      <w:divBdr>
        <w:top w:val="none" w:sz="0" w:space="0" w:color="auto"/>
        <w:left w:val="none" w:sz="0" w:space="0" w:color="auto"/>
        <w:bottom w:val="none" w:sz="0" w:space="0" w:color="auto"/>
        <w:right w:val="none" w:sz="0" w:space="0" w:color="auto"/>
      </w:divBdr>
      <w:divsChild>
        <w:div w:id="1808889412">
          <w:marLeft w:val="0"/>
          <w:marRight w:val="0"/>
          <w:marTop w:val="0"/>
          <w:marBottom w:val="0"/>
          <w:divBdr>
            <w:top w:val="none" w:sz="0" w:space="0" w:color="auto"/>
            <w:left w:val="none" w:sz="0" w:space="0" w:color="auto"/>
            <w:bottom w:val="none" w:sz="0" w:space="0" w:color="auto"/>
            <w:right w:val="none" w:sz="0" w:space="0" w:color="auto"/>
          </w:divBdr>
          <w:divsChild>
            <w:div w:id="163440428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004473485">
      <w:marLeft w:val="0"/>
      <w:marRight w:val="0"/>
      <w:marTop w:val="120"/>
      <w:marBottom w:val="60"/>
      <w:divBdr>
        <w:top w:val="none" w:sz="0" w:space="0" w:color="auto"/>
        <w:left w:val="none" w:sz="0" w:space="0" w:color="auto"/>
        <w:bottom w:val="none" w:sz="0" w:space="0" w:color="auto"/>
        <w:right w:val="none" w:sz="0" w:space="0" w:color="auto"/>
      </w:divBdr>
    </w:div>
    <w:div w:id="1004627646">
      <w:marLeft w:val="0"/>
      <w:marRight w:val="0"/>
      <w:marTop w:val="60"/>
      <w:marBottom w:val="0"/>
      <w:divBdr>
        <w:top w:val="none" w:sz="0" w:space="0" w:color="auto"/>
        <w:left w:val="none" w:sz="0" w:space="0" w:color="auto"/>
        <w:bottom w:val="none" w:sz="0" w:space="0" w:color="auto"/>
        <w:right w:val="none" w:sz="0" w:space="0" w:color="auto"/>
      </w:divBdr>
    </w:div>
    <w:div w:id="1004698485">
      <w:marLeft w:val="0"/>
      <w:marRight w:val="0"/>
      <w:marTop w:val="240"/>
      <w:marBottom w:val="0"/>
      <w:divBdr>
        <w:top w:val="none" w:sz="0" w:space="0" w:color="auto"/>
        <w:left w:val="none" w:sz="0" w:space="0" w:color="auto"/>
        <w:bottom w:val="none" w:sz="0" w:space="0" w:color="auto"/>
        <w:right w:val="none" w:sz="0" w:space="0" w:color="auto"/>
      </w:divBdr>
    </w:div>
    <w:div w:id="1005061739">
      <w:marLeft w:val="0"/>
      <w:marRight w:val="0"/>
      <w:marTop w:val="240"/>
      <w:marBottom w:val="0"/>
      <w:divBdr>
        <w:top w:val="none" w:sz="0" w:space="0" w:color="auto"/>
        <w:left w:val="none" w:sz="0" w:space="0" w:color="auto"/>
        <w:bottom w:val="none" w:sz="0" w:space="0" w:color="auto"/>
        <w:right w:val="none" w:sz="0" w:space="0" w:color="auto"/>
      </w:divBdr>
    </w:div>
    <w:div w:id="1005942787">
      <w:marLeft w:val="0"/>
      <w:marRight w:val="0"/>
      <w:marTop w:val="140"/>
      <w:marBottom w:val="0"/>
      <w:divBdr>
        <w:top w:val="none" w:sz="0" w:space="0" w:color="auto"/>
        <w:left w:val="none" w:sz="0" w:space="0" w:color="auto"/>
        <w:bottom w:val="none" w:sz="0" w:space="0" w:color="auto"/>
        <w:right w:val="none" w:sz="0" w:space="0" w:color="auto"/>
      </w:divBdr>
    </w:div>
    <w:div w:id="1006983772">
      <w:marLeft w:val="0"/>
      <w:marRight w:val="0"/>
      <w:marTop w:val="40"/>
      <w:marBottom w:val="0"/>
      <w:divBdr>
        <w:top w:val="none" w:sz="0" w:space="0" w:color="auto"/>
        <w:left w:val="none" w:sz="0" w:space="0" w:color="auto"/>
        <w:bottom w:val="none" w:sz="0" w:space="0" w:color="auto"/>
        <w:right w:val="none" w:sz="0" w:space="0" w:color="auto"/>
      </w:divBdr>
      <w:divsChild>
        <w:div w:id="276908836">
          <w:marLeft w:val="0"/>
          <w:marRight w:val="0"/>
          <w:marTop w:val="0"/>
          <w:marBottom w:val="0"/>
          <w:divBdr>
            <w:top w:val="none" w:sz="0" w:space="0" w:color="auto"/>
            <w:left w:val="none" w:sz="0" w:space="0" w:color="auto"/>
            <w:bottom w:val="none" w:sz="0" w:space="0" w:color="auto"/>
            <w:right w:val="none" w:sz="0" w:space="0" w:color="auto"/>
          </w:divBdr>
        </w:div>
        <w:div w:id="1187407168">
          <w:marLeft w:val="0"/>
          <w:marRight w:val="0"/>
          <w:marTop w:val="0"/>
          <w:marBottom w:val="0"/>
          <w:divBdr>
            <w:top w:val="none" w:sz="0" w:space="0" w:color="auto"/>
            <w:left w:val="none" w:sz="0" w:space="0" w:color="auto"/>
            <w:bottom w:val="none" w:sz="0" w:space="0" w:color="auto"/>
            <w:right w:val="none" w:sz="0" w:space="0" w:color="auto"/>
          </w:divBdr>
        </w:div>
        <w:div w:id="1532956822">
          <w:marLeft w:val="0"/>
          <w:marRight w:val="0"/>
          <w:marTop w:val="0"/>
          <w:marBottom w:val="0"/>
          <w:divBdr>
            <w:top w:val="none" w:sz="0" w:space="0" w:color="auto"/>
            <w:left w:val="none" w:sz="0" w:space="0" w:color="auto"/>
            <w:bottom w:val="none" w:sz="0" w:space="0" w:color="auto"/>
            <w:right w:val="none" w:sz="0" w:space="0" w:color="auto"/>
          </w:divBdr>
        </w:div>
        <w:div w:id="1296645135">
          <w:marLeft w:val="0"/>
          <w:marRight w:val="0"/>
          <w:marTop w:val="0"/>
          <w:marBottom w:val="0"/>
          <w:divBdr>
            <w:top w:val="none" w:sz="0" w:space="0" w:color="auto"/>
            <w:left w:val="none" w:sz="0" w:space="0" w:color="auto"/>
            <w:bottom w:val="none" w:sz="0" w:space="0" w:color="auto"/>
            <w:right w:val="none" w:sz="0" w:space="0" w:color="auto"/>
          </w:divBdr>
        </w:div>
        <w:div w:id="756756943">
          <w:marLeft w:val="0"/>
          <w:marRight w:val="0"/>
          <w:marTop w:val="0"/>
          <w:marBottom w:val="0"/>
          <w:divBdr>
            <w:top w:val="none" w:sz="0" w:space="0" w:color="auto"/>
            <w:left w:val="none" w:sz="0" w:space="0" w:color="auto"/>
            <w:bottom w:val="none" w:sz="0" w:space="0" w:color="auto"/>
            <w:right w:val="none" w:sz="0" w:space="0" w:color="auto"/>
          </w:divBdr>
        </w:div>
        <w:div w:id="1885947698">
          <w:marLeft w:val="0"/>
          <w:marRight w:val="0"/>
          <w:marTop w:val="0"/>
          <w:marBottom w:val="0"/>
          <w:divBdr>
            <w:top w:val="none" w:sz="0" w:space="0" w:color="auto"/>
            <w:left w:val="none" w:sz="0" w:space="0" w:color="auto"/>
            <w:bottom w:val="none" w:sz="0" w:space="0" w:color="auto"/>
            <w:right w:val="none" w:sz="0" w:space="0" w:color="auto"/>
          </w:divBdr>
        </w:div>
      </w:divsChild>
    </w:div>
    <w:div w:id="1008168863">
      <w:marLeft w:val="0"/>
      <w:marRight w:val="0"/>
      <w:marTop w:val="180"/>
      <w:marBottom w:val="0"/>
      <w:divBdr>
        <w:top w:val="none" w:sz="0" w:space="0" w:color="auto"/>
        <w:left w:val="none" w:sz="0" w:space="0" w:color="auto"/>
        <w:bottom w:val="none" w:sz="0" w:space="0" w:color="auto"/>
        <w:right w:val="none" w:sz="0" w:space="0" w:color="auto"/>
      </w:divBdr>
    </w:div>
    <w:div w:id="1012343619">
      <w:marLeft w:val="0"/>
      <w:marRight w:val="0"/>
      <w:marTop w:val="0"/>
      <w:marBottom w:val="0"/>
      <w:divBdr>
        <w:top w:val="none" w:sz="0" w:space="0" w:color="auto"/>
        <w:left w:val="none" w:sz="0" w:space="0" w:color="auto"/>
        <w:bottom w:val="none" w:sz="0" w:space="0" w:color="auto"/>
        <w:right w:val="none" w:sz="0" w:space="0" w:color="auto"/>
      </w:divBdr>
    </w:div>
    <w:div w:id="1014771188">
      <w:marLeft w:val="0"/>
      <w:marRight w:val="0"/>
      <w:marTop w:val="200"/>
      <w:marBottom w:val="0"/>
      <w:divBdr>
        <w:top w:val="none" w:sz="0" w:space="0" w:color="auto"/>
        <w:left w:val="none" w:sz="0" w:space="0" w:color="auto"/>
        <w:bottom w:val="none" w:sz="0" w:space="0" w:color="auto"/>
        <w:right w:val="none" w:sz="0" w:space="0" w:color="auto"/>
      </w:divBdr>
    </w:div>
    <w:div w:id="1015034107">
      <w:marLeft w:val="0"/>
      <w:marRight w:val="0"/>
      <w:marTop w:val="240"/>
      <w:marBottom w:val="240"/>
      <w:divBdr>
        <w:top w:val="none" w:sz="0" w:space="0" w:color="auto"/>
        <w:left w:val="none" w:sz="0" w:space="0" w:color="auto"/>
        <w:bottom w:val="none" w:sz="0" w:space="0" w:color="auto"/>
        <w:right w:val="none" w:sz="0" w:space="0" w:color="auto"/>
      </w:divBdr>
    </w:div>
    <w:div w:id="1015811615">
      <w:marLeft w:val="0"/>
      <w:marRight w:val="0"/>
      <w:marTop w:val="60"/>
      <w:marBottom w:val="0"/>
      <w:divBdr>
        <w:top w:val="none" w:sz="0" w:space="0" w:color="auto"/>
        <w:left w:val="none" w:sz="0" w:space="0" w:color="auto"/>
        <w:bottom w:val="none" w:sz="0" w:space="0" w:color="auto"/>
        <w:right w:val="none" w:sz="0" w:space="0" w:color="auto"/>
      </w:divBdr>
    </w:div>
    <w:div w:id="1015885411">
      <w:marLeft w:val="0"/>
      <w:marRight w:val="0"/>
      <w:marTop w:val="180"/>
      <w:marBottom w:val="120"/>
      <w:divBdr>
        <w:top w:val="none" w:sz="0" w:space="0" w:color="auto"/>
        <w:left w:val="none" w:sz="0" w:space="0" w:color="auto"/>
        <w:bottom w:val="none" w:sz="0" w:space="0" w:color="auto"/>
        <w:right w:val="none" w:sz="0" w:space="0" w:color="auto"/>
      </w:divBdr>
    </w:div>
    <w:div w:id="1019354726">
      <w:marLeft w:val="0"/>
      <w:marRight w:val="0"/>
      <w:marTop w:val="220"/>
      <w:marBottom w:val="0"/>
      <w:divBdr>
        <w:top w:val="none" w:sz="0" w:space="0" w:color="auto"/>
        <w:left w:val="none" w:sz="0" w:space="0" w:color="auto"/>
        <w:bottom w:val="none" w:sz="0" w:space="0" w:color="auto"/>
        <w:right w:val="none" w:sz="0" w:space="0" w:color="auto"/>
      </w:divBdr>
    </w:div>
    <w:div w:id="1019358060">
      <w:marLeft w:val="0"/>
      <w:marRight w:val="0"/>
      <w:marTop w:val="300"/>
      <w:marBottom w:val="0"/>
      <w:divBdr>
        <w:top w:val="none" w:sz="0" w:space="0" w:color="auto"/>
        <w:left w:val="none" w:sz="0" w:space="0" w:color="auto"/>
        <w:bottom w:val="none" w:sz="0" w:space="0" w:color="auto"/>
        <w:right w:val="none" w:sz="0" w:space="0" w:color="auto"/>
      </w:divBdr>
    </w:div>
    <w:div w:id="1021010932">
      <w:marLeft w:val="0"/>
      <w:marRight w:val="0"/>
      <w:marTop w:val="240"/>
      <w:marBottom w:val="0"/>
      <w:divBdr>
        <w:top w:val="none" w:sz="0" w:space="0" w:color="auto"/>
        <w:left w:val="none" w:sz="0" w:space="0" w:color="auto"/>
        <w:bottom w:val="none" w:sz="0" w:space="0" w:color="auto"/>
        <w:right w:val="none" w:sz="0" w:space="0" w:color="auto"/>
      </w:divBdr>
    </w:div>
    <w:div w:id="1021513277">
      <w:marLeft w:val="0"/>
      <w:marRight w:val="0"/>
      <w:marTop w:val="0"/>
      <w:marBottom w:val="0"/>
      <w:divBdr>
        <w:top w:val="none" w:sz="0" w:space="0" w:color="auto"/>
        <w:left w:val="none" w:sz="0" w:space="0" w:color="auto"/>
        <w:bottom w:val="none" w:sz="0" w:space="0" w:color="auto"/>
        <w:right w:val="none" w:sz="0" w:space="0" w:color="auto"/>
      </w:divBdr>
      <w:divsChild>
        <w:div w:id="1586920855">
          <w:marLeft w:val="0"/>
          <w:marRight w:val="0"/>
          <w:marTop w:val="0"/>
          <w:marBottom w:val="0"/>
          <w:divBdr>
            <w:top w:val="none" w:sz="0" w:space="0" w:color="auto"/>
            <w:left w:val="none" w:sz="0" w:space="0" w:color="auto"/>
            <w:bottom w:val="none" w:sz="0" w:space="0" w:color="auto"/>
            <w:right w:val="none" w:sz="0" w:space="0" w:color="auto"/>
          </w:divBdr>
        </w:div>
      </w:divsChild>
    </w:div>
    <w:div w:id="1022321234">
      <w:marLeft w:val="0"/>
      <w:marRight w:val="0"/>
      <w:marTop w:val="180"/>
      <w:marBottom w:val="0"/>
      <w:divBdr>
        <w:top w:val="none" w:sz="0" w:space="0" w:color="auto"/>
        <w:left w:val="none" w:sz="0" w:space="0" w:color="auto"/>
        <w:bottom w:val="none" w:sz="0" w:space="0" w:color="auto"/>
        <w:right w:val="none" w:sz="0" w:space="0" w:color="auto"/>
      </w:divBdr>
    </w:div>
    <w:div w:id="1022436942">
      <w:marLeft w:val="0"/>
      <w:marRight w:val="0"/>
      <w:marTop w:val="240"/>
      <w:marBottom w:val="0"/>
      <w:divBdr>
        <w:top w:val="none" w:sz="0" w:space="0" w:color="auto"/>
        <w:left w:val="none" w:sz="0" w:space="0" w:color="auto"/>
        <w:bottom w:val="none" w:sz="0" w:space="0" w:color="auto"/>
        <w:right w:val="none" w:sz="0" w:space="0" w:color="auto"/>
      </w:divBdr>
    </w:div>
    <w:div w:id="1023282190">
      <w:marLeft w:val="0"/>
      <w:marRight w:val="0"/>
      <w:marTop w:val="240"/>
      <w:marBottom w:val="0"/>
      <w:divBdr>
        <w:top w:val="none" w:sz="0" w:space="0" w:color="auto"/>
        <w:left w:val="none" w:sz="0" w:space="0" w:color="auto"/>
        <w:bottom w:val="none" w:sz="0" w:space="0" w:color="auto"/>
        <w:right w:val="none" w:sz="0" w:space="0" w:color="auto"/>
      </w:divBdr>
    </w:div>
    <w:div w:id="1023550604">
      <w:marLeft w:val="0"/>
      <w:marRight w:val="0"/>
      <w:marTop w:val="200"/>
      <w:marBottom w:val="0"/>
      <w:divBdr>
        <w:top w:val="none" w:sz="0" w:space="0" w:color="auto"/>
        <w:left w:val="none" w:sz="0" w:space="0" w:color="auto"/>
        <w:bottom w:val="none" w:sz="0" w:space="0" w:color="auto"/>
        <w:right w:val="none" w:sz="0" w:space="0" w:color="auto"/>
      </w:divBdr>
    </w:div>
    <w:div w:id="1027371180">
      <w:marLeft w:val="0"/>
      <w:marRight w:val="0"/>
      <w:marTop w:val="240"/>
      <w:marBottom w:val="0"/>
      <w:divBdr>
        <w:top w:val="none" w:sz="0" w:space="0" w:color="auto"/>
        <w:left w:val="none" w:sz="0" w:space="0" w:color="auto"/>
        <w:bottom w:val="none" w:sz="0" w:space="0" w:color="auto"/>
        <w:right w:val="none" w:sz="0" w:space="0" w:color="auto"/>
      </w:divBdr>
    </w:div>
    <w:div w:id="1030646630">
      <w:marLeft w:val="0"/>
      <w:marRight w:val="0"/>
      <w:marTop w:val="240"/>
      <w:marBottom w:val="0"/>
      <w:divBdr>
        <w:top w:val="none" w:sz="0" w:space="0" w:color="auto"/>
        <w:left w:val="none" w:sz="0" w:space="0" w:color="auto"/>
        <w:bottom w:val="none" w:sz="0" w:space="0" w:color="auto"/>
        <w:right w:val="none" w:sz="0" w:space="0" w:color="auto"/>
      </w:divBdr>
    </w:div>
    <w:div w:id="1032460215">
      <w:marLeft w:val="0"/>
      <w:marRight w:val="0"/>
      <w:marTop w:val="240"/>
      <w:marBottom w:val="0"/>
      <w:divBdr>
        <w:top w:val="none" w:sz="0" w:space="0" w:color="auto"/>
        <w:left w:val="none" w:sz="0" w:space="0" w:color="auto"/>
        <w:bottom w:val="none" w:sz="0" w:space="0" w:color="auto"/>
        <w:right w:val="none" w:sz="0" w:space="0" w:color="auto"/>
      </w:divBdr>
    </w:div>
    <w:div w:id="1032924421">
      <w:marLeft w:val="0"/>
      <w:marRight w:val="0"/>
      <w:marTop w:val="240"/>
      <w:marBottom w:val="0"/>
      <w:divBdr>
        <w:top w:val="none" w:sz="0" w:space="0" w:color="auto"/>
        <w:left w:val="none" w:sz="0" w:space="0" w:color="auto"/>
        <w:bottom w:val="none" w:sz="0" w:space="0" w:color="auto"/>
        <w:right w:val="none" w:sz="0" w:space="0" w:color="auto"/>
      </w:divBdr>
    </w:div>
    <w:div w:id="1034692879">
      <w:marLeft w:val="0"/>
      <w:marRight w:val="0"/>
      <w:marTop w:val="120"/>
      <w:marBottom w:val="0"/>
      <w:divBdr>
        <w:top w:val="none" w:sz="0" w:space="0" w:color="auto"/>
        <w:left w:val="none" w:sz="0" w:space="0" w:color="auto"/>
        <w:bottom w:val="none" w:sz="0" w:space="0" w:color="auto"/>
        <w:right w:val="none" w:sz="0" w:space="0" w:color="auto"/>
      </w:divBdr>
    </w:div>
    <w:div w:id="1036198541">
      <w:marLeft w:val="0"/>
      <w:marRight w:val="0"/>
      <w:marTop w:val="300"/>
      <w:marBottom w:val="0"/>
      <w:divBdr>
        <w:top w:val="none" w:sz="0" w:space="0" w:color="auto"/>
        <w:left w:val="none" w:sz="0" w:space="0" w:color="auto"/>
        <w:bottom w:val="none" w:sz="0" w:space="0" w:color="auto"/>
        <w:right w:val="none" w:sz="0" w:space="0" w:color="auto"/>
      </w:divBdr>
    </w:div>
    <w:div w:id="1037923618">
      <w:marLeft w:val="0"/>
      <w:marRight w:val="0"/>
      <w:marTop w:val="300"/>
      <w:marBottom w:val="0"/>
      <w:divBdr>
        <w:top w:val="none" w:sz="0" w:space="0" w:color="auto"/>
        <w:left w:val="none" w:sz="0" w:space="0" w:color="auto"/>
        <w:bottom w:val="none" w:sz="0" w:space="0" w:color="auto"/>
        <w:right w:val="none" w:sz="0" w:space="0" w:color="auto"/>
      </w:divBdr>
    </w:div>
    <w:div w:id="1037973887">
      <w:marLeft w:val="0"/>
      <w:marRight w:val="0"/>
      <w:marTop w:val="240"/>
      <w:marBottom w:val="0"/>
      <w:divBdr>
        <w:top w:val="none" w:sz="0" w:space="0" w:color="auto"/>
        <w:left w:val="none" w:sz="0" w:space="0" w:color="auto"/>
        <w:bottom w:val="none" w:sz="0" w:space="0" w:color="auto"/>
        <w:right w:val="none" w:sz="0" w:space="0" w:color="auto"/>
      </w:divBdr>
    </w:div>
    <w:div w:id="1039236314">
      <w:marLeft w:val="0"/>
      <w:marRight w:val="0"/>
      <w:marTop w:val="240"/>
      <w:marBottom w:val="240"/>
      <w:divBdr>
        <w:top w:val="none" w:sz="0" w:space="0" w:color="auto"/>
        <w:left w:val="none" w:sz="0" w:space="0" w:color="auto"/>
        <w:bottom w:val="none" w:sz="0" w:space="0" w:color="auto"/>
        <w:right w:val="none" w:sz="0" w:space="0" w:color="auto"/>
      </w:divBdr>
    </w:div>
    <w:div w:id="1042483362">
      <w:marLeft w:val="0"/>
      <w:marRight w:val="0"/>
      <w:marTop w:val="180"/>
      <w:marBottom w:val="0"/>
      <w:divBdr>
        <w:top w:val="none" w:sz="0" w:space="0" w:color="auto"/>
        <w:left w:val="none" w:sz="0" w:space="0" w:color="auto"/>
        <w:bottom w:val="none" w:sz="0" w:space="0" w:color="auto"/>
        <w:right w:val="none" w:sz="0" w:space="0" w:color="auto"/>
      </w:divBdr>
    </w:div>
    <w:div w:id="1043559595">
      <w:marLeft w:val="0"/>
      <w:marRight w:val="0"/>
      <w:marTop w:val="240"/>
      <w:marBottom w:val="0"/>
      <w:divBdr>
        <w:top w:val="none" w:sz="0" w:space="0" w:color="auto"/>
        <w:left w:val="none" w:sz="0" w:space="0" w:color="auto"/>
        <w:bottom w:val="none" w:sz="0" w:space="0" w:color="auto"/>
        <w:right w:val="none" w:sz="0" w:space="0" w:color="auto"/>
      </w:divBdr>
    </w:div>
    <w:div w:id="1043791918">
      <w:marLeft w:val="0"/>
      <w:marRight w:val="0"/>
      <w:marTop w:val="220"/>
      <w:marBottom w:val="0"/>
      <w:divBdr>
        <w:top w:val="none" w:sz="0" w:space="0" w:color="auto"/>
        <w:left w:val="none" w:sz="0" w:space="0" w:color="auto"/>
        <w:bottom w:val="none" w:sz="0" w:space="0" w:color="auto"/>
        <w:right w:val="none" w:sz="0" w:space="0" w:color="auto"/>
      </w:divBdr>
    </w:div>
    <w:div w:id="1044597960">
      <w:marLeft w:val="0"/>
      <w:marRight w:val="0"/>
      <w:marTop w:val="240"/>
      <w:marBottom w:val="0"/>
      <w:divBdr>
        <w:top w:val="none" w:sz="0" w:space="0" w:color="auto"/>
        <w:left w:val="none" w:sz="0" w:space="0" w:color="auto"/>
        <w:bottom w:val="none" w:sz="0" w:space="0" w:color="auto"/>
        <w:right w:val="none" w:sz="0" w:space="0" w:color="auto"/>
      </w:divBdr>
    </w:div>
    <w:div w:id="1045570246">
      <w:marLeft w:val="0"/>
      <w:marRight w:val="0"/>
      <w:marTop w:val="0"/>
      <w:marBottom w:val="0"/>
      <w:divBdr>
        <w:top w:val="none" w:sz="0" w:space="0" w:color="auto"/>
        <w:left w:val="none" w:sz="0" w:space="0" w:color="auto"/>
        <w:bottom w:val="none" w:sz="0" w:space="0" w:color="auto"/>
        <w:right w:val="none" w:sz="0" w:space="0" w:color="auto"/>
      </w:divBdr>
    </w:div>
    <w:div w:id="1050114184">
      <w:marLeft w:val="0"/>
      <w:marRight w:val="0"/>
      <w:marTop w:val="140"/>
      <w:marBottom w:val="0"/>
      <w:divBdr>
        <w:top w:val="none" w:sz="0" w:space="0" w:color="auto"/>
        <w:left w:val="none" w:sz="0" w:space="0" w:color="auto"/>
        <w:bottom w:val="none" w:sz="0" w:space="0" w:color="auto"/>
        <w:right w:val="none" w:sz="0" w:space="0" w:color="auto"/>
      </w:divBdr>
    </w:div>
    <w:div w:id="1050886955">
      <w:marLeft w:val="0"/>
      <w:marRight w:val="0"/>
      <w:marTop w:val="240"/>
      <w:marBottom w:val="0"/>
      <w:divBdr>
        <w:top w:val="none" w:sz="0" w:space="0" w:color="auto"/>
        <w:left w:val="none" w:sz="0" w:space="0" w:color="auto"/>
        <w:bottom w:val="none" w:sz="0" w:space="0" w:color="auto"/>
        <w:right w:val="none" w:sz="0" w:space="0" w:color="auto"/>
      </w:divBdr>
    </w:div>
    <w:div w:id="1052928273">
      <w:marLeft w:val="0"/>
      <w:marRight w:val="0"/>
      <w:marTop w:val="180"/>
      <w:marBottom w:val="0"/>
      <w:divBdr>
        <w:top w:val="none" w:sz="0" w:space="0" w:color="auto"/>
        <w:left w:val="none" w:sz="0" w:space="0" w:color="auto"/>
        <w:bottom w:val="none" w:sz="0" w:space="0" w:color="auto"/>
        <w:right w:val="none" w:sz="0" w:space="0" w:color="auto"/>
      </w:divBdr>
    </w:div>
    <w:div w:id="1056859707">
      <w:marLeft w:val="0"/>
      <w:marRight w:val="0"/>
      <w:marTop w:val="240"/>
      <w:marBottom w:val="0"/>
      <w:divBdr>
        <w:top w:val="none" w:sz="0" w:space="0" w:color="auto"/>
        <w:left w:val="none" w:sz="0" w:space="0" w:color="auto"/>
        <w:bottom w:val="none" w:sz="0" w:space="0" w:color="auto"/>
        <w:right w:val="none" w:sz="0" w:space="0" w:color="auto"/>
      </w:divBdr>
    </w:div>
    <w:div w:id="1057127962">
      <w:marLeft w:val="0"/>
      <w:marRight w:val="0"/>
      <w:marTop w:val="240"/>
      <w:marBottom w:val="0"/>
      <w:divBdr>
        <w:top w:val="none" w:sz="0" w:space="0" w:color="auto"/>
        <w:left w:val="none" w:sz="0" w:space="0" w:color="auto"/>
        <w:bottom w:val="none" w:sz="0" w:space="0" w:color="auto"/>
        <w:right w:val="none" w:sz="0" w:space="0" w:color="auto"/>
      </w:divBdr>
    </w:div>
    <w:div w:id="1060251967">
      <w:marLeft w:val="0"/>
      <w:marRight w:val="0"/>
      <w:marTop w:val="200"/>
      <w:marBottom w:val="0"/>
      <w:divBdr>
        <w:top w:val="none" w:sz="0" w:space="0" w:color="auto"/>
        <w:left w:val="none" w:sz="0" w:space="0" w:color="auto"/>
        <w:bottom w:val="none" w:sz="0" w:space="0" w:color="auto"/>
        <w:right w:val="none" w:sz="0" w:space="0" w:color="auto"/>
      </w:divBdr>
    </w:div>
    <w:div w:id="1061750047">
      <w:marLeft w:val="0"/>
      <w:marRight w:val="0"/>
      <w:marTop w:val="240"/>
      <w:marBottom w:val="0"/>
      <w:divBdr>
        <w:top w:val="none" w:sz="0" w:space="0" w:color="auto"/>
        <w:left w:val="none" w:sz="0" w:space="0" w:color="auto"/>
        <w:bottom w:val="none" w:sz="0" w:space="0" w:color="auto"/>
        <w:right w:val="none" w:sz="0" w:space="0" w:color="auto"/>
      </w:divBdr>
    </w:div>
    <w:div w:id="1062487598">
      <w:marLeft w:val="0"/>
      <w:marRight w:val="0"/>
      <w:marTop w:val="60"/>
      <w:marBottom w:val="0"/>
      <w:divBdr>
        <w:top w:val="none" w:sz="0" w:space="0" w:color="auto"/>
        <w:left w:val="none" w:sz="0" w:space="0" w:color="auto"/>
        <w:bottom w:val="none" w:sz="0" w:space="0" w:color="auto"/>
        <w:right w:val="none" w:sz="0" w:space="0" w:color="auto"/>
      </w:divBdr>
    </w:div>
    <w:div w:id="1065686257">
      <w:marLeft w:val="0"/>
      <w:marRight w:val="0"/>
      <w:marTop w:val="0"/>
      <w:marBottom w:val="0"/>
      <w:divBdr>
        <w:top w:val="none" w:sz="0" w:space="0" w:color="auto"/>
        <w:left w:val="none" w:sz="0" w:space="0" w:color="auto"/>
        <w:bottom w:val="none" w:sz="0" w:space="0" w:color="auto"/>
        <w:right w:val="none" w:sz="0" w:space="0" w:color="auto"/>
      </w:divBdr>
      <w:divsChild>
        <w:div w:id="327100834">
          <w:marLeft w:val="0"/>
          <w:marRight w:val="0"/>
          <w:marTop w:val="0"/>
          <w:marBottom w:val="0"/>
          <w:divBdr>
            <w:top w:val="none" w:sz="0" w:space="0" w:color="auto"/>
            <w:left w:val="none" w:sz="0" w:space="0" w:color="auto"/>
            <w:bottom w:val="none" w:sz="0" w:space="0" w:color="auto"/>
            <w:right w:val="none" w:sz="0" w:space="0" w:color="auto"/>
          </w:divBdr>
          <w:divsChild>
            <w:div w:id="208464400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068384806">
      <w:marLeft w:val="0"/>
      <w:marRight w:val="0"/>
      <w:marTop w:val="0"/>
      <w:marBottom w:val="0"/>
      <w:divBdr>
        <w:top w:val="none" w:sz="0" w:space="0" w:color="auto"/>
        <w:left w:val="none" w:sz="0" w:space="0" w:color="auto"/>
        <w:bottom w:val="none" w:sz="0" w:space="0" w:color="auto"/>
        <w:right w:val="none" w:sz="0" w:space="0" w:color="auto"/>
      </w:divBdr>
      <w:divsChild>
        <w:div w:id="356196179">
          <w:marLeft w:val="0"/>
          <w:marRight w:val="0"/>
          <w:marTop w:val="0"/>
          <w:marBottom w:val="0"/>
          <w:divBdr>
            <w:top w:val="none" w:sz="0" w:space="0" w:color="auto"/>
            <w:left w:val="none" w:sz="0" w:space="0" w:color="auto"/>
            <w:bottom w:val="none" w:sz="0" w:space="0" w:color="auto"/>
            <w:right w:val="none" w:sz="0" w:space="0" w:color="auto"/>
          </w:divBdr>
        </w:div>
      </w:divsChild>
    </w:div>
    <w:div w:id="1070730745">
      <w:marLeft w:val="0"/>
      <w:marRight w:val="0"/>
      <w:marTop w:val="200"/>
      <w:marBottom w:val="0"/>
      <w:divBdr>
        <w:top w:val="none" w:sz="0" w:space="0" w:color="auto"/>
        <w:left w:val="none" w:sz="0" w:space="0" w:color="auto"/>
        <w:bottom w:val="none" w:sz="0" w:space="0" w:color="auto"/>
        <w:right w:val="none" w:sz="0" w:space="0" w:color="auto"/>
      </w:divBdr>
    </w:div>
    <w:div w:id="1073770973">
      <w:marLeft w:val="0"/>
      <w:marRight w:val="0"/>
      <w:marTop w:val="0"/>
      <w:marBottom w:val="0"/>
      <w:divBdr>
        <w:top w:val="none" w:sz="0" w:space="0" w:color="auto"/>
        <w:left w:val="none" w:sz="0" w:space="0" w:color="auto"/>
        <w:bottom w:val="none" w:sz="0" w:space="0" w:color="auto"/>
        <w:right w:val="none" w:sz="0" w:space="0" w:color="auto"/>
      </w:divBdr>
      <w:divsChild>
        <w:div w:id="1817407004">
          <w:marLeft w:val="0"/>
          <w:marRight w:val="0"/>
          <w:marTop w:val="0"/>
          <w:marBottom w:val="0"/>
          <w:divBdr>
            <w:top w:val="none" w:sz="0" w:space="0" w:color="auto"/>
            <w:left w:val="none" w:sz="0" w:space="0" w:color="auto"/>
            <w:bottom w:val="none" w:sz="0" w:space="0" w:color="auto"/>
            <w:right w:val="none" w:sz="0" w:space="0" w:color="auto"/>
          </w:divBdr>
        </w:div>
      </w:divsChild>
    </w:div>
    <w:div w:id="1073964987">
      <w:marLeft w:val="0"/>
      <w:marRight w:val="0"/>
      <w:marTop w:val="0"/>
      <w:marBottom w:val="0"/>
      <w:divBdr>
        <w:top w:val="none" w:sz="0" w:space="0" w:color="auto"/>
        <w:left w:val="none" w:sz="0" w:space="0" w:color="auto"/>
        <w:bottom w:val="none" w:sz="0" w:space="0" w:color="auto"/>
        <w:right w:val="none" w:sz="0" w:space="0" w:color="auto"/>
      </w:divBdr>
      <w:divsChild>
        <w:div w:id="1797522083">
          <w:marLeft w:val="0"/>
          <w:marRight w:val="0"/>
          <w:marTop w:val="0"/>
          <w:marBottom w:val="0"/>
          <w:divBdr>
            <w:top w:val="none" w:sz="0" w:space="0" w:color="auto"/>
            <w:left w:val="none" w:sz="0" w:space="0" w:color="auto"/>
            <w:bottom w:val="none" w:sz="0" w:space="0" w:color="auto"/>
            <w:right w:val="none" w:sz="0" w:space="0" w:color="auto"/>
          </w:divBdr>
          <w:divsChild>
            <w:div w:id="94299978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074622765">
      <w:marLeft w:val="0"/>
      <w:marRight w:val="0"/>
      <w:marTop w:val="180"/>
      <w:marBottom w:val="0"/>
      <w:divBdr>
        <w:top w:val="none" w:sz="0" w:space="0" w:color="auto"/>
        <w:left w:val="none" w:sz="0" w:space="0" w:color="auto"/>
        <w:bottom w:val="none" w:sz="0" w:space="0" w:color="auto"/>
        <w:right w:val="none" w:sz="0" w:space="0" w:color="auto"/>
      </w:divBdr>
    </w:div>
    <w:div w:id="1075198864">
      <w:marLeft w:val="0"/>
      <w:marRight w:val="0"/>
      <w:marTop w:val="200"/>
      <w:marBottom w:val="0"/>
      <w:divBdr>
        <w:top w:val="none" w:sz="0" w:space="0" w:color="auto"/>
        <w:left w:val="none" w:sz="0" w:space="0" w:color="auto"/>
        <w:bottom w:val="none" w:sz="0" w:space="0" w:color="auto"/>
        <w:right w:val="none" w:sz="0" w:space="0" w:color="auto"/>
      </w:divBdr>
    </w:div>
    <w:div w:id="1077240651">
      <w:marLeft w:val="0"/>
      <w:marRight w:val="0"/>
      <w:marTop w:val="0"/>
      <w:marBottom w:val="0"/>
      <w:divBdr>
        <w:top w:val="none" w:sz="0" w:space="0" w:color="auto"/>
        <w:left w:val="none" w:sz="0" w:space="0" w:color="auto"/>
        <w:bottom w:val="none" w:sz="0" w:space="0" w:color="auto"/>
        <w:right w:val="none" w:sz="0" w:space="0" w:color="auto"/>
      </w:divBdr>
      <w:divsChild>
        <w:div w:id="1779789700">
          <w:marLeft w:val="0"/>
          <w:marRight w:val="0"/>
          <w:marTop w:val="0"/>
          <w:marBottom w:val="0"/>
          <w:divBdr>
            <w:top w:val="none" w:sz="0" w:space="0" w:color="auto"/>
            <w:left w:val="none" w:sz="0" w:space="0" w:color="auto"/>
            <w:bottom w:val="none" w:sz="0" w:space="0" w:color="auto"/>
            <w:right w:val="none" w:sz="0" w:space="0" w:color="auto"/>
          </w:divBdr>
          <w:divsChild>
            <w:div w:id="80065371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078788374">
      <w:marLeft w:val="0"/>
      <w:marRight w:val="0"/>
      <w:marTop w:val="240"/>
      <w:marBottom w:val="0"/>
      <w:divBdr>
        <w:top w:val="none" w:sz="0" w:space="0" w:color="auto"/>
        <w:left w:val="none" w:sz="0" w:space="0" w:color="auto"/>
        <w:bottom w:val="none" w:sz="0" w:space="0" w:color="auto"/>
        <w:right w:val="none" w:sz="0" w:space="0" w:color="auto"/>
      </w:divBdr>
    </w:div>
    <w:div w:id="1078988439">
      <w:marLeft w:val="0"/>
      <w:marRight w:val="0"/>
      <w:marTop w:val="120"/>
      <w:marBottom w:val="0"/>
      <w:divBdr>
        <w:top w:val="none" w:sz="0" w:space="0" w:color="auto"/>
        <w:left w:val="none" w:sz="0" w:space="0" w:color="auto"/>
        <w:bottom w:val="none" w:sz="0" w:space="0" w:color="auto"/>
        <w:right w:val="none" w:sz="0" w:space="0" w:color="auto"/>
      </w:divBdr>
    </w:div>
    <w:div w:id="1079132330">
      <w:marLeft w:val="0"/>
      <w:marRight w:val="0"/>
      <w:marTop w:val="220"/>
      <w:marBottom w:val="0"/>
      <w:divBdr>
        <w:top w:val="none" w:sz="0" w:space="0" w:color="auto"/>
        <w:left w:val="none" w:sz="0" w:space="0" w:color="auto"/>
        <w:bottom w:val="none" w:sz="0" w:space="0" w:color="auto"/>
        <w:right w:val="none" w:sz="0" w:space="0" w:color="auto"/>
      </w:divBdr>
      <w:divsChild>
        <w:div w:id="1346588104">
          <w:marLeft w:val="0"/>
          <w:marRight w:val="0"/>
          <w:marTop w:val="0"/>
          <w:marBottom w:val="0"/>
          <w:divBdr>
            <w:top w:val="none" w:sz="0" w:space="0" w:color="auto"/>
            <w:left w:val="none" w:sz="0" w:space="0" w:color="auto"/>
            <w:bottom w:val="none" w:sz="0" w:space="0" w:color="auto"/>
            <w:right w:val="none" w:sz="0" w:space="0" w:color="auto"/>
          </w:divBdr>
        </w:div>
      </w:divsChild>
    </w:div>
    <w:div w:id="1079640908">
      <w:marLeft w:val="0"/>
      <w:marRight w:val="0"/>
      <w:marTop w:val="240"/>
      <w:marBottom w:val="0"/>
      <w:divBdr>
        <w:top w:val="none" w:sz="0" w:space="0" w:color="auto"/>
        <w:left w:val="none" w:sz="0" w:space="0" w:color="auto"/>
        <w:bottom w:val="none" w:sz="0" w:space="0" w:color="auto"/>
        <w:right w:val="none" w:sz="0" w:space="0" w:color="auto"/>
      </w:divBdr>
    </w:div>
    <w:div w:id="1085539362">
      <w:marLeft w:val="0"/>
      <w:marRight w:val="0"/>
      <w:marTop w:val="0"/>
      <w:marBottom w:val="0"/>
      <w:divBdr>
        <w:top w:val="none" w:sz="0" w:space="0" w:color="auto"/>
        <w:left w:val="none" w:sz="0" w:space="0" w:color="auto"/>
        <w:bottom w:val="none" w:sz="0" w:space="0" w:color="auto"/>
        <w:right w:val="none" w:sz="0" w:space="0" w:color="auto"/>
      </w:divBdr>
    </w:div>
    <w:div w:id="1087194692">
      <w:marLeft w:val="0"/>
      <w:marRight w:val="0"/>
      <w:marTop w:val="300"/>
      <w:marBottom w:val="0"/>
      <w:divBdr>
        <w:top w:val="none" w:sz="0" w:space="0" w:color="auto"/>
        <w:left w:val="none" w:sz="0" w:space="0" w:color="auto"/>
        <w:bottom w:val="none" w:sz="0" w:space="0" w:color="auto"/>
        <w:right w:val="none" w:sz="0" w:space="0" w:color="auto"/>
      </w:divBdr>
    </w:div>
    <w:div w:id="1087458518">
      <w:marLeft w:val="0"/>
      <w:marRight w:val="0"/>
      <w:marTop w:val="0"/>
      <w:marBottom w:val="120"/>
      <w:divBdr>
        <w:top w:val="none" w:sz="0" w:space="0" w:color="auto"/>
        <w:left w:val="none" w:sz="0" w:space="0" w:color="auto"/>
        <w:bottom w:val="none" w:sz="0" w:space="0" w:color="auto"/>
        <w:right w:val="none" w:sz="0" w:space="0" w:color="auto"/>
      </w:divBdr>
    </w:div>
    <w:div w:id="1087921661">
      <w:marLeft w:val="0"/>
      <w:marRight w:val="0"/>
      <w:marTop w:val="0"/>
      <w:marBottom w:val="0"/>
      <w:divBdr>
        <w:top w:val="none" w:sz="0" w:space="0" w:color="auto"/>
        <w:left w:val="none" w:sz="0" w:space="0" w:color="auto"/>
        <w:bottom w:val="none" w:sz="0" w:space="0" w:color="auto"/>
        <w:right w:val="none" w:sz="0" w:space="0" w:color="auto"/>
      </w:divBdr>
      <w:divsChild>
        <w:div w:id="1940217080">
          <w:marLeft w:val="0"/>
          <w:marRight w:val="0"/>
          <w:marTop w:val="120"/>
          <w:marBottom w:val="0"/>
          <w:divBdr>
            <w:top w:val="none" w:sz="0" w:space="0" w:color="auto"/>
            <w:left w:val="none" w:sz="0" w:space="0" w:color="auto"/>
            <w:bottom w:val="none" w:sz="0" w:space="0" w:color="auto"/>
            <w:right w:val="none" w:sz="0" w:space="0" w:color="auto"/>
          </w:divBdr>
        </w:div>
      </w:divsChild>
    </w:div>
    <w:div w:id="1088885721">
      <w:marLeft w:val="0"/>
      <w:marRight w:val="0"/>
      <w:marTop w:val="240"/>
      <w:marBottom w:val="0"/>
      <w:divBdr>
        <w:top w:val="none" w:sz="0" w:space="0" w:color="auto"/>
        <w:left w:val="none" w:sz="0" w:space="0" w:color="auto"/>
        <w:bottom w:val="none" w:sz="0" w:space="0" w:color="auto"/>
        <w:right w:val="none" w:sz="0" w:space="0" w:color="auto"/>
      </w:divBdr>
    </w:div>
    <w:div w:id="1090083831">
      <w:marLeft w:val="0"/>
      <w:marRight w:val="0"/>
      <w:marTop w:val="120"/>
      <w:marBottom w:val="60"/>
      <w:divBdr>
        <w:top w:val="none" w:sz="0" w:space="0" w:color="auto"/>
        <w:left w:val="none" w:sz="0" w:space="0" w:color="auto"/>
        <w:bottom w:val="none" w:sz="0" w:space="0" w:color="auto"/>
        <w:right w:val="none" w:sz="0" w:space="0" w:color="auto"/>
      </w:divBdr>
    </w:div>
    <w:div w:id="1092124385">
      <w:marLeft w:val="0"/>
      <w:marRight w:val="0"/>
      <w:marTop w:val="240"/>
      <w:marBottom w:val="0"/>
      <w:divBdr>
        <w:top w:val="none" w:sz="0" w:space="0" w:color="auto"/>
        <w:left w:val="none" w:sz="0" w:space="0" w:color="auto"/>
        <w:bottom w:val="none" w:sz="0" w:space="0" w:color="auto"/>
        <w:right w:val="none" w:sz="0" w:space="0" w:color="auto"/>
      </w:divBdr>
    </w:div>
    <w:div w:id="1093665381">
      <w:marLeft w:val="0"/>
      <w:marRight w:val="0"/>
      <w:marTop w:val="0"/>
      <w:marBottom w:val="0"/>
      <w:divBdr>
        <w:top w:val="none" w:sz="0" w:space="0" w:color="auto"/>
        <w:left w:val="none" w:sz="0" w:space="0" w:color="auto"/>
        <w:bottom w:val="none" w:sz="0" w:space="0" w:color="auto"/>
        <w:right w:val="none" w:sz="0" w:space="0" w:color="auto"/>
      </w:divBdr>
      <w:divsChild>
        <w:div w:id="1716268140">
          <w:marLeft w:val="0"/>
          <w:marRight w:val="0"/>
          <w:marTop w:val="0"/>
          <w:marBottom w:val="0"/>
          <w:divBdr>
            <w:top w:val="none" w:sz="0" w:space="0" w:color="auto"/>
            <w:left w:val="none" w:sz="0" w:space="0" w:color="auto"/>
            <w:bottom w:val="none" w:sz="0" w:space="0" w:color="auto"/>
            <w:right w:val="none" w:sz="0" w:space="0" w:color="auto"/>
          </w:divBdr>
        </w:div>
      </w:divsChild>
    </w:div>
    <w:div w:id="1094939365">
      <w:marLeft w:val="0"/>
      <w:marRight w:val="0"/>
      <w:marTop w:val="240"/>
      <w:marBottom w:val="0"/>
      <w:divBdr>
        <w:top w:val="none" w:sz="0" w:space="0" w:color="auto"/>
        <w:left w:val="none" w:sz="0" w:space="0" w:color="auto"/>
        <w:bottom w:val="none" w:sz="0" w:space="0" w:color="auto"/>
        <w:right w:val="none" w:sz="0" w:space="0" w:color="auto"/>
      </w:divBdr>
    </w:div>
    <w:div w:id="1095322340">
      <w:marLeft w:val="0"/>
      <w:marRight w:val="0"/>
      <w:marTop w:val="240"/>
      <w:marBottom w:val="0"/>
      <w:divBdr>
        <w:top w:val="none" w:sz="0" w:space="0" w:color="auto"/>
        <w:left w:val="none" w:sz="0" w:space="0" w:color="auto"/>
        <w:bottom w:val="none" w:sz="0" w:space="0" w:color="auto"/>
        <w:right w:val="none" w:sz="0" w:space="0" w:color="auto"/>
      </w:divBdr>
    </w:div>
    <w:div w:id="1096024490">
      <w:marLeft w:val="0"/>
      <w:marRight w:val="0"/>
      <w:marTop w:val="240"/>
      <w:marBottom w:val="0"/>
      <w:divBdr>
        <w:top w:val="none" w:sz="0" w:space="0" w:color="auto"/>
        <w:left w:val="none" w:sz="0" w:space="0" w:color="auto"/>
        <w:bottom w:val="none" w:sz="0" w:space="0" w:color="auto"/>
        <w:right w:val="none" w:sz="0" w:space="0" w:color="auto"/>
      </w:divBdr>
    </w:div>
    <w:div w:id="1096442534">
      <w:marLeft w:val="0"/>
      <w:marRight w:val="0"/>
      <w:marTop w:val="240"/>
      <w:marBottom w:val="0"/>
      <w:divBdr>
        <w:top w:val="none" w:sz="0" w:space="0" w:color="auto"/>
        <w:left w:val="none" w:sz="0" w:space="0" w:color="auto"/>
        <w:bottom w:val="none" w:sz="0" w:space="0" w:color="auto"/>
        <w:right w:val="none" w:sz="0" w:space="0" w:color="auto"/>
      </w:divBdr>
    </w:div>
    <w:div w:id="1096750519">
      <w:marLeft w:val="0"/>
      <w:marRight w:val="0"/>
      <w:marTop w:val="0"/>
      <w:marBottom w:val="0"/>
      <w:divBdr>
        <w:top w:val="none" w:sz="0" w:space="0" w:color="auto"/>
        <w:left w:val="none" w:sz="0" w:space="0" w:color="auto"/>
        <w:bottom w:val="none" w:sz="0" w:space="0" w:color="auto"/>
        <w:right w:val="none" w:sz="0" w:space="0" w:color="auto"/>
      </w:divBdr>
    </w:div>
    <w:div w:id="1097562727">
      <w:marLeft w:val="0"/>
      <w:marRight w:val="0"/>
      <w:marTop w:val="0"/>
      <w:marBottom w:val="0"/>
      <w:divBdr>
        <w:top w:val="none" w:sz="0" w:space="0" w:color="auto"/>
        <w:left w:val="none" w:sz="0" w:space="0" w:color="auto"/>
        <w:bottom w:val="none" w:sz="0" w:space="0" w:color="auto"/>
        <w:right w:val="none" w:sz="0" w:space="0" w:color="auto"/>
      </w:divBdr>
      <w:divsChild>
        <w:div w:id="1321468963">
          <w:marLeft w:val="0"/>
          <w:marRight w:val="0"/>
          <w:marTop w:val="0"/>
          <w:marBottom w:val="0"/>
          <w:divBdr>
            <w:top w:val="none" w:sz="0" w:space="0" w:color="auto"/>
            <w:left w:val="none" w:sz="0" w:space="0" w:color="auto"/>
            <w:bottom w:val="none" w:sz="0" w:space="0" w:color="auto"/>
            <w:right w:val="none" w:sz="0" w:space="0" w:color="auto"/>
          </w:divBdr>
          <w:divsChild>
            <w:div w:id="35239066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097676762">
      <w:marLeft w:val="0"/>
      <w:marRight w:val="0"/>
      <w:marTop w:val="240"/>
      <w:marBottom w:val="0"/>
      <w:divBdr>
        <w:top w:val="none" w:sz="0" w:space="0" w:color="auto"/>
        <w:left w:val="none" w:sz="0" w:space="0" w:color="auto"/>
        <w:bottom w:val="none" w:sz="0" w:space="0" w:color="auto"/>
        <w:right w:val="none" w:sz="0" w:space="0" w:color="auto"/>
      </w:divBdr>
    </w:div>
    <w:div w:id="1097947955">
      <w:marLeft w:val="0"/>
      <w:marRight w:val="0"/>
      <w:marTop w:val="240"/>
      <w:marBottom w:val="0"/>
      <w:divBdr>
        <w:top w:val="none" w:sz="0" w:space="0" w:color="auto"/>
        <w:left w:val="none" w:sz="0" w:space="0" w:color="auto"/>
        <w:bottom w:val="none" w:sz="0" w:space="0" w:color="auto"/>
        <w:right w:val="none" w:sz="0" w:space="0" w:color="auto"/>
      </w:divBdr>
    </w:div>
    <w:div w:id="1098865882">
      <w:marLeft w:val="0"/>
      <w:marRight w:val="0"/>
      <w:marTop w:val="180"/>
      <w:marBottom w:val="0"/>
      <w:divBdr>
        <w:top w:val="none" w:sz="0" w:space="0" w:color="auto"/>
        <w:left w:val="none" w:sz="0" w:space="0" w:color="auto"/>
        <w:bottom w:val="none" w:sz="0" w:space="0" w:color="auto"/>
        <w:right w:val="none" w:sz="0" w:space="0" w:color="auto"/>
      </w:divBdr>
    </w:div>
    <w:div w:id="1098982401">
      <w:marLeft w:val="0"/>
      <w:marRight w:val="0"/>
      <w:marTop w:val="100"/>
      <w:marBottom w:val="0"/>
      <w:divBdr>
        <w:top w:val="none" w:sz="0" w:space="0" w:color="auto"/>
        <w:left w:val="none" w:sz="0" w:space="0" w:color="auto"/>
        <w:bottom w:val="none" w:sz="0" w:space="0" w:color="auto"/>
        <w:right w:val="none" w:sz="0" w:space="0" w:color="auto"/>
      </w:divBdr>
      <w:divsChild>
        <w:div w:id="795023852">
          <w:marLeft w:val="0"/>
          <w:marRight w:val="0"/>
          <w:marTop w:val="0"/>
          <w:marBottom w:val="0"/>
          <w:divBdr>
            <w:top w:val="none" w:sz="0" w:space="0" w:color="auto"/>
            <w:left w:val="none" w:sz="0" w:space="0" w:color="auto"/>
            <w:bottom w:val="none" w:sz="0" w:space="0" w:color="auto"/>
            <w:right w:val="none" w:sz="0" w:space="0" w:color="auto"/>
          </w:divBdr>
        </w:div>
      </w:divsChild>
    </w:div>
    <w:div w:id="1101297129">
      <w:marLeft w:val="0"/>
      <w:marRight w:val="0"/>
      <w:marTop w:val="240"/>
      <w:marBottom w:val="0"/>
      <w:divBdr>
        <w:top w:val="none" w:sz="0" w:space="0" w:color="auto"/>
        <w:left w:val="none" w:sz="0" w:space="0" w:color="auto"/>
        <w:bottom w:val="none" w:sz="0" w:space="0" w:color="auto"/>
        <w:right w:val="none" w:sz="0" w:space="0" w:color="auto"/>
      </w:divBdr>
    </w:div>
    <w:div w:id="1103067253">
      <w:marLeft w:val="0"/>
      <w:marRight w:val="0"/>
      <w:marTop w:val="0"/>
      <w:marBottom w:val="0"/>
      <w:divBdr>
        <w:top w:val="none" w:sz="0" w:space="0" w:color="auto"/>
        <w:left w:val="none" w:sz="0" w:space="0" w:color="auto"/>
        <w:bottom w:val="none" w:sz="0" w:space="0" w:color="auto"/>
        <w:right w:val="none" w:sz="0" w:space="0" w:color="auto"/>
      </w:divBdr>
      <w:divsChild>
        <w:div w:id="1999839343">
          <w:marLeft w:val="0"/>
          <w:marRight w:val="0"/>
          <w:marTop w:val="0"/>
          <w:marBottom w:val="0"/>
          <w:divBdr>
            <w:top w:val="none" w:sz="0" w:space="0" w:color="auto"/>
            <w:left w:val="none" w:sz="0" w:space="0" w:color="auto"/>
            <w:bottom w:val="none" w:sz="0" w:space="0" w:color="auto"/>
            <w:right w:val="none" w:sz="0" w:space="0" w:color="auto"/>
          </w:divBdr>
        </w:div>
      </w:divsChild>
    </w:div>
    <w:div w:id="1103458129">
      <w:marLeft w:val="0"/>
      <w:marRight w:val="0"/>
      <w:marTop w:val="240"/>
      <w:marBottom w:val="0"/>
      <w:divBdr>
        <w:top w:val="none" w:sz="0" w:space="0" w:color="auto"/>
        <w:left w:val="none" w:sz="0" w:space="0" w:color="auto"/>
        <w:bottom w:val="none" w:sz="0" w:space="0" w:color="auto"/>
        <w:right w:val="none" w:sz="0" w:space="0" w:color="auto"/>
      </w:divBdr>
    </w:div>
    <w:div w:id="1103846761">
      <w:marLeft w:val="0"/>
      <w:marRight w:val="0"/>
      <w:marTop w:val="100"/>
      <w:marBottom w:val="0"/>
      <w:divBdr>
        <w:top w:val="none" w:sz="0" w:space="0" w:color="auto"/>
        <w:left w:val="none" w:sz="0" w:space="0" w:color="auto"/>
        <w:bottom w:val="none" w:sz="0" w:space="0" w:color="auto"/>
        <w:right w:val="none" w:sz="0" w:space="0" w:color="auto"/>
      </w:divBdr>
    </w:div>
    <w:div w:id="1104808975">
      <w:marLeft w:val="0"/>
      <w:marRight w:val="0"/>
      <w:marTop w:val="240"/>
      <w:marBottom w:val="0"/>
      <w:divBdr>
        <w:top w:val="none" w:sz="0" w:space="0" w:color="auto"/>
        <w:left w:val="none" w:sz="0" w:space="0" w:color="auto"/>
        <w:bottom w:val="none" w:sz="0" w:space="0" w:color="auto"/>
        <w:right w:val="none" w:sz="0" w:space="0" w:color="auto"/>
      </w:divBdr>
    </w:div>
    <w:div w:id="1105538524">
      <w:marLeft w:val="0"/>
      <w:marRight w:val="0"/>
      <w:marTop w:val="240"/>
      <w:marBottom w:val="0"/>
      <w:divBdr>
        <w:top w:val="none" w:sz="0" w:space="0" w:color="auto"/>
        <w:left w:val="none" w:sz="0" w:space="0" w:color="auto"/>
        <w:bottom w:val="none" w:sz="0" w:space="0" w:color="auto"/>
        <w:right w:val="none" w:sz="0" w:space="0" w:color="auto"/>
      </w:divBdr>
    </w:div>
    <w:div w:id="1105612763">
      <w:marLeft w:val="0"/>
      <w:marRight w:val="0"/>
      <w:marTop w:val="240"/>
      <w:marBottom w:val="0"/>
      <w:divBdr>
        <w:top w:val="none" w:sz="0" w:space="0" w:color="auto"/>
        <w:left w:val="none" w:sz="0" w:space="0" w:color="auto"/>
        <w:bottom w:val="none" w:sz="0" w:space="0" w:color="auto"/>
        <w:right w:val="none" w:sz="0" w:space="0" w:color="auto"/>
      </w:divBdr>
    </w:div>
    <w:div w:id="1108501877">
      <w:marLeft w:val="0"/>
      <w:marRight w:val="0"/>
      <w:marTop w:val="200"/>
      <w:marBottom w:val="0"/>
      <w:divBdr>
        <w:top w:val="none" w:sz="0" w:space="0" w:color="auto"/>
        <w:left w:val="none" w:sz="0" w:space="0" w:color="auto"/>
        <w:bottom w:val="none" w:sz="0" w:space="0" w:color="auto"/>
        <w:right w:val="none" w:sz="0" w:space="0" w:color="auto"/>
      </w:divBdr>
    </w:div>
    <w:div w:id="1108744007">
      <w:marLeft w:val="0"/>
      <w:marRight w:val="0"/>
      <w:marTop w:val="240"/>
      <w:marBottom w:val="0"/>
      <w:divBdr>
        <w:top w:val="none" w:sz="0" w:space="0" w:color="auto"/>
        <w:left w:val="none" w:sz="0" w:space="0" w:color="auto"/>
        <w:bottom w:val="none" w:sz="0" w:space="0" w:color="auto"/>
        <w:right w:val="none" w:sz="0" w:space="0" w:color="auto"/>
      </w:divBdr>
    </w:div>
    <w:div w:id="1109158507">
      <w:marLeft w:val="0"/>
      <w:marRight w:val="0"/>
      <w:marTop w:val="240"/>
      <w:marBottom w:val="0"/>
      <w:divBdr>
        <w:top w:val="none" w:sz="0" w:space="0" w:color="auto"/>
        <w:left w:val="none" w:sz="0" w:space="0" w:color="auto"/>
        <w:bottom w:val="none" w:sz="0" w:space="0" w:color="auto"/>
        <w:right w:val="none" w:sz="0" w:space="0" w:color="auto"/>
      </w:divBdr>
    </w:div>
    <w:div w:id="1111819641">
      <w:marLeft w:val="0"/>
      <w:marRight w:val="0"/>
      <w:marTop w:val="240"/>
      <w:marBottom w:val="0"/>
      <w:divBdr>
        <w:top w:val="none" w:sz="0" w:space="0" w:color="auto"/>
        <w:left w:val="none" w:sz="0" w:space="0" w:color="auto"/>
        <w:bottom w:val="none" w:sz="0" w:space="0" w:color="auto"/>
        <w:right w:val="none" w:sz="0" w:space="0" w:color="auto"/>
      </w:divBdr>
    </w:div>
    <w:div w:id="1112285885">
      <w:marLeft w:val="0"/>
      <w:marRight w:val="0"/>
      <w:marTop w:val="200"/>
      <w:marBottom w:val="0"/>
      <w:divBdr>
        <w:top w:val="none" w:sz="0" w:space="0" w:color="auto"/>
        <w:left w:val="none" w:sz="0" w:space="0" w:color="auto"/>
        <w:bottom w:val="none" w:sz="0" w:space="0" w:color="auto"/>
        <w:right w:val="none" w:sz="0" w:space="0" w:color="auto"/>
      </w:divBdr>
    </w:div>
    <w:div w:id="1113288750">
      <w:marLeft w:val="0"/>
      <w:marRight w:val="0"/>
      <w:marTop w:val="160"/>
      <w:marBottom w:val="0"/>
      <w:divBdr>
        <w:top w:val="none" w:sz="0" w:space="0" w:color="auto"/>
        <w:left w:val="none" w:sz="0" w:space="0" w:color="auto"/>
        <w:bottom w:val="none" w:sz="0" w:space="0" w:color="auto"/>
        <w:right w:val="none" w:sz="0" w:space="0" w:color="auto"/>
      </w:divBdr>
      <w:divsChild>
        <w:div w:id="1878618931">
          <w:marLeft w:val="0"/>
          <w:marRight w:val="0"/>
          <w:marTop w:val="0"/>
          <w:marBottom w:val="0"/>
          <w:divBdr>
            <w:top w:val="none" w:sz="0" w:space="0" w:color="auto"/>
            <w:left w:val="none" w:sz="0" w:space="0" w:color="auto"/>
            <w:bottom w:val="none" w:sz="0" w:space="0" w:color="auto"/>
            <w:right w:val="none" w:sz="0" w:space="0" w:color="auto"/>
          </w:divBdr>
        </w:div>
        <w:div w:id="540358208">
          <w:marLeft w:val="0"/>
          <w:marRight w:val="0"/>
          <w:marTop w:val="0"/>
          <w:marBottom w:val="0"/>
          <w:divBdr>
            <w:top w:val="none" w:sz="0" w:space="0" w:color="auto"/>
            <w:left w:val="none" w:sz="0" w:space="0" w:color="auto"/>
            <w:bottom w:val="none" w:sz="0" w:space="0" w:color="auto"/>
            <w:right w:val="none" w:sz="0" w:space="0" w:color="auto"/>
          </w:divBdr>
        </w:div>
      </w:divsChild>
    </w:div>
    <w:div w:id="1115176081">
      <w:marLeft w:val="0"/>
      <w:marRight w:val="0"/>
      <w:marTop w:val="100"/>
      <w:marBottom w:val="180"/>
      <w:divBdr>
        <w:top w:val="none" w:sz="0" w:space="0" w:color="auto"/>
        <w:left w:val="none" w:sz="0" w:space="0" w:color="auto"/>
        <w:bottom w:val="none" w:sz="0" w:space="0" w:color="auto"/>
        <w:right w:val="none" w:sz="0" w:space="0" w:color="auto"/>
      </w:divBdr>
    </w:div>
    <w:div w:id="1115757591">
      <w:marLeft w:val="0"/>
      <w:marRight w:val="0"/>
      <w:marTop w:val="240"/>
      <w:marBottom w:val="0"/>
      <w:divBdr>
        <w:top w:val="none" w:sz="0" w:space="0" w:color="auto"/>
        <w:left w:val="none" w:sz="0" w:space="0" w:color="auto"/>
        <w:bottom w:val="none" w:sz="0" w:space="0" w:color="auto"/>
        <w:right w:val="none" w:sz="0" w:space="0" w:color="auto"/>
      </w:divBdr>
    </w:div>
    <w:div w:id="1117332802">
      <w:marLeft w:val="0"/>
      <w:marRight w:val="0"/>
      <w:marTop w:val="0"/>
      <w:marBottom w:val="0"/>
      <w:divBdr>
        <w:top w:val="none" w:sz="0" w:space="0" w:color="auto"/>
        <w:left w:val="none" w:sz="0" w:space="0" w:color="auto"/>
        <w:bottom w:val="none" w:sz="0" w:space="0" w:color="auto"/>
        <w:right w:val="none" w:sz="0" w:space="0" w:color="auto"/>
      </w:divBdr>
      <w:divsChild>
        <w:div w:id="773981473">
          <w:marLeft w:val="0"/>
          <w:marRight w:val="0"/>
          <w:marTop w:val="0"/>
          <w:marBottom w:val="0"/>
          <w:divBdr>
            <w:top w:val="none" w:sz="0" w:space="0" w:color="auto"/>
            <w:left w:val="none" w:sz="0" w:space="0" w:color="auto"/>
            <w:bottom w:val="none" w:sz="0" w:space="0" w:color="auto"/>
            <w:right w:val="none" w:sz="0" w:space="0" w:color="auto"/>
          </w:divBdr>
        </w:div>
      </w:divsChild>
    </w:div>
    <w:div w:id="1117525013">
      <w:marLeft w:val="0"/>
      <w:marRight w:val="0"/>
      <w:marTop w:val="240"/>
      <w:marBottom w:val="0"/>
      <w:divBdr>
        <w:top w:val="none" w:sz="0" w:space="0" w:color="auto"/>
        <w:left w:val="none" w:sz="0" w:space="0" w:color="auto"/>
        <w:bottom w:val="none" w:sz="0" w:space="0" w:color="auto"/>
        <w:right w:val="none" w:sz="0" w:space="0" w:color="auto"/>
      </w:divBdr>
    </w:div>
    <w:div w:id="1117869584">
      <w:marLeft w:val="0"/>
      <w:marRight w:val="0"/>
      <w:marTop w:val="240"/>
      <w:marBottom w:val="0"/>
      <w:divBdr>
        <w:top w:val="none" w:sz="0" w:space="0" w:color="auto"/>
        <w:left w:val="none" w:sz="0" w:space="0" w:color="auto"/>
        <w:bottom w:val="none" w:sz="0" w:space="0" w:color="auto"/>
        <w:right w:val="none" w:sz="0" w:space="0" w:color="auto"/>
      </w:divBdr>
    </w:div>
    <w:div w:id="1118530809">
      <w:marLeft w:val="0"/>
      <w:marRight w:val="0"/>
      <w:marTop w:val="240"/>
      <w:marBottom w:val="0"/>
      <w:divBdr>
        <w:top w:val="none" w:sz="0" w:space="0" w:color="auto"/>
        <w:left w:val="none" w:sz="0" w:space="0" w:color="auto"/>
        <w:bottom w:val="none" w:sz="0" w:space="0" w:color="auto"/>
        <w:right w:val="none" w:sz="0" w:space="0" w:color="auto"/>
      </w:divBdr>
    </w:div>
    <w:div w:id="1119371955">
      <w:marLeft w:val="0"/>
      <w:marRight w:val="0"/>
      <w:marTop w:val="240"/>
      <w:marBottom w:val="0"/>
      <w:divBdr>
        <w:top w:val="none" w:sz="0" w:space="0" w:color="auto"/>
        <w:left w:val="none" w:sz="0" w:space="0" w:color="auto"/>
        <w:bottom w:val="none" w:sz="0" w:space="0" w:color="auto"/>
        <w:right w:val="none" w:sz="0" w:space="0" w:color="auto"/>
      </w:divBdr>
    </w:div>
    <w:div w:id="1120104249">
      <w:marLeft w:val="0"/>
      <w:marRight w:val="0"/>
      <w:marTop w:val="240"/>
      <w:marBottom w:val="0"/>
      <w:divBdr>
        <w:top w:val="none" w:sz="0" w:space="0" w:color="auto"/>
        <w:left w:val="none" w:sz="0" w:space="0" w:color="auto"/>
        <w:bottom w:val="none" w:sz="0" w:space="0" w:color="auto"/>
        <w:right w:val="none" w:sz="0" w:space="0" w:color="auto"/>
      </w:divBdr>
    </w:div>
    <w:div w:id="1121073817">
      <w:marLeft w:val="0"/>
      <w:marRight w:val="0"/>
      <w:marTop w:val="0"/>
      <w:marBottom w:val="0"/>
      <w:divBdr>
        <w:top w:val="none" w:sz="0" w:space="0" w:color="auto"/>
        <w:left w:val="none" w:sz="0" w:space="0" w:color="auto"/>
        <w:bottom w:val="none" w:sz="0" w:space="0" w:color="auto"/>
        <w:right w:val="none" w:sz="0" w:space="0" w:color="auto"/>
      </w:divBdr>
      <w:divsChild>
        <w:div w:id="1263295750">
          <w:marLeft w:val="0"/>
          <w:marRight w:val="0"/>
          <w:marTop w:val="120"/>
          <w:marBottom w:val="0"/>
          <w:divBdr>
            <w:top w:val="none" w:sz="0" w:space="0" w:color="auto"/>
            <w:left w:val="none" w:sz="0" w:space="0" w:color="auto"/>
            <w:bottom w:val="none" w:sz="0" w:space="0" w:color="auto"/>
            <w:right w:val="none" w:sz="0" w:space="0" w:color="auto"/>
          </w:divBdr>
        </w:div>
      </w:divsChild>
    </w:div>
    <w:div w:id="1122000855">
      <w:marLeft w:val="0"/>
      <w:marRight w:val="0"/>
      <w:marTop w:val="60"/>
      <w:marBottom w:val="0"/>
      <w:divBdr>
        <w:top w:val="none" w:sz="0" w:space="0" w:color="auto"/>
        <w:left w:val="none" w:sz="0" w:space="0" w:color="auto"/>
        <w:bottom w:val="none" w:sz="0" w:space="0" w:color="auto"/>
        <w:right w:val="none" w:sz="0" w:space="0" w:color="auto"/>
      </w:divBdr>
    </w:div>
    <w:div w:id="1124081172">
      <w:marLeft w:val="0"/>
      <w:marRight w:val="0"/>
      <w:marTop w:val="180"/>
      <w:marBottom w:val="0"/>
      <w:divBdr>
        <w:top w:val="none" w:sz="0" w:space="0" w:color="auto"/>
        <w:left w:val="none" w:sz="0" w:space="0" w:color="auto"/>
        <w:bottom w:val="none" w:sz="0" w:space="0" w:color="auto"/>
        <w:right w:val="none" w:sz="0" w:space="0" w:color="auto"/>
      </w:divBdr>
    </w:div>
    <w:div w:id="1125737739">
      <w:marLeft w:val="0"/>
      <w:marRight w:val="0"/>
      <w:marTop w:val="240"/>
      <w:marBottom w:val="0"/>
      <w:divBdr>
        <w:top w:val="none" w:sz="0" w:space="0" w:color="auto"/>
        <w:left w:val="none" w:sz="0" w:space="0" w:color="auto"/>
        <w:bottom w:val="none" w:sz="0" w:space="0" w:color="auto"/>
        <w:right w:val="none" w:sz="0" w:space="0" w:color="auto"/>
      </w:divBdr>
    </w:div>
    <w:div w:id="1126660448">
      <w:marLeft w:val="0"/>
      <w:marRight w:val="0"/>
      <w:marTop w:val="200"/>
      <w:marBottom w:val="0"/>
      <w:divBdr>
        <w:top w:val="none" w:sz="0" w:space="0" w:color="auto"/>
        <w:left w:val="none" w:sz="0" w:space="0" w:color="auto"/>
        <w:bottom w:val="none" w:sz="0" w:space="0" w:color="auto"/>
        <w:right w:val="none" w:sz="0" w:space="0" w:color="auto"/>
      </w:divBdr>
    </w:div>
    <w:div w:id="1127119321">
      <w:marLeft w:val="0"/>
      <w:marRight w:val="0"/>
      <w:marTop w:val="240"/>
      <w:marBottom w:val="0"/>
      <w:divBdr>
        <w:top w:val="none" w:sz="0" w:space="0" w:color="auto"/>
        <w:left w:val="none" w:sz="0" w:space="0" w:color="auto"/>
        <w:bottom w:val="none" w:sz="0" w:space="0" w:color="auto"/>
        <w:right w:val="none" w:sz="0" w:space="0" w:color="auto"/>
      </w:divBdr>
    </w:div>
    <w:div w:id="1127897587">
      <w:marLeft w:val="0"/>
      <w:marRight w:val="0"/>
      <w:marTop w:val="240"/>
      <w:marBottom w:val="0"/>
      <w:divBdr>
        <w:top w:val="none" w:sz="0" w:space="0" w:color="auto"/>
        <w:left w:val="none" w:sz="0" w:space="0" w:color="auto"/>
        <w:bottom w:val="none" w:sz="0" w:space="0" w:color="auto"/>
        <w:right w:val="none" w:sz="0" w:space="0" w:color="auto"/>
      </w:divBdr>
    </w:div>
    <w:div w:id="1129397091">
      <w:marLeft w:val="0"/>
      <w:marRight w:val="0"/>
      <w:marTop w:val="100"/>
      <w:marBottom w:val="0"/>
      <w:divBdr>
        <w:top w:val="none" w:sz="0" w:space="0" w:color="auto"/>
        <w:left w:val="none" w:sz="0" w:space="0" w:color="auto"/>
        <w:bottom w:val="none" w:sz="0" w:space="0" w:color="auto"/>
        <w:right w:val="none" w:sz="0" w:space="0" w:color="auto"/>
      </w:divBdr>
    </w:div>
    <w:div w:id="1130783916">
      <w:marLeft w:val="0"/>
      <w:marRight w:val="0"/>
      <w:marTop w:val="0"/>
      <w:marBottom w:val="0"/>
      <w:divBdr>
        <w:top w:val="none" w:sz="0" w:space="0" w:color="auto"/>
        <w:left w:val="none" w:sz="0" w:space="0" w:color="auto"/>
        <w:bottom w:val="none" w:sz="0" w:space="0" w:color="auto"/>
        <w:right w:val="none" w:sz="0" w:space="0" w:color="auto"/>
      </w:divBdr>
      <w:divsChild>
        <w:div w:id="1159616400">
          <w:marLeft w:val="0"/>
          <w:marRight w:val="0"/>
          <w:marTop w:val="0"/>
          <w:marBottom w:val="0"/>
          <w:divBdr>
            <w:top w:val="none" w:sz="0" w:space="0" w:color="auto"/>
            <w:left w:val="none" w:sz="0" w:space="0" w:color="auto"/>
            <w:bottom w:val="none" w:sz="0" w:space="0" w:color="auto"/>
            <w:right w:val="none" w:sz="0" w:space="0" w:color="auto"/>
          </w:divBdr>
          <w:divsChild>
            <w:div w:id="991561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130905151">
      <w:marLeft w:val="0"/>
      <w:marRight w:val="0"/>
      <w:marTop w:val="240"/>
      <w:marBottom w:val="0"/>
      <w:divBdr>
        <w:top w:val="none" w:sz="0" w:space="0" w:color="auto"/>
        <w:left w:val="none" w:sz="0" w:space="0" w:color="auto"/>
        <w:bottom w:val="none" w:sz="0" w:space="0" w:color="auto"/>
        <w:right w:val="none" w:sz="0" w:space="0" w:color="auto"/>
      </w:divBdr>
    </w:div>
    <w:div w:id="1133526168">
      <w:marLeft w:val="0"/>
      <w:marRight w:val="0"/>
      <w:marTop w:val="140"/>
      <w:marBottom w:val="0"/>
      <w:divBdr>
        <w:top w:val="none" w:sz="0" w:space="0" w:color="auto"/>
        <w:left w:val="none" w:sz="0" w:space="0" w:color="auto"/>
        <w:bottom w:val="none" w:sz="0" w:space="0" w:color="auto"/>
        <w:right w:val="none" w:sz="0" w:space="0" w:color="auto"/>
      </w:divBdr>
    </w:div>
    <w:div w:id="1134059694">
      <w:marLeft w:val="0"/>
      <w:marRight w:val="0"/>
      <w:marTop w:val="240"/>
      <w:marBottom w:val="0"/>
      <w:divBdr>
        <w:top w:val="none" w:sz="0" w:space="0" w:color="auto"/>
        <w:left w:val="none" w:sz="0" w:space="0" w:color="auto"/>
        <w:bottom w:val="none" w:sz="0" w:space="0" w:color="auto"/>
        <w:right w:val="none" w:sz="0" w:space="0" w:color="auto"/>
      </w:divBdr>
    </w:div>
    <w:div w:id="1135223229">
      <w:marLeft w:val="0"/>
      <w:marRight w:val="0"/>
      <w:marTop w:val="180"/>
      <w:marBottom w:val="0"/>
      <w:divBdr>
        <w:top w:val="none" w:sz="0" w:space="0" w:color="auto"/>
        <w:left w:val="none" w:sz="0" w:space="0" w:color="auto"/>
        <w:bottom w:val="none" w:sz="0" w:space="0" w:color="auto"/>
        <w:right w:val="none" w:sz="0" w:space="0" w:color="auto"/>
      </w:divBdr>
    </w:div>
    <w:div w:id="1138767711">
      <w:marLeft w:val="0"/>
      <w:marRight w:val="0"/>
      <w:marTop w:val="240"/>
      <w:marBottom w:val="240"/>
      <w:divBdr>
        <w:top w:val="none" w:sz="0" w:space="0" w:color="auto"/>
        <w:left w:val="none" w:sz="0" w:space="0" w:color="auto"/>
        <w:bottom w:val="none" w:sz="0" w:space="0" w:color="auto"/>
        <w:right w:val="none" w:sz="0" w:space="0" w:color="auto"/>
      </w:divBdr>
    </w:div>
    <w:div w:id="1139305540">
      <w:marLeft w:val="0"/>
      <w:marRight w:val="0"/>
      <w:marTop w:val="240"/>
      <w:marBottom w:val="240"/>
      <w:divBdr>
        <w:top w:val="none" w:sz="0" w:space="0" w:color="auto"/>
        <w:left w:val="none" w:sz="0" w:space="0" w:color="auto"/>
        <w:bottom w:val="none" w:sz="0" w:space="0" w:color="auto"/>
        <w:right w:val="none" w:sz="0" w:space="0" w:color="auto"/>
      </w:divBdr>
    </w:div>
    <w:div w:id="1139419091">
      <w:marLeft w:val="0"/>
      <w:marRight w:val="0"/>
      <w:marTop w:val="180"/>
      <w:marBottom w:val="0"/>
      <w:divBdr>
        <w:top w:val="none" w:sz="0" w:space="0" w:color="auto"/>
        <w:left w:val="none" w:sz="0" w:space="0" w:color="auto"/>
        <w:bottom w:val="none" w:sz="0" w:space="0" w:color="auto"/>
        <w:right w:val="none" w:sz="0" w:space="0" w:color="auto"/>
      </w:divBdr>
    </w:div>
    <w:div w:id="1139566486">
      <w:marLeft w:val="0"/>
      <w:marRight w:val="0"/>
      <w:marTop w:val="240"/>
      <w:marBottom w:val="0"/>
      <w:divBdr>
        <w:top w:val="none" w:sz="0" w:space="0" w:color="auto"/>
        <w:left w:val="none" w:sz="0" w:space="0" w:color="auto"/>
        <w:bottom w:val="none" w:sz="0" w:space="0" w:color="auto"/>
        <w:right w:val="none" w:sz="0" w:space="0" w:color="auto"/>
      </w:divBdr>
    </w:div>
    <w:div w:id="1140000051">
      <w:marLeft w:val="0"/>
      <w:marRight w:val="0"/>
      <w:marTop w:val="240"/>
      <w:marBottom w:val="0"/>
      <w:divBdr>
        <w:top w:val="none" w:sz="0" w:space="0" w:color="auto"/>
        <w:left w:val="none" w:sz="0" w:space="0" w:color="auto"/>
        <w:bottom w:val="none" w:sz="0" w:space="0" w:color="auto"/>
        <w:right w:val="none" w:sz="0" w:space="0" w:color="auto"/>
      </w:divBdr>
    </w:div>
    <w:div w:id="1141383647">
      <w:marLeft w:val="0"/>
      <w:marRight w:val="0"/>
      <w:marTop w:val="200"/>
      <w:marBottom w:val="0"/>
      <w:divBdr>
        <w:top w:val="none" w:sz="0" w:space="0" w:color="auto"/>
        <w:left w:val="none" w:sz="0" w:space="0" w:color="auto"/>
        <w:bottom w:val="none" w:sz="0" w:space="0" w:color="auto"/>
        <w:right w:val="none" w:sz="0" w:space="0" w:color="auto"/>
      </w:divBdr>
    </w:div>
    <w:div w:id="1144542012">
      <w:marLeft w:val="0"/>
      <w:marRight w:val="0"/>
      <w:marTop w:val="60"/>
      <w:marBottom w:val="0"/>
      <w:divBdr>
        <w:top w:val="none" w:sz="0" w:space="0" w:color="auto"/>
        <w:left w:val="none" w:sz="0" w:space="0" w:color="auto"/>
        <w:bottom w:val="none" w:sz="0" w:space="0" w:color="auto"/>
        <w:right w:val="none" w:sz="0" w:space="0" w:color="auto"/>
      </w:divBdr>
    </w:div>
    <w:div w:id="1144544949">
      <w:marLeft w:val="0"/>
      <w:marRight w:val="0"/>
      <w:marTop w:val="0"/>
      <w:marBottom w:val="0"/>
      <w:divBdr>
        <w:top w:val="none" w:sz="0" w:space="0" w:color="auto"/>
        <w:left w:val="none" w:sz="0" w:space="0" w:color="auto"/>
        <w:bottom w:val="none" w:sz="0" w:space="0" w:color="auto"/>
        <w:right w:val="none" w:sz="0" w:space="0" w:color="auto"/>
      </w:divBdr>
      <w:divsChild>
        <w:div w:id="1137142793">
          <w:marLeft w:val="0"/>
          <w:marRight w:val="0"/>
          <w:marTop w:val="0"/>
          <w:marBottom w:val="0"/>
          <w:divBdr>
            <w:top w:val="none" w:sz="0" w:space="0" w:color="auto"/>
            <w:left w:val="none" w:sz="0" w:space="0" w:color="auto"/>
            <w:bottom w:val="none" w:sz="0" w:space="0" w:color="auto"/>
            <w:right w:val="none" w:sz="0" w:space="0" w:color="auto"/>
          </w:divBdr>
        </w:div>
      </w:divsChild>
    </w:div>
    <w:div w:id="1148015538">
      <w:marLeft w:val="0"/>
      <w:marRight w:val="0"/>
      <w:marTop w:val="240"/>
      <w:marBottom w:val="0"/>
      <w:divBdr>
        <w:top w:val="none" w:sz="0" w:space="0" w:color="auto"/>
        <w:left w:val="none" w:sz="0" w:space="0" w:color="auto"/>
        <w:bottom w:val="none" w:sz="0" w:space="0" w:color="auto"/>
        <w:right w:val="none" w:sz="0" w:space="0" w:color="auto"/>
      </w:divBdr>
    </w:div>
    <w:div w:id="1149829403">
      <w:marLeft w:val="0"/>
      <w:marRight w:val="0"/>
      <w:marTop w:val="0"/>
      <w:marBottom w:val="0"/>
      <w:divBdr>
        <w:top w:val="none" w:sz="0" w:space="0" w:color="auto"/>
        <w:left w:val="none" w:sz="0" w:space="0" w:color="auto"/>
        <w:bottom w:val="none" w:sz="0" w:space="0" w:color="auto"/>
        <w:right w:val="none" w:sz="0" w:space="0" w:color="auto"/>
      </w:divBdr>
      <w:divsChild>
        <w:div w:id="1964070766">
          <w:marLeft w:val="0"/>
          <w:marRight w:val="0"/>
          <w:marTop w:val="0"/>
          <w:marBottom w:val="0"/>
          <w:divBdr>
            <w:top w:val="none" w:sz="0" w:space="0" w:color="auto"/>
            <w:left w:val="none" w:sz="0" w:space="0" w:color="auto"/>
            <w:bottom w:val="none" w:sz="0" w:space="0" w:color="auto"/>
            <w:right w:val="none" w:sz="0" w:space="0" w:color="auto"/>
          </w:divBdr>
          <w:divsChild>
            <w:div w:id="19897292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150176532">
      <w:marLeft w:val="0"/>
      <w:marRight w:val="0"/>
      <w:marTop w:val="120"/>
      <w:marBottom w:val="0"/>
      <w:divBdr>
        <w:top w:val="none" w:sz="0" w:space="0" w:color="auto"/>
        <w:left w:val="none" w:sz="0" w:space="0" w:color="auto"/>
        <w:bottom w:val="none" w:sz="0" w:space="0" w:color="auto"/>
        <w:right w:val="none" w:sz="0" w:space="0" w:color="auto"/>
      </w:divBdr>
    </w:div>
    <w:div w:id="1152523186">
      <w:marLeft w:val="0"/>
      <w:marRight w:val="0"/>
      <w:marTop w:val="200"/>
      <w:marBottom w:val="0"/>
      <w:divBdr>
        <w:top w:val="none" w:sz="0" w:space="0" w:color="auto"/>
        <w:left w:val="none" w:sz="0" w:space="0" w:color="auto"/>
        <w:bottom w:val="none" w:sz="0" w:space="0" w:color="auto"/>
        <w:right w:val="none" w:sz="0" w:space="0" w:color="auto"/>
      </w:divBdr>
    </w:div>
    <w:div w:id="1153108116">
      <w:marLeft w:val="0"/>
      <w:marRight w:val="0"/>
      <w:marTop w:val="200"/>
      <w:marBottom w:val="0"/>
      <w:divBdr>
        <w:top w:val="none" w:sz="0" w:space="0" w:color="auto"/>
        <w:left w:val="none" w:sz="0" w:space="0" w:color="auto"/>
        <w:bottom w:val="none" w:sz="0" w:space="0" w:color="auto"/>
        <w:right w:val="none" w:sz="0" w:space="0" w:color="auto"/>
      </w:divBdr>
    </w:div>
    <w:div w:id="1155223585">
      <w:marLeft w:val="0"/>
      <w:marRight w:val="0"/>
      <w:marTop w:val="240"/>
      <w:marBottom w:val="0"/>
      <w:divBdr>
        <w:top w:val="none" w:sz="0" w:space="0" w:color="auto"/>
        <w:left w:val="none" w:sz="0" w:space="0" w:color="auto"/>
        <w:bottom w:val="none" w:sz="0" w:space="0" w:color="auto"/>
        <w:right w:val="none" w:sz="0" w:space="0" w:color="auto"/>
      </w:divBdr>
    </w:div>
    <w:div w:id="1155491924">
      <w:marLeft w:val="0"/>
      <w:marRight w:val="0"/>
      <w:marTop w:val="0"/>
      <w:marBottom w:val="0"/>
      <w:divBdr>
        <w:top w:val="none" w:sz="0" w:space="0" w:color="auto"/>
        <w:left w:val="none" w:sz="0" w:space="0" w:color="auto"/>
        <w:bottom w:val="none" w:sz="0" w:space="0" w:color="auto"/>
        <w:right w:val="none" w:sz="0" w:space="0" w:color="auto"/>
      </w:divBdr>
      <w:divsChild>
        <w:div w:id="1773435888">
          <w:marLeft w:val="0"/>
          <w:marRight w:val="0"/>
          <w:marTop w:val="120"/>
          <w:marBottom w:val="0"/>
          <w:divBdr>
            <w:top w:val="none" w:sz="0" w:space="0" w:color="auto"/>
            <w:left w:val="none" w:sz="0" w:space="0" w:color="auto"/>
            <w:bottom w:val="none" w:sz="0" w:space="0" w:color="auto"/>
            <w:right w:val="none" w:sz="0" w:space="0" w:color="auto"/>
          </w:divBdr>
        </w:div>
      </w:divsChild>
    </w:div>
    <w:div w:id="1156652198">
      <w:marLeft w:val="0"/>
      <w:marRight w:val="0"/>
      <w:marTop w:val="240"/>
      <w:marBottom w:val="0"/>
      <w:divBdr>
        <w:top w:val="none" w:sz="0" w:space="0" w:color="auto"/>
        <w:left w:val="none" w:sz="0" w:space="0" w:color="auto"/>
        <w:bottom w:val="none" w:sz="0" w:space="0" w:color="auto"/>
        <w:right w:val="none" w:sz="0" w:space="0" w:color="auto"/>
      </w:divBdr>
    </w:div>
    <w:div w:id="1157574111">
      <w:marLeft w:val="0"/>
      <w:marRight w:val="0"/>
      <w:marTop w:val="0"/>
      <w:marBottom w:val="0"/>
      <w:divBdr>
        <w:top w:val="none" w:sz="0" w:space="0" w:color="auto"/>
        <w:left w:val="none" w:sz="0" w:space="0" w:color="auto"/>
        <w:bottom w:val="none" w:sz="0" w:space="0" w:color="auto"/>
        <w:right w:val="none" w:sz="0" w:space="0" w:color="auto"/>
      </w:divBdr>
    </w:div>
    <w:div w:id="1157840020">
      <w:marLeft w:val="0"/>
      <w:marRight w:val="0"/>
      <w:marTop w:val="240"/>
      <w:marBottom w:val="0"/>
      <w:divBdr>
        <w:top w:val="none" w:sz="0" w:space="0" w:color="auto"/>
        <w:left w:val="none" w:sz="0" w:space="0" w:color="auto"/>
        <w:bottom w:val="none" w:sz="0" w:space="0" w:color="auto"/>
        <w:right w:val="none" w:sz="0" w:space="0" w:color="auto"/>
      </w:divBdr>
    </w:div>
    <w:div w:id="1158033791">
      <w:marLeft w:val="0"/>
      <w:marRight w:val="0"/>
      <w:marTop w:val="120"/>
      <w:marBottom w:val="0"/>
      <w:divBdr>
        <w:top w:val="none" w:sz="0" w:space="0" w:color="auto"/>
        <w:left w:val="none" w:sz="0" w:space="0" w:color="auto"/>
        <w:bottom w:val="none" w:sz="0" w:space="0" w:color="auto"/>
        <w:right w:val="none" w:sz="0" w:space="0" w:color="auto"/>
      </w:divBdr>
    </w:div>
    <w:div w:id="1159348067">
      <w:marLeft w:val="0"/>
      <w:marRight w:val="0"/>
      <w:marTop w:val="0"/>
      <w:marBottom w:val="0"/>
      <w:divBdr>
        <w:top w:val="none" w:sz="0" w:space="0" w:color="auto"/>
        <w:left w:val="none" w:sz="0" w:space="0" w:color="auto"/>
        <w:bottom w:val="none" w:sz="0" w:space="0" w:color="auto"/>
        <w:right w:val="none" w:sz="0" w:space="0" w:color="auto"/>
      </w:divBdr>
      <w:divsChild>
        <w:div w:id="1125809016">
          <w:marLeft w:val="0"/>
          <w:marRight w:val="0"/>
          <w:marTop w:val="0"/>
          <w:marBottom w:val="0"/>
          <w:divBdr>
            <w:top w:val="none" w:sz="0" w:space="0" w:color="auto"/>
            <w:left w:val="none" w:sz="0" w:space="0" w:color="auto"/>
            <w:bottom w:val="none" w:sz="0" w:space="0" w:color="auto"/>
            <w:right w:val="none" w:sz="0" w:space="0" w:color="auto"/>
          </w:divBdr>
          <w:divsChild>
            <w:div w:id="71743709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161775320">
      <w:marLeft w:val="0"/>
      <w:marRight w:val="0"/>
      <w:marTop w:val="0"/>
      <w:marBottom w:val="0"/>
      <w:divBdr>
        <w:top w:val="none" w:sz="0" w:space="0" w:color="auto"/>
        <w:left w:val="none" w:sz="0" w:space="0" w:color="auto"/>
        <w:bottom w:val="none" w:sz="0" w:space="0" w:color="auto"/>
        <w:right w:val="none" w:sz="0" w:space="0" w:color="auto"/>
      </w:divBdr>
      <w:divsChild>
        <w:div w:id="258369395">
          <w:marLeft w:val="0"/>
          <w:marRight w:val="0"/>
          <w:marTop w:val="0"/>
          <w:marBottom w:val="0"/>
          <w:divBdr>
            <w:top w:val="none" w:sz="0" w:space="0" w:color="auto"/>
            <w:left w:val="none" w:sz="0" w:space="0" w:color="auto"/>
            <w:bottom w:val="none" w:sz="0" w:space="0" w:color="auto"/>
            <w:right w:val="none" w:sz="0" w:space="0" w:color="auto"/>
          </w:divBdr>
        </w:div>
      </w:divsChild>
    </w:div>
    <w:div w:id="1161846290">
      <w:marLeft w:val="0"/>
      <w:marRight w:val="0"/>
      <w:marTop w:val="180"/>
      <w:marBottom w:val="0"/>
      <w:divBdr>
        <w:top w:val="none" w:sz="0" w:space="0" w:color="auto"/>
        <w:left w:val="none" w:sz="0" w:space="0" w:color="auto"/>
        <w:bottom w:val="none" w:sz="0" w:space="0" w:color="auto"/>
        <w:right w:val="none" w:sz="0" w:space="0" w:color="auto"/>
      </w:divBdr>
    </w:div>
    <w:div w:id="1162042375">
      <w:marLeft w:val="0"/>
      <w:marRight w:val="0"/>
      <w:marTop w:val="120"/>
      <w:marBottom w:val="0"/>
      <w:divBdr>
        <w:top w:val="none" w:sz="0" w:space="0" w:color="auto"/>
        <w:left w:val="none" w:sz="0" w:space="0" w:color="auto"/>
        <w:bottom w:val="none" w:sz="0" w:space="0" w:color="auto"/>
        <w:right w:val="none" w:sz="0" w:space="0" w:color="auto"/>
      </w:divBdr>
    </w:div>
    <w:div w:id="1162507443">
      <w:marLeft w:val="0"/>
      <w:marRight w:val="0"/>
      <w:marTop w:val="0"/>
      <w:marBottom w:val="0"/>
      <w:divBdr>
        <w:top w:val="none" w:sz="0" w:space="0" w:color="auto"/>
        <w:left w:val="none" w:sz="0" w:space="0" w:color="auto"/>
        <w:bottom w:val="none" w:sz="0" w:space="0" w:color="auto"/>
        <w:right w:val="none" w:sz="0" w:space="0" w:color="auto"/>
      </w:divBdr>
      <w:divsChild>
        <w:div w:id="434522976">
          <w:marLeft w:val="0"/>
          <w:marRight w:val="0"/>
          <w:marTop w:val="0"/>
          <w:marBottom w:val="0"/>
          <w:divBdr>
            <w:top w:val="none" w:sz="0" w:space="0" w:color="auto"/>
            <w:left w:val="none" w:sz="0" w:space="0" w:color="auto"/>
            <w:bottom w:val="none" w:sz="0" w:space="0" w:color="auto"/>
            <w:right w:val="none" w:sz="0" w:space="0" w:color="auto"/>
          </w:divBdr>
        </w:div>
      </w:divsChild>
    </w:div>
    <w:div w:id="1163005339">
      <w:marLeft w:val="0"/>
      <w:marRight w:val="0"/>
      <w:marTop w:val="0"/>
      <w:marBottom w:val="0"/>
      <w:divBdr>
        <w:top w:val="none" w:sz="0" w:space="0" w:color="auto"/>
        <w:left w:val="none" w:sz="0" w:space="0" w:color="auto"/>
        <w:bottom w:val="none" w:sz="0" w:space="0" w:color="auto"/>
        <w:right w:val="none" w:sz="0" w:space="0" w:color="auto"/>
      </w:divBdr>
      <w:divsChild>
        <w:div w:id="254829517">
          <w:marLeft w:val="0"/>
          <w:marRight w:val="0"/>
          <w:marTop w:val="0"/>
          <w:marBottom w:val="0"/>
          <w:divBdr>
            <w:top w:val="none" w:sz="0" w:space="0" w:color="auto"/>
            <w:left w:val="none" w:sz="0" w:space="0" w:color="auto"/>
            <w:bottom w:val="none" w:sz="0" w:space="0" w:color="auto"/>
            <w:right w:val="none" w:sz="0" w:space="0" w:color="auto"/>
          </w:divBdr>
        </w:div>
      </w:divsChild>
    </w:div>
    <w:div w:id="1163473549">
      <w:marLeft w:val="0"/>
      <w:marRight w:val="0"/>
      <w:marTop w:val="100"/>
      <w:marBottom w:val="0"/>
      <w:divBdr>
        <w:top w:val="none" w:sz="0" w:space="0" w:color="auto"/>
        <w:left w:val="none" w:sz="0" w:space="0" w:color="auto"/>
        <w:bottom w:val="none" w:sz="0" w:space="0" w:color="auto"/>
        <w:right w:val="none" w:sz="0" w:space="0" w:color="auto"/>
      </w:divBdr>
    </w:div>
    <w:div w:id="1164203357">
      <w:marLeft w:val="0"/>
      <w:marRight w:val="0"/>
      <w:marTop w:val="0"/>
      <w:marBottom w:val="0"/>
      <w:divBdr>
        <w:top w:val="none" w:sz="0" w:space="0" w:color="auto"/>
        <w:left w:val="none" w:sz="0" w:space="0" w:color="auto"/>
        <w:bottom w:val="none" w:sz="0" w:space="0" w:color="auto"/>
        <w:right w:val="none" w:sz="0" w:space="0" w:color="auto"/>
      </w:divBdr>
      <w:divsChild>
        <w:div w:id="544417393">
          <w:marLeft w:val="0"/>
          <w:marRight w:val="0"/>
          <w:marTop w:val="0"/>
          <w:marBottom w:val="0"/>
          <w:divBdr>
            <w:top w:val="none" w:sz="0" w:space="0" w:color="auto"/>
            <w:left w:val="none" w:sz="0" w:space="0" w:color="auto"/>
            <w:bottom w:val="none" w:sz="0" w:space="0" w:color="auto"/>
            <w:right w:val="none" w:sz="0" w:space="0" w:color="auto"/>
          </w:divBdr>
        </w:div>
      </w:divsChild>
    </w:div>
    <w:div w:id="1165242558">
      <w:marLeft w:val="0"/>
      <w:marRight w:val="0"/>
      <w:marTop w:val="100"/>
      <w:marBottom w:val="0"/>
      <w:divBdr>
        <w:top w:val="none" w:sz="0" w:space="0" w:color="auto"/>
        <w:left w:val="none" w:sz="0" w:space="0" w:color="auto"/>
        <w:bottom w:val="none" w:sz="0" w:space="0" w:color="auto"/>
        <w:right w:val="none" w:sz="0" w:space="0" w:color="auto"/>
      </w:divBdr>
    </w:div>
    <w:div w:id="1166625201">
      <w:marLeft w:val="0"/>
      <w:marRight w:val="0"/>
      <w:marTop w:val="0"/>
      <w:marBottom w:val="60"/>
      <w:divBdr>
        <w:top w:val="none" w:sz="0" w:space="0" w:color="auto"/>
        <w:left w:val="none" w:sz="0" w:space="0" w:color="auto"/>
        <w:bottom w:val="none" w:sz="0" w:space="0" w:color="auto"/>
        <w:right w:val="none" w:sz="0" w:space="0" w:color="auto"/>
      </w:divBdr>
    </w:div>
    <w:div w:id="1168207313">
      <w:marLeft w:val="0"/>
      <w:marRight w:val="0"/>
      <w:marTop w:val="0"/>
      <w:marBottom w:val="0"/>
      <w:divBdr>
        <w:top w:val="none" w:sz="0" w:space="0" w:color="auto"/>
        <w:left w:val="none" w:sz="0" w:space="0" w:color="auto"/>
        <w:bottom w:val="none" w:sz="0" w:space="0" w:color="auto"/>
        <w:right w:val="none" w:sz="0" w:space="0" w:color="auto"/>
      </w:divBdr>
    </w:div>
    <w:div w:id="1168593530">
      <w:marLeft w:val="0"/>
      <w:marRight w:val="0"/>
      <w:marTop w:val="0"/>
      <w:marBottom w:val="0"/>
      <w:divBdr>
        <w:top w:val="none" w:sz="0" w:space="0" w:color="auto"/>
        <w:left w:val="none" w:sz="0" w:space="0" w:color="auto"/>
        <w:bottom w:val="none" w:sz="0" w:space="0" w:color="auto"/>
        <w:right w:val="none" w:sz="0" w:space="0" w:color="auto"/>
      </w:divBdr>
      <w:divsChild>
        <w:div w:id="780877703">
          <w:marLeft w:val="0"/>
          <w:marRight w:val="0"/>
          <w:marTop w:val="0"/>
          <w:marBottom w:val="0"/>
          <w:divBdr>
            <w:top w:val="none" w:sz="0" w:space="0" w:color="auto"/>
            <w:left w:val="none" w:sz="0" w:space="0" w:color="auto"/>
            <w:bottom w:val="none" w:sz="0" w:space="0" w:color="auto"/>
            <w:right w:val="none" w:sz="0" w:space="0" w:color="auto"/>
          </w:divBdr>
        </w:div>
      </w:divsChild>
    </w:div>
    <w:div w:id="1169445605">
      <w:marLeft w:val="0"/>
      <w:marRight w:val="0"/>
      <w:marTop w:val="0"/>
      <w:marBottom w:val="120"/>
      <w:divBdr>
        <w:top w:val="none" w:sz="0" w:space="0" w:color="auto"/>
        <w:left w:val="none" w:sz="0" w:space="0" w:color="auto"/>
        <w:bottom w:val="none" w:sz="0" w:space="0" w:color="auto"/>
        <w:right w:val="none" w:sz="0" w:space="0" w:color="auto"/>
      </w:divBdr>
    </w:div>
    <w:div w:id="1169448556">
      <w:marLeft w:val="0"/>
      <w:marRight w:val="0"/>
      <w:marTop w:val="240"/>
      <w:marBottom w:val="0"/>
      <w:divBdr>
        <w:top w:val="none" w:sz="0" w:space="0" w:color="auto"/>
        <w:left w:val="none" w:sz="0" w:space="0" w:color="auto"/>
        <w:bottom w:val="none" w:sz="0" w:space="0" w:color="auto"/>
        <w:right w:val="none" w:sz="0" w:space="0" w:color="auto"/>
      </w:divBdr>
    </w:div>
    <w:div w:id="1170952947">
      <w:marLeft w:val="0"/>
      <w:marRight w:val="0"/>
      <w:marTop w:val="0"/>
      <w:marBottom w:val="0"/>
      <w:divBdr>
        <w:top w:val="none" w:sz="0" w:space="0" w:color="auto"/>
        <w:left w:val="none" w:sz="0" w:space="0" w:color="auto"/>
        <w:bottom w:val="none" w:sz="0" w:space="0" w:color="auto"/>
        <w:right w:val="none" w:sz="0" w:space="0" w:color="auto"/>
      </w:divBdr>
      <w:divsChild>
        <w:div w:id="835269961">
          <w:marLeft w:val="0"/>
          <w:marRight w:val="0"/>
          <w:marTop w:val="0"/>
          <w:marBottom w:val="0"/>
          <w:divBdr>
            <w:top w:val="none" w:sz="0" w:space="0" w:color="auto"/>
            <w:left w:val="none" w:sz="0" w:space="0" w:color="auto"/>
            <w:bottom w:val="none" w:sz="0" w:space="0" w:color="auto"/>
            <w:right w:val="none" w:sz="0" w:space="0" w:color="auto"/>
          </w:divBdr>
        </w:div>
      </w:divsChild>
    </w:div>
    <w:div w:id="1172453632">
      <w:marLeft w:val="0"/>
      <w:marRight w:val="0"/>
      <w:marTop w:val="240"/>
      <w:marBottom w:val="0"/>
      <w:divBdr>
        <w:top w:val="none" w:sz="0" w:space="0" w:color="auto"/>
        <w:left w:val="none" w:sz="0" w:space="0" w:color="auto"/>
        <w:bottom w:val="none" w:sz="0" w:space="0" w:color="auto"/>
        <w:right w:val="none" w:sz="0" w:space="0" w:color="auto"/>
      </w:divBdr>
    </w:div>
    <w:div w:id="1174303197">
      <w:marLeft w:val="0"/>
      <w:marRight w:val="0"/>
      <w:marTop w:val="180"/>
      <w:marBottom w:val="240"/>
      <w:divBdr>
        <w:top w:val="none" w:sz="0" w:space="0" w:color="auto"/>
        <w:left w:val="none" w:sz="0" w:space="0" w:color="auto"/>
        <w:bottom w:val="none" w:sz="0" w:space="0" w:color="auto"/>
        <w:right w:val="none" w:sz="0" w:space="0" w:color="auto"/>
      </w:divBdr>
    </w:div>
    <w:div w:id="1176925352">
      <w:marLeft w:val="0"/>
      <w:marRight w:val="0"/>
      <w:marTop w:val="0"/>
      <w:marBottom w:val="0"/>
      <w:divBdr>
        <w:top w:val="none" w:sz="0" w:space="0" w:color="auto"/>
        <w:left w:val="none" w:sz="0" w:space="0" w:color="auto"/>
        <w:bottom w:val="none" w:sz="0" w:space="0" w:color="auto"/>
        <w:right w:val="none" w:sz="0" w:space="0" w:color="auto"/>
      </w:divBdr>
    </w:div>
    <w:div w:id="1177505232">
      <w:marLeft w:val="0"/>
      <w:marRight w:val="0"/>
      <w:marTop w:val="0"/>
      <w:marBottom w:val="0"/>
      <w:divBdr>
        <w:top w:val="none" w:sz="0" w:space="0" w:color="auto"/>
        <w:left w:val="none" w:sz="0" w:space="0" w:color="auto"/>
        <w:bottom w:val="none" w:sz="0" w:space="0" w:color="auto"/>
        <w:right w:val="none" w:sz="0" w:space="0" w:color="auto"/>
      </w:divBdr>
      <w:divsChild>
        <w:div w:id="779881131">
          <w:marLeft w:val="0"/>
          <w:marRight w:val="0"/>
          <w:marTop w:val="120"/>
          <w:marBottom w:val="0"/>
          <w:divBdr>
            <w:top w:val="none" w:sz="0" w:space="0" w:color="auto"/>
            <w:left w:val="none" w:sz="0" w:space="0" w:color="auto"/>
            <w:bottom w:val="none" w:sz="0" w:space="0" w:color="auto"/>
            <w:right w:val="none" w:sz="0" w:space="0" w:color="auto"/>
          </w:divBdr>
        </w:div>
      </w:divsChild>
    </w:div>
    <w:div w:id="1177815778">
      <w:marLeft w:val="0"/>
      <w:marRight w:val="0"/>
      <w:marTop w:val="240"/>
      <w:marBottom w:val="0"/>
      <w:divBdr>
        <w:top w:val="none" w:sz="0" w:space="0" w:color="auto"/>
        <w:left w:val="none" w:sz="0" w:space="0" w:color="auto"/>
        <w:bottom w:val="none" w:sz="0" w:space="0" w:color="auto"/>
        <w:right w:val="none" w:sz="0" w:space="0" w:color="auto"/>
      </w:divBdr>
    </w:div>
    <w:div w:id="1179079309">
      <w:marLeft w:val="0"/>
      <w:marRight w:val="0"/>
      <w:marTop w:val="180"/>
      <w:marBottom w:val="0"/>
      <w:divBdr>
        <w:top w:val="none" w:sz="0" w:space="0" w:color="auto"/>
        <w:left w:val="none" w:sz="0" w:space="0" w:color="auto"/>
        <w:bottom w:val="none" w:sz="0" w:space="0" w:color="auto"/>
        <w:right w:val="none" w:sz="0" w:space="0" w:color="auto"/>
      </w:divBdr>
    </w:div>
    <w:div w:id="1181043656">
      <w:marLeft w:val="0"/>
      <w:marRight w:val="0"/>
      <w:marTop w:val="120"/>
      <w:marBottom w:val="0"/>
      <w:divBdr>
        <w:top w:val="none" w:sz="0" w:space="0" w:color="auto"/>
        <w:left w:val="none" w:sz="0" w:space="0" w:color="auto"/>
        <w:bottom w:val="none" w:sz="0" w:space="0" w:color="auto"/>
        <w:right w:val="none" w:sz="0" w:space="0" w:color="auto"/>
      </w:divBdr>
    </w:div>
    <w:div w:id="1181121921">
      <w:marLeft w:val="0"/>
      <w:marRight w:val="0"/>
      <w:marTop w:val="240"/>
      <w:marBottom w:val="0"/>
      <w:divBdr>
        <w:top w:val="none" w:sz="0" w:space="0" w:color="auto"/>
        <w:left w:val="none" w:sz="0" w:space="0" w:color="auto"/>
        <w:bottom w:val="none" w:sz="0" w:space="0" w:color="auto"/>
        <w:right w:val="none" w:sz="0" w:space="0" w:color="auto"/>
      </w:divBdr>
    </w:div>
    <w:div w:id="1181775124">
      <w:marLeft w:val="0"/>
      <w:marRight w:val="0"/>
      <w:marTop w:val="240"/>
      <w:marBottom w:val="120"/>
      <w:divBdr>
        <w:top w:val="none" w:sz="0" w:space="0" w:color="auto"/>
        <w:left w:val="none" w:sz="0" w:space="0" w:color="auto"/>
        <w:bottom w:val="none" w:sz="0" w:space="0" w:color="auto"/>
        <w:right w:val="none" w:sz="0" w:space="0" w:color="auto"/>
      </w:divBdr>
    </w:div>
    <w:div w:id="1182085665">
      <w:marLeft w:val="0"/>
      <w:marRight w:val="0"/>
      <w:marTop w:val="0"/>
      <w:marBottom w:val="0"/>
      <w:divBdr>
        <w:top w:val="none" w:sz="0" w:space="0" w:color="auto"/>
        <w:left w:val="none" w:sz="0" w:space="0" w:color="auto"/>
        <w:bottom w:val="none" w:sz="0" w:space="0" w:color="auto"/>
        <w:right w:val="none" w:sz="0" w:space="0" w:color="auto"/>
      </w:divBdr>
      <w:divsChild>
        <w:div w:id="1364555342">
          <w:marLeft w:val="0"/>
          <w:marRight w:val="0"/>
          <w:marTop w:val="0"/>
          <w:marBottom w:val="0"/>
          <w:divBdr>
            <w:top w:val="none" w:sz="0" w:space="0" w:color="auto"/>
            <w:left w:val="none" w:sz="0" w:space="0" w:color="auto"/>
            <w:bottom w:val="none" w:sz="0" w:space="0" w:color="auto"/>
            <w:right w:val="none" w:sz="0" w:space="0" w:color="auto"/>
          </w:divBdr>
          <w:divsChild>
            <w:div w:id="204317113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183782132">
      <w:marLeft w:val="0"/>
      <w:marRight w:val="0"/>
      <w:marTop w:val="240"/>
      <w:marBottom w:val="0"/>
      <w:divBdr>
        <w:top w:val="none" w:sz="0" w:space="0" w:color="auto"/>
        <w:left w:val="none" w:sz="0" w:space="0" w:color="auto"/>
        <w:bottom w:val="none" w:sz="0" w:space="0" w:color="auto"/>
        <w:right w:val="none" w:sz="0" w:space="0" w:color="auto"/>
      </w:divBdr>
    </w:div>
    <w:div w:id="1184632380">
      <w:marLeft w:val="0"/>
      <w:marRight w:val="0"/>
      <w:marTop w:val="200"/>
      <w:marBottom w:val="0"/>
      <w:divBdr>
        <w:top w:val="none" w:sz="0" w:space="0" w:color="auto"/>
        <w:left w:val="none" w:sz="0" w:space="0" w:color="auto"/>
        <w:bottom w:val="none" w:sz="0" w:space="0" w:color="auto"/>
        <w:right w:val="none" w:sz="0" w:space="0" w:color="auto"/>
      </w:divBdr>
    </w:div>
    <w:div w:id="1184855490">
      <w:marLeft w:val="0"/>
      <w:marRight w:val="0"/>
      <w:marTop w:val="0"/>
      <w:marBottom w:val="0"/>
      <w:divBdr>
        <w:top w:val="none" w:sz="0" w:space="0" w:color="auto"/>
        <w:left w:val="none" w:sz="0" w:space="0" w:color="auto"/>
        <w:bottom w:val="none" w:sz="0" w:space="0" w:color="auto"/>
        <w:right w:val="none" w:sz="0" w:space="0" w:color="auto"/>
      </w:divBdr>
      <w:divsChild>
        <w:div w:id="2136364850">
          <w:marLeft w:val="0"/>
          <w:marRight w:val="0"/>
          <w:marTop w:val="0"/>
          <w:marBottom w:val="0"/>
          <w:divBdr>
            <w:top w:val="none" w:sz="0" w:space="0" w:color="auto"/>
            <w:left w:val="none" w:sz="0" w:space="0" w:color="auto"/>
            <w:bottom w:val="none" w:sz="0" w:space="0" w:color="auto"/>
            <w:right w:val="none" w:sz="0" w:space="0" w:color="auto"/>
          </w:divBdr>
        </w:div>
      </w:divsChild>
    </w:div>
    <w:div w:id="1184902619">
      <w:marLeft w:val="0"/>
      <w:marRight w:val="0"/>
      <w:marTop w:val="240"/>
      <w:marBottom w:val="0"/>
      <w:divBdr>
        <w:top w:val="none" w:sz="0" w:space="0" w:color="auto"/>
        <w:left w:val="none" w:sz="0" w:space="0" w:color="auto"/>
        <w:bottom w:val="none" w:sz="0" w:space="0" w:color="auto"/>
        <w:right w:val="none" w:sz="0" w:space="0" w:color="auto"/>
      </w:divBdr>
    </w:div>
    <w:div w:id="1185439185">
      <w:marLeft w:val="0"/>
      <w:marRight w:val="0"/>
      <w:marTop w:val="240"/>
      <w:marBottom w:val="0"/>
      <w:divBdr>
        <w:top w:val="none" w:sz="0" w:space="0" w:color="auto"/>
        <w:left w:val="none" w:sz="0" w:space="0" w:color="auto"/>
        <w:bottom w:val="none" w:sz="0" w:space="0" w:color="auto"/>
        <w:right w:val="none" w:sz="0" w:space="0" w:color="auto"/>
      </w:divBdr>
    </w:div>
    <w:div w:id="1191069433">
      <w:marLeft w:val="0"/>
      <w:marRight w:val="0"/>
      <w:marTop w:val="40"/>
      <w:marBottom w:val="0"/>
      <w:divBdr>
        <w:top w:val="none" w:sz="0" w:space="0" w:color="auto"/>
        <w:left w:val="none" w:sz="0" w:space="0" w:color="auto"/>
        <w:bottom w:val="none" w:sz="0" w:space="0" w:color="auto"/>
        <w:right w:val="none" w:sz="0" w:space="0" w:color="auto"/>
      </w:divBdr>
    </w:div>
    <w:div w:id="1192305048">
      <w:marLeft w:val="0"/>
      <w:marRight w:val="0"/>
      <w:marTop w:val="180"/>
      <w:marBottom w:val="0"/>
      <w:divBdr>
        <w:top w:val="none" w:sz="0" w:space="0" w:color="auto"/>
        <w:left w:val="none" w:sz="0" w:space="0" w:color="auto"/>
        <w:bottom w:val="none" w:sz="0" w:space="0" w:color="auto"/>
        <w:right w:val="none" w:sz="0" w:space="0" w:color="auto"/>
      </w:divBdr>
    </w:div>
    <w:div w:id="1192570970">
      <w:marLeft w:val="0"/>
      <w:marRight w:val="0"/>
      <w:marTop w:val="120"/>
      <w:marBottom w:val="0"/>
      <w:divBdr>
        <w:top w:val="none" w:sz="0" w:space="0" w:color="auto"/>
        <w:left w:val="none" w:sz="0" w:space="0" w:color="auto"/>
        <w:bottom w:val="none" w:sz="0" w:space="0" w:color="auto"/>
        <w:right w:val="none" w:sz="0" w:space="0" w:color="auto"/>
      </w:divBdr>
    </w:div>
    <w:div w:id="1192764673">
      <w:marLeft w:val="0"/>
      <w:marRight w:val="0"/>
      <w:marTop w:val="0"/>
      <w:marBottom w:val="0"/>
      <w:divBdr>
        <w:top w:val="none" w:sz="0" w:space="0" w:color="auto"/>
        <w:left w:val="none" w:sz="0" w:space="0" w:color="auto"/>
        <w:bottom w:val="none" w:sz="0" w:space="0" w:color="auto"/>
        <w:right w:val="none" w:sz="0" w:space="0" w:color="auto"/>
      </w:divBdr>
      <w:divsChild>
        <w:div w:id="621422737">
          <w:marLeft w:val="0"/>
          <w:marRight w:val="0"/>
          <w:marTop w:val="0"/>
          <w:marBottom w:val="0"/>
          <w:divBdr>
            <w:top w:val="none" w:sz="0" w:space="0" w:color="auto"/>
            <w:left w:val="none" w:sz="0" w:space="0" w:color="auto"/>
            <w:bottom w:val="none" w:sz="0" w:space="0" w:color="auto"/>
            <w:right w:val="none" w:sz="0" w:space="0" w:color="auto"/>
          </w:divBdr>
        </w:div>
      </w:divsChild>
    </w:div>
    <w:div w:id="1192765227">
      <w:marLeft w:val="0"/>
      <w:marRight w:val="0"/>
      <w:marTop w:val="200"/>
      <w:marBottom w:val="0"/>
      <w:divBdr>
        <w:top w:val="none" w:sz="0" w:space="0" w:color="auto"/>
        <w:left w:val="none" w:sz="0" w:space="0" w:color="auto"/>
        <w:bottom w:val="none" w:sz="0" w:space="0" w:color="auto"/>
        <w:right w:val="none" w:sz="0" w:space="0" w:color="auto"/>
      </w:divBdr>
    </w:div>
    <w:div w:id="1197963182">
      <w:marLeft w:val="0"/>
      <w:marRight w:val="0"/>
      <w:marTop w:val="240"/>
      <w:marBottom w:val="0"/>
      <w:divBdr>
        <w:top w:val="none" w:sz="0" w:space="0" w:color="auto"/>
        <w:left w:val="none" w:sz="0" w:space="0" w:color="auto"/>
        <w:bottom w:val="none" w:sz="0" w:space="0" w:color="auto"/>
        <w:right w:val="none" w:sz="0" w:space="0" w:color="auto"/>
      </w:divBdr>
    </w:div>
    <w:div w:id="1202595661">
      <w:marLeft w:val="0"/>
      <w:marRight w:val="0"/>
      <w:marTop w:val="0"/>
      <w:marBottom w:val="0"/>
      <w:divBdr>
        <w:top w:val="none" w:sz="0" w:space="0" w:color="auto"/>
        <w:left w:val="none" w:sz="0" w:space="0" w:color="auto"/>
        <w:bottom w:val="none" w:sz="0" w:space="0" w:color="auto"/>
        <w:right w:val="none" w:sz="0" w:space="0" w:color="auto"/>
      </w:divBdr>
    </w:div>
    <w:div w:id="1202745419">
      <w:marLeft w:val="0"/>
      <w:marRight w:val="0"/>
      <w:marTop w:val="160"/>
      <w:marBottom w:val="0"/>
      <w:divBdr>
        <w:top w:val="none" w:sz="0" w:space="0" w:color="auto"/>
        <w:left w:val="none" w:sz="0" w:space="0" w:color="auto"/>
        <w:bottom w:val="none" w:sz="0" w:space="0" w:color="auto"/>
        <w:right w:val="none" w:sz="0" w:space="0" w:color="auto"/>
      </w:divBdr>
      <w:divsChild>
        <w:div w:id="119492171">
          <w:marLeft w:val="0"/>
          <w:marRight w:val="0"/>
          <w:marTop w:val="0"/>
          <w:marBottom w:val="0"/>
          <w:divBdr>
            <w:top w:val="none" w:sz="0" w:space="0" w:color="auto"/>
            <w:left w:val="none" w:sz="0" w:space="0" w:color="auto"/>
            <w:bottom w:val="none" w:sz="0" w:space="0" w:color="auto"/>
            <w:right w:val="none" w:sz="0" w:space="0" w:color="auto"/>
          </w:divBdr>
        </w:div>
        <w:div w:id="532815577">
          <w:marLeft w:val="0"/>
          <w:marRight w:val="0"/>
          <w:marTop w:val="0"/>
          <w:marBottom w:val="0"/>
          <w:divBdr>
            <w:top w:val="none" w:sz="0" w:space="0" w:color="auto"/>
            <w:left w:val="none" w:sz="0" w:space="0" w:color="auto"/>
            <w:bottom w:val="none" w:sz="0" w:space="0" w:color="auto"/>
            <w:right w:val="none" w:sz="0" w:space="0" w:color="auto"/>
          </w:divBdr>
        </w:div>
      </w:divsChild>
    </w:div>
    <w:div w:id="1202858738">
      <w:marLeft w:val="0"/>
      <w:marRight w:val="0"/>
      <w:marTop w:val="0"/>
      <w:marBottom w:val="0"/>
      <w:divBdr>
        <w:top w:val="none" w:sz="0" w:space="0" w:color="auto"/>
        <w:left w:val="none" w:sz="0" w:space="0" w:color="auto"/>
        <w:bottom w:val="none" w:sz="0" w:space="0" w:color="auto"/>
        <w:right w:val="none" w:sz="0" w:space="0" w:color="auto"/>
      </w:divBdr>
      <w:divsChild>
        <w:div w:id="620846886">
          <w:marLeft w:val="0"/>
          <w:marRight w:val="0"/>
          <w:marTop w:val="120"/>
          <w:marBottom w:val="0"/>
          <w:divBdr>
            <w:top w:val="none" w:sz="0" w:space="0" w:color="auto"/>
            <w:left w:val="none" w:sz="0" w:space="0" w:color="auto"/>
            <w:bottom w:val="none" w:sz="0" w:space="0" w:color="auto"/>
            <w:right w:val="none" w:sz="0" w:space="0" w:color="auto"/>
          </w:divBdr>
        </w:div>
      </w:divsChild>
    </w:div>
    <w:div w:id="1202980565">
      <w:marLeft w:val="0"/>
      <w:marRight w:val="0"/>
      <w:marTop w:val="300"/>
      <w:marBottom w:val="0"/>
      <w:divBdr>
        <w:top w:val="none" w:sz="0" w:space="0" w:color="auto"/>
        <w:left w:val="none" w:sz="0" w:space="0" w:color="auto"/>
        <w:bottom w:val="none" w:sz="0" w:space="0" w:color="auto"/>
        <w:right w:val="none" w:sz="0" w:space="0" w:color="auto"/>
      </w:divBdr>
    </w:div>
    <w:div w:id="1203136361">
      <w:marLeft w:val="0"/>
      <w:marRight w:val="0"/>
      <w:marTop w:val="0"/>
      <w:marBottom w:val="0"/>
      <w:divBdr>
        <w:top w:val="none" w:sz="0" w:space="0" w:color="auto"/>
        <w:left w:val="none" w:sz="0" w:space="0" w:color="auto"/>
        <w:bottom w:val="none" w:sz="0" w:space="0" w:color="auto"/>
        <w:right w:val="none" w:sz="0" w:space="0" w:color="auto"/>
      </w:divBdr>
      <w:divsChild>
        <w:div w:id="1267691813">
          <w:marLeft w:val="0"/>
          <w:marRight w:val="0"/>
          <w:marTop w:val="120"/>
          <w:marBottom w:val="0"/>
          <w:divBdr>
            <w:top w:val="none" w:sz="0" w:space="0" w:color="auto"/>
            <w:left w:val="none" w:sz="0" w:space="0" w:color="auto"/>
            <w:bottom w:val="none" w:sz="0" w:space="0" w:color="auto"/>
            <w:right w:val="none" w:sz="0" w:space="0" w:color="auto"/>
          </w:divBdr>
        </w:div>
      </w:divsChild>
    </w:div>
    <w:div w:id="1203635461">
      <w:marLeft w:val="0"/>
      <w:marRight w:val="0"/>
      <w:marTop w:val="240"/>
      <w:marBottom w:val="240"/>
      <w:divBdr>
        <w:top w:val="none" w:sz="0" w:space="0" w:color="auto"/>
        <w:left w:val="none" w:sz="0" w:space="0" w:color="auto"/>
        <w:bottom w:val="none" w:sz="0" w:space="0" w:color="auto"/>
        <w:right w:val="none" w:sz="0" w:space="0" w:color="auto"/>
      </w:divBdr>
    </w:div>
    <w:div w:id="1204440390">
      <w:marLeft w:val="0"/>
      <w:marRight w:val="0"/>
      <w:marTop w:val="240"/>
      <w:marBottom w:val="0"/>
      <w:divBdr>
        <w:top w:val="none" w:sz="0" w:space="0" w:color="auto"/>
        <w:left w:val="none" w:sz="0" w:space="0" w:color="auto"/>
        <w:bottom w:val="none" w:sz="0" w:space="0" w:color="auto"/>
        <w:right w:val="none" w:sz="0" w:space="0" w:color="auto"/>
      </w:divBdr>
    </w:div>
    <w:div w:id="1206329933">
      <w:marLeft w:val="0"/>
      <w:marRight w:val="0"/>
      <w:marTop w:val="240"/>
      <w:marBottom w:val="0"/>
      <w:divBdr>
        <w:top w:val="none" w:sz="0" w:space="0" w:color="auto"/>
        <w:left w:val="none" w:sz="0" w:space="0" w:color="auto"/>
        <w:bottom w:val="none" w:sz="0" w:space="0" w:color="auto"/>
        <w:right w:val="none" w:sz="0" w:space="0" w:color="auto"/>
      </w:divBdr>
    </w:div>
    <w:div w:id="1206526456">
      <w:marLeft w:val="0"/>
      <w:marRight w:val="0"/>
      <w:marTop w:val="0"/>
      <w:marBottom w:val="0"/>
      <w:divBdr>
        <w:top w:val="none" w:sz="0" w:space="0" w:color="auto"/>
        <w:left w:val="none" w:sz="0" w:space="0" w:color="auto"/>
        <w:bottom w:val="none" w:sz="0" w:space="0" w:color="auto"/>
        <w:right w:val="none" w:sz="0" w:space="0" w:color="auto"/>
      </w:divBdr>
      <w:divsChild>
        <w:div w:id="1276405062">
          <w:marLeft w:val="0"/>
          <w:marRight w:val="0"/>
          <w:marTop w:val="0"/>
          <w:marBottom w:val="0"/>
          <w:divBdr>
            <w:top w:val="none" w:sz="0" w:space="0" w:color="auto"/>
            <w:left w:val="none" w:sz="0" w:space="0" w:color="auto"/>
            <w:bottom w:val="none" w:sz="0" w:space="0" w:color="auto"/>
            <w:right w:val="none" w:sz="0" w:space="0" w:color="auto"/>
          </w:divBdr>
        </w:div>
      </w:divsChild>
    </w:div>
    <w:div w:id="1206871947">
      <w:marLeft w:val="0"/>
      <w:marRight w:val="0"/>
      <w:marTop w:val="0"/>
      <w:marBottom w:val="0"/>
      <w:divBdr>
        <w:top w:val="none" w:sz="0" w:space="0" w:color="auto"/>
        <w:left w:val="none" w:sz="0" w:space="0" w:color="auto"/>
        <w:bottom w:val="none" w:sz="0" w:space="0" w:color="auto"/>
        <w:right w:val="none" w:sz="0" w:space="0" w:color="auto"/>
      </w:divBdr>
      <w:divsChild>
        <w:div w:id="504712873">
          <w:marLeft w:val="0"/>
          <w:marRight w:val="0"/>
          <w:marTop w:val="0"/>
          <w:marBottom w:val="0"/>
          <w:divBdr>
            <w:top w:val="none" w:sz="0" w:space="0" w:color="auto"/>
            <w:left w:val="none" w:sz="0" w:space="0" w:color="auto"/>
            <w:bottom w:val="none" w:sz="0" w:space="0" w:color="auto"/>
            <w:right w:val="none" w:sz="0" w:space="0" w:color="auto"/>
          </w:divBdr>
          <w:divsChild>
            <w:div w:id="26924650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207520341">
      <w:marLeft w:val="0"/>
      <w:marRight w:val="0"/>
      <w:marTop w:val="240"/>
      <w:marBottom w:val="0"/>
      <w:divBdr>
        <w:top w:val="none" w:sz="0" w:space="0" w:color="auto"/>
        <w:left w:val="none" w:sz="0" w:space="0" w:color="auto"/>
        <w:bottom w:val="none" w:sz="0" w:space="0" w:color="auto"/>
        <w:right w:val="none" w:sz="0" w:space="0" w:color="auto"/>
      </w:divBdr>
    </w:div>
    <w:div w:id="1207723167">
      <w:marLeft w:val="0"/>
      <w:marRight w:val="0"/>
      <w:marTop w:val="0"/>
      <w:marBottom w:val="0"/>
      <w:divBdr>
        <w:top w:val="none" w:sz="0" w:space="0" w:color="auto"/>
        <w:left w:val="none" w:sz="0" w:space="0" w:color="auto"/>
        <w:bottom w:val="none" w:sz="0" w:space="0" w:color="auto"/>
        <w:right w:val="none" w:sz="0" w:space="0" w:color="auto"/>
      </w:divBdr>
      <w:divsChild>
        <w:div w:id="2071884453">
          <w:marLeft w:val="0"/>
          <w:marRight w:val="0"/>
          <w:marTop w:val="0"/>
          <w:marBottom w:val="0"/>
          <w:divBdr>
            <w:top w:val="none" w:sz="0" w:space="0" w:color="auto"/>
            <w:left w:val="none" w:sz="0" w:space="0" w:color="auto"/>
            <w:bottom w:val="none" w:sz="0" w:space="0" w:color="auto"/>
            <w:right w:val="none" w:sz="0" w:space="0" w:color="auto"/>
          </w:divBdr>
        </w:div>
      </w:divsChild>
    </w:div>
    <w:div w:id="1208756942">
      <w:marLeft w:val="0"/>
      <w:marRight w:val="0"/>
      <w:marTop w:val="240"/>
      <w:marBottom w:val="0"/>
      <w:divBdr>
        <w:top w:val="none" w:sz="0" w:space="0" w:color="auto"/>
        <w:left w:val="none" w:sz="0" w:space="0" w:color="auto"/>
        <w:bottom w:val="none" w:sz="0" w:space="0" w:color="auto"/>
        <w:right w:val="none" w:sz="0" w:space="0" w:color="auto"/>
      </w:divBdr>
    </w:div>
    <w:div w:id="1208881671">
      <w:marLeft w:val="0"/>
      <w:marRight w:val="0"/>
      <w:marTop w:val="160"/>
      <w:marBottom w:val="240"/>
      <w:divBdr>
        <w:top w:val="none" w:sz="0" w:space="0" w:color="auto"/>
        <w:left w:val="none" w:sz="0" w:space="0" w:color="auto"/>
        <w:bottom w:val="none" w:sz="0" w:space="0" w:color="auto"/>
        <w:right w:val="none" w:sz="0" w:space="0" w:color="auto"/>
      </w:divBdr>
    </w:div>
    <w:div w:id="1208949816">
      <w:marLeft w:val="0"/>
      <w:marRight w:val="0"/>
      <w:marTop w:val="300"/>
      <w:marBottom w:val="0"/>
      <w:divBdr>
        <w:top w:val="none" w:sz="0" w:space="0" w:color="auto"/>
        <w:left w:val="none" w:sz="0" w:space="0" w:color="auto"/>
        <w:bottom w:val="none" w:sz="0" w:space="0" w:color="auto"/>
        <w:right w:val="none" w:sz="0" w:space="0" w:color="auto"/>
      </w:divBdr>
    </w:div>
    <w:div w:id="1210066825">
      <w:marLeft w:val="0"/>
      <w:marRight w:val="0"/>
      <w:marTop w:val="0"/>
      <w:marBottom w:val="0"/>
      <w:divBdr>
        <w:top w:val="none" w:sz="0" w:space="0" w:color="auto"/>
        <w:left w:val="none" w:sz="0" w:space="0" w:color="auto"/>
        <w:bottom w:val="none" w:sz="0" w:space="0" w:color="auto"/>
        <w:right w:val="none" w:sz="0" w:space="0" w:color="auto"/>
      </w:divBdr>
    </w:div>
    <w:div w:id="1213230593">
      <w:marLeft w:val="0"/>
      <w:marRight w:val="0"/>
      <w:marTop w:val="240"/>
      <w:marBottom w:val="0"/>
      <w:divBdr>
        <w:top w:val="none" w:sz="0" w:space="0" w:color="auto"/>
        <w:left w:val="none" w:sz="0" w:space="0" w:color="auto"/>
        <w:bottom w:val="none" w:sz="0" w:space="0" w:color="auto"/>
        <w:right w:val="none" w:sz="0" w:space="0" w:color="auto"/>
      </w:divBdr>
    </w:div>
    <w:div w:id="1213737729">
      <w:marLeft w:val="0"/>
      <w:marRight w:val="0"/>
      <w:marTop w:val="0"/>
      <w:marBottom w:val="0"/>
      <w:divBdr>
        <w:top w:val="none" w:sz="0" w:space="0" w:color="auto"/>
        <w:left w:val="none" w:sz="0" w:space="0" w:color="auto"/>
        <w:bottom w:val="none" w:sz="0" w:space="0" w:color="auto"/>
        <w:right w:val="none" w:sz="0" w:space="0" w:color="auto"/>
      </w:divBdr>
      <w:divsChild>
        <w:div w:id="1365712803">
          <w:marLeft w:val="0"/>
          <w:marRight w:val="0"/>
          <w:marTop w:val="0"/>
          <w:marBottom w:val="0"/>
          <w:divBdr>
            <w:top w:val="none" w:sz="0" w:space="0" w:color="auto"/>
            <w:left w:val="none" w:sz="0" w:space="0" w:color="auto"/>
            <w:bottom w:val="none" w:sz="0" w:space="0" w:color="auto"/>
            <w:right w:val="none" w:sz="0" w:space="0" w:color="auto"/>
          </w:divBdr>
          <w:divsChild>
            <w:div w:id="197934021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219436653">
      <w:marLeft w:val="0"/>
      <w:marRight w:val="0"/>
      <w:marTop w:val="240"/>
      <w:marBottom w:val="0"/>
      <w:divBdr>
        <w:top w:val="none" w:sz="0" w:space="0" w:color="auto"/>
        <w:left w:val="none" w:sz="0" w:space="0" w:color="auto"/>
        <w:bottom w:val="none" w:sz="0" w:space="0" w:color="auto"/>
        <w:right w:val="none" w:sz="0" w:space="0" w:color="auto"/>
      </w:divBdr>
    </w:div>
    <w:div w:id="1219977130">
      <w:marLeft w:val="0"/>
      <w:marRight w:val="0"/>
      <w:marTop w:val="240"/>
      <w:marBottom w:val="0"/>
      <w:divBdr>
        <w:top w:val="none" w:sz="0" w:space="0" w:color="auto"/>
        <w:left w:val="none" w:sz="0" w:space="0" w:color="auto"/>
        <w:bottom w:val="none" w:sz="0" w:space="0" w:color="auto"/>
        <w:right w:val="none" w:sz="0" w:space="0" w:color="auto"/>
      </w:divBdr>
    </w:div>
    <w:div w:id="1220556592">
      <w:marLeft w:val="0"/>
      <w:marRight w:val="0"/>
      <w:marTop w:val="140"/>
      <w:marBottom w:val="0"/>
      <w:divBdr>
        <w:top w:val="none" w:sz="0" w:space="0" w:color="auto"/>
        <w:left w:val="none" w:sz="0" w:space="0" w:color="auto"/>
        <w:bottom w:val="none" w:sz="0" w:space="0" w:color="auto"/>
        <w:right w:val="none" w:sz="0" w:space="0" w:color="auto"/>
      </w:divBdr>
    </w:div>
    <w:div w:id="1220819778">
      <w:marLeft w:val="0"/>
      <w:marRight w:val="0"/>
      <w:marTop w:val="0"/>
      <w:marBottom w:val="0"/>
      <w:divBdr>
        <w:top w:val="none" w:sz="0" w:space="0" w:color="auto"/>
        <w:left w:val="none" w:sz="0" w:space="0" w:color="auto"/>
        <w:bottom w:val="none" w:sz="0" w:space="0" w:color="auto"/>
        <w:right w:val="none" w:sz="0" w:space="0" w:color="auto"/>
      </w:divBdr>
      <w:divsChild>
        <w:div w:id="1110667357">
          <w:marLeft w:val="0"/>
          <w:marRight w:val="0"/>
          <w:marTop w:val="0"/>
          <w:marBottom w:val="0"/>
          <w:divBdr>
            <w:top w:val="none" w:sz="0" w:space="0" w:color="auto"/>
            <w:left w:val="none" w:sz="0" w:space="0" w:color="auto"/>
            <w:bottom w:val="none" w:sz="0" w:space="0" w:color="auto"/>
            <w:right w:val="none" w:sz="0" w:space="0" w:color="auto"/>
          </w:divBdr>
        </w:div>
      </w:divsChild>
    </w:div>
    <w:div w:id="1221864987">
      <w:marLeft w:val="0"/>
      <w:marRight w:val="0"/>
      <w:marTop w:val="180"/>
      <w:marBottom w:val="0"/>
      <w:divBdr>
        <w:top w:val="none" w:sz="0" w:space="0" w:color="auto"/>
        <w:left w:val="none" w:sz="0" w:space="0" w:color="auto"/>
        <w:bottom w:val="none" w:sz="0" w:space="0" w:color="auto"/>
        <w:right w:val="none" w:sz="0" w:space="0" w:color="auto"/>
      </w:divBdr>
    </w:div>
    <w:div w:id="1223174961">
      <w:marLeft w:val="0"/>
      <w:marRight w:val="0"/>
      <w:marTop w:val="240"/>
      <w:marBottom w:val="0"/>
      <w:divBdr>
        <w:top w:val="none" w:sz="0" w:space="0" w:color="auto"/>
        <w:left w:val="none" w:sz="0" w:space="0" w:color="auto"/>
        <w:bottom w:val="none" w:sz="0" w:space="0" w:color="auto"/>
        <w:right w:val="none" w:sz="0" w:space="0" w:color="auto"/>
      </w:divBdr>
    </w:div>
    <w:div w:id="1223980580">
      <w:marLeft w:val="0"/>
      <w:marRight w:val="0"/>
      <w:marTop w:val="240"/>
      <w:marBottom w:val="0"/>
      <w:divBdr>
        <w:top w:val="none" w:sz="0" w:space="0" w:color="auto"/>
        <w:left w:val="none" w:sz="0" w:space="0" w:color="auto"/>
        <w:bottom w:val="none" w:sz="0" w:space="0" w:color="auto"/>
        <w:right w:val="none" w:sz="0" w:space="0" w:color="auto"/>
      </w:divBdr>
    </w:div>
    <w:div w:id="1224563426">
      <w:marLeft w:val="0"/>
      <w:marRight w:val="0"/>
      <w:marTop w:val="240"/>
      <w:marBottom w:val="0"/>
      <w:divBdr>
        <w:top w:val="none" w:sz="0" w:space="0" w:color="auto"/>
        <w:left w:val="none" w:sz="0" w:space="0" w:color="auto"/>
        <w:bottom w:val="none" w:sz="0" w:space="0" w:color="auto"/>
        <w:right w:val="none" w:sz="0" w:space="0" w:color="auto"/>
      </w:divBdr>
    </w:div>
    <w:div w:id="1228690076">
      <w:marLeft w:val="0"/>
      <w:marRight w:val="0"/>
      <w:marTop w:val="240"/>
      <w:marBottom w:val="0"/>
      <w:divBdr>
        <w:top w:val="none" w:sz="0" w:space="0" w:color="auto"/>
        <w:left w:val="none" w:sz="0" w:space="0" w:color="auto"/>
        <w:bottom w:val="none" w:sz="0" w:space="0" w:color="auto"/>
        <w:right w:val="none" w:sz="0" w:space="0" w:color="auto"/>
      </w:divBdr>
    </w:div>
    <w:div w:id="1228877069">
      <w:marLeft w:val="0"/>
      <w:marRight w:val="0"/>
      <w:marTop w:val="240"/>
      <w:marBottom w:val="0"/>
      <w:divBdr>
        <w:top w:val="none" w:sz="0" w:space="0" w:color="auto"/>
        <w:left w:val="none" w:sz="0" w:space="0" w:color="auto"/>
        <w:bottom w:val="none" w:sz="0" w:space="0" w:color="auto"/>
        <w:right w:val="none" w:sz="0" w:space="0" w:color="auto"/>
      </w:divBdr>
    </w:div>
    <w:div w:id="1229224862">
      <w:marLeft w:val="0"/>
      <w:marRight w:val="0"/>
      <w:marTop w:val="240"/>
      <w:marBottom w:val="0"/>
      <w:divBdr>
        <w:top w:val="none" w:sz="0" w:space="0" w:color="auto"/>
        <w:left w:val="none" w:sz="0" w:space="0" w:color="auto"/>
        <w:bottom w:val="none" w:sz="0" w:space="0" w:color="auto"/>
        <w:right w:val="none" w:sz="0" w:space="0" w:color="auto"/>
      </w:divBdr>
    </w:div>
    <w:div w:id="1231774890">
      <w:marLeft w:val="0"/>
      <w:marRight w:val="0"/>
      <w:marTop w:val="240"/>
      <w:marBottom w:val="0"/>
      <w:divBdr>
        <w:top w:val="none" w:sz="0" w:space="0" w:color="auto"/>
        <w:left w:val="none" w:sz="0" w:space="0" w:color="auto"/>
        <w:bottom w:val="none" w:sz="0" w:space="0" w:color="auto"/>
        <w:right w:val="none" w:sz="0" w:space="0" w:color="auto"/>
      </w:divBdr>
    </w:div>
    <w:div w:id="1232079177">
      <w:marLeft w:val="0"/>
      <w:marRight w:val="0"/>
      <w:marTop w:val="0"/>
      <w:marBottom w:val="0"/>
      <w:divBdr>
        <w:top w:val="none" w:sz="0" w:space="0" w:color="auto"/>
        <w:left w:val="none" w:sz="0" w:space="0" w:color="auto"/>
        <w:bottom w:val="none" w:sz="0" w:space="0" w:color="auto"/>
        <w:right w:val="none" w:sz="0" w:space="0" w:color="auto"/>
      </w:divBdr>
      <w:divsChild>
        <w:div w:id="1179389931">
          <w:marLeft w:val="0"/>
          <w:marRight w:val="0"/>
          <w:marTop w:val="0"/>
          <w:marBottom w:val="0"/>
          <w:divBdr>
            <w:top w:val="none" w:sz="0" w:space="0" w:color="auto"/>
            <w:left w:val="none" w:sz="0" w:space="0" w:color="auto"/>
            <w:bottom w:val="none" w:sz="0" w:space="0" w:color="auto"/>
            <w:right w:val="none" w:sz="0" w:space="0" w:color="auto"/>
          </w:divBdr>
          <w:divsChild>
            <w:div w:id="51041526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232934251">
      <w:marLeft w:val="0"/>
      <w:marRight w:val="0"/>
      <w:marTop w:val="240"/>
      <w:marBottom w:val="0"/>
      <w:divBdr>
        <w:top w:val="none" w:sz="0" w:space="0" w:color="auto"/>
        <w:left w:val="none" w:sz="0" w:space="0" w:color="auto"/>
        <w:bottom w:val="none" w:sz="0" w:space="0" w:color="auto"/>
        <w:right w:val="none" w:sz="0" w:space="0" w:color="auto"/>
      </w:divBdr>
    </w:div>
    <w:div w:id="1235240462">
      <w:marLeft w:val="0"/>
      <w:marRight w:val="0"/>
      <w:marTop w:val="0"/>
      <w:marBottom w:val="0"/>
      <w:divBdr>
        <w:top w:val="none" w:sz="0" w:space="0" w:color="auto"/>
        <w:left w:val="none" w:sz="0" w:space="0" w:color="auto"/>
        <w:bottom w:val="none" w:sz="0" w:space="0" w:color="auto"/>
        <w:right w:val="none" w:sz="0" w:space="0" w:color="auto"/>
      </w:divBdr>
      <w:divsChild>
        <w:div w:id="1833832631">
          <w:marLeft w:val="0"/>
          <w:marRight w:val="0"/>
          <w:marTop w:val="120"/>
          <w:marBottom w:val="0"/>
          <w:divBdr>
            <w:top w:val="none" w:sz="0" w:space="0" w:color="auto"/>
            <w:left w:val="none" w:sz="0" w:space="0" w:color="auto"/>
            <w:bottom w:val="none" w:sz="0" w:space="0" w:color="auto"/>
            <w:right w:val="none" w:sz="0" w:space="0" w:color="auto"/>
          </w:divBdr>
        </w:div>
      </w:divsChild>
    </w:div>
    <w:div w:id="1236479078">
      <w:marLeft w:val="0"/>
      <w:marRight w:val="0"/>
      <w:marTop w:val="240"/>
      <w:marBottom w:val="0"/>
      <w:divBdr>
        <w:top w:val="none" w:sz="0" w:space="0" w:color="auto"/>
        <w:left w:val="none" w:sz="0" w:space="0" w:color="auto"/>
        <w:bottom w:val="none" w:sz="0" w:space="0" w:color="auto"/>
        <w:right w:val="none" w:sz="0" w:space="0" w:color="auto"/>
      </w:divBdr>
    </w:div>
    <w:div w:id="1236933049">
      <w:marLeft w:val="0"/>
      <w:marRight w:val="0"/>
      <w:marTop w:val="240"/>
      <w:marBottom w:val="0"/>
      <w:divBdr>
        <w:top w:val="none" w:sz="0" w:space="0" w:color="auto"/>
        <w:left w:val="none" w:sz="0" w:space="0" w:color="auto"/>
        <w:bottom w:val="none" w:sz="0" w:space="0" w:color="auto"/>
        <w:right w:val="none" w:sz="0" w:space="0" w:color="auto"/>
      </w:divBdr>
    </w:div>
    <w:div w:id="1237520924">
      <w:marLeft w:val="0"/>
      <w:marRight w:val="0"/>
      <w:marTop w:val="180"/>
      <w:marBottom w:val="0"/>
      <w:divBdr>
        <w:top w:val="none" w:sz="0" w:space="0" w:color="auto"/>
        <w:left w:val="none" w:sz="0" w:space="0" w:color="auto"/>
        <w:bottom w:val="none" w:sz="0" w:space="0" w:color="auto"/>
        <w:right w:val="none" w:sz="0" w:space="0" w:color="auto"/>
      </w:divBdr>
    </w:div>
    <w:div w:id="1237979245">
      <w:marLeft w:val="0"/>
      <w:marRight w:val="0"/>
      <w:marTop w:val="240"/>
      <w:marBottom w:val="0"/>
      <w:divBdr>
        <w:top w:val="none" w:sz="0" w:space="0" w:color="auto"/>
        <w:left w:val="none" w:sz="0" w:space="0" w:color="auto"/>
        <w:bottom w:val="none" w:sz="0" w:space="0" w:color="auto"/>
        <w:right w:val="none" w:sz="0" w:space="0" w:color="auto"/>
      </w:divBdr>
    </w:div>
    <w:div w:id="1238785931">
      <w:marLeft w:val="0"/>
      <w:marRight w:val="0"/>
      <w:marTop w:val="200"/>
      <w:marBottom w:val="0"/>
      <w:divBdr>
        <w:top w:val="none" w:sz="0" w:space="0" w:color="auto"/>
        <w:left w:val="none" w:sz="0" w:space="0" w:color="auto"/>
        <w:bottom w:val="none" w:sz="0" w:space="0" w:color="auto"/>
        <w:right w:val="none" w:sz="0" w:space="0" w:color="auto"/>
      </w:divBdr>
    </w:div>
    <w:div w:id="1239245014">
      <w:marLeft w:val="0"/>
      <w:marRight w:val="0"/>
      <w:marTop w:val="240"/>
      <w:marBottom w:val="0"/>
      <w:divBdr>
        <w:top w:val="none" w:sz="0" w:space="0" w:color="auto"/>
        <w:left w:val="none" w:sz="0" w:space="0" w:color="auto"/>
        <w:bottom w:val="none" w:sz="0" w:space="0" w:color="auto"/>
        <w:right w:val="none" w:sz="0" w:space="0" w:color="auto"/>
      </w:divBdr>
    </w:div>
    <w:div w:id="1239558515">
      <w:marLeft w:val="0"/>
      <w:marRight w:val="0"/>
      <w:marTop w:val="240"/>
      <w:marBottom w:val="0"/>
      <w:divBdr>
        <w:top w:val="none" w:sz="0" w:space="0" w:color="auto"/>
        <w:left w:val="none" w:sz="0" w:space="0" w:color="auto"/>
        <w:bottom w:val="none" w:sz="0" w:space="0" w:color="auto"/>
        <w:right w:val="none" w:sz="0" w:space="0" w:color="auto"/>
      </w:divBdr>
    </w:div>
    <w:div w:id="1240824716">
      <w:marLeft w:val="0"/>
      <w:marRight w:val="0"/>
      <w:marTop w:val="240"/>
      <w:marBottom w:val="0"/>
      <w:divBdr>
        <w:top w:val="none" w:sz="0" w:space="0" w:color="auto"/>
        <w:left w:val="none" w:sz="0" w:space="0" w:color="auto"/>
        <w:bottom w:val="none" w:sz="0" w:space="0" w:color="auto"/>
        <w:right w:val="none" w:sz="0" w:space="0" w:color="auto"/>
      </w:divBdr>
    </w:div>
    <w:div w:id="1241910149">
      <w:marLeft w:val="0"/>
      <w:marRight w:val="0"/>
      <w:marTop w:val="240"/>
      <w:marBottom w:val="0"/>
      <w:divBdr>
        <w:top w:val="none" w:sz="0" w:space="0" w:color="auto"/>
        <w:left w:val="none" w:sz="0" w:space="0" w:color="auto"/>
        <w:bottom w:val="none" w:sz="0" w:space="0" w:color="auto"/>
        <w:right w:val="none" w:sz="0" w:space="0" w:color="auto"/>
      </w:divBdr>
    </w:div>
    <w:div w:id="1244679822">
      <w:marLeft w:val="0"/>
      <w:marRight w:val="0"/>
      <w:marTop w:val="240"/>
      <w:marBottom w:val="0"/>
      <w:divBdr>
        <w:top w:val="none" w:sz="0" w:space="0" w:color="auto"/>
        <w:left w:val="none" w:sz="0" w:space="0" w:color="auto"/>
        <w:bottom w:val="none" w:sz="0" w:space="0" w:color="auto"/>
        <w:right w:val="none" w:sz="0" w:space="0" w:color="auto"/>
      </w:divBdr>
    </w:div>
    <w:div w:id="1245147643">
      <w:marLeft w:val="0"/>
      <w:marRight w:val="0"/>
      <w:marTop w:val="0"/>
      <w:marBottom w:val="0"/>
      <w:divBdr>
        <w:top w:val="none" w:sz="0" w:space="0" w:color="auto"/>
        <w:left w:val="none" w:sz="0" w:space="0" w:color="auto"/>
        <w:bottom w:val="none" w:sz="0" w:space="0" w:color="auto"/>
        <w:right w:val="none" w:sz="0" w:space="0" w:color="auto"/>
      </w:divBdr>
      <w:divsChild>
        <w:div w:id="719595354">
          <w:marLeft w:val="0"/>
          <w:marRight w:val="0"/>
          <w:marTop w:val="0"/>
          <w:marBottom w:val="0"/>
          <w:divBdr>
            <w:top w:val="none" w:sz="0" w:space="0" w:color="auto"/>
            <w:left w:val="none" w:sz="0" w:space="0" w:color="auto"/>
            <w:bottom w:val="none" w:sz="0" w:space="0" w:color="auto"/>
            <w:right w:val="none" w:sz="0" w:space="0" w:color="auto"/>
          </w:divBdr>
          <w:divsChild>
            <w:div w:id="93028486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249079259">
      <w:marLeft w:val="0"/>
      <w:marRight w:val="0"/>
      <w:marTop w:val="0"/>
      <w:marBottom w:val="0"/>
      <w:divBdr>
        <w:top w:val="none" w:sz="0" w:space="0" w:color="auto"/>
        <w:left w:val="none" w:sz="0" w:space="0" w:color="auto"/>
        <w:bottom w:val="none" w:sz="0" w:space="0" w:color="auto"/>
        <w:right w:val="none" w:sz="0" w:space="0" w:color="auto"/>
      </w:divBdr>
      <w:divsChild>
        <w:div w:id="950549513">
          <w:marLeft w:val="0"/>
          <w:marRight w:val="0"/>
          <w:marTop w:val="0"/>
          <w:marBottom w:val="0"/>
          <w:divBdr>
            <w:top w:val="none" w:sz="0" w:space="0" w:color="auto"/>
            <w:left w:val="none" w:sz="0" w:space="0" w:color="auto"/>
            <w:bottom w:val="none" w:sz="0" w:space="0" w:color="auto"/>
            <w:right w:val="none" w:sz="0" w:space="0" w:color="auto"/>
          </w:divBdr>
        </w:div>
      </w:divsChild>
    </w:div>
    <w:div w:id="1249771628">
      <w:marLeft w:val="0"/>
      <w:marRight w:val="0"/>
      <w:marTop w:val="240"/>
      <w:marBottom w:val="0"/>
      <w:divBdr>
        <w:top w:val="none" w:sz="0" w:space="0" w:color="auto"/>
        <w:left w:val="none" w:sz="0" w:space="0" w:color="auto"/>
        <w:bottom w:val="none" w:sz="0" w:space="0" w:color="auto"/>
        <w:right w:val="none" w:sz="0" w:space="0" w:color="auto"/>
      </w:divBdr>
    </w:div>
    <w:div w:id="1252084599">
      <w:marLeft w:val="0"/>
      <w:marRight w:val="0"/>
      <w:marTop w:val="0"/>
      <w:marBottom w:val="0"/>
      <w:divBdr>
        <w:top w:val="none" w:sz="0" w:space="0" w:color="auto"/>
        <w:left w:val="none" w:sz="0" w:space="0" w:color="auto"/>
        <w:bottom w:val="none" w:sz="0" w:space="0" w:color="auto"/>
        <w:right w:val="none" w:sz="0" w:space="0" w:color="auto"/>
      </w:divBdr>
      <w:divsChild>
        <w:div w:id="842663585">
          <w:marLeft w:val="0"/>
          <w:marRight w:val="0"/>
          <w:marTop w:val="0"/>
          <w:marBottom w:val="0"/>
          <w:divBdr>
            <w:top w:val="none" w:sz="0" w:space="0" w:color="auto"/>
            <w:left w:val="none" w:sz="0" w:space="0" w:color="auto"/>
            <w:bottom w:val="none" w:sz="0" w:space="0" w:color="auto"/>
            <w:right w:val="none" w:sz="0" w:space="0" w:color="auto"/>
          </w:divBdr>
        </w:div>
      </w:divsChild>
    </w:div>
    <w:div w:id="1252084760">
      <w:marLeft w:val="0"/>
      <w:marRight w:val="0"/>
      <w:marTop w:val="200"/>
      <w:marBottom w:val="0"/>
      <w:divBdr>
        <w:top w:val="none" w:sz="0" w:space="0" w:color="auto"/>
        <w:left w:val="none" w:sz="0" w:space="0" w:color="auto"/>
        <w:bottom w:val="none" w:sz="0" w:space="0" w:color="auto"/>
        <w:right w:val="none" w:sz="0" w:space="0" w:color="auto"/>
      </w:divBdr>
    </w:div>
    <w:div w:id="1253078336">
      <w:marLeft w:val="0"/>
      <w:marRight w:val="0"/>
      <w:marTop w:val="240"/>
      <w:marBottom w:val="0"/>
      <w:divBdr>
        <w:top w:val="none" w:sz="0" w:space="0" w:color="auto"/>
        <w:left w:val="none" w:sz="0" w:space="0" w:color="auto"/>
        <w:bottom w:val="none" w:sz="0" w:space="0" w:color="auto"/>
        <w:right w:val="none" w:sz="0" w:space="0" w:color="auto"/>
      </w:divBdr>
    </w:div>
    <w:div w:id="1254168129">
      <w:marLeft w:val="0"/>
      <w:marRight w:val="0"/>
      <w:marTop w:val="60"/>
      <w:marBottom w:val="120"/>
      <w:divBdr>
        <w:top w:val="none" w:sz="0" w:space="0" w:color="auto"/>
        <w:left w:val="none" w:sz="0" w:space="0" w:color="auto"/>
        <w:bottom w:val="none" w:sz="0" w:space="0" w:color="auto"/>
        <w:right w:val="none" w:sz="0" w:space="0" w:color="auto"/>
      </w:divBdr>
    </w:div>
    <w:div w:id="1254433760">
      <w:marLeft w:val="0"/>
      <w:marRight w:val="0"/>
      <w:marTop w:val="240"/>
      <w:marBottom w:val="0"/>
      <w:divBdr>
        <w:top w:val="none" w:sz="0" w:space="0" w:color="auto"/>
        <w:left w:val="none" w:sz="0" w:space="0" w:color="auto"/>
        <w:bottom w:val="none" w:sz="0" w:space="0" w:color="auto"/>
        <w:right w:val="none" w:sz="0" w:space="0" w:color="auto"/>
      </w:divBdr>
    </w:div>
    <w:div w:id="1258291675">
      <w:marLeft w:val="0"/>
      <w:marRight w:val="0"/>
      <w:marTop w:val="240"/>
      <w:marBottom w:val="0"/>
      <w:divBdr>
        <w:top w:val="none" w:sz="0" w:space="0" w:color="auto"/>
        <w:left w:val="none" w:sz="0" w:space="0" w:color="auto"/>
        <w:bottom w:val="none" w:sz="0" w:space="0" w:color="auto"/>
        <w:right w:val="none" w:sz="0" w:space="0" w:color="auto"/>
      </w:divBdr>
    </w:div>
    <w:div w:id="1259412264">
      <w:marLeft w:val="0"/>
      <w:marRight w:val="0"/>
      <w:marTop w:val="240"/>
      <w:marBottom w:val="0"/>
      <w:divBdr>
        <w:top w:val="none" w:sz="0" w:space="0" w:color="auto"/>
        <w:left w:val="none" w:sz="0" w:space="0" w:color="auto"/>
        <w:bottom w:val="none" w:sz="0" w:space="0" w:color="auto"/>
        <w:right w:val="none" w:sz="0" w:space="0" w:color="auto"/>
      </w:divBdr>
    </w:div>
    <w:div w:id="1260143579">
      <w:marLeft w:val="0"/>
      <w:marRight w:val="0"/>
      <w:marTop w:val="100"/>
      <w:marBottom w:val="180"/>
      <w:divBdr>
        <w:top w:val="none" w:sz="0" w:space="0" w:color="auto"/>
        <w:left w:val="none" w:sz="0" w:space="0" w:color="auto"/>
        <w:bottom w:val="none" w:sz="0" w:space="0" w:color="auto"/>
        <w:right w:val="none" w:sz="0" w:space="0" w:color="auto"/>
      </w:divBdr>
    </w:div>
    <w:div w:id="1261530265">
      <w:marLeft w:val="0"/>
      <w:marRight w:val="0"/>
      <w:marTop w:val="240"/>
      <w:marBottom w:val="0"/>
      <w:divBdr>
        <w:top w:val="none" w:sz="0" w:space="0" w:color="auto"/>
        <w:left w:val="none" w:sz="0" w:space="0" w:color="auto"/>
        <w:bottom w:val="none" w:sz="0" w:space="0" w:color="auto"/>
        <w:right w:val="none" w:sz="0" w:space="0" w:color="auto"/>
      </w:divBdr>
    </w:div>
    <w:div w:id="1261715844">
      <w:marLeft w:val="0"/>
      <w:marRight w:val="0"/>
      <w:marTop w:val="240"/>
      <w:marBottom w:val="0"/>
      <w:divBdr>
        <w:top w:val="none" w:sz="0" w:space="0" w:color="auto"/>
        <w:left w:val="none" w:sz="0" w:space="0" w:color="auto"/>
        <w:bottom w:val="none" w:sz="0" w:space="0" w:color="auto"/>
        <w:right w:val="none" w:sz="0" w:space="0" w:color="auto"/>
      </w:divBdr>
    </w:div>
    <w:div w:id="1264803267">
      <w:marLeft w:val="0"/>
      <w:marRight w:val="0"/>
      <w:marTop w:val="160"/>
      <w:marBottom w:val="0"/>
      <w:divBdr>
        <w:top w:val="none" w:sz="0" w:space="0" w:color="auto"/>
        <w:left w:val="none" w:sz="0" w:space="0" w:color="auto"/>
        <w:bottom w:val="none" w:sz="0" w:space="0" w:color="auto"/>
        <w:right w:val="none" w:sz="0" w:space="0" w:color="auto"/>
      </w:divBdr>
    </w:div>
    <w:div w:id="1267619759">
      <w:marLeft w:val="0"/>
      <w:marRight w:val="0"/>
      <w:marTop w:val="240"/>
      <w:marBottom w:val="0"/>
      <w:divBdr>
        <w:top w:val="none" w:sz="0" w:space="0" w:color="auto"/>
        <w:left w:val="none" w:sz="0" w:space="0" w:color="auto"/>
        <w:bottom w:val="none" w:sz="0" w:space="0" w:color="auto"/>
        <w:right w:val="none" w:sz="0" w:space="0" w:color="auto"/>
      </w:divBdr>
    </w:div>
    <w:div w:id="1268318527">
      <w:marLeft w:val="0"/>
      <w:marRight w:val="0"/>
      <w:marTop w:val="240"/>
      <w:marBottom w:val="0"/>
      <w:divBdr>
        <w:top w:val="none" w:sz="0" w:space="0" w:color="auto"/>
        <w:left w:val="none" w:sz="0" w:space="0" w:color="auto"/>
        <w:bottom w:val="none" w:sz="0" w:space="0" w:color="auto"/>
        <w:right w:val="none" w:sz="0" w:space="0" w:color="auto"/>
      </w:divBdr>
    </w:div>
    <w:div w:id="1268849666">
      <w:marLeft w:val="0"/>
      <w:marRight w:val="0"/>
      <w:marTop w:val="200"/>
      <w:marBottom w:val="0"/>
      <w:divBdr>
        <w:top w:val="none" w:sz="0" w:space="0" w:color="auto"/>
        <w:left w:val="none" w:sz="0" w:space="0" w:color="auto"/>
        <w:bottom w:val="none" w:sz="0" w:space="0" w:color="auto"/>
        <w:right w:val="none" w:sz="0" w:space="0" w:color="auto"/>
      </w:divBdr>
    </w:div>
    <w:div w:id="1268929583">
      <w:marLeft w:val="0"/>
      <w:marRight w:val="0"/>
      <w:marTop w:val="240"/>
      <w:marBottom w:val="0"/>
      <w:divBdr>
        <w:top w:val="none" w:sz="0" w:space="0" w:color="auto"/>
        <w:left w:val="none" w:sz="0" w:space="0" w:color="auto"/>
        <w:bottom w:val="none" w:sz="0" w:space="0" w:color="auto"/>
        <w:right w:val="none" w:sz="0" w:space="0" w:color="auto"/>
      </w:divBdr>
    </w:div>
    <w:div w:id="1269125003">
      <w:marLeft w:val="0"/>
      <w:marRight w:val="0"/>
      <w:marTop w:val="0"/>
      <w:marBottom w:val="0"/>
      <w:divBdr>
        <w:top w:val="none" w:sz="0" w:space="0" w:color="auto"/>
        <w:left w:val="none" w:sz="0" w:space="0" w:color="auto"/>
        <w:bottom w:val="none" w:sz="0" w:space="0" w:color="auto"/>
        <w:right w:val="none" w:sz="0" w:space="0" w:color="auto"/>
      </w:divBdr>
    </w:div>
    <w:div w:id="1270157839">
      <w:marLeft w:val="0"/>
      <w:marRight w:val="0"/>
      <w:marTop w:val="120"/>
      <w:marBottom w:val="0"/>
      <w:divBdr>
        <w:top w:val="none" w:sz="0" w:space="0" w:color="auto"/>
        <w:left w:val="none" w:sz="0" w:space="0" w:color="auto"/>
        <w:bottom w:val="none" w:sz="0" w:space="0" w:color="auto"/>
        <w:right w:val="none" w:sz="0" w:space="0" w:color="auto"/>
      </w:divBdr>
    </w:div>
    <w:div w:id="1273783636">
      <w:marLeft w:val="0"/>
      <w:marRight w:val="0"/>
      <w:marTop w:val="300"/>
      <w:marBottom w:val="0"/>
      <w:divBdr>
        <w:top w:val="none" w:sz="0" w:space="0" w:color="auto"/>
        <w:left w:val="none" w:sz="0" w:space="0" w:color="auto"/>
        <w:bottom w:val="none" w:sz="0" w:space="0" w:color="auto"/>
        <w:right w:val="none" w:sz="0" w:space="0" w:color="auto"/>
      </w:divBdr>
    </w:div>
    <w:div w:id="1273828831">
      <w:marLeft w:val="0"/>
      <w:marRight w:val="0"/>
      <w:marTop w:val="0"/>
      <w:marBottom w:val="0"/>
      <w:divBdr>
        <w:top w:val="none" w:sz="0" w:space="0" w:color="auto"/>
        <w:left w:val="none" w:sz="0" w:space="0" w:color="auto"/>
        <w:bottom w:val="none" w:sz="0" w:space="0" w:color="auto"/>
        <w:right w:val="none" w:sz="0" w:space="0" w:color="auto"/>
      </w:divBdr>
      <w:divsChild>
        <w:div w:id="1143472287">
          <w:marLeft w:val="0"/>
          <w:marRight w:val="0"/>
          <w:marTop w:val="0"/>
          <w:marBottom w:val="0"/>
          <w:divBdr>
            <w:top w:val="none" w:sz="0" w:space="0" w:color="auto"/>
            <w:left w:val="none" w:sz="0" w:space="0" w:color="auto"/>
            <w:bottom w:val="none" w:sz="0" w:space="0" w:color="auto"/>
            <w:right w:val="none" w:sz="0" w:space="0" w:color="auto"/>
          </w:divBdr>
          <w:divsChild>
            <w:div w:id="138918214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274556181">
      <w:marLeft w:val="0"/>
      <w:marRight w:val="0"/>
      <w:marTop w:val="240"/>
      <w:marBottom w:val="0"/>
      <w:divBdr>
        <w:top w:val="none" w:sz="0" w:space="0" w:color="auto"/>
        <w:left w:val="none" w:sz="0" w:space="0" w:color="auto"/>
        <w:bottom w:val="none" w:sz="0" w:space="0" w:color="auto"/>
        <w:right w:val="none" w:sz="0" w:space="0" w:color="auto"/>
      </w:divBdr>
    </w:div>
    <w:div w:id="1275559113">
      <w:marLeft w:val="0"/>
      <w:marRight w:val="0"/>
      <w:marTop w:val="0"/>
      <w:marBottom w:val="0"/>
      <w:divBdr>
        <w:top w:val="none" w:sz="0" w:space="0" w:color="auto"/>
        <w:left w:val="none" w:sz="0" w:space="0" w:color="auto"/>
        <w:bottom w:val="none" w:sz="0" w:space="0" w:color="auto"/>
        <w:right w:val="none" w:sz="0" w:space="0" w:color="auto"/>
      </w:divBdr>
      <w:divsChild>
        <w:div w:id="288825228">
          <w:marLeft w:val="0"/>
          <w:marRight w:val="0"/>
          <w:marTop w:val="0"/>
          <w:marBottom w:val="0"/>
          <w:divBdr>
            <w:top w:val="none" w:sz="0" w:space="0" w:color="auto"/>
            <w:left w:val="none" w:sz="0" w:space="0" w:color="auto"/>
            <w:bottom w:val="none" w:sz="0" w:space="0" w:color="auto"/>
            <w:right w:val="none" w:sz="0" w:space="0" w:color="auto"/>
          </w:divBdr>
          <w:divsChild>
            <w:div w:id="44442347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276476455">
      <w:marLeft w:val="0"/>
      <w:marRight w:val="0"/>
      <w:marTop w:val="200"/>
      <w:marBottom w:val="0"/>
      <w:divBdr>
        <w:top w:val="none" w:sz="0" w:space="0" w:color="auto"/>
        <w:left w:val="none" w:sz="0" w:space="0" w:color="auto"/>
        <w:bottom w:val="none" w:sz="0" w:space="0" w:color="auto"/>
        <w:right w:val="none" w:sz="0" w:space="0" w:color="auto"/>
      </w:divBdr>
    </w:div>
    <w:div w:id="1277907731">
      <w:marLeft w:val="0"/>
      <w:marRight w:val="0"/>
      <w:marTop w:val="0"/>
      <w:marBottom w:val="0"/>
      <w:divBdr>
        <w:top w:val="none" w:sz="0" w:space="0" w:color="auto"/>
        <w:left w:val="none" w:sz="0" w:space="0" w:color="auto"/>
        <w:bottom w:val="none" w:sz="0" w:space="0" w:color="auto"/>
        <w:right w:val="none" w:sz="0" w:space="0" w:color="auto"/>
      </w:divBdr>
      <w:divsChild>
        <w:div w:id="1268081923">
          <w:marLeft w:val="0"/>
          <w:marRight w:val="0"/>
          <w:marTop w:val="0"/>
          <w:marBottom w:val="0"/>
          <w:divBdr>
            <w:top w:val="none" w:sz="0" w:space="0" w:color="auto"/>
            <w:left w:val="none" w:sz="0" w:space="0" w:color="auto"/>
            <w:bottom w:val="none" w:sz="0" w:space="0" w:color="auto"/>
            <w:right w:val="none" w:sz="0" w:space="0" w:color="auto"/>
          </w:divBdr>
          <w:divsChild>
            <w:div w:id="94700951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278176621">
      <w:marLeft w:val="0"/>
      <w:marRight w:val="0"/>
      <w:marTop w:val="240"/>
      <w:marBottom w:val="0"/>
      <w:divBdr>
        <w:top w:val="none" w:sz="0" w:space="0" w:color="auto"/>
        <w:left w:val="none" w:sz="0" w:space="0" w:color="auto"/>
        <w:bottom w:val="none" w:sz="0" w:space="0" w:color="auto"/>
        <w:right w:val="none" w:sz="0" w:space="0" w:color="auto"/>
      </w:divBdr>
    </w:div>
    <w:div w:id="1279874625">
      <w:marLeft w:val="0"/>
      <w:marRight w:val="0"/>
      <w:marTop w:val="0"/>
      <w:marBottom w:val="0"/>
      <w:divBdr>
        <w:top w:val="none" w:sz="0" w:space="0" w:color="auto"/>
        <w:left w:val="none" w:sz="0" w:space="0" w:color="auto"/>
        <w:bottom w:val="none" w:sz="0" w:space="0" w:color="auto"/>
        <w:right w:val="none" w:sz="0" w:space="0" w:color="auto"/>
      </w:divBdr>
    </w:div>
    <w:div w:id="1280801458">
      <w:marLeft w:val="0"/>
      <w:marRight w:val="0"/>
      <w:marTop w:val="240"/>
      <w:marBottom w:val="0"/>
      <w:divBdr>
        <w:top w:val="none" w:sz="0" w:space="0" w:color="auto"/>
        <w:left w:val="none" w:sz="0" w:space="0" w:color="auto"/>
        <w:bottom w:val="none" w:sz="0" w:space="0" w:color="auto"/>
        <w:right w:val="none" w:sz="0" w:space="0" w:color="auto"/>
      </w:divBdr>
    </w:div>
    <w:div w:id="1280991412">
      <w:marLeft w:val="0"/>
      <w:marRight w:val="0"/>
      <w:marTop w:val="60"/>
      <w:marBottom w:val="0"/>
      <w:divBdr>
        <w:top w:val="none" w:sz="0" w:space="0" w:color="auto"/>
        <w:left w:val="none" w:sz="0" w:space="0" w:color="auto"/>
        <w:bottom w:val="none" w:sz="0" w:space="0" w:color="auto"/>
        <w:right w:val="none" w:sz="0" w:space="0" w:color="auto"/>
      </w:divBdr>
    </w:div>
    <w:div w:id="1288242462">
      <w:marLeft w:val="0"/>
      <w:marRight w:val="0"/>
      <w:marTop w:val="60"/>
      <w:marBottom w:val="0"/>
      <w:divBdr>
        <w:top w:val="none" w:sz="0" w:space="0" w:color="auto"/>
        <w:left w:val="none" w:sz="0" w:space="0" w:color="auto"/>
        <w:bottom w:val="none" w:sz="0" w:space="0" w:color="auto"/>
        <w:right w:val="none" w:sz="0" w:space="0" w:color="auto"/>
      </w:divBdr>
    </w:div>
    <w:div w:id="1288779918">
      <w:marLeft w:val="0"/>
      <w:marRight w:val="0"/>
      <w:marTop w:val="220"/>
      <w:marBottom w:val="0"/>
      <w:divBdr>
        <w:top w:val="none" w:sz="0" w:space="0" w:color="auto"/>
        <w:left w:val="none" w:sz="0" w:space="0" w:color="auto"/>
        <w:bottom w:val="none" w:sz="0" w:space="0" w:color="auto"/>
        <w:right w:val="none" w:sz="0" w:space="0" w:color="auto"/>
      </w:divBdr>
      <w:divsChild>
        <w:div w:id="1365909850">
          <w:marLeft w:val="0"/>
          <w:marRight w:val="0"/>
          <w:marTop w:val="0"/>
          <w:marBottom w:val="15"/>
          <w:divBdr>
            <w:top w:val="none" w:sz="0" w:space="0" w:color="auto"/>
            <w:left w:val="none" w:sz="0" w:space="0" w:color="auto"/>
            <w:bottom w:val="none" w:sz="0" w:space="0" w:color="auto"/>
            <w:right w:val="none" w:sz="0" w:space="0" w:color="auto"/>
          </w:divBdr>
        </w:div>
        <w:div w:id="2087148387">
          <w:marLeft w:val="0"/>
          <w:marRight w:val="0"/>
          <w:marTop w:val="0"/>
          <w:marBottom w:val="15"/>
          <w:divBdr>
            <w:top w:val="none" w:sz="0" w:space="0" w:color="auto"/>
            <w:left w:val="none" w:sz="0" w:space="0" w:color="auto"/>
            <w:bottom w:val="none" w:sz="0" w:space="0" w:color="auto"/>
            <w:right w:val="none" w:sz="0" w:space="0" w:color="auto"/>
          </w:divBdr>
        </w:div>
        <w:div w:id="428165313">
          <w:marLeft w:val="0"/>
          <w:marRight w:val="0"/>
          <w:marTop w:val="0"/>
          <w:marBottom w:val="15"/>
          <w:divBdr>
            <w:top w:val="none" w:sz="0" w:space="0" w:color="auto"/>
            <w:left w:val="none" w:sz="0" w:space="0" w:color="auto"/>
            <w:bottom w:val="none" w:sz="0" w:space="0" w:color="auto"/>
            <w:right w:val="none" w:sz="0" w:space="0" w:color="auto"/>
          </w:divBdr>
        </w:div>
      </w:divsChild>
    </w:div>
    <w:div w:id="1289314160">
      <w:marLeft w:val="0"/>
      <w:marRight w:val="0"/>
      <w:marTop w:val="120"/>
      <w:marBottom w:val="0"/>
      <w:divBdr>
        <w:top w:val="none" w:sz="0" w:space="0" w:color="auto"/>
        <w:left w:val="none" w:sz="0" w:space="0" w:color="auto"/>
        <w:bottom w:val="none" w:sz="0" w:space="0" w:color="auto"/>
        <w:right w:val="none" w:sz="0" w:space="0" w:color="auto"/>
      </w:divBdr>
    </w:div>
    <w:div w:id="1292398907">
      <w:marLeft w:val="0"/>
      <w:marRight w:val="0"/>
      <w:marTop w:val="240"/>
      <w:marBottom w:val="0"/>
      <w:divBdr>
        <w:top w:val="none" w:sz="0" w:space="0" w:color="auto"/>
        <w:left w:val="none" w:sz="0" w:space="0" w:color="auto"/>
        <w:bottom w:val="none" w:sz="0" w:space="0" w:color="auto"/>
        <w:right w:val="none" w:sz="0" w:space="0" w:color="auto"/>
      </w:divBdr>
    </w:div>
    <w:div w:id="1292980152">
      <w:marLeft w:val="0"/>
      <w:marRight w:val="0"/>
      <w:marTop w:val="0"/>
      <w:marBottom w:val="0"/>
      <w:divBdr>
        <w:top w:val="none" w:sz="0" w:space="0" w:color="auto"/>
        <w:left w:val="none" w:sz="0" w:space="0" w:color="auto"/>
        <w:bottom w:val="none" w:sz="0" w:space="0" w:color="auto"/>
        <w:right w:val="none" w:sz="0" w:space="0" w:color="auto"/>
      </w:divBdr>
      <w:divsChild>
        <w:div w:id="49234410">
          <w:marLeft w:val="0"/>
          <w:marRight w:val="0"/>
          <w:marTop w:val="120"/>
          <w:marBottom w:val="0"/>
          <w:divBdr>
            <w:top w:val="none" w:sz="0" w:space="0" w:color="auto"/>
            <w:left w:val="none" w:sz="0" w:space="0" w:color="auto"/>
            <w:bottom w:val="none" w:sz="0" w:space="0" w:color="auto"/>
            <w:right w:val="none" w:sz="0" w:space="0" w:color="auto"/>
          </w:divBdr>
        </w:div>
      </w:divsChild>
    </w:div>
    <w:div w:id="1294289909">
      <w:marLeft w:val="0"/>
      <w:marRight w:val="0"/>
      <w:marTop w:val="240"/>
      <w:marBottom w:val="0"/>
      <w:divBdr>
        <w:top w:val="none" w:sz="0" w:space="0" w:color="auto"/>
        <w:left w:val="none" w:sz="0" w:space="0" w:color="auto"/>
        <w:bottom w:val="none" w:sz="0" w:space="0" w:color="auto"/>
        <w:right w:val="none" w:sz="0" w:space="0" w:color="auto"/>
      </w:divBdr>
    </w:div>
    <w:div w:id="1295135153">
      <w:marLeft w:val="0"/>
      <w:marRight w:val="0"/>
      <w:marTop w:val="240"/>
      <w:marBottom w:val="0"/>
      <w:divBdr>
        <w:top w:val="none" w:sz="0" w:space="0" w:color="auto"/>
        <w:left w:val="none" w:sz="0" w:space="0" w:color="auto"/>
        <w:bottom w:val="none" w:sz="0" w:space="0" w:color="auto"/>
        <w:right w:val="none" w:sz="0" w:space="0" w:color="auto"/>
      </w:divBdr>
    </w:div>
    <w:div w:id="1296061921">
      <w:marLeft w:val="0"/>
      <w:marRight w:val="0"/>
      <w:marTop w:val="120"/>
      <w:marBottom w:val="0"/>
      <w:divBdr>
        <w:top w:val="none" w:sz="0" w:space="0" w:color="auto"/>
        <w:left w:val="none" w:sz="0" w:space="0" w:color="auto"/>
        <w:bottom w:val="none" w:sz="0" w:space="0" w:color="auto"/>
        <w:right w:val="none" w:sz="0" w:space="0" w:color="auto"/>
      </w:divBdr>
    </w:div>
    <w:div w:id="1299335044">
      <w:marLeft w:val="0"/>
      <w:marRight w:val="0"/>
      <w:marTop w:val="160"/>
      <w:marBottom w:val="0"/>
      <w:divBdr>
        <w:top w:val="none" w:sz="0" w:space="0" w:color="auto"/>
        <w:left w:val="none" w:sz="0" w:space="0" w:color="auto"/>
        <w:bottom w:val="none" w:sz="0" w:space="0" w:color="auto"/>
        <w:right w:val="none" w:sz="0" w:space="0" w:color="auto"/>
      </w:divBdr>
      <w:divsChild>
        <w:div w:id="657684924">
          <w:marLeft w:val="0"/>
          <w:marRight w:val="0"/>
          <w:marTop w:val="0"/>
          <w:marBottom w:val="0"/>
          <w:divBdr>
            <w:top w:val="none" w:sz="0" w:space="0" w:color="auto"/>
            <w:left w:val="none" w:sz="0" w:space="0" w:color="auto"/>
            <w:bottom w:val="none" w:sz="0" w:space="0" w:color="auto"/>
            <w:right w:val="none" w:sz="0" w:space="0" w:color="auto"/>
          </w:divBdr>
        </w:div>
        <w:div w:id="1369643133">
          <w:marLeft w:val="0"/>
          <w:marRight w:val="0"/>
          <w:marTop w:val="0"/>
          <w:marBottom w:val="0"/>
          <w:divBdr>
            <w:top w:val="none" w:sz="0" w:space="0" w:color="auto"/>
            <w:left w:val="none" w:sz="0" w:space="0" w:color="auto"/>
            <w:bottom w:val="none" w:sz="0" w:space="0" w:color="auto"/>
            <w:right w:val="none" w:sz="0" w:space="0" w:color="auto"/>
          </w:divBdr>
        </w:div>
        <w:div w:id="2135175617">
          <w:marLeft w:val="0"/>
          <w:marRight w:val="0"/>
          <w:marTop w:val="0"/>
          <w:marBottom w:val="0"/>
          <w:divBdr>
            <w:top w:val="none" w:sz="0" w:space="0" w:color="auto"/>
            <w:left w:val="none" w:sz="0" w:space="0" w:color="auto"/>
            <w:bottom w:val="none" w:sz="0" w:space="0" w:color="auto"/>
            <w:right w:val="none" w:sz="0" w:space="0" w:color="auto"/>
          </w:divBdr>
        </w:div>
        <w:div w:id="1473257972">
          <w:marLeft w:val="0"/>
          <w:marRight w:val="0"/>
          <w:marTop w:val="0"/>
          <w:marBottom w:val="0"/>
          <w:divBdr>
            <w:top w:val="none" w:sz="0" w:space="0" w:color="auto"/>
            <w:left w:val="none" w:sz="0" w:space="0" w:color="auto"/>
            <w:bottom w:val="none" w:sz="0" w:space="0" w:color="auto"/>
            <w:right w:val="none" w:sz="0" w:space="0" w:color="auto"/>
          </w:divBdr>
        </w:div>
        <w:div w:id="450056650">
          <w:marLeft w:val="0"/>
          <w:marRight w:val="0"/>
          <w:marTop w:val="0"/>
          <w:marBottom w:val="0"/>
          <w:divBdr>
            <w:top w:val="none" w:sz="0" w:space="0" w:color="auto"/>
            <w:left w:val="none" w:sz="0" w:space="0" w:color="auto"/>
            <w:bottom w:val="none" w:sz="0" w:space="0" w:color="auto"/>
            <w:right w:val="none" w:sz="0" w:space="0" w:color="auto"/>
          </w:divBdr>
        </w:div>
        <w:div w:id="1255817515">
          <w:marLeft w:val="0"/>
          <w:marRight w:val="0"/>
          <w:marTop w:val="0"/>
          <w:marBottom w:val="0"/>
          <w:divBdr>
            <w:top w:val="none" w:sz="0" w:space="0" w:color="auto"/>
            <w:left w:val="none" w:sz="0" w:space="0" w:color="auto"/>
            <w:bottom w:val="none" w:sz="0" w:space="0" w:color="auto"/>
            <w:right w:val="none" w:sz="0" w:space="0" w:color="auto"/>
          </w:divBdr>
        </w:div>
        <w:div w:id="618343161">
          <w:marLeft w:val="0"/>
          <w:marRight w:val="0"/>
          <w:marTop w:val="0"/>
          <w:marBottom w:val="0"/>
          <w:divBdr>
            <w:top w:val="none" w:sz="0" w:space="0" w:color="auto"/>
            <w:left w:val="none" w:sz="0" w:space="0" w:color="auto"/>
            <w:bottom w:val="none" w:sz="0" w:space="0" w:color="auto"/>
            <w:right w:val="none" w:sz="0" w:space="0" w:color="auto"/>
          </w:divBdr>
        </w:div>
        <w:div w:id="833687584">
          <w:marLeft w:val="0"/>
          <w:marRight w:val="0"/>
          <w:marTop w:val="0"/>
          <w:marBottom w:val="0"/>
          <w:divBdr>
            <w:top w:val="none" w:sz="0" w:space="0" w:color="auto"/>
            <w:left w:val="none" w:sz="0" w:space="0" w:color="auto"/>
            <w:bottom w:val="none" w:sz="0" w:space="0" w:color="auto"/>
            <w:right w:val="none" w:sz="0" w:space="0" w:color="auto"/>
          </w:divBdr>
        </w:div>
      </w:divsChild>
    </w:div>
    <w:div w:id="1299527516">
      <w:marLeft w:val="0"/>
      <w:marRight w:val="0"/>
      <w:marTop w:val="240"/>
      <w:marBottom w:val="0"/>
      <w:divBdr>
        <w:top w:val="none" w:sz="0" w:space="0" w:color="auto"/>
        <w:left w:val="none" w:sz="0" w:space="0" w:color="auto"/>
        <w:bottom w:val="none" w:sz="0" w:space="0" w:color="auto"/>
        <w:right w:val="none" w:sz="0" w:space="0" w:color="auto"/>
      </w:divBdr>
    </w:div>
    <w:div w:id="1299726969">
      <w:marLeft w:val="0"/>
      <w:marRight w:val="0"/>
      <w:marTop w:val="240"/>
      <w:marBottom w:val="0"/>
      <w:divBdr>
        <w:top w:val="none" w:sz="0" w:space="0" w:color="auto"/>
        <w:left w:val="none" w:sz="0" w:space="0" w:color="auto"/>
        <w:bottom w:val="none" w:sz="0" w:space="0" w:color="auto"/>
        <w:right w:val="none" w:sz="0" w:space="0" w:color="auto"/>
      </w:divBdr>
    </w:div>
    <w:div w:id="1300453101">
      <w:marLeft w:val="0"/>
      <w:marRight w:val="0"/>
      <w:marTop w:val="200"/>
      <w:marBottom w:val="0"/>
      <w:divBdr>
        <w:top w:val="none" w:sz="0" w:space="0" w:color="auto"/>
        <w:left w:val="none" w:sz="0" w:space="0" w:color="auto"/>
        <w:bottom w:val="none" w:sz="0" w:space="0" w:color="auto"/>
        <w:right w:val="none" w:sz="0" w:space="0" w:color="auto"/>
      </w:divBdr>
    </w:div>
    <w:div w:id="1301763966">
      <w:marLeft w:val="0"/>
      <w:marRight w:val="0"/>
      <w:marTop w:val="240"/>
      <w:marBottom w:val="0"/>
      <w:divBdr>
        <w:top w:val="none" w:sz="0" w:space="0" w:color="auto"/>
        <w:left w:val="none" w:sz="0" w:space="0" w:color="auto"/>
        <w:bottom w:val="none" w:sz="0" w:space="0" w:color="auto"/>
        <w:right w:val="none" w:sz="0" w:space="0" w:color="auto"/>
      </w:divBdr>
    </w:div>
    <w:div w:id="1301881745">
      <w:marLeft w:val="0"/>
      <w:marRight w:val="0"/>
      <w:marTop w:val="200"/>
      <w:marBottom w:val="0"/>
      <w:divBdr>
        <w:top w:val="none" w:sz="0" w:space="0" w:color="auto"/>
        <w:left w:val="none" w:sz="0" w:space="0" w:color="auto"/>
        <w:bottom w:val="none" w:sz="0" w:space="0" w:color="auto"/>
        <w:right w:val="none" w:sz="0" w:space="0" w:color="auto"/>
      </w:divBdr>
    </w:div>
    <w:div w:id="1305037899">
      <w:marLeft w:val="0"/>
      <w:marRight w:val="0"/>
      <w:marTop w:val="0"/>
      <w:marBottom w:val="0"/>
      <w:divBdr>
        <w:top w:val="none" w:sz="0" w:space="0" w:color="auto"/>
        <w:left w:val="none" w:sz="0" w:space="0" w:color="auto"/>
        <w:bottom w:val="none" w:sz="0" w:space="0" w:color="auto"/>
        <w:right w:val="none" w:sz="0" w:space="0" w:color="auto"/>
      </w:divBdr>
    </w:div>
    <w:div w:id="1305623468">
      <w:marLeft w:val="0"/>
      <w:marRight w:val="0"/>
      <w:marTop w:val="100"/>
      <w:marBottom w:val="0"/>
      <w:divBdr>
        <w:top w:val="none" w:sz="0" w:space="0" w:color="auto"/>
        <w:left w:val="none" w:sz="0" w:space="0" w:color="auto"/>
        <w:bottom w:val="none" w:sz="0" w:space="0" w:color="auto"/>
        <w:right w:val="none" w:sz="0" w:space="0" w:color="auto"/>
      </w:divBdr>
      <w:divsChild>
        <w:div w:id="703755472">
          <w:marLeft w:val="0"/>
          <w:marRight w:val="0"/>
          <w:marTop w:val="0"/>
          <w:marBottom w:val="0"/>
          <w:divBdr>
            <w:top w:val="none" w:sz="0" w:space="0" w:color="auto"/>
            <w:left w:val="none" w:sz="0" w:space="0" w:color="auto"/>
            <w:bottom w:val="none" w:sz="0" w:space="0" w:color="auto"/>
            <w:right w:val="none" w:sz="0" w:space="0" w:color="auto"/>
          </w:divBdr>
        </w:div>
      </w:divsChild>
    </w:div>
    <w:div w:id="1306083515">
      <w:marLeft w:val="0"/>
      <w:marRight w:val="0"/>
      <w:marTop w:val="240"/>
      <w:marBottom w:val="240"/>
      <w:divBdr>
        <w:top w:val="none" w:sz="0" w:space="0" w:color="auto"/>
        <w:left w:val="none" w:sz="0" w:space="0" w:color="auto"/>
        <w:bottom w:val="none" w:sz="0" w:space="0" w:color="auto"/>
        <w:right w:val="none" w:sz="0" w:space="0" w:color="auto"/>
      </w:divBdr>
    </w:div>
    <w:div w:id="1307975318">
      <w:marLeft w:val="0"/>
      <w:marRight w:val="0"/>
      <w:marTop w:val="0"/>
      <w:marBottom w:val="0"/>
      <w:divBdr>
        <w:top w:val="none" w:sz="0" w:space="0" w:color="auto"/>
        <w:left w:val="none" w:sz="0" w:space="0" w:color="auto"/>
        <w:bottom w:val="none" w:sz="0" w:space="0" w:color="auto"/>
        <w:right w:val="none" w:sz="0" w:space="0" w:color="auto"/>
      </w:divBdr>
      <w:divsChild>
        <w:div w:id="1640646760">
          <w:marLeft w:val="0"/>
          <w:marRight w:val="0"/>
          <w:marTop w:val="0"/>
          <w:marBottom w:val="0"/>
          <w:divBdr>
            <w:top w:val="none" w:sz="0" w:space="0" w:color="auto"/>
            <w:left w:val="none" w:sz="0" w:space="0" w:color="auto"/>
            <w:bottom w:val="none" w:sz="0" w:space="0" w:color="auto"/>
            <w:right w:val="none" w:sz="0" w:space="0" w:color="auto"/>
          </w:divBdr>
        </w:div>
      </w:divsChild>
    </w:div>
    <w:div w:id="1308121306">
      <w:marLeft w:val="0"/>
      <w:marRight w:val="0"/>
      <w:marTop w:val="240"/>
      <w:marBottom w:val="0"/>
      <w:divBdr>
        <w:top w:val="none" w:sz="0" w:space="0" w:color="auto"/>
        <w:left w:val="none" w:sz="0" w:space="0" w:color="auto"/>
        <w:bottom w:val="none" w:sz="0" w:space="0" w:color="auto"/>
        <w:right w:val="none" w:sz="0" w:space="0" w:color="auto"/>
      </w:divBdr>
    </w:div>
    <w:div w:id="1309287522">
      <w:marLeft w:val="0"/>
      <w:marRight w:val="0"/>
      <w:marTop w:val="220"/>
      <w:marBottom w:val="0"/>
      <w:divBdr>
        <w:top w:val="none" w:sz="0" w:space="0" w:color="auto"/>
        <w:left w:val="none" w:sz="0" w:space="0" w:color="auto"/>
        <w:bottom w:val="none" w:sz="0" w:space="0" w:color="auto"/>
        <w:right w:val="none" w:sz="0" w:space="0" w:color="auto"/>
      </w:divBdr>
      <w:divsChild>
        <w:div w:id="9377458">
          <w:marLeft w:val="0"/>
          <w:marRight w:val="0"/>
          <w:marTop w:val="0"/>
          <w:marBottom w:val="0"/>
          <w:divBdr>
            <w:top w:val="none" w:sz="0" w:space="0" w:color="auto"/>
            <w:left w:val="none" w:sz="0" w:space="0" w:color="auto"/>
            <w:bottom w:val="none" w:sz="0" w:space="0" w:color="auto"/>
            <w:right w:val="none" w:sz="0" w:space="0" w:color="auto"/>
          </w:divBdr>
        </w:div>
        <w:div w:id="1216432316">
          <w:marLeft w:val="0"/>
          <w:marRight w:val="0"/>
          <w:marTop w:val="0"/>
          <w:marBottom w:val="0"/>
          <w:divBdr>
            <w:top w:val="none" w:sz="0" w:space="0" w:color="auto"/>
            <w:left w:val="none" w:sz="0" w:space="0" w:color="auto"/>
            <w:bottom w:val="none" w:sz="0" w:space="0" w:color="auto"/>
            <w:right w:val="none" w:sz="0" w:space="0" w:color="auto"/>
          </w:divBdr>
        </w:div>
      </w:divsChild>
    </w:div>
    <w:div w:id="1310475966">
      <w:marLeft w:val="0"/>
      <w:marRight w:val="0"/>
      <w:marTop w:val="180"/>
      <w:marBottom w:val="0"/>
      <w:divBdr>
        <w:top w:val="none" w:sz="0" w:space="0" w:color="auto"/>
        <w:left w:val="none" w:sz="0" w:space="0" w:color="auto"/>
        <w:bottom w:val="none" w:sz="0" w:space="0" w:color="auto"/>
        <w:right w:val="none" w:sz="0" w:space="0" w:color="auto"/>
      </w:divBdr>
    </w:div>
    <w:div w:id="1312518973">
      <w:marLeft w:val="0"/>
      <w:marRight w:val="0"/>
      <w:marTop w:val="240"/>
      <w:marBottom w:val="0"/>
      <w:divBdr>
        <w:top w:val="none" w:sz="0" w:space="0" w:color="auto"/>
        <w:left w:val="none" w:sz="0" w:space="0" w:color="auto"/>
        <w:bottom w:val="none" w:sz="0" w:space="0" w:color="auto"/>
        <w:right w:val="none" w:sz="0" w:space="0" w:color="auto"/>
      </w:divBdr>
    </w:div>
    <w:div w:id="1312520702">
      <w:marLeft w:val="0"/>
      <w:marRight w:val="0"/>
      <w:marTop w:val="240"/>
      <w:marBottom w:val="0"/>
      <w:divBdr>
        <w:top w:val="none" w:sz="0" w:space="0" w:color="auto"/>
        <w:left w:val="none" w:sz="0" w:space="0" w:color="auto"/>
        <w:bottom w:val="none" w:sz="0" w:space="0" w:color="auto"/>
        <w:right w:val="none" w:sz="0" w:space="0" w:color="auto"/>
      </w:divBdr>
    </w:div>
    <w:div w:id="1312713467">
      <w:marLeft w:val="0"/>
      <w:marRight w:val="0"/>
      <w:marTop w:val="240"/>
      <w:marBottom w:val="0"/>
      <w:divBdr>
        <w:top w:val="none" w:sz="0" w:space="0" w:color="auto"/>
        <w:left w:val="none" w:sz="0" w:space="0" w:color="auto"/>
        <w:bottom w:val="none" w:sz="0" w:space="0" w:color="auto"/>
        <w:right w:val="none" w:sz="0" w:space="0" w:color="auto"/>
      </w:divBdr>
    </w:div>
    <w:div w:id="1312979893">
      <w:marLeft w:val="0"/>
      <w:marRight w:val="0"/>
      <w:marTop w:val="240"/>
      <w:marBottom w:val="0"/>
      <w:divBdr>
        <w:top w:val="none" w:sz="0" w:space="0" w:color="auto"/>
        <w:left w:val="none" w:sz="0" w:space="0" w:color="auto"/>
        <w:bottom w:val="none" w:sz="0" w:space="0" w:color="auto"/>
        <w:right w:val="none" w:sz="0" w:space="0" w:color="auto"/>
      </w:divBdr>
    </w:div>
    <w:div w:id="1314143301">
      <w:marLeft w:val="0"/>
      <w:marRight w:val="0"/>
      <w:marTop w:val="0"/>
      <w:marBottom w:val="0"/>
      <w:divBdr>
        <w:top w:val="none" w:sz="0" w:space="0" w:color="auto"/>
        <w:left w:val="none" w:sz="0" w:space="0" w:color="auto"/>
        <w:bottom w:val="none" w:sz="0" w:space="0" w:color="auto"/>
        <w:right w:val="none" w:sz="0" w:space="0" w:color="auto"/>
      </w:divBdr>
      <w:divsChild>
        <w:div w:id="196626262">
          <w:marLeft w:val="0"/>
          <w:marRight w:val="0"/>
          <w:marTop w:val="120"/>
          <w:marBottom w:val="0"/>
          <w:divBdr>
            <w:top w:val="none" w:sz="0" w:space="0" w:color="auto"/>
            <w:left w:val="none" w:sz="0" w:space="0" w:color="auto"/>
            <w:bottom w:val="none" w:sz="0" w:space="0" w:color="auto"/>
            <w:right w:val="none" w:sz="0" w:space="0" w:color="auto"/>
          </w:divBdr>
        </w:div>
      </w:divsChild>
    </w:div>
    <w:div w:id="1316758836">
      <w:marLeft w:val="0"/>
      <w:marRight w:val="0"/>
      <w:marTop w:val="240"/>
      <w:marBottom w:val="0"/>
      <w:divBdr>
        <w:top w:val="none" w:sz="0" w:space="0" w:color="auto"/>
        <w:left w:val="none" w:sz="0" w:space="0" w:color="auto"/>
        <w:bottom w:val="none" w:sz="0" w:space="0" w:color="auto"/>
        <w:right w:val="none" w:sz="0" w:space="0" w:color="auto"/>
      </w:divBdr>
    </w:div>
    <w:div w:id="1318150244">
      <w:marLeft w:val="0"/>
      <w:marRight w:val="0"/>
      <w:marTop w:val="100"/>
      <w:marBottom w:val="0"/>
      <w:divBdr>
        <w:top w:val="none" w:sz="0" w:space="0" w:color="auto"/>
        <w:left w:val="none" w:sz="0" w:space="0" w:color="auto"/>
        <w:bottom w:val="none" w:sz="0" w:space="0" w:color="auto"/>
        <w:right w:val="none" w:sz="0" w:space="0" w:color="auto"/>
      </w:divBdr>
    </w:div>
    <w:div w:id="1318614191">
      <w:marLeft w:val="0"/>
      <w:marRight w:val="0"/>
      <w:marTop w:val="0"/>
      <w:marBottom w:val="0"/>
      <w:divBdr>
        <w:top w:val="none" w:sz="0" w:space="0" w:color="auto"/>
        <w:left w:val="none" w:sz="0" w:space="0" w:color="auto"/>
        <w:bottom w:val="none" w:sz="0" w:space="0" w:color="auto"/>
        <w:right w:val="none" w:sz="0" w:space="0" w:color="auto"/>
      </w:divBdr>
      <w:divsChild>
        <w:div w:id="1602840205">
          <w:marLeft w:val="0"/>
          <w:marRight w:val="0"/>
          <w:marTop w:val="120"/>
          <w:marBottom w:val="0"/>
          <w:divBdr>
            <w:top w:val="none" w:sz="0" w:space="0" w:color="auto"/>
            <w:left w:val="none" w:sz="0" w:space="0" w:color="auto"/>
            <w:bottom w:val="none" w:sz="0" w:space="0" w:color="auto"/>
            <w:right w:val="none" w:sz="0" w:space="0" w:color="auto"/>
          </w:divBdr>
        </w:div>
      </w:divsChild>
    </w:div>
    <w:div w:id="1318801473">
      <w:marLeft w:val="0"/>
      <w:marRight w:val="0"/>
      <w:marTop w:val="240"/>
      <w:marBottom w:val="240"/>
      <w:divBdr>
        <w:top w:val="none" w:sz="0" w:space="0" w:color="auto"/>
        <w:left w:val="none" w:sz="0" w:space="0" w:color="auto"/>
        <w:bottom w:val="none" w:sz="0" w:space="0" w:color="auto"/>
        <w:right w:val="none" w:sz="0" w:space="0" w:color="auto"/>
      </w:divBdr>
    </w:div>
    <w:div w:id="1318804983">
      <w:marLeft w:val="0"/>
      <w:marRight w:val="0"/>
      <w:marTop w:val="240"/>
      <w:marBottom w:val="240"/>
      <w:divBdr>
        <w:top w:val="none" w:sz="0" w:space="0" w:color="auto"/>
        <w:left w:val="none" w:sz="0" w:space="0" w:color="auto"/>
        <w:bottom w:val="none" w:sz="0" w:space="0" w:color="auto"/>
        <w:right w:val="none" w:sz="0" w:space="0" w:color="auto"/>
      </w:divBdr>
    </w:div>
    <w:div w:id="1318999570">
      <w:marLeft w:val="0"/>
      <w:marRight w:val="0"/>
      <w:marTop w:val="240"/>
      <w:marBottom w:val="0"/>
      <w:divBdr>
        <w:top w:val="none" w:sz="0" w:space="0" w:color="auto"/>
        <w:left w:val="none" w:sz="0" w:space="0" w:color="auto"/>
        <w:bottom w:val="none" w:sz="0" w:space="0" w:color="auto"/>
        <w:right w:val="none" w:sz="0" w:space="0" w:color="auto"/>
      </w:divBdr>
    </w:div>
    <w:div w:id="1319505234">
      <w:marLeft w:val="0"/>
      <w:marRight w:val="0"/>
      <w:marTop w:val="240"/>
      <w:marBottom w:val="0"/>
      <w:divBdr>
        <w:top w:val="none" w:sz="0" w:space="0" w:color="auto"/>
        <w:left w:val="none" w:sz="0" w:space="0" w:color="auto"/>
        <w:bottom w:val="none" w:sz="0" w:space="0" w:color="auto"/>
        <w:right w:val="none" w:sz="0" w:space="0" w:color="auto"/>
      </w:divBdr>
    </w:div>
    <w:div w:id="1322730732">
      <w:marLeft w:val="0"/>
      <w:marRight w:val="0"/>
      <w:marTop w:val="240"/>
      <w:marBottom w:val="0"/>
      <w:divBdr>
        <w:top w:val="none" w:sz="0" w:space="0" w:color="auto"/>
        <w:left w:val="none" w:sz="0" w:space="0" w:color="auto"/>
        <w:bottom w:val="none" w:sz="0" w:space="0" w:color="auto"/>
        <w:right w:val="none" w:sz="0" w:space="0" w:color="auto"/>
      </w:divBdr>
    </w:div>
    <w:div w:id="1324746671">
      <w:marLeft w:val="0"/>
      <w:marRight w:val="0"/>
      <w:marTop w:val="240"/>
      <w:marBottom w:val="0"/>
      <w:divBdr>
        <w:top w:val="none" w:sz="0" w:space="0" w:color="auto"/>
        <w:left w:val="none" w:sz="0" w:space="0" w:color="auto"/>
        <w:bottom w:val="none" w:sz="0" w:space="0" w:color="auto"/>
        <w:right w:val="none" w:sz="0" w:space="0" w:color="auto"/>
      </w:divBdr>
    </w:div>
    <w:div w:id="1325205606">
      <w:marLeft w:val="0"/>
      <w:marRight w:val="0"/>
      <w:marTop w:val="200"/>
      <w:marBottom w:val="0"/>
      <w:divBdr>
        <w:top w:val="none" w:sz="0" w:space="0" w:color="auto"/>
        <w:left w:val="none" w:sz="0" w:space="0" w:color="auto"/>
        <w:bottom w:val="none" w:sz="0" w:space="0" w:color="auto"/>
        <w:right w:val="none" w:sz="0" w:space="0" w:color="auto"/>
      </w:divBdr>
    </w:div>
    <w:div w:id="1326859117">
      <w:marLeft w:val="0"/>
      <w:marRight w:val="0"/>
      <w:marTop w:val="180"/>
      <w:marBottom w:val="0"/>
      <w:divBdr>
        <w:top w:val="none" w:sz="0" w:space="0" w:color="auto"/>
        <w:left w:val="none" w:sz="0" w:space="0" w:color="auto"/>
        <w:bottom w:val="none" w:sz="0" w:space="0" w:color="auto"/>
        <w:right w:val="none" w:sz="0" w:space="0" w:color="auto"/>
      </w:divBdr>
    </w:div>
    <w:div w:id="1327634825">
      <w:marLeft w:val="0"/>
      <w:marRight w:val="0"/>
      <w:marTop w:val="240"/>
      <w:marBottom w:val="0"/>
      <w:divBdr>
        <w:top w:val="none" w:sz="0" w:space="0" w:color="auto"/>
        <w:left w:val="none" w:sz="0" w:space="0" w:color="auto"/>
        <w:bottom w:val="none" w:sz="0" w:space="0" w:color="auto"/>
        <w:right w:val="none" w:sz="0" w:space="0" w:color="auto"/>
      </w:divBdr>
    </w:div>
    <w:div w:id="1328021935">
      <w:marLeft w:val="0"/>
      <w:marRight w:val="0"/>
      <w:marTop w:val="120"/>
      <w:marBottom w:val="0"/>
      <w:divBdr>
        <w:top w:val="none" w:sz="0" w:space="0" w:color="auto"/>
        <w:left w:val="none" w:sz="0" w:space="0" w:color="auto"/>
        <w:bottom w:val="none" w:sz="0" w:space="0" w:color="auto"/>
        <w:right w:val="none" w:sz="0" w:space="0" w:color="auto"/>
      </w:divBdr>
    </w:div>
    <w:div w:id="1328940597">
      <w:marLeft w:val="0"/>
      <w:marRight w:val="0"/>
      <w:marTop w:val="200"/>
      <w:marBottom w:val="0"/>
      <w:divBdr>
        <w:top w:val="none" w:sz="0" w:space="0" w:color="auto"/>
        <w:left w:val="none" w:sz="0" w:space="0" w:color="auto"/>
        <w:bottom w:val="none" w:sz="0" w:space="0" w:color="auto"/>
        <w:right w:val="none" w:sz="0" w:space="0" w:color="auto"/>
      </w:divBdr>
    </w:div>
    <w:div w:id="1329283049">
      <w:marLeft w:val="0"/>
      <w:marRight w:val="0"/>
      <w:marTop w:val="200"/>
      <w:marBottom w:val="0"/>
      <w:divBdr>
        <w:top w:val="none" w:sz="0" w:space="0" w:color="auto"/>
        <w:left w:val="none" w:sz="0" w:space="0" w:color="auto"/>
        <w:bottom w:val="none" w:sz="0" w:space="0" w:color="auto"/>
        <w:right w:val="none" w:sz="0" w:space="0" w:color="auto"/>
      </w:divBdr>
    </w:div>
    <w:div w:id="1329285368">
      <w:marLeft w:val="0"/>
      <w:marRight w:val="0"/>
      <w:marTop w:val="240"/>
      <w:marBottom w:val="0"/>
      <w:divBdr>
        <w:top w:val="none" w:sz="0" w:space="0" w:color="auto"/>
        <w:left w:val="none" w:sz="0" w:space="0" w:color="auto"/>
        <w:bottom w:val="none" w:sz="0" w:space="0" w:color="auto"/>
        <w:right w:val="none" w:sz="0" w:space="0" w:color="auto"/>
      </w:divBdr>
    </w:div>
    <w:div w:id="1332638929">
      <w:marLeft w:val="0"/>
      <w:marRight w:val="0"/>
      <w:marTop w:val="0"/>
      <w:marBottom w:val="0"/>
      <w:divBdr>
        <w:top w:val="none" w:sz="0" w:space="0" w:color="auto"/>
        <w:left w:val="none" w:sz="0" w:space="0" w:color="auto"/>
        <w:bottom w:val="none" w:sz="0" w:space="0" w:color="auto"/>
        <w:right w:val="none" w:sz="0" w:space="0" w:color="auto"/>
      </w:divBdr>
      <w:divsChild>
        <w:div w:id="726294213">
          <w:marLeft w:val="0"/>
          <w:marRight w:val="0"/>
          <w:marTop w:val="0"/>
          <w:marBottom w:val="0"/>
          <w:divBdr>
            <w:top w:val="none" w:sz="0" w:space="0" w:color="auto"/>
            <w:left w:val="none" w:sz="0" w:space="0" w:color="auto"/>
            <w:bottom w:val="none" w:sz="0" w:space="0" w:color="auto"/>
            <w:right w:val="none" w:sz="0" w:space="0" w:color="auto"/>
          </w:divBdr>
        </w:div>
      </w:divsChild>
    </w:div>
    <w:div w:id="1333146612">
      <w:marLeft w:val="0"/>
      <w:marRight w:val="0"/>
      <w:marTop w:val="140"/>
      <w:marBottom w:val="0"/>
      <w:divBdr>
        <w:top w:val="none" w:sz="0" w:space="0" w:color="auto"/>
        <w:left w:val="none" w:sz="0" w:space="0" w:color="auto"/>
        <w:bottom w:val="none" w:sz="0" w:space="0" w:color="auto"/>
        <w:right w:val="none" w:sz="0" w:space="0" w:color="auto"/>
      </w:divBdr>
    </w:div>
    <w:div w:id="1337801749">
      <w:marLeft w:val="0"/>
      <w:marRight w:val="0"/>
      <w:marTop w:val="240"/>
      <w:marBottom w:val="0"/>
      <w:divBdr>
        <w:top w:val="none" w:sz="0" w:space="0" w:color="auto"/>
        <w:left w:val="none" w:sz="0" w:space="0" w:color="auto"/>
        <w:bottom w:val="none" w:sz="0" w:space="0" w:color="auto"/>
        <w:right w:val="none" w:sz="0" w:space="0" w:color="auto"/>
      </w:divBdr>
    </w:div>
    <w:div w:id="1338267131">
      <w:marLeft w:val="0"/>
      <w:marRight w:val="0"/>
      <w:marTop w:val="240"/>
      <w:marBottom w:val="0"/>
      <w:divBdr>
        <w:top w:val="none" w:sz="0" w:space="0" w:color="auto"/>
        <w:left w:val="none" w:sz="0" w:space="0" w:color="auto"/>
        <w:bottom w:val="none" w:sz="0" w:space="0" w:color="auto"/>
        <w:right w:val="none" w:sz="0" w:space="0" w:color="auto"/>
      </w:divBdr>
    </w:div>
    <w:div w:id="1338456310">
      <w:marLeft w:val="0"/>
      <w:marRight w:val="0"/>
      <w:marTop w:val="240"/>
      <w:marBottom w:val="0"/>
      <w:divBdr>
        <w:top w:val="none" w:sz="0" w:space="0" w:color="auto"/>
        <w:left w:val="none" w:sz="0" w:space="0" w:color="auto"/>
        <w:bottom w:val="none" w:sz="0" w:space="0" w:color="auto"/>
        <w:right w:val="none" w:sz="0" w:space="0" w:color="auto"/>
      </w:divBdr>
    </w:div>
    <w:div w:id="1340352143">
      <w:marLeft w:val="0"/>
      <w:marRight w:val="0"/>
      <w:marTop w:val="0"/>
      <w:marBottom w:val="0"/>
      <w:divBdr>
        <w:top w:val="none" w:sz="0" w:space="0" w:color="auto"/>
        <w:left w:val="none" w:sz="0" w:space="0" w:color="auto"/>
        <w:bottom w:val="none" w:sz="0" w:space="0" w:color="auto"/>
        <w:right w:val="none" w:sz="0" w:space="0" w:color="auto"/>
      </w:divBdr>
    </w:div>
    <w:div w:id="1341739021">
      <w:marLeft w:val="0"/>
      <w:marRight w:val="0"/>
      <w:marTop w:val="0"/>
      <w:marBottom w:val="0"/>
      <w:divBdr>
        <w:top w:val="none" w:sz="0" w:space="0" w:color="auto"/>
        <w:left w:val="none" w:sz="0" w:space="0" w:color="auto"/>
        <w:bottom w:val="none" w:sz="0" w:space="0" w:color="auto"/>
        <w:right w:val="none" w:sz="0" w:space="0" w:color="auto"/>
      </w:divBdr>
    </w:div>
    <w:div w:id="1342318166">
      <w:marLeft w:val="0"/>
      <w:marRight w:val="0"/>
      <w:marTop w:val="160"/>
      <w:marBottom w:val="0"/>
      <w:divBdr>
        <w:top w:val="none" w:sz="0" w:space="0" w:color="auto"/>
        <w:left w:val="none" w:sz="0" w:space="0" w:color="auto"/>
        <w:bottom w:val="none" w:sz="0" w:space="0" w:color="auto"/>
        <w:right w:val="none" w:sz="0" w:space="0" w:color="auto"/>
      </w:divBdr>
      <w:divsChild>
        <w:div w:id="630668419">
          <w:marLeft w:val="0"/>
          <w:marRight w:val="0"/>
          <w:marTop w:val="0"/>
          <w:marBottom w:val="0"/>
          <w:divBdr>
            <w:top w:val="none" w:sz="0" w:space="0" w:color="auto"/>
            <w:left w:val="none" w:sz="0" w:space="0" w:color="auto"/>
            <w:bottom w:val="none" w:sz="0" w:space="0" w:color="auto"/>
            <w:right w:val="none" w:sz="0" w:space="0" w:color="auto"/>
          </w:divBdr>
        </w:div>
      </w:divsChild>
    </w:div>
    <w:div w:id="1343164769">
      <w:marLeft w:val="0"/>
      <w:marRight w:val="0"/>
      <w:marTop w:val="240"/>
      <w:marBottom w:val="0"/>
      <w:divBdr>
        <w:top w:val="none" w:sz="0" w:space="0" w:color="auto"/>
        <w:left w:val="none" w:sz="0" w:space="0" w:color="auto"/>
        <w:bottom w:val="none" w:sz="0" w:space="0" w:color="auto"/>
        <w:right w:val="none" w:sz="0" w:space="0" w:color="auto"/>
      </w:divBdr>
    </w:div>
    <w:div w:id="1345282547">
      <w:marLeft w:val="0"/>
      <w:marRight w:val="0"/>
      <w:marTop w:val="0"/>
      <w:marBottom w:val="0"/>
      <w:divBdr>
        <w:top w:val="none" w:sz="0" w:space="0" w:color="auto"/>
        <w:left w:val="none" w:sz="0" w:space="0" w:color="auto"/>
        <w:bottom w:val="none" w:sz="0" w:space="0" w:color="auto"/>
        <w:right w:val="none" w:sz="0" w:space="0" w:color="auto"/>
      </w:divBdr>
      <w:divsChild>
        <w:div w:id="1808468324">
          <w:marLeft w:val="0"/>
          <w:marRight w:val="0"/>
          <w:marTop w:val="0"/>
          <w:marBottom w:val="0"/>
          <w:divBdr>
            <w:top w:val="none" w:sz="0" w:space="0" w:color="auto"/>
            <w:left w:val="none" w:sz="0" w:space="0" w:color="auto"/>
            <w:bottom w:val="none" w:sz="0" w:space="0" w:color="auto"/>
            <w:right w:val="none" w:sz="0" w:space="0" w:color="auto"/>
          </w:divBdr>
        </w:div>
      </w:divsChild>
    </w:div>
    <w:div w:id="1346634643">
      <w:marLeft w:val="0"/>
      <w:marRight w:val="0"/>
      <w:marTop w:val="200"/>
      <w:marBottom w:val="0"/>
      <w:divBdr>
        <w:top w:val="none" w:sz="0" w:space="0" w:color="auto"/>
        <w:left w:val="none" w:sz="0" w:space="0" w:color="auto"/>
        <w:bottom w:val="none" w:sz="0" w:space="0" w:color="auto"/>
        <w:right w:val="none" w:sz="0" w:space="0" w:color="auto"/>
      </w:divBdr>
    </w:div>
    <w:div w:id="1348484661">
      <w:marLeft w:val="0"/>
      <w:marRight w:val="0"/>
      <w:marTop w:val="240"/>
      <w:marBottom w:val="0"/>
      <w:divBdr>
        <w:top w:val="none" w:sz="0" w:space="0" w:color="auto"/>
        <w:left w:val="none" w:sz="0" w:space="0" w:color="auto"/>
        <w:bottom w:val="none" w:sz="0" w:space="0" w:color="auto"/>
        <w:right w:val="none" w:sz="0" w:space="0" w:color="auto"/>
      </w:divBdr>
    </w:div>
    <w:div w:id="1349404057">
      <w:marLeft w:val="0"/>
      <w:marRight w:val="0"/>
      <w:marTop w:val="240"/>
      <w:marBottom w:val="0"/>
      <w:divBdr>
        <w:top w:val="none" w:sz="0" w:space="0" w:color="auto"/>
        <w:left w:val="none" w:sz="0" w:space="0" w:color="auto"/>
        <w:bottom w:val="none" w:sz="0" w:space="0" w:color="auto"/>
        <w:right w:val="none" w:sz="0" w:space="0" w:color="auto"/>
      </w:divBdr>
    </w:div>
    <w:div w:id="1352957023">
      <w:marLeft w:val="0"/>
      <w:marRight w:val="0"/>
      <w:marTop w:val="0"/>
      <w:marBottom w:val="0"/>
      <w:divBdr>
        <w:top w:val="none" w:sz="0" w:space="0" w:color="auto"/>
        <w:left w:val="none" w:sz="0" w:space="0" w:color="auto"/>
        <w:bottom w:val="none" w:sz="0" w:space="0" w:color="auto"/>
        <w:right w:val="none" w:sz="0" w:space="0" w:color="auto"/>
      </w:divBdr>
    </w:div>
    <w:div w:id="1354459134">
      <w:marLeft w:val="0"/>
      <w:marRight w:val="0"/>
      <w:marTop w:val="0"/>
      <w:marBottom w:val="0"/>
      <w:divBdr>
        <w:top w:val="none" w:sz="0" w:space="0" w:color="auto"/>
        <w:left w:val="none" w:sz="0" w:space="0" w:color="auto"/>
        <w:bottom w:val="none" w:sz="0" w:space="0" w:color="auto"/>
        <w:right w:val="none" w:sz="0" w:space="0" w:color="auto"/>
      </w:divBdr>
      <w:divsChild>
        <w:div w:id="153419981">
          <w:marLeft w:val="0"/>
          <w:marRight w:val="0"/>
          <w:marTop w:val="120"/>
          <w:marBottom w:val="0"/>
          <w:divBdr>
            <w:top w:val="none" w:sz="0" w:space="0" w:color="auto"/>
            <w:left w:val="none" w:sz="0" w:space="0" w:color="auto"/>
            <w:bottom w:val="none" w:sz="0" w:space="0" w:color="auto"/>
            <w:right w:val="none" w:sz="0" w:space="0" w:color="auto"/>
          </w:divBdr>
        </w:div>
      </w:divsChild>
    </w:div>
    <w:div w:id="1355381655">
      <w:marLeft w:val="0"/>
      <w:marRight w:val="0"/>
      <w:marTop w:val="120"/>
      <w:marBottom w:val="0"/>
      <w:divBdr>
        <w:top w:val="none" w:sz="0" w:space="0" w:color="auto"/>
        <w:left w:val="none" w:sz="0" w:space="0" w:color="auto"/>
        <w:bottom w:val="none" w:sz="0" w:space="0" w:color="auto"/>
        <w:right w:val="none" w:sz="0" w:space="0" w:color="auto"/>
      </w:divBdr>
    </w:div>
    <w:div w:id="1355689575">
      <w:marLeft w:val="0"/>
      <w:marRight w:val="0"/>
      <w:marTop w:val="200"/>
      <w:marBottom w:val="0"/>
      <w:divBdr>
        <w:top w:val="none" w:sz="0" w:space="0" w:color="auto"/>
        <w:left w:val="none" w:sz="0" w:space="0" w:color="auto"/>
        <w:bottom w:val="none" w:sz="0" w:space="0" w:color="auto"/>
        <w:right w:val="none" w:sz="0" w:space="0" w:color="auto"/>
      </w:divBdr>
    </w:div>
    <w:div w:id="1358121993">
      <w:marLeft w:val="0"/>
      <w:marRight w:val="0"/>
      <w:marTop w:val="240"/>
      <w:marBottom w:val="0"/>
      <w:divBdr>
        <w:top w:val="none" w:sz="0" w:space="0" w:color="auto"/>
        <w:left w:val="none" w:sz="0" w:space="0" w:color="auto"/>
        <w:bottom w:val="none" w:sz="0" w:space="0" w:color="auto"/>
        <w:right w:val="none" w:sz="0" w:space="0" w:color="auto"/>
      </w:divBdr>
    </w:div>
    <w:div w:id="1359351565">
      <w:marLeft w:val="0"/>
      <w:marRight w:val="0"/>
      <w:marTop w:val="180"/>
      <w:marBottom w:val="0"/>
      <w:divBdr>
        <w:top w:val="none" w:sz="0" w:space="0" w:color="auto"/>
        <w:left w:val="none" w:sz="0" w:space="0" w:color="auto"/>
        <w:bottom w:val="none" w:sz="0" w:space="0" w:color="auto"/>
        <w:right w:val="none" w:sz="0" w:space="0" w:color="auto"/>
      </w:divBdr>
    </w:div>
    <w:div w:id="1359353066">
      <w:marLeft w:val="0"/>
      <w:marRight w:val="0"/>
      <w:marTop w:val="160"/>
      <w:marBottom w:val="0"/>
      <w:divBdr>
        <w:top w:val="none" w:sz="0" w:space="0" w:color="auto"/>
        <w:left w:val="none" w:sz="0" w:space="0" w:color="auto"/>
        <w:bottom w:val="none" w:sz="0" w:space="0" w:color="auto"/>
        <w:right w:val="none" w:sz="0" w:space="0" w:color="auto"/>
      </w:divBdr>
    </w:div>
    <w:div w:id="1359627761">
      <w:marLeft w:val="0"/>
      <w:marRight w:val="0"/>
      <w:marTop w:val="240"/>
      <w:marBottom w:val="0"/>
      <w:divBdr>
        <w:top w:val="none" w:sz="0" w:space="0" w:color="auto"/>
        <w:left w:val="none" w:sz="0" w:space="0" w:color="auto"/>
        <w:bottom w:val="none" w:sz="0" w:space="0" w:color="auto"/>
        <w:right w:val="none" w:sz="0" w:space="0" w:color="auto"/>
      </w:divBdr>
    </w:div>
    <w:div w:id="1359702416">
      <w:marLeft w:val="0"/>
      <w:marRight w:val="0"/>
      <w:marTop w:val="60"/>
      <w:marBottom w:val="60"/>
      <w:divBdr>
        <w:top w:val="none" w:sz="0" w:space="0" w:color="auto"/>
        <w:left w:val="none" w:sz="0" w:space="0" w:color="auto"/>
        <w:bottom w:val="none" w:sz="0" w:space="0" w:color="auto"/>
        <w:right w:val="none" w:sz="0" w:space="0" w:color="auto"/>
      </w:divBdr>
    </w:div>
    <w:div w:id="1362124612">
      <w:marLeft w:val="0"/>
      <w:marRight w:val="0"/>
      <w:marTop w:val="0"/>
      <w:marBottom w:val="0"/>
      <w:divBdr>
        <w:top w:val="none" w:sz="0" w:space="0" w:color="auto"/>
        <w:left w:val="none" w:sz="0" w:space="0" w:color="auto"/>
        <w:bottom w:val="none" w:sz="0" w:space="0" w:color="auto"/>
        <w:right w:val="none" w:sz="0" w:space="0" w:color="auto"/>
      </w:divBdr>
      <w:divsChild>
        <w:div w:id="2106877110">
          <w:marLeft w:val="0"/>
          <w:marRight w:val="0"/>
          <w:marTop w:val="120"/>
          <w:marBottom w:val="0"/>
          <w:divBdr>
            <w:top w:val="none" w:sz="0" w:space="0" w:color="auto"/>
            <w:left w:val="none" w:sz="0" w:space="0" w:color="auto"/>
            <w:bottom w:val="none" w:sz="0" w:space="0" w:color="auto"/>
            <w:right w:val="none" w:sz="0" w:space="0" w:color="auto"/>
          </w:divBdr>
        </w:div>
      </w:divsChild>
    </w:div>
    <w:div w:id="1362822777">
      <w:marLeft w:val="0"/>
      <w:marRight w:val="0"/>
      <w:marTop w:val="0"/>
      <w:marBottom w:val="0"/>
      <w:divBdr>
        <w:top w:val="none" w:sz="0" w:space="0" w:color="auto"/>
        <w:left w:val="none" w:sz="0" w:space="0" w:color="auto"/>
        <w:bottom w:val="none" w:sz="0" w:space="0" w:color="auto"/>
        <w:right w:val="none" w:sz="0" w:space="0" w:color="auto"/>
      </w:divBdr>
    </w:div>
    <w:div w:id="1364095611">
      <w:marLeft w:val="0"/>
      <w:marRight w:val="0"/>
      <w:marTop w:val="240"/>
      <w:marBottom w:val="0"/>
      <w:divBdr>
        <w:top w:val="none" w:sz="0" w:space="0" w:color="auto"/>
        <w:left w:val="none" w:sz="0" w:space="0" w:color="auto"/>
        <w:bottom w:val="none" w:sz="0" w:space="0" w:color="auto"/>
        <w:right w:val="none" w:sz="0" w:space="0" w:color="auto"/>
      </w:divBdr>
    </w:div>
    <w:div w:id="1365134930">
      <w:marLeft w:val="0"/>
      <w:marRight w:val="0"/>
      <w:marTop w:val="240"/>
      <w:marBottom w:val="0"/>
      <w:divBdr>
        <w:top w:val="none" w:sz="0" w:space="0" w:color="auto"/>
        <w:left w:val="none" w:sz="0" w:space="0" w:color="auto"/>
        <w:bottom w:val="none" w:sz="0" w:space="0" w:color="auto"/>
        <w:right w:val="none" w:sz="0" w:space="0" w:color="auto"/>
      </w:divBdr>
    </w:div>
    <w:div w:id="1366130229">
      <w:marLeft w:val="0"/>
      <w:marRight w:val="0"/>
      <w:marTop w:val="300"/>
      <w:marBottom w:val="0"/>
      <w:divBdr>
        <w:top w:val="none" w:sz="0" w:space="0" w:color="auto"/>
        <w:left w:val="none" w:sz="0" w:space="0" w:color="auto"/>
        <w:bottom w:val="none" w:sz="0" w:space="0" w:color="auto"/>
        <w:right w:val="none" w:sz="0" w:space="0" w:color="auto"/>
      </w:divBdr>
    </w:div>
    <w:div w:id="1366521593">
      <w:marLeft w:val="0"/>
      <w:marRight w:val="0"/>
      <w:marTop w:val="300"/>
      <w:marBottom w:val="0"/>
      <w:divBdr>
        <w:top w:val="none" w:sz="0" w:space="0" w:color="auto"/>
        <w:left w:val="none" w:sz="0" w:space="0" w:color="auto"/>
        <w:bottom w:val="none" w:sz="0" w:space="0" w:color="auto"/>
        <w:right w:val="none" w:sz="0" w:space="0" w:color="auto"/>
      </w:divBdr>
    </w:div>
    <w:div w:id="1368263943">
      <w:marLeft w:val="0"/>
      <w:marRight w:val="0"/>
      <w:marTop w:val="240"/>
      <w:marBottom w:val="0"/>
      <w:divBdr>
        <w:top w:val="none" w:sz="0" w:space="0" w:color="auto"/>
        <w:left w:val="none" w:sz="0" w:space="0" w:color="auto"/>
        <w:bottom w:val="none" w:sz="0" w:space="0" w:color="auto"/>
        <w:right w:val="none" w:sz="0" w:space="0" w:color="auto"/>
      </w:divBdr>
    </w:div>
    <w:div w:id="1369065453">
      <w:marLeft w:val="0"/>
      <w:marRight w:val="0"/>
      <w:marTop w:val="240"/>
      <w:marBottom w:val="0"/>
      <w:divBdr>
        <w:top w:val="none" w:sz="0" w:space="0" w:color="auto"/>
        <w:left w:val="none" w:sz="0" w:space="0" w:color="auto"/>
        <w:bottom w:val="none" w:sz="0" w:space="0" w:color="auto"/>
        <w:right w:val="none" w:sz="0" w:space="0" w:color="auto"/>
      </w:divBdr>
    </w:div>
    <w:div w:id="1369068122">
      <w:marLeft w:val="0"/>
      <w:marRight w:val="0"/>
      <w:marTop w:val="240"/>
      <w:marBottom w:val="0"/>
      <w:divBdr>
        <w:top w:val="none" w:sz="0" w:space="0" w:color="auto"/>
        <w:left w:val="none" w:sz="0" w:space="0" w:color="auto"/>
        <w:bottom w:val="none" w:sz="0" w:space="0" w:color="auto"/>
        <w:right w:val="none" w:sz="0" w:space="0" w:color="auto"/>
      </w:divBdr>
    </w:div>
    <w:div w:id="1369255950">
      <w:marLeft w:val="0"/>
      <w:marRight w:val="0"/>
      <w:marTop w:val="160"/>
      <w:marBottom w:val="0"/>
      <w:divBdr>
        <w:top w:val="none" w:sz="0" w:space="0" w:color="auto"/>
        <w:left w:val="none" w:sz="0" w:space="0" w:color="auto"/>
        <w:bottom w:val="none" w:sz="0" w:space="0" w:color="auto"/>
        <w:right w:val="none" w:sz="0" w:space="0" w:color="auto"/>
      </w:divBdr>
      <w:divsChild>
        <w:div w:id="904801263">
          <w:marLeft w:val="0"/>
          <w:marRight w:val="0"/>
          <w:marTop w:val="0"/>
          <w:marBottom w:val="0"/>
          <w:divBdr>
            <w:top w:val="none" w:sz="0" w:space="0" w:color="auto"/>
            <w:left w:val="none" w:sz="0" w:space="0" w:color="auto"/>
            <w:bottom w:val="none" w:sz="0" w:space="0" w:color="auto"/>
            <w:right w:val="none" w:sz="0" w:space="0" w:color="auto"/>
          </w:divBdr>
        </w:div>
        <w:div w:id="2074306489">
          <w:marLeft w:val="0"/>
          <w:marRight w:val="0"/>
          <w:marTop w:val="0"/>
          <w:marBottom w:val="0"/>
          <w:divBdr>
            <w:top w:val="none" w:sz="0" w:space="0" w:color="auto"/>
            <w:left w:val="none" w:sz="0" w:space="0" w:color="auto"/>
            <w:bottom w:val="none" w:sz="0" w:space="0" w:color="auto"/>
            <w:right w:val="none" w:sz="0" w:space="0" w:color="auto"/>
          </w:divBdr>
        </w:div>
        <w:div w:id="1167747690">
          <w:marLeft w:val="0"/>
          <w:marRight w:val="0"/>
          <w:marTop w:val="0"/>
          <w:marBottom w:val="0"/>
          <w:divBdr>
            <w:top w:val="none" w:sz="0" w:space="0" w:color="auto"/>
            <w:left w:val="none" w:sz="0" w:space="0" w:color="auto"/>
            <w:bottom w:val="none" w:sz="0" w:space="0" w:color="auto"/>
            <w:right w:val="none" w:sz="0" w:space="0" w:color="auto"/>
          </w:divBdr>
        </w:div>
      </w:divsChild>
    </w:div>
    <w:div w:id="1370454494">
      <w:marLeft w:val="0"/>
      <w:marRight w:val="0"/>
      <w:marTop w:val="240"/>
      <w:marBottom w:val="0"/>
      <w:divBdr>
        <w:top w:val="none" w:sz="0" w:space="0" w:color="auto"/>
        <w:left w:val="none" w:sz="0" w:space="0" w:color="auto"/>
        <w:bottom w:val="none" w:sz="0" w:space="0" w:color="auto"/>
        <w:right w:val="none" w:sz="0" w:space="0" w:color="auto"/>
      </w:divBdr>
    </w:div>
    <w:div w:id="1370495609">
      <w:marLeft w:val="0"/>
      <w:marRight w:val="0"/>
      <w:marTop w:val="100"/>
      <w:marBottom w:val="60"/>
      <w:divBdr>
        <w:top w:val="none" w:sz="0" w:space="0" w:color="auto"/>
        <w:left w:val="none" w:sz="0" w:space="0" w:color="auto"/>
        <w:bottom w:val="none" w:sz="0" w:space="0" w:color="auto"/>
        <w:right w:val="none" w:sz="0" w:space="0" w:color="auto"/>
      </w:divBdr>
    </w:div>
    <w:div w:id="1373729035">
      <w:marLeft w:val="0"/>
      <w:marRight w:val="0"/>
      <w:marTop w:val="0"/>
      <w:marBottom w:val="0"/>
      <w:divBdr>
        <w:top w:val="none" w:sz="0" w:space="0" w:color="auto"/>
        <w:left w:val="none" w:sz="0" w:space="0" w:color="auto"/>
        <w:bottom w:val="none" w:sz="0" w:space="0" w:color="auto"/>
        <w:right w:val="none" w:sz="0" w:space="0" w:color="auto"/>
      </w:divBdr>
      <w:divsChild>
        <w:div w:id="331299419">
          <w:marLeft w:val="0"/>
          <w:marRight w:val="0"/>
          <w:marTop w:val="0"/>
          <w:marBottom w:val="0"/>
          <w:divBdr>
            <w:top w:val="none" w:sz="0" w:space="0" w:color="auto"/>
            <w:left w:val="none" w:sz="0" w:space="0" w:color="auto"/>
            <w:bottom w:val="none" w:sz="0" w:space="0" w:color="auto"/>
            <w:right w:val="none" w:sz="0" w:space="0" w:color="auto"/>
          </w:divBdr>
          <w:divsChild>
            <w:div w:id="180145671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377005628">
      <w:marLeft w:val="0"/>
      <w:marRight w:val="0"/>
      <w:marTop w:val="200"/>
      <w:marBottom w:val="0"/>
      <w:divBdr>
        <w:top w:val="none" w:sz="0" w:space="0" w:color="auto"/>
        <w:left w:val="none" w:sz="0" w:space="0" w:color="auto"/>
        <w:bottom w:val="none" w:sz="0" w:space="0" w:color="auto"/>
        <w:right w:val="none" w:sz="0" w:space="0" w:color="auto"/>
      </w:divBdr>
    </w:div>
    <w:div w:id="1379672069">
      <w:marLeft w:val="0"/>
      <w:marRight w:val="0"/>
      <w:marTop w:val="100"/>
      <w:marBottom w:val="0"/>
      <w:divBdr>
        <w:top w:val="none" w:sz="0" w:space="0" w:color="auto"/>
        <w:left w:val="none" w:sz="0" w:space="0" w:color="auto"/>
        <w:bottom w:val="none" w:sz="0" w:space="0" w:color="auto"/>
        <w:right w:val="none" w:sz="0" w:space="0" w:color="auto"/>
      </w:divBdr>
      <w:divsChild>
        <w:div w:id="1266307440">
          <w:marLeft w:val="0"/>
          <w:marRight w:val="0"/>
          <w:marTop w:val="0"/>
          <w:marBottom w:val="0"/>
          <w:divBdr>
            <w:top w:val="none" w:sz="0" w:space="0" w:color="auto"/>
            <w:left w:val="none" w:sz="0" w:space="0" w:color="auto"/>
            <w:bottom w:val="none" w:sz="0" w:space="0" w:color="auto"/>
            <w:right w:val="none" w:sz="0" w:space="0" w:color="auto"/>
          </w:divBdr>
        </w:div>
      </w:divsChild>
    </w:div>
    <w:div w:id="1380202347">
      <w:marLeft w:val="0"/>
      <w:marRight w:val="0"/>
      <w:marTop w:val="240"/>
      <w:marBottom w:val="0"/>
      <w:divBdr>
        <w:top w:val="none" w:sz="0" w:space="0" w:color="auto"/>
        <w:left w:val="none" w:sz="0" w:space="0" w:color="auto"/>
        <w:bottom w:val="none" w:sz="0" w:space="0" w:color="auto"/>
        <w:right w:val="none" w:sz="0" w:space="0" w:color="auto"/>
      </w:divBdr>
    </w:div>
    <w:div w:id="1380399029">
      <w:marLeft w:val="0"/>
      <w:marRight w:val="0"/>
      <w:marTop w:val="200"/>
      <w:marBottom w:val="0"/>
      <w:divBdr>
        <w:top w:val="none" w:sz="0" w:space="0" w:color="auto"/>
        <w:left w:val="none" w:sz="0" w:space="0" w:color="auto"/>
        <w:bottom w:val="none" w:sz="0" w:space="0" w:color="auto"/>
        <w:right w:val="none" w:sz="0" w:space="0" w:color="auto"/>
      </w:divBdr>
    </w:div>
    <w:div w:id="1380666444">
      <w:marLeft w:val="0"/>
      <w:marRight w:val="0"/>
      <w:marTop w:val="240"/>
      <w:marBottom w:val="0"/>
      <w:divBdr>
        <w:top w:val="none" w:sz="0" w:space="0" w:color="auto"/>
        <w:left w:val="none" w:sz="0" w:space="0" w:color="auto"/>
        <w:bottom w:val="none" w:sz="0" w:space="0" w:color="auto"/>
        <w:right w:val="none" w:sz="0" w:space="0" w:color="auto"/>
      </w:divBdr>
    </w:div>
    <w:div w:id="1382367819">
      <w:marLeft w:val="0"/>
      <w:marRight w:val="0"/>
      <w:marTop w:val="240"/>
      <w:marBottom w:val="0"/>
      <w:divBdr>
        <w:top w:val="none" w:sz="0" w:space="0" w:color="auto"/>
        <w:left w:val="none" w:sz="0" w:space="0" w:color="auto"/>
        <w:bottom w:val="none" w:sz="0" w:space="0" w:color="auto"/>
        <w:right w:val="none" w:sz="0" w:space="0" w:color="auto"/>
      </w:divBdr>
    </w:div>
    <w:div w:id="1383141356">
      <w:marLeft w:val="0"/>
      <w:marRight w:val="0"/>
      <w:marTop w:val="240"/>
      <w:marBottom w:val="0"/>
      <w:divBdr>
        <w:top w:val="none" w:sz="0" w:space="0" w:color="auto"/>
        <w:left w:val="none" w:sz="0" w:space="0" w:color="auto"/>
        <w:bottom w:val="none" w:sz="0" w:space="0" w:color="auto"/>
        <w:right w:val="none" w:sz="0" w:space="0" w:color="auto"/>
      </w:divBdr>
    </w:div>
    <w:div w:id="1385446802">
      <w:marLeft w:val="0"/>
      <w:marRight w:val="0"/>
      <w:marTop w:val="240"/>
      <w:marBottom w:val="0"/>
      <w:divBdr>
        <w:top w:val="none" w:sz="0" w:space="0" w:color="auto"/>
        <w:left w:val="none" w:sz="0" w:space="0" w:color="auto"/>
        <w:bottom w:val="none" w:sz="0" w:space="0" w:color="auto"/>
        <w:right w:val="none" w:sz="0" w:space="0" w:color="auto"/>
      </w:divBdr>
    </w:div>
    <w:div w:id="1385909640">
      <w:marLeft w:val="0"/>
      <w:marRight w:val="0"/>
      <w:marTop w:val="240"/>
      <w:marBottom w:val="0"/>
      <w:divBdr>
        <w:top w:val="none" w:sz="0" w:space="0" w:color="auto"/>
        <w:left w:val="none" w:sz="0" w:space="0" w:color="auto"/>
        <w:bottom w:val="none" w:sz="0" w:space="0" w:color="auto"/>
        <w:right w:val="none" w:sz="0" w:space="0" w:color="auto"/>
      </w:divBdr>
    </w:div>
    <w:div w:id="1388332151">
      <w:marLeft w:val="0"/>
      <w:marRight w:val="0"/>
      <w:marTop w:val="240"/>
      <w:marBottom w:val="0"/>
      <w:divBdr>
        <w:top w:val="none" w:sz="0" w:space="0" w:color="auto"/>
        <w:left w:val="none" w:sz="0" w:space="0" w:color="auto"/>
        <w:bottom w:val="none" w:sz="0" w:space="0" w:color="auto"/>
        <w:right w:val="none" w:sz="0" w:space="0" w:color="auto"/>
      </w:divBdr>
    </w:div>
    <w:div w:id="1389911916">
      <w:marLeft w:val="0"/>
      <w:marRight w:val="0"/>
      <w:marTop w:val="240"/>
      <w:marBottom w:val="0"/>
      <w:divBdr>
        <w:top w:val="none" w:sz="0" w:space="0" w:color="auto"/>
        <w:left w:val="none" w:sz="0" w:space="0" w:color="auto"/>
        <w:bottom w:val="none" w:sz="0" w:space="0" w:color="auto"/>
        <w:right w:val="none" w:sz="0" w:space="0" w:color="auto"/>
      </w:divBdr>
    </w:div>
    <w:div w:id="1389918697">
      <w:marLeft w:val="0"/>
      <w:marRight w:val="0"/>
      <w:marTop w:val="0"/>
      <w:marBottom w:val="0"/>
      <w:divBdr>
        <w:top w:val="none" w:sz="0" w:space="0" w:color="auto"/>
        <w:left w:val="none" w:sz="0" w:space="0" w:color="auto"/>
        <w:bottom w:val="none" w:sz="0" w:space="0" w:color="auto"/>
        <w:right w:val="none" w:sz="0" w:space="0" w:color="auto"/>
      </w:divBdr>
      <w:divsChild>
        <w:div w:id="856040112">
          <w:marLeft w:val="0"/>
          <w:marRight w:val="0"/>
          <w:marTop w:val="0"/>
          <w:marBottom w:val="0"/>
          <w:divBdr>
            <w:top w:val="none" w:sz="0" w:space="0" w:color="auto"/>
            <w:left w:val="none" w:sz="0" w:space="0" w:color="auto"/>
            <w:bottom w:val="none" w:sz="0" w:space="0" w:color="auto"/>
            <w:right w:val="none" w:sz="0" w:space="0" w:color="auto"/>
          </w:divBdr>
          <w:divsChild>
            <w:div w:id="207828041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390112506">
      <w:marLeft w:val="0"/>
      <w:marRight w:val="0"/>
      <w:marTop w:val="0"/>
      <w:marBottom w:val="0"/>
      <w:divBdr>
        <w:top w:val="none" w:sz="0" w:space="0" w:color="auto"/>
        <w:left w:val="none" w:sz="0" w:space="0" w:color="auto"/>
        <w:bottom w:val="none" w:sz="0" w:space="0" w:color="auto"/>
        <w:right w:val="none" w:sz="0" w:space="0" w:color="auto"/>
      </w:divBdr>
      <w:divsChild>
        <w:div w:id="183792750">
          <w:marLeft w:val="0"/>
          <w:marRight w:val="0"/>
          <w:marTop w:val="120"/>
          <w:marBottom w:val="0"/>
          <w:divBdr>
            <w:top w:val="none" w:sz="0" w:space="0" w:color="auto"/>
            <w:left w:val="none" w:sz="0" w:space="0" w:color="auto"/>
            <w:bottom w:val="none" w:sz="0" w:space="0" w:color="auto"/>
            <w:right w:val="none" w:sz="0" w:space="0" w:color="auto"/>
          </w:divBdr>
        </w:div>
      </w:divsChild>
    </w:div>
    <w:div w:id="1392734090">
      <w:marLeft w:val="0"/>
      <w:marRight w:val="0"/>
      <w:marTop w:val="60"/>
      <w:marBottom w:val="0"/>
      <w:divBdr>
        <w:top w:val="none" w:sz="0" w:space="0" w:color="auto"/>
        <w:left w:val="none" w:sz="0" w:space="0" w:color="auto"/>
        <w:bottom w:val="none" w:sz="0" w:space="0" w:color="auto"/>
        <w:right w:val="none" w:sz="0" w:space="0" w:color="auto"/>
      </w:divBdr>
    </w:div>
    <w:div w:id="1393118914">
      <w:marLeft w:val="0"/>
      <w:marRight w:val="0"/>
      <w:marTop w:val="100"/>
      <w:marBottom w:val="0"/>
      <w:divBdr>
        <w:top w:val="none" w:sz="0" w:space="0" w:color="auto"/>
        <w:left w:val="none" w:sz="0" w:space="0" w:color="auto"/>
        <w:bottom w:val="none" w:sz="0" w:space="0" w:color="auto"/>
        <w:right w:val="none" w:sz="0" w:space="0" w:color="auto"/>
      </w:divBdr>
      <w:divsChild>
        <w:div w:id="954603874">
          <w:marLeft w:val="0"/>
          <w:marRight w:val="0"/>
          <w:marTop w:val="0"/>
          <w:marBottom w:val="0"/>
          <w:divBdr>
            <w:top w:val="none" w:sz="0" w:space="0" w:color="auto"/>
            <w:left w:val="none" w:sz="0" w:space="0" w:color="auto"/>
            <w:bottom w:val="none" w:sz="0" w:space="0" w:color="auto"/>
            <w:right w:val="none" w:sz="0" w:space="0" w:color="auto"/>
          </w:divBdr>
        </w:div>
        <w:div w:id="1323196134">
          <w:marLeft w:val="0"/>
          <w:marRight w:val="0"/>
          <w:marTop w:val="0"/>
          <w:marBottom w:val="0"/>
          <w:divBdr>
            <w:top w:val="none" w:sz="0" w:space="0" w:color="auto"/>
            <w:left w:val="none" w:sz="0" w:space="0" w:color="auto"/>
            <w:bottom w:val="none" w:sz="0" w:space="0" w:color="auto"/>
            <w:right w:val="none" w:sz="0" w:space="0" w:color="auto"/>
          </w:divBdr>
        </w:div>
        <w:div w:id="1262491084">
          <w:marLeft w:val="0"/>
          <w:marRight w:val="0"/>
          <w:marTop w:val="0"/>
          <w:marBottom w:val="0"/>
          <w:divBdr>
            <w:top w:val="none" w:sz="0" w:space="0" w:color="auto"/>
            <w:left w:val="none" w:sz="0" w:space="0" w:color="auto"/>
            <w:bottom w:val="none" w:sz="0" w:space="0" w:color="auto"/>
            <w:right w:val="none" w:sz="0" w:space="0" w:color="auto"/>
          </w:divBdr>
        </w:div>
        <w:div w:id="1099063707">
          <w:marLeft w:val="0"/>
          <w:marRight w:val="0"/>
          <w:marTop w:val="0"/>
          <w:marBottom w:val="0"/>
          <w:divBdr>
            <w:top w:val="none" w:sz="0" w:space="0" w:color="auto"/>
            <w:left w:val="none" w:sz="0" w:space="0" w:color="auto"/>
            <w:bottom w:val="none" w:sz="0" w:space="0" w:color="auto"/>
            <w:right w:val="none" w:sz="0" w:space="0" w:color="auto"/>
          </w:divBdr>
        </w:div>
        <w:div w:id="727803665">
          <w:marLeft w:val="0"/>
          <w:marRight w:val="0"/>
          <w:marTop w:val="0"/>
          <w:marBottom w:val="0"/>
          <w:divBdr>
            <w:top w:val="none" w:sz="0" w:space="0" w:color="auto"/>
            <w:left w:val="none" w:sz="0" w:space="0" w:color="auto"/>
            <w:bottom w:val="none" w:sz="0" w:space="0" w:color="auto"/>
            <w:right w:val="none" w:sz="0" w:space="0" w:color="auto"/>
          </w:divBdr>
        </w:div>
        <w:div w:id="549153279">
          <w:marLeft w:val="0"/>
          <w:marRight w:val="0"/>
          <w:marTop w:val="0"/>
          <w:marBottom w:val="0"/>
          <w:divBdr>
            <w:top w:val="none" w:sz="0" w:space="0" w:color="auto"/>
            <w:left w:val="none" w:sz="0" w:space="0" w:color="auto"/>
            <w:bottom w:val="none" w:sz="0" w:space="0" w:color="auto"/>
            <w:right w:val="none" w:sz="0" w:space="0" w:color="auto"/>
          </w:divBdr>
        </w:div>
        <w:div w:id="18893347">
          <w:marLeft w:val="0"/>
          <w:marRight w:val="0"/>
          <w:marTop w:val="0"/>
          <w:marBottom w:val="0"/>
          <w:divBdr>
            <w:top w:val="none" w:sz="0" w:space="0" w:color="auto"/>
            <w:left w:val="none" w:sz="0" w:space="0" w:color="auto"/>
            <w:bottom w:val="none" w:sz="0" w:space="0" w:color="auto"/>
            <w:right w:val="none" w:sz="0" w:space="0" w:color="auto"/>
          </w:divBdr>
        </w:div>
        <w:div w:id="1219976925">
          <w:marLeft w:val="0"/>
          <w:marRight w:val="0"/>
          <w:marTop w:val="0"/>
          <w:marBottom w:val="0"/>
          <w:divBdr>
            <w:top w:val="none" w:sz="0" w:space="0" w:color="auto"/>
            <w:left w:val="none" w:sz="0" w:space="0" w:color="auto"/>
            <w:bottom w:val="none" w:sz="0" w:space="0" w:color="auto"/>
            <w:right w:val="none" w:sz="0" w:space="0" w:color="auto"/>
          </w:divBdr>
        </w:div>
        <w:div w:id="1907452138">
          <w:marLeft w:val="0"/>
          <w:marRight w:val="0"/>
          <w:marTop w:val="0"/>
          <w:marBottom w:val="0"/>
          <w:divBdr>
            <w:top w:val="none" w:sz="0" w:space="0" w:color="auto"/>
            <w:left w:val="none" w:sz="0" w:space="0" w:color="auto"/>
            <w:bottom w:val="none" w:sz="0" w:space="0" w:color="auto"/>
            <w:right w:val="none" w:sz="0" w:space="0" w:color="auto"/>
          </w:divBdr>
        </w:div>
      </w:divsChild>
    </w:div>
    <w:div w:id="1394037821">
      <w:marLeft w:val="0"/>
      <w:marRight w:val="0"/>
      <w:marTop w:val="180"/>
      <w:marBottom w:val="0"/>
      <w:divBdr>
        <w:top w:val="none" w:sz="0" w:space="0" w:color="auto"/>
        <w:left w:val="none" w:sz="0" w:space="0" w:color="auto"/>
        <w:bottom w:val="none" w:sz="0" w:space="0" w:color="auto"/>
        <w:right w:val="none" w:sz="0" w:space="0" w:color="auto"/>
      </w:divBdr>
    </w:div>
    <w:div w:id="1396777987">
      <w:marLeft w:val="0"/>
      <w:marRight w:val="0"/>
      <w:marTop w:val="100"/>
      <w:marBottom w:val="0"/>
      <w:divBdr>
        <w:top w:val="none" w:sz="0" w:space="0" w:color="auto"/>
        <w:left w:val="none" w:sz="0" w:space="0" w:color="auto"/>
        <w:bottom w:val="none" w:sz="0" w:space="0" w:color="auto"/>
        <w:right w:val="none" w:sz="0" w:space="0" w:color="auto"/>
      </w:divBdr>
      <w:divsChild>
        <w:div w:id="904801908">
          <w:marLeft w:val="0"/>
          <w:marRight w:val="0"/>
          <w:marTop w:val="0"/>
          <w:marBottom w:val="0"/>
          <w:divBdr>
            <w:top w:val="none" w:sz="0" w:space="0" w:color="auto"/>
            <w:left w:val="none" w:sz="0" w:space="0" w:color="auto"/>
            <w:bottom w:val="none" w:sz="0" w:space="0" w:color="auto"/>
            <w:right w:val="none" w:sz="0" w:space="0" w:color="auto"/>
          </w:divBdr>
        </w:div>
      </w:divsChild>
    </w:div>
    <w:div w:id="1397699332">
      <w:marLeft w:val="0"/>
      <w:marRight w:val="0"/>
      <w:marTop w:val="240"/>
      <w:marBottom w:val="0"/>
      <w:divBdr>
        <w:top w:val="none" w:sz="0" w:space="0" w:color="auto"/>
        <w:left w:val="none" w:sz="0" w:space="0" w:color="auto"/>
        <w:bottom w:val="none" w:sz="0" w:space="0" w:color="auto"/>
        <w:right w:val="none" w:sz="0" w:space="0" w:color="auto"/>
      </w:divBdr>
    </w:div>
    <w:div w:id="1398746680">
      <w:marLeft w:val="0"/>
      <w:marRight w:val="0"/>
      <w:marTop w:val="240"/>
      <w:marBottom w:val="0"/>
      <w:divBdr>
        <w:top w:val="none" w:sz="0" w:space="0" w:color="auto"/>
        <w:left w:val="none" w:sz="0" w:space="0" w:color="auto"/>
        <w:bottom w:val="none" w:sz="0" w:space="0" w:color="auto"/>
        <w:right w:val="none" w:sz="0" w:space="0" w:color="auto"/>
      </w:divBdr>
    </w:div>
    <w:div w:id="1400247880">
      <w:marLeft w:val="0"/>
      <w:marRight w:val="0"/>
      <w:marTop w:val="200"/>
      <w:marBottom w:val="240"/>
      <w:divBdr>
        <w:top w:val="none" w:sz="0" w:space="0" w:color="auto"/>
        <w:left w:val="none" w:sz="0" w:space="0" w:color="auto"/>
        <w:bottom w:val="none" w:sz="0" w:space="0" w:color="auto"/>
        <w:right w:val="none" w:sz="0" w:space="0" w:color="auto"/>
      </w:divBdr>
    </w:div>
    <w:div w:id="1403018061">
      <w:marLeft w:val="0"/>
      <w:marRight w:val="0"/>
      <w:marTop w:val="240"/>
      <w:marBottom w:val="0"/>
      <w:divBdr>
        <w:top w:val="none" w:sz="0" w:space="0" w:color="auto"/>
        <w:left w:val="none" w:sz="0" w:space="0" w:color="auto"/>
        <w:bottom w:val="none" w:sz="0" w:space="0" w:color="auto"/>
        <w:right w:val="none" w:sz="0" w:space="0" w:color="auto"/>
      </w:divBdr>
    </w:div>
    <w:div w:id="1403331360">
      <w:marLeft w:val="0"/>
      <w:marRight w:val="0"/>
      <w:marTop w:val="240"/>
      <w:marBottom w:val="0"/>
      <w:divBdr>
        <w:top w:val="none" w:sz="0" w:space="0" w:color="auto"/>
        <w:left w:val="none" w:sz="0" w:space="0" w:color="auto"/>
        <w:bottom w:val="none" w:sz="0" w:space="0" w:color="auto"/>
        <w:right w:val="none" w:sz="0" w:space="0" w:color="auto"/>
      </w:divBdr>
    </w:div>
    <w:div w:id="1403336183">
      <w:marLeft w:val="0"/>
      <w:marRight w:val="0"/>
      <w:marTop w:val="120"/>
      <w:marBottom w:val="0"/>
      <w:divBdr>
        <w:top w:val="none" w:sz="0" w:space="0" w:color="auto"/>
        <w:left w:val="none" w:sz="0" w:space="0" w:color="auto"/>
        <w:bottom w:val="none" w:sz="0" w:space="0" w:color="auto"/>
        <w:right w:val="none" w:sz="0" w:space="0" w:color="auto"/>
      </w:divBdr>
    </w:div>
    <w:div w:id="1405302839">
      <w:marLeft w:val="0"/>
      <w:marRight w:val="0"/>
      <w:marTop w:val="240"/>
      <w:marBottom w:val="0"/>
      <w:divBdr>
        <w:top w:val="none" w:sz="0" w:space="0" w:color="auto"/>
        <w:left w:val="none" w:sz="0" w:space="0" w:color="auto"/>
        <w:bottom w:val="none" w:sz="0" w:space="0" w:color="auto"/>
        <w:right w:val="none" w:sz="0" w:space="0" w:color="auto"/>
      </w:divBdr>
    </w:div>
    <w:div w:id="1405838911">
      <w:marLeft w:val="0"/>
      <w:marRight w:val="0"/>
      <w:marTop w:val="240"/>
      <w:marBottom w:val="0"/>
      <w:divBdr>
        <w:top w:val="none" w:sz="0" w:space="0" w:color="auto"/>
        <w:left w:val="none" w:sz="0" w:space="0" w:color="auto"/>
        <w:bottom w:val="none" w:sz="0" w:space="0" w:color="auto"/>
        <w:right w:val="none" w:sz="0" w:space="0" w:color="auto"/>
      </w:divBdr>
    </w:div>
    <w:div w:id="1406031426">
      <w:marLeft w:val="0"/>
      <w:marRight w:val="0"/>
      <w:marTop w:val="0"/>
      <w:marBottom w:val="0"/>
      <w:divBdr>
        <w:top w:val="none" w:sz="0" w:space="0" w:color="auto"/>
        <w:left w:val="none" w:sz="0" w:space="0" w:color="auto"/>
        <w:bottom w:val="none" w:sz="0" w:space="0" w:color="auto"/>
        <w:right w:val="none" w:sz="0" w:space="0" w:color="auto"/>
      </w:divBdr>
      <w:divsChild>
        <w:div w:id="1584143988">
          <w:marLeft w:val="0"/>
          <w:marRight w:val="0"/>
          <w:marTop w:val="120"/>
          <w:marBottom w:val="0"/>
          <w:divBdr>
            <w:top w:val="none" w:sz="0" w:space="0" w:color="auto"/>
            <w:left w:val="none" w:sz="0" w:space="0" w:color="auto"/>
            <w:bottom w:val="none" w:sz="0" w:space="0" w:color="auto"/>
            <w:right w:val="none" w:sz="0" w:space="0" w:color="auto"/>
          </w:divBdr>
        </w:div>
      </w:divsChild>
    </w:div>
    <w:div w:id="1406227310">
      <w:marLeft w:val="0"/>
      <w:marRight w:val="0"/>
      <w:marTop w:val="60"/>
      <w:marBottom w:val="0"/>
      <w:divBdr>
        <w:top w:val="none" w:sz="0" w:space="0" w:color="auto"/>
        <w:left w:val="none" w:sz="0" w:space="0" w:color="auto"/>
        <w:bottom w:val="none" w:sz="0" w:space="0" w:color="auto"/>
        <w:right w:val="none" w:sz="0" w:space="0" w:color="auto"/>
      </w:divBdr>
    </w:div>
    <w:div w:id="1407679939">
      <w:marLeft w:val="0"/>
      <w:marRight w:val="0"/>
      <w:marTop w:val="240"/>
      <w:marBottom w:val="0"/>
      <w:divBdr>
        <w:top w:val="none" w:sz="0" w:space="0" w:color="auto"/>
        <w:left w:val="none" w:sz="0" w:space="0" w:color="auto"/>
        <w:bottom w:val="none" w:sz="0" w:space="0" w:color="auto"/>
        <w:right w:val="none" w:sz="0" w:space="0" w:color="auto"/>
      </w:divBdr>
    </w:div>
    <w:div w:id="1407848185">
      <w:marLeft w:val="0"/>
      <w:marRight w:val="0"/>
      <w:marTop w:val="180"/>
      <w:marBottom w:val="0"/>
      <w:divBdr>
        <w:top w:val="none" w:sz="0" w:space="0" w:color="auto"/>
        <w:left w:val="none" w:sz="0" w:space="0" w:color="auto"/>
        <w:bottom w:val="none" w:sz="0" w:space="0" w:color="auto"/>
        <w:right w:val="none" w:sz="0" w:space="0" w:color="auto"/>
      </w:divBdr>
    </w:div>
    <w:div w:id="1407990112">
      <w:marLeft w:val="0"/>
      <w:marRight w:val="0"/>
      <w:marTop w:val="200"/>
      <w:marBottom w:val="0"/>
      <w:divBdr>
        <w:top w:val="none" w:sz="0" w:space="0" w:color="auto"/>
        <w:left w:val="none" w:sz="0" w:space="0" w:color="auto"/>
        <w:bottom w:val="none" w:sz="0" w:space="0" w:color="auto"/>
        <w:right w:val="none" w:sz="0" w:space="0" w:color="auto"/>
      </w:divBdr>
    </w:div>
    <w:div w:id="1409383949">
      <w:marLeft w:val="0"/>
      <w:marRight w:val="0"/>
      <w:marTop w:val="240"/>
      <w:marBottom w:val="0"/>
      <w:divBdr>
        <w:top w:val="none" w:sz="0" w:space="0" w:color="auto"/>
        <w:left w:val="none" w:sz="0" w:space="0" w:color="auto"/>
        <w:bottom w:val="none" w:sz="0" w:space="0" w:color="auto"/>
        <w:right w:val="none" w:sz="0" w:space="0" w:color="auto"/>
      </w:divBdr>
    </w:div>
    <w:div w:id="1409497463">
      <w:marLeft w:val="0"/>
      <w:marRight w:val="0"/>
      <w:marTop w:val="240"/>
      <w:marBottom w:val="0"/>
      <w:divBdr>
        <w:top w:val="none" w:sz="0" w:space="0" w:color="auto"/>
        <w:left w:val="none" w:sz="0" w:space="0" w:color="auto"/>
        <w:bottom w:val="none" w:sz="0" w:space="0" w:color="auto"/>
        <w:right w:val="none" w:sz="0" w:space="0" w:color="auto"/>
      </w:divBdr>
    </w:div>
    <w:div w:id="1411584634">
      <w:marLeft w:val="0"/>
      <w:marRight w:val="0"/>
      <w:marTop w:val="100"/>
      <w:marBottom w:val="0"/>
      <w:divBdr>
        <w:top w:val="none" w:sz="0" w:space="0" w:color="auto"/>
        <w:left w:val="none" w:sz="0" w:space="0" w:color="auto"/>
        <w:bottom w:val="none" w:sz="0" w:space="0" w:color="auto"/>
        <w:right w:val="none" w:sz="0" w:space="0" w:color="auto"/>
      </w:divBdr>
    </w:div>
    <w:div w:id="1411777222">
      <w:marLeft w:val="0"/>
      <w:marRight w:val="0"/>
      <w:marTop w:val="60"/>
      <w:marBottom w:val="0"/>
      <w:divBdr>
        <w:top w:val="none" w:sz="0" w:space="0" w:color="auto"/>
        <w:left w:val="none" w:sz="0" w:space="0" w:color="auto"/>
        <w:bottom w:val="none" w:sz="0" w:space="0" w:color="auto"/>
        <w:right w:val="none" w:sz="0" w:space="0" w:color="auto"/>
      </w:divBdr>
    </w:div>
    <w:div w:id="1413700984">
      <w:marLeft w:val="0"/>
      <w:marRight w:val="0"/>
      <w:marTop w:val="240"/>
      <w:marBottom w:val="0"/>
      <w:divBdr>
        <w:top w:val="none" w:sz="0" w:space="0" w:color="auto"/>
        <w:left w:val="none" w:sz="0" w:space="0" w:color="auto"/>
        <w:bottom w:val="none" w:sz="0" w:space="0" w:color="auto"/>
        <w:right w:val="none" w:sz="0" w:space="0" w:color="auto"/>
      </w:divBdr>
    </w:div>
    <w:div w:id="1416591435">
      <w:marLeft w:val="0"/>
      <w:marRight w:val="0"/>
      <w:marTop w:val="240"/>
      <w:marBottom w:val="0"/>
      <w:divBdr>
        <w:top w:val="none" w:sz="0" w:space="0" w:color="auto"/>
        <w:left w:val="none" w:sz="0" w:space="0" w:color="auto"/>
        <w:bottom w:val="none" w:sz="0" w:space="0" w:color="auto"/>
        <w:right w:val="none" w:sz="0" w:space="0" w:color="auto"/>
      </w:divBdr>
    </w:div>
    <w:div w:id="1417092797">
      <w:marLeft w:val="0"/>
      <w:marRight w:val="0"/>
      <w:marTop w:val="0"/>
      <w:marBottom w:val="0"/>
      <w:divBdr>
        <w:top w:val="none" w:sz="0" w:space="0" w:color="auto"/>
        <w:left w:val="none" w:sz="0" w:space="0" w:color="auto"/>
        <w:bottom w:val="none" w:sz="0" w:space="0" w:color="auto"/>
        <w:right w:val="none" w:sz="0" w:space="0" w:color="auto"/>
      </w:divBdr>
      <w:divsChild>
        <w:div w:id="880359867">
          <w:marLeft w:val="0"/>
          <w:marRight w:val="0"/>
          <w:marTop w:val="0"/>
          <w:marBottom w:val="0"/>
          <w:divBdr>
            <w:top w:val="none" w:sz="0" w:space="0" w:color="auto"/>
            <w:left w:val="none" w:sz="0" w:space="0" w:color="auto"/>
            <w:bottom w:val="none" w:sz="0" w:space="0" w:color="auto"/>
            <w:right w:val="none" w:sz="0" w:space="0" w:color="auto"/>
          </w:divBdr>
          <w:divsChild>
            <w:div w:id="115102202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419132160">
      <w:marLeft w:val="0"/>
      <w:marRight w:val="0"/>
      <w:marTop w:val="180"/>
      <w:marBottom w:val="0"/>
      <w:divBdr>
        <w:top w:val="none" w:sz="0" w:space="0" w:color="auto"/>
        <w:left w:val="none" w:sz="0" w:space="0" w:color="auto"/>
        <w:bottom w:val="none" w:sz="0" w:space="0" w:color="auto"/>
        <w:right w:val="none" w:sz="0" w:space="0" w:color="auto"/>
      </w:divBdr>
    </w:div>
    <w:div w:id="1419212713">
      <w:marLeft w:val="0"/>
      <w:marRight w:val="0"/>
      <w:marTop w:val="240"/>
      <w:marBottom w:val="240"/>
      <w:divBdr>
        <w:top w:val="none" w:sz="0" w:space="0" w:color="auto"/>
        <w:left w:val="none" w:sz="0" w:space="0" w:color="auto"/>
        <w:bottom w:val="none" w:sz="0" w:space="0" w:color="auto"/>
        <w:right w:val="none" w:sz="0" w:space="0" w:color="auto"/>
      </w:divBdr>
    </w:div>
    <w:div w:id="1420062725">
      <w:marLeft w:val="0"/>
      <w:marRight w:val="0"/>
      <w:marTop w:val="240"/>
      <w:marBottom w:val="240"/>
      <w:divBdr>
        <w:top w:val="none" w:sz="0" w:space="0" w:color="auto"/>
        <w:left w:val="none" w:sz="0" w:space="0" w:color="auto"/>
        <w:bottom w:val="none" w:sz="0" w:space="0" w:color="auto"/>
        <w:right w:val="none" w:sz="0" w:space="0" w:color="auto"/>
      </w:divBdr>
    </w:div>
    <w:div w:id="1421373428">
      <w:marLeft w:val="0"/>
      <w:marRight w:val="0"/>
      <w:marTop w:val="120"/>
      <w:marBottom w:val="0"/>
      <w:divBdr>
        <w:top w:val="none" w:sz="0" w:space="0" w:color="auto"/>
        <w:left w:val="none" w:sz="0" w:space="0" w:color="auto"/>
        <w:bottom w:val="none" w:sz="0" w:space="0" w:color="auto"/>
        <w:right w:val="none" w:sz="0" w:space="0" w:color="auto"/>
      </w:divBdr>
    </w:div>
    <w:div w:id="1421637765">
      <w:marLeft w:val="0"/>
      <w:marRight w:val="0"/>
      <w:marTop w:val="0"/>
      <w:marBottom w:val="0"/>
      <w:divBdr>
        <w:top w:val="none" w:sz="0" w:space="0" w:color="auto"/>
        <w:left w:val="none" w:sz="0" w:space="0" w:color="auto"/>
        <w:bottom w:val="none" w:sz="0" w:space="0" w:color="auto"/>
        <w:right w:val="none" w:sz="0" w:space="0" w:color="auto"/>
      </w:divBdr>
      <w:divsChild>
        <w:div w:id="1000087810">
          <w:marLeft w:val="0"/>
          <w:marRight w:val="0"/>
          <w:marTop w:val="120"/>
          <w:marBottom w:val="0"/>
          <w:divBdr>
            <w:top w:val="none" w:sz="0" w:space="0" w:color="auto"/>
            <w:left w:val="none" w:sz="0" w:space="0" w:color="auto"/>
            <w:bottom w:val="none" w:sz="0" w:space="0" w:color="auto"/>
            <w:right w:val="none" w:sz="0" w:space="0" w:color="auto"/>
          </w:divBdr>
        </w:div>
      </w:divsChild>
    </w:div>
    <w:div w:id="1422491074">
      <w:marLeft w:val="0"/>
      <w:marRight w:val="0"/>
      <w:marTop w:val="300"/>
      <w:marBottom w:val="0"/>
      <w:divBdr>
        <w:top w:val="none" w:sz="0" w:space="0" w:color="auto"/>
        <w:left w:val="none" w:sz="0" w:space="0" w:color="auto"/>
        <w:bottom w:val="none" w:sz="0" w:space="0" w:color="auto"/>
        <w:right w:val="none" w:sz="0" w:space="0" w:color="auto"/>
      </w:divBdr>
    </w:div>
    <w:div w:id="1423258604">
      <w:marLeft w:val="0"/>
      <w:marRight w:val="0"/>
      <w:marTop w:val="60"/>
      <w:marBottom w:val="0"/>
      <w:divBdr>
        <w:top w:val="none" w:sz="0" w:space="0" w:color="auto"/>
        <w:left w:val="none" w:sz="0" w:space="0" w:color="auto"/>
        <w:bottom w:val="none" w:sz="0" w:space="0" w:color="auto"/>
        <w:right w:val="none" w:sz="0" w:space="0" w:color="auto"/>
      </w:divBdr>
    </w:div>
    <w:div w:id="1424061073">
      <w:marLeft w:val="0"/>
      <w:marRight w:val="0"/>
      <w:marTop w:val="240"/>
      <w:marBottom w:val="240"/>
      <w:divBdr>
        <w:top w:val="none" w:sz="0" w:space="0" w:color="auto"/>
        <w:left w:val="none" w:sz="0" w:space="0" w:color="auto"/>
        <w:bottom w:val="none" w:sz="0" w:space="0" w:color="auto"/>
        <w:right w:val="none" w:sz="0" w:space="0" w:color="auto"/>
      </w:divBdr>
    </w:div>
    <w:div w:id="1424837615">
      <w:marLeft w:val="0"/>
      <w:marRight w:val="0"/>
      <w:marTop w:val="60"/>
      <w:marBottom w:val="0"/>
      <w:divBdr>
        <w:top w:val="none" w:sz="0" w:space="0" w:color="auto"/>
        <w:left w:val="none" w:sz="0" w:space="0" w:color="auto"/>
        <w:bottom w:val="none" w:sz="0" w:space="0" w:color="auto"/>
        <w:right w:val="none" w:sz="0" w:space="0" w:color="auto"/>
      </w:divBdr>
    </w:div>
    <w:div w:id="1425423154">
      <w:marLeft w:val="0"/>
      <w:marRight w:val="0"/>
      <w:marTop w:val="240"/>
      <w:marBottom w:val="240"/>
      <w:divBdr>
        <w:top w:val="none" w:sz="0" w:space="0" w:color="auto"/>
        <w:left w:val="none" w:sz="0" w:space="0" w:color="auto"/>
        <w:bottom w:val="none" w:sz="0" w:space="0" w:color="auto"/>
        <w:right w:val="none" w:sz="0" w:space="0" w:color="auto"/>
      </w:divBdr>
    </w:div>
    <w:div w:id="1427848985">
      <w:marLeft w:val="0"/>
      <w:marRight w:val="0"/>
      <w:marTop w:val="180"/>
      <w:marBottom w:val="0"/>
      <w:divBdr>
        <w:top w:val="none" w:sz="0" w:space="0" w:color="auto"/>
        <w:left w:val="none" w:sz="0" w:space="0" w:color="auto"/>
        <w:bottom w:val="none" w:sz="0" w:space="0" w:color="auto"/>
        <w:right w:val="none" w:sz="0" w:space="0" w:color="auto"/>
      </w:divBdr>
    </w:div>
    <w:div w:id="1427921755">
      <w:marLeft w:val="0"/>
      <w:marRight w:val="0"/>
      <w:marTop w:val="180"/>
      <w:marBottom w:val="0"/>
      <w:divBdr>
        <w:top w:val="none" w:sz="0" w:space="0" w:color="auto"/>
        <w:left w:val="none" w:sz="0" w:space="0" w:color="auto"/>
        <w:bottom w:val="none" w:sz="0" w:space="0" w:color="auto"/>
        <w:right w:val="none" w:sz="0" w:space="0" w:color="auto"/>
      </w:divBdr>
    </w:div>
    <w:div w:id="1431197772">
      <w:marLeft w:val="0"/>
      <w:marRight w:val="0"/>
      <w:marTop w:val="200"/>
      <w:marBottom w:val="0"/>
      <w:divBdr>
        <w:top w:val="none" w:sz="0" w:space="0" w:color="auto"/>
        <w:left w:val="none" w:sz="0" w:space="0" w:color="auto"/>
        <w:bottom w:val="none" w:sz="0" w:space="0" w:color="auto"/>
        <w:right w:val="none" w:sz="0" w:space="0" w:color="auto"/>
      </w:divBdr>
    </w:div>
    <w:div w:id="1433432268">
      <w:marLeft w:val="0"/>
      <w:marRight w:val="0"/>
      <w:marTop w:val="0"/>
      <w:marBottom w:val="0"/>
      <w:divBdr>
        <w:top w:val="none" w:sz="0" w:space="0" w:color="auto"/>
        <w:left w:val="none" w:sz="0" w:space="0" w:color="auto"/>
        <w:bottom w:val="none" w:sz="0" w:space="0" w:color="auto"/>
        <w:right w:val="none" w:sz="0" w:space="0" w:color="auto"/>
      </w:divBdr>
    </w:div>
    <w:div w:id="1433697076">
      <w:marLeft w:val="0"/>
      <w:marRight w:val="0"/>
      <w:marTop w:val="0"/>
      <w:marBottom w:val="0"/>
      <w:divBdr>
        <w:top w:val="none" w:sz="0" w:space="0" w:color="auto"/>
        <w:left w:val="none" w:sz="0" w:space="0" w:color="auto"/>
        <w:bottom w:val="none" w:sz="0" w:space="0" w:color="auto"/>
        <w:right w:val="none" w:sz="0" w:space="0" w:color="auto"/>
      </w:divBdr>
    </w:div>
    <w:div w:id="1435245720">
      <w:marLeft w:val="0"/>
      <w:marRight w:val="0"/>
      <w:marTop w:val="180"/>
      <w:marBottom w:val="0"/>
      <w:divBdr>
        <w:top w:val="none" w:sz="0" w:space="0" w:color="auto"/>
        <w:left w:val="none" w:sz="0" w:space="0" w:color="auto"/>
        <w:bottom w:val="none" w:sz="0" w:space="0" w:color="auto"/>
        <w:right w:val="none" w:sz="0" w:space="0" w:color="auto"/>
      </w:divBdr>
    </w:div>
    <w:div w:id="1437015240">
      <w:marLeft w:val="0"/>
      <w:marRight w:val="0"/>
      <w:marTop w:val="240"/>
      <w:marBottom w:val="0"/>
      <w:divBdr>
        <w:top w:val="none" w:sz="0" w:space="0" w:color="auto"/>
        <w:left w:val="none" w:sz="0" w:space="0" w:color="auto"/>
        <w:bottom w:val="none" w:sz="0" w:space="0" w:color="auto"/>
        <w:right w:val="none" w:sz="0" w:space="0" w:color="auto"/>
      </w:divBdr>
    </w:div>
    <w:div w:id="1439637063">
      <w:marLeft w:val="0"/>
      <w:marRight w:val="0"/>
      <w:marTop w:val="200"/>
      <w:marBottom w:val="0"/>
      <w:divBdr>
        <w:top w:val="none" w:sz="0" w:space="0" w:color="auto"/>
        <w:left w:val="none" w:sz="0" w:space="0" w:color="auto"/>
        <w:bottom w:val="none" w:sz="0" w:space="0" w:color="auto"/>
        <w:right w:val="none" w:sz="0" w:space="0" w:color="auto"/>
      </w:divBdr>
    </w:div>
    <w:div w:id="1439715241">
      <w:marLeft w:val="0"/>
      <w:marRight w:val="0"/>
      <w:marTop w:val="200"/>
      <w:marBottom w:val="0"/>
      <w:divBdr>
        <w:top w:val="none" w:sz="0" w:space="0" w:color="auto"/>
        <w:left w:val="none" w:sz="0" w:space="0" w:color="auto"/>
        <w:bottom w:val="none" w:sz="0" w:space="0" w:color="auto"/>
        <w:right w:val="none" w:sz="0" w:space="0" w:color="auto"/>
      </w:divBdr>
    </w:div>
    <w:div w:id="1441101441">
      <w:marLeft w:val="0"/>
      <w:marRight w:val="0"/>
      <w:marTop w:val="300"/>
      <w:marBottom w:val="0"/>
      <w:divBdr>
        <w:top w:val="none" w:sz="0" w:space="0" w:color="auto"/>
        <w:left w:val="none" w:sz="0" w:space="0" w:color="auto"/>
        <w:bottom w:val="none" w:sz="0" w:space="0" w:color="auto"/>
        <w:right w:val="none" w:sz="0" w:space="0" w:color="auto"/>
      </w:divBdr>
    </w:div>
    <w:div w:id="1442796877">
      <w:marLeft w:val="0"/>
      <w:marRight w:val="0"/>
      <w:marTop w:val="240"/>
      <w:marBottom w:val="0"/>
      <w:divBdr>
        <w:top w:val="none" w:sz="0" w:space="0" w:color="auto"/>
        <w:left w:val="none" w:sz="0" w:space="0" w:color="auto"/>
        <w:bottom w:val="none" w:sz="0" w:space="0" w:color="auto"/>
        <w:right w:val="none" w:sz="0" w:space="0" w:color="auto"/>
      </w:divBdr>
    </w:div>
    <w:div w:id="1444377266">
      <w:marLeft w:val="0"/>
      <w:marRight w:val="0"/>
      <w:marTop w:val="60"/>
      <w:marBottom w:val="120"/>
      <w:divBdr>
        <w:top w:val="none" w:sz="0" w:space="0" w:color="auto"/>
        <w:left w:val="none" w:sz="0" w:space="0" w:color="auto"/>
        <w:bottom w:val="none" w:sz="0" w:space="0" w:color="auto"/>
        <w:right w:val="none" w:sz="0" w:space="0" w:color="auto"/>
      </w:divBdr>
    </w:div>
    <w:div w:id="1445886722">
      <w:marLeft w:val="0"/>
      <w:marRight w:val="0"/>
      <w:marTop w:val="240"/>
      <w:marBottom w:val="0"/>
      <w:divBdr>
        <w:top w:val="none" w:sz="0" w:space="0" w:color="auto"/>
        <w:left w:val="none" w:sz="0" w:space="0" w:color="auto"/>
        <w:bottom w:val="none" w:sz="0" w:space="0" w:color="auto"/>
        <w:right w:val="none" w:sz="0" w:space="0" w:color="auto"/>
      </w:divBdr>
    </w:div>
    <w:div w:id="1446735126">
      <w:marLeft w:val="0"/>
      <w:marRight w:val="0"/>
      <w:marTop w:val="240"/>
      <w:marBottom w:val="0"/>
      <w:divBdr>
        <w:top w:val="none" w:sz="0" w:space="0" w:color="auto"/>
        <w:left w:val="none" w:sz="0" w:space="0" w:color="auto"/>
        <w:bottom w:val="none" w:sz="0" w:space="0" w:color="auto"/>
        <w:right w:val="none" w:sz="0" w:space="0" w:color="auto"/>
      </w:divBdr>
    </w:div>
    <w:div w:id="1446921705">
      <w:marLeft w:val="0"/>
      <w:marRight w:val="0"/>
      <w:marTop w:val="240"/>
      <w:marBottom w:val="0"/>
      <w:divBdr>
        <w:top w:val="none" w:sz="0" w:space="0" w:color="auto"/>
        <w:left w:val="none" w:sz="0" w:space="0" w:color="auto"/>
        <w:bottom w:val="none" w:sz="0" w:space="0" w:color="auto"/>
        <w:right w:val="none" w:sz="0" w:space="0" w:color="auto"/>
      </w:divBdr>
    </w:div>
    <w:div w:id="1447503116">
      <w:marLeft w:val="0"/>
      <w:marRight w:val="0"/>
      <w:marTop w:val="240"/>
      <w:marBottom w:val="0"/>
      <w:divBdr>
        <w:top w:val="none" w:sz="0" w:space="0" w:color="auto"/>
        <w:left w:val="none" w:sz="0" w:space="0" w:color="auto"/>
        <w:bottom w:val="none" w:sz="0" w:space="0" w:color="auto"/>
        <w:right w:val="none" w:sz="0" w:space="0" w:color="auto"/>
      </w:divBdr>
    </w:div>
    <w:div w:id="1450736643">
      <w:marLeft w:val="0"/>
      <w:marRight w:val="0"/>
      <w:marTop w:val="240"/>
      <w:marBottom w:val="0"/>
      <w:divBdr>
        <w:top w:val="none" w:sz="0" w:space="0" w:color="auto"/>
        <w:left w:val="none" w:sz="0" w:space="0" w:color="auto"/>
        <w:bottom w:val="none" w:sz="0" w:space="0" w:color="auto"/>
        <w:right w:val="none" w:sz="0" w:space="0" w:color="auto"/>
      </w:divBdr>
    </w:div>
    <w:div w:id="1452893408">
      <w:marLeft w:val="0"/>
      <w:marRight w:val="0"/>
      <w:marTop w:val="260"/>
      <w:marBottom w:val="0"/>
      <w:divBdr>
        <w:top w:val="none" w:sz="0" w:space="0" w:color="auto"/>
        <w:left w:val="none" w:sz="0" w:space="0" w:color="auto"/>
        <w:bottom w:val="none" w:sz="0" w:space="0" w:color="auto"/>
        <w:right w:val="none" w:sz="0" w:space="0" w:color="auto"/>
      </w:divBdr>
      <w:divsChild>
        <w:div w:id="182399272">
          <w:marLeft w:val="0"/>
          <w:marRight w:val="0"/>
          <w:marTop w:val="0"/>
          <w:marBottom w:val="0"/>
          <w:divBdr>
            <w:top w:val="none" w:sz="0" w:space="0" w:color="auto"/>
            <w:left w:val="none" w:sz="0" w:space="0" w:color="auto"/>
            <w:bottom w:val="none" w:sz="0" w:space="0" w:color="auto"/>
            <w:right w:val="none" w:sz="0" w:space="0" w:color="auto"/>
          </w:divBdr>
        </w:div>
      </w:divsChild>
    </w:div>
    <w:div w:id="1453982794">
      <w:marLeft w:val="0"/>
      <w:marRight w:val="0"/>
      <w:marTop w:val="240"/>
      <w:marBottom w:val="0"/>
      <w:divBdr>
        <w:top w:val="none" w:sz="0" w:space="0" w:color="auto"/>
        <w:left w:val="none" w:sz="0" w:space="0" w:color="auto"/>
        <w:bottom w:val="none" w:sz="0" w:space="0" w:color="auto"/>
        <w:right w:val="none" w:sz="0" w:space="0" w:color="auto"/>
      </w:divBdr>
    </w:div>
    <w:div w:id="1454250709">
      <w:marLeft w:val="0"/>
      <w:marRight w:val="0"/>
      <w:marTop w:val="240"/>
      <w:marBottom w:val="0"/>
      <w:divBdr>
        <w:top w:val="none" w:sz="0" w:space="0" w:color="auto"/>
        <w:left w:val="none" w:sz="0" w:space="0" w:color="auto"/>
        <w:bottom w:val="none" w:sz="0" w:space="0" w:color="auto"/>
        <w:right w:val="none" w:sz="0" w:space="0" w:color="auto"/>
      </w:divBdr>
    </w:div>
    <w:div w:id="1454330022">
      <w:marLeft w:val="0"/>
      <w:marRight w:val="0"/>
      <w:marTop w:val="180"/>
      <w:marBottom w:val="0"/>
      <w:divBdr>
        <w:top w:val="none" w:sz="0" w:space="0" w:color="auto"/>
        <w:left w:val="none" w:sz="0" w:space="0" w:color="auto"/>
        <w:bottom w:val="none" w:sz="0" w:space="0" w:color="auto"/>
        <w:right w:val="none" w:sz="0" w:space="0" w:color="auto"/>
      </w:divBdr>
    </w:div>
    <w:div w:id="1454903621">
      <w:marLeft w:val="0"/>
      <w:marRight w:val="0"/>
      <w:marTop w:val="0"/>
      <w:marBottom w:val="0"/>
      <w:divBdr>
        <w:top w:val="none" w:sz="0" w:space="0" w:color="auto"/>
        <w:left w:val="none" w:sz="0" w:space="0" w:color="auto"/>
        <w:bottom w:val="none" w:sz="0" w:space="0" w:color="auto"/>
        <w:right w:val="none" w:sz="0" w:space="0" w:color="auto"/>
      </w:divBdr>
      <w:divsChild>
        <w:div w:id="199437177">
          <w:marLeft w:val="0"/>
          <w:marRight w:val="0"/>
          <w:marTop w:val="0"/>
          <w:marBottom w:val="0"/>
          <w:divBdr>
            <w:top w:val="none" w:sz="0" w:space="0" w:color="auto"/>
            <w:left w:val="none" w:sz="0" w:space="0" w:color="auto"/>
            <w:bottom w:val="none" w:sz="0" w:space="0" w:color="auto"/>
            <w:right w:val="none" w:sz="0" w:space="0" w:color="auto"/>
          </w:divBdr>
        </w:div>
      </w:divsChild>
    </w:div>
    <w:div w:id="1455754852">
      <w:marLeft w:val="0"/>
      <w:marRight w:val="0"/>
      <w:marTop w:val="240"/>
      <w:marBottom w:val="0"/>
      <w:divBdr>
        <w:top w:val="none" w:sz="0" w:space="0" w:color="auto"/>
        <w:left w:val="none" w:sz="0" w:space="0" w:color="auto"/>
        <w:bottom w:val="none" w:sz="0" w:space="0" w:color="auto"/>
        <w:right w:val="none" w:sz="0" w:space="0" w:color="auto"/>
      </w:divBdr>
    </w:div>
    <w:div w:id="1457795068">
      <w:marLeft w:val="0"/>
      <w:marRight w:val="0"/>
      <w:marTop w:val="240"/>
      <w:marBottom w:val="0"/>
      <w:divBdr>
        <w:top w:val="none" w:sz="0" w:space="0" w:color="auto"/>
        <w:left w:val="none" w:sz="0" w:space="0" w:color="auto"/>
        <w:bottom w:val="none" w:sz="0" w:space="0" w:color="auto"/>
        <w:right w:val="none" w:sz="0" w:space="0" w:color="auto"/>
      </w:divBdr>
    </w:div>
    <w:div w:id="1458985265">
      <w:marLeft w:val="0"/>
      <w:marRight w:val="0"/>
      <w:marTop w:val="0"/>
      <w:marBottom w:val="0"/>
      <w:divBdr>
        <w:top w:val="none" w:sz="0" w:space="0" w:color="auto"/>
        <w:left w:val="none" w:sz="0" w:space="0" w:color="auto"/>
        <w:bottom w:val="none" w:sz="0" w:space="0" w:color="auto"/>
        <w:right w:val="none" w:sz="0" w:space="0" w:color="auto"/>
      </w:divBdr>
    </w:div>
    <w:div w:id="1459028361">
      <w:marLeft w:val="0"/>
      <w:marRight w:val="0"/>
      <w:marTop w:val="240"/>
      <w:marBottom w:val="0"/>
      <w:divBdr>
        <w:top w:val="none" w:sz="0" w:space="0" w:color="auto"/>
        <w:left w:val="none" w:sz="0" w:space="0" w:color="auto"/>
        <w:bottom w:val="none" w:sz="0" w:space="0" w:color="auto"/>
        <w:right w:val="none" w:sz="0" w:space="0" w:color="auto"/>
      </w:divBdr>
    </w:div>
    <w:div w:id="1459643105">
      <w:marLeft w:val="0"/>
      <w:marRight w:val="0"/>
      <w:marTop w:val="0"/>
      <w:marBottom w:val="0"/>
      <w:divBdr>
        <w:top w:val="none" w:sz="0" w:space="0" w:color="auto"/>
        <w:left w:val="none" w:sz="0" w:space="0" w:color="auto"/>
        <w:bottom w:val="none" w:sz="0" w:space="0" w:color="auto"/>
        <w:right w:val="none" w:sz="0" w:space="0" w:color="auto"/>
      </w:divBdr>
      <w:divsChild>
        <w:div w:id="744491731">
          <w:marLeft w:val="0"/>
          <w:marRight w:val="0"/>
          <w:marTop w:val="0"/>
          <w:marBottom w:val="0"/>
          <w:divBdr>
            <w:top w:val="none" w:sz="0" w:space="0" w:color="auto"/>
            <w:left w:val="none" w:sz="0" w:space="0" w:color="auto"/>
            <w:bottom w:val="none" w:sz="0" w:space="0" w:color="auto"/>
            <w:right w:val="none" w:sz="0" w:space="0" w:color="auto"/>
          </w:divBdr>
        </w:div>
      </w:divsChild>
    </w:div>
    <w:div w:id="1460606939">
      <w:marLeft w:val="0"/>
      <w:marRight w:val="0"/>
      <w:marTop w:val="240"/>
      <w:marBottom w:val="0"/>
      <w:divBdr>
        <w:top w:val="none" w:sz="0" w:space="0" w:color="auto"/>
        <w:left w:val="none" w:sz="0" w:space="0" w:color="auto"/>
        <w:bottom w:val="none" w:sz="0" w:space="0" w:color="auto"/>
        <w:right w:val="none" w:sz="0" w:space="0" w:color="auto"/>
      </w:divBdr>
    </w:div>
    <w:div w:id="1461026789">
      <w:marLeft w:val="0"/>
      <w:marRight w:val="0"/>
      <w:marTop w:val="140"/>
      <w:marBottom w:val="0"/>
      <w:divBdr>
        <w:top w:val="none" w:sz="0" w:space="0" w:color="auto"/>
        <w:left w:val="none" w:sz="0" w:space="0" w:color="auto"/>
        <w:bottom w:val="none" w:sz="0" w:space="0" w:color="auto"/>
        <w:right w:val="none" w:sz="0" w:space="0" w:color="auto"/>
      </w:divBdr>
    </w:div>
    <w:div w:id="1462192629">
      <w:marLeft w:val="0"/>
      <w:marRight w:val="0"/>
      <w:marTop w:val="240"/>
      <w:marBottom w:val="0"/>
      <w:divBdr>
        <w:top w:val="none" w:sz="0" w:space="0" w:color="auto"/>
        <w:left w:val="none" w:sz="0" w:space="0" w:color="auto"/>
        <w:bottom w:val="none" w:sz="0" w:space="0" w:color="auto"/>
        <w:right w:val="none" w:sz="0" w:space="0" w:color="auto"/>
      </w:divBdr>
    </w:div>
    <w:div w:id="1462960920">
      <w:marLeft w:val="0"/>
      <w:marRight w:val="0"/>
      <w:marTop w:val="0"/>
      <w:marBottom w:val="0"/>
      <w:divBdr>
        <w:top w:val="none" w:sz="0" w:space="0" w:color="auto"/>
        <w:left w:val="none" w:sz="0" w:space="0" w:color="auto"/>
        <w:bottom w:val="none" w:sz="0" w:space="0" w:color="auto"/>
        <w:right w:val="none" w:sz="0" w:space="0" w:color="auto"/>
      </w:divBdr>
      <w:divsChild>
        <w:div w:id="2047024149">
          <w:marLeft w:val="0"/>
          <w:marRight w:val="0"/>
          <w:marTop w:val="0"/>
          <w:marBottom w:val="0"/>
          <w:divBdr>
            <w:top w:val="none" w:sz="0" w:space="0" w:color="auto"/>
            <w:left w:val="none" w:sz="0" w:space="0" w:color="auto"/>
            <w:bottom w:val="none" w:sz="0" w:space="0" w:color="auto"/>
            <w:right w:val="none" w:sz="0" w:space="0" w:color="auto"/>
          </w:divBdr>
          <w:divsChild>
            <w:div w:id="178141168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463376690">
      <w:marLeft w:val="0"/>
      <w:marRight w:val="0"/>
      <w:marTop w:val="240"/>
      <w:marBottom w:val="0"/>
      <w:divBdr>
        <w:top w:val="none" w:sz="0" w:space="0" w:color="auto"/>
        <w:left w:val="none" w:sz="0" w:space="0" w:color="auto"/>
        <w:bottom w:val="none" w:sz="0" w:space="0" w:color="auto"/>
        <w:right w:val="none" w:sz="0" w:space="0" w:color="auto"/>
      </w:divBdr>
    </w:div>
    <w:div w:id="1464158364">
      <w:marLeft w:val="0"/>
      <w:marRight w:val="0"/>
      <w:marTop w:val="240"/>
      <w:marBottom w:val="240"/>
      <w:divBdr>
        <w:top w:val="none" w:sz="0" w:space="0" w:color="auto"/>
        <w:left w:val="none" w:sz="0" w:space="0" w:color="auto"/>
        <w:bottom w:val="none" w:sz="0" w:space="0" w:color="auto"/>
        <w:right w:val="none" w:sz="0" w:space="0" w:color="auto"/>
      </w:divBdr>
    </w:div>
    <w:div w:id="1464889210">
      <w:marLeft w:val="0"/>
      <w:marRight w:val="0"/>
      <w:marTop w:val="240"/>
      <w:marBottom w:val="0"/>
      <w:divBdr>
        <w:top w:val="none" w:sz="0" w:space="0" w:color="auto"/>
        <w:left w:val="none" w:sz="0" w:space="0" w:color="auto"/>
        <w:bottom w:val="none" w:sz="0" w:space="0" w:color="auto"/>
        <w:right w:val="none" w:sz="0" w:space="0" w:color="auto"/>
      </w:divBdr>
    </w:div>
    <w:div w:id="1465542364">
      <w:marLeft w:val="0"/>
      <w:marRight w:val="0"/>
      <w:marTop w:val="180"/>
      <w:marBottom w:val="120"/>
      <w:divBdr>
        <w:top w:val="none" w:sz="0" w:space="0" w:color="auto"/>
        <w:left w:val="none" w:sz="0" w:space="0" w:color="auto"/>
        <w:bottom w:val="none" w:sz="0" w:space="0" w:color="auto"/>
        <w:right w:val="none" w:sz="0" w:space="0" w:color="auto"/>
      </w:divBdr>
    </w:div>
    <w:div w:id="1466510069">
      <w:marLeft w:val="0"/>
      <w:marRight w:val="0"/>
      <w:marTop w:val="120"/>
      <w:marBottom w:val="60"/>
      <w:divBdr>
        <w:top w:val="none" w:sz="0" w:space="0" w:color="auto"/>
        <w:left w:val="none" w:sz="0" w:space="0" w:color="auto"/>
        <w:bottom w:val="none" w:sz="0" w:space="0" w:color="auto"/>
        <w:right w:val="none" w:sz="0" w:space="0" w:color="auto"/>
      </w:divBdr>
    </w:div>
    <w:div w:id="1467814451">
      <w:marLeft w:val="0"/>
      <w:marRight w:val="0"/>
      <w:marTop w:val="200"/>
      <w:marBottom w:val="0"/>
      <w:divBdr>
        <w:top w:val="none" w:sz="0" w:space="0" w:color="auto"/>
        <w:left w:val="none" w:sz="0" w:space="0" w:color="auto"/>
        <w:bottom w:val="none" w:sz="0" w:space="0" w:color="auto"/>
        <w:right w:val="none" w:sz="0" w:space="0" w:color="auto"/>
      </w:divBdr>
    </w:div>
    <w:div w:id="1467815108">
      <w:marLeft w:val="0"/>
      <w:marRight w:val="0"/>
      <w:marTop w:val="240"/>
      <w:marBottom w:val="0"/>
      <w:divBdr>
        <w:top w:val="none" w:sz="0" w:space="0" w:color="auto"/>
        <w:left w:val="none" w:sz="0" w:space="0" w:color="auto"/>
        <w:bottom w:val="none" w:sz="0" w:space="0" w:color="auto"/>
        <w:right w:val="none" w:sz="0" w:space="0" w:color="auto"/>
      </w:divBdr>
    </w:div>
    <w:div w:id="1468552325">
      <w:marLeft w:val="0"/>
      <w:marRight w:val="0"/>
      <w:marTop w:val="240"/>
      <w:marBottom w:val="0"/>
      <w:divBdr>
        <w:top w:val="none" w:sz="0" w:space="0" w:color="auto"/>
        <w:left w:val="none" w:sz="0" w:space="0" w:color="auto"/>
        <w:bottom w:val="none" w:sz="0" w:space="0" w:color="auto"/>
        <w:right w:val="none" w:sz="0" w:space="0" w:color="auto"/>
      </w:divBdr>
    </w:div>
    <w:div w:id="1468666152">
      <w:marLeft w:val="0"/>
      <w:marRight w:val="0"/>
      <w:marTop w:val="0"/>
      <w:marBottom w:val="0"/>
      <w:divBdr>
        <w:top w:val="none" w:sz="0" w:space="0" w:color="auto"/>
        <w:left w:val="none" w:sz="0" w:space="0" w:color="auto"/>
        <w:bottom w:val="none" w:sz="0" w:space="0" w:color="auto"/>
        <w:right w:val="none" w:sz="0" w:space="0" w:color="auto"/>
      </w:divBdr>
    </w:div>
    <w:div w:id="1469400575">
      <w:marLeft w:val="0"/>
      <w:marRight w:val="0"/>
      <w:marTop w:val="240"/>
      <w:marBottom w:val="0"/>
      <w:divBdr>
        <w:top w:val="none" w:sz="0" w:space="0" w:color="auto"/>
        <w:left w:val="none" w:sz="0" w:space="0" w:color="auto"/>
        <w:bottom w:val="none" w:sz="0" w:space="0" w:color="auto"/>
        <w:right w:val="none" w:sz="0" w:space="0" w:color="auto"/>
      </w:divBdr>
    </w:div>
    <w:div w:id="1472745168">
      <w:marLeft w:val="0"/>
      <w:marRight w:val="0"/>
      <w:marTop w:val="0"/>
      <w:marBottom w:val="0"/>
      <w:divBdr>
        <w:top w:val="none" w:sz="0" w:space="0" w:color="auto"/>
        <w:left w:val="none" w:sz="0" w:space="0" w:color="auto"/>
        <w:bottom w:val="none" w:sz="0" w:space="0" w:color="auto"/>
        <w:right w:val="none" w:sz="0" w:space="0" w:color="auto"/>
      </w:divBdr>
      <w:divsChild>
        <w:div w:id="2076199129">
          <w:marLeft w:val="0"/>
          <w:marRight w:val="0"/>
          <w:marTop w:val="0"/>
          <w:marBottom w:val="0"/>
          <w:divBdr>
            <w:top w:val="none" w:sz="0" w:space="0" w:color="auto"/>
            <w:left w:val="none" w:sz="0" w:space="0" w:color="auto"/>
            <w:bottom w:val="none" w:sz="0" w:space="0" w:color="auto"/>
            <w:right w:val="none" w:sz="0" w:space="0" w:color="auto"/>
          </w:divBdr>
        </w:div>
      </w:divsChild>
    </w:div>
    <w:div w:id="1473213078">
      <w:marLeft w:val="0"/>
      <w:marRight w:val="0"/>
      <w:marTop w:val="100"/>
      <w:marBottom w:val="0"/>
      <w:divBdr>
        <w:top w:val="none" w:sz="0" w:space="0" w:color="auto"/>
        <w:left w:val="none" w:sz="0" w:space="0" w:color="auto"/>
        <w:bottom w:val="none" w:sz="0" w:space="0" w:color="auto"/>
        <w:right w:val="none" w:sz="0" w:space="0" w:color="auto"/>
      </w:divBdr>
    </w:div>
    <w:div w:id="1473324658">
      <w:marLeft w:val="0"/>
      <w:marRight w:val="0"/>
      <w:marTop w:val="240"/>
      <w:marBottom w:val="0"/>
      <w:divBdr>
        <w:top w:val="none" w:sz="0" w:space="0" w:color="auto"/>
        <w:left w:val="none" w:sz="0" w:space="0" w:color="auto"/>
        <w:bottom w:val="none" w:sz="0" w:space="0" w:color="auto"/>
        <w:right w:val="none" w:sz="0" w:space="0" w:color="auto"/>
      </w:divBdr>
    </w:div>
    <w:div w:id="1477335359">
      <w:marLeft w:val="0"/>
      <w:marRight w:val="0"/>
      <w:marTop w:val="0"/>
      <w:marBottom w:val="60"/>
      <w:divBdr>
        <w:top w:val="none" w:sz="0" w:space="0" w:color="auto"/>
        <w:left w:val="none" w:sz="0" w:space="0" w:color="auto"/>
        <w:bottom w:val="none" w:sz="0" w:space="0" w:color="auto"/>
        <w:right w:val="none" w:sz="0" w:space="0" w:color="auto"/>
      </w:divBdr>
    </w:div>
    <w:div w:id="1477726745">
      <w:marLeft w:val="0"/>
      <w:marRight w:val="0"/>
      <w:marTop w:val="0"/>
      <w:marBottom w:val="0"/>
      <w:divBdr>
        <w:top w:val="none" w:sz="0" w:space="0" w:color="auto"/>
        <w:left w:val="none" w:sz="0" w:space="0" w:color="auto"/>
        <w:bottom w:val="none" w:sz="0" w:space="0" w:color="auto"/>
        <w:right w:val="none" w:sz="0" w:space="0" w:color="auto"/>
      </w:divBdr>
      <w:divsChild>
        <w:div w:id="217134610">
          <w:marLeft w:val="0"/>
          <w:marRight w:val="0"/>
          <w:marTop w:val="0"/>
          <w:marBottom w:val="0"/>
          <w:divBdr>
            <w:top w:val="none" w:sz="0" w:space="0" w:color="auto"/>
            <w:left w:val="none" w:sz="0" w:space="0" w:color="auto"/>
            <w:bottom w:val="none" w:sz="0" w:space="0" w:color="auto"/>
            <w:right w:val="none" w:sz="0" w:space="0" w:color="auto"/>
          </w:divBdr>
          <w:divsChild>
            <w:div w:id="99603342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478759541">
      <w:marLeft w:val="0"/>
      <w:marRight w:val="0"/>
      <w:marTop w:val="0"/>
      <w:marBottom w:val="0"/>
      <w:divBdr>
        <w:top w:val="none" w:sz="0" w:space="0" w:color="auto"/>
        <w:left w:val="none" w:sz="0" w:space="0" w:color="auto"/>
        <w:bottom w:val="none" w:sz="0" w:space="0" w:color="auto"/>
        <w:right w:val="none" w:sz="0" w:space="0" w:color="auto"/>
      </w:divBdr>
      <w:divsChild>
        <w:div w:id="1131249161">
          <w:marLeft w:val="0"/>
          <w:marRight w:val="0"/>
          <w:marTop w:val="0"/>
          <w:marBottom w:val="0"/>
          <w:divBdr>
            <w:top w:val="none" w:sz="0" w:space="0" w:color="auto"/>
            <w:left w:val="none" w:sz="0" w:space="0" w:color="auto"/>
            <w:bottom w:val="none" w:sz="0" w:space="0" w:color="auto"/>
            <w:right w:val="none" w:sz="0" w:space="0" w:color="auto"/>
          </w:divBdr>
          <w:divsChild>
            <w:div w:id="124036529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480338561">
      <w:marLeft w:val="0"/>
      <w:marRight w:val="0"/>
      <w:marTop w:val="240"/>
      <w:marBottom w:val="0"/>
      <w:divBdr>
        <w:top w:val="none" w:sz="0" w:space="0" w:color="auto"/>
        <w:left w:val="none" w:sz="0" w:space="0" w:color="auto"/>
        <w:bottom w:val="none" w:sz="0" w:space="0" w:color="auto"/>
        <w:right w:val="none" w:sz="0" w:space="0" w:color="auto"/>
      </w:divBdr>
    </w:div>
    <w:div w:id="1481002732">
      <w:marLeft w:val="0"/>
      <w:marRight w:val="0"/>
      <w:marTop w:val="0"/>
      <w:marBottom w:val="0"/>
      <w:divBdr>
        <w:top w:val="none" w:sz="0" w:space="0" w:color="auto"/>
        <w:left w:val="none" w:sz="0" w:space="0" w:color="auto"/>
        <w:bottom w:val="none" w:sz="0" w:space="0" w:color="auto"/>
        <w:right w:val="none" w:sz="0" w:space="0" w:color="auto"/>
      </w:divBdr>
      <w:divsChild>
        <w:div w:id="534006798">
          <w:marLeft w:val="0"/>
          <w:marRight w:val="0"/>
          <w:marTop w:val="0"/>
          <w:marBottom w:val="0"/>
          <w:divBdr>
            <w:top w:val="none" w:sz="0" w:space="0" w:color="auto"/>
            <w:left w:val="none" w:sz="0" w:space="0" w:color="auto"/>
            <w:bottom w:val="none" w:sz="0" w:space="0" w:color="auto"/>
            <w:right w:val="none" w:sz="0" w:space="0" w:color="auto"/>
          </w:divBdr>
          <w:divsChild>
            <w:div w:id="145760230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481926387">
      <w:marLeft w:val="0"/>
      <w:marRight w:val="0"/>
      <w:marTop w:val="0"/>
      <w:marBottom w:val="0"/>
      <w:divBdr>
        <w:top w:val="none" w:sz="0" w:space="0" w:color="auto"/>
        <w:left w:val="none" w:sz="0" w:space="0" w:color="auto"/>
        <w:bottom w:val="none" w:sz="0" w:space="0" w:color="auto"/>
        <w:right w:val="none" w:sz="0" w:space="0" w:color="auto"/>
      </w:divBdr>
      <w:divsChild>
        <w:div w:id="1504975609">
          <w:marLeft w:val="0"/>
          <w:marRight w:val="0"/>
          <w:marTop w:val="0"/>
          <w:marBottom w:val="0"/>
          <w:divBdr>
            <w:top w:val="none" w:sz="0" w:space="0" w:color="auto"/>
            <w:left w:val="none" w:sz="0" w:space="0" w:color="auto"/>
            <w:bottom w:val="none" w:sz="0" w:space="0" w:color="auto"/>
            <w:right w:val="none" w:sz="0" w:space="0" w:color="auto"/>
          </w:divBdr>
          <w:divsChild>
            <w:div w:id="183378828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482193648">
      <w:marLeft w:val="0"/>
      <w:marRight w:val="0"/>
      <w:marTop w:val="240"/>
      <w:marBottom w:val="0"/>
      <w:divBdr>
        <w:top w:val="none" w:sz="0" w:space="0" w:color="auto"/>
        <w:left w:val="none" w:sz="0" w:space="0" w:color="auto"/>
        <w:bottom w:val="none" w:sz="0" w:space="0" w:color="auto"/>
        <w:right w:val="none" w:sz="0" w:space="0" w:color="auto"/>
      </w:divBdr>
    </w:div>
    <w:div w:id="1485312693">
      <w:marLeft w:val="0"/>
      <w:marRight w:val="0"/>
      <w:marTop w:val="240"/>
      <w:marBottom w:val="0"/>
      <w:divBdr>
        <w:top w:val="none" w:sz="0" w:space="0" w:color="auto"/>
        <w:left w:val="none" w:sz="0" w:space="0" w:color="auto"/>
        <w:bottom w:val="none" w:sz="0" w:space="0" w:color="auto"/>
        <w:right w:val="none" w:sz="0" w:space="0" w:color="auto"/>
      </w:divBdr>
    </w:div>
    <w:div w:id="1486431146">
      <w:marLeft w:val="0"/>
      <w:marRight w:val="0"/>
      <w:marTop w:val="240"/>
      <w:marBottom w:val="0"/>
      <w:divBdr>
        <w:top w:val="none" w:sz="0" w:space="0" w:color="auto"/>
        <w:left w:val="none" w:sz="0" w:space="0" w:color="auto"/>
        <w:bottom w:val="none" w:sz="0" w:space="0" w:color="auto"/>
        <w:right w:val="none" w:sz="0" w:space="0" w:color="auto"/>
      </w:divBdr>
    </w:div>
    <w:div w:id="1487357100">
      <w:marLeft w:val="0"/>
      <w:marRight w:val="0"/>
      <w:marTop w:val="240"/>
      <w:marBottom w:val="0"/>
      <w:divBdr>
        <w:top w:val="none" w:sz="0" w:space="0" w:color="auto"/>
        <w:left w:val="none" w:sz="0" w:space="0" w:color="auto"/>
        <w:bottom w:val="none" w:sz="0" w:space="0" w:color="auto"/>
        <w:right w:val="none" w:sz="0" w:space="0" w:color="auto"/>
      </w:divBdr>
    </w:div>
    <w:div w:id="1488983404">
      <w:marLeft w:val="0"/>
      <w:marRight w:val="0"/>
      <w:marTop w:val="240"/>
      <w:marBottom w:val="0"/>
      <w:divBdr>
        <w:top w:val="none" w:sz="0" w:space="0" w:color="auto"/>
        <w:left w:val="none" w:sz="0" w:space="0" w:color="auto"/>
        <w:bottom w:val="none" w:sz="0" w:space="0" w:color="auto"/>
        <w:right w:val="none" w:sz="0" w:space="0" w:color="auto"/>
      </w:divBdr>
    </w:div>
    <w:div w:id="1491751658">
      <w:marLeft w:val="0"/>
      <w:marRight w:val="0"/>
      <w:marTop w:val="240"/>
      <w:marBottom w:val="0"/>
      <w:divBdr>
        <w:top w:val="none" w:sz="0" w:space="0" w:color="auto"/>
        <w:left w:val="none" w:sz="0" w:space="0" w:color="auto"/>
        <w:bottom w:val="none" w:sz="0" w:space="0" w:color="auto"/>
        <w:right w:val="none" w:sz="0" w:space="0" w:color="auto"/>
      </w:divBdr>
    </w:div>
    <w:div w:id="1495102455">
      <w:marLeft w:val="0"/>
      <w:marRight w:val="0"/>
      <w:marTop w:val="0"/>
      <w:marBottom w:val="0"/>
      <w:divBdr>
        <w:top w:val="none" w:sz="0" w:space="0" w:color="auto"/>
        <w:left w:val="none" w:sz="0" w:space="0" w:color="auto"/>
        <w:bottom w:val="none" w:sz="0" w:space="0" w:color="auto"/>
        <w:right w:val="none" w:sz="0" w:space="0" w:color="auto"/>
      </w:divBdr>
      <w:divsChild>
        <w:div w:id="272370441">
          <w:marLeft w:val="0"/>
          <w:marRight w:val="0"/>
          <w:marTop w:val="0"/>
          <w:marBottom w:val="0"/>
          <w:divBdr>
            <w:top w:val="none" w:sz="0" w:space="0" w:color="auto"/>
            <w:left w:val="none" w:sz="0" w:space="0" w:color="auto"/>
            <w:bottom w:val="none" w:sz="0" w:space="0" w:color="auto"/>
            <w:right w:val="none" w:sz="0" w:space="0" w:color="auto"/>
          </w:divBdr>
        </w:div>
      </w:divsChild>
    </w:div>
    <w:div w:id="1495609259">
      <w:marLeft w:val="0"/>
      <w:marRight w:val="0"/>
      <w:marTop w:val="180"/>
      <w:marBottom w:val="0"/>
      <w:divBdr>
        <w:top w:val="none" w:sz="0" w:space="0" w:color="auto"/>
        <w:left w:val="none" w:sz="0" w:space="0" w:color="auto"/>
        <w:bottom w:val="none" w:sz="0" w:space="0" w:color="auto"/>
        <w:right w:val="none" w:sz="0" w:space="0" w:color="auto"/>
      </w:divBdr>
    </w:div>
    <w:div w:id="1496872669">
      <w:marLeft w:val="0"/>
      <w:marRight w:val="0"/>
      <w:marTop w:val="160"/>
      <w:marBottom w:val="0"/>
      <w:divBdr>
        <w:top w:val="none" w:sz="0" w:space="0" w:color="auto"/>
        <w:left w:val="none" w:sz="0" w:space="0" w:color="auto"/>
        <w:bottom w:val="none" w:sz="0" w:space="0" w:color="auto"/>
        <w:right w:val="none" w:sz="0" w:space="0" w:color="auto"/>
      </w:divBdr>
    </w:div>
    <w:div w:id="1498837869">
      <w:marLeft w:val="0"/>
      <w:marRight w:val="0"/>
      <w:marTop w:val="240"/>
      <w:marBottom w:val="0"/>
      <w:divBdr>
        <w:top w:val="none" w:sz="0" w:space="0" w:color="auto"/>
        <w:left w:val="none" w:sz="0" w:space="0" w:color="auto"/>
        <w:bottom w:val="none" w:sz="0" w:space="0" w:color="auto"/>
        <w:right w:val="none" w:sz="0" w:space="0" w:color="auto"/>
      </w:divBdr>
    </w:div>
    <w:div w:id="1501189180">
      <w:marLeft w:val="0"/>
      <w:marRight w:val="0"/>
      <w:marTop w:val="240"/>
      <w:marBottom w:val="0"/>
      <w:divBdr>
        <w:top w:val="none" w:sz="0" w:space="0" w:color="auto"/>
        <w:left w:val="none" w:sz="0" w:space="0" w:color="auto"/>
        <w:bottom w:val="none" w:sz="0" w:space="0" w:color="auto"/>
        <w:right w:val="none" w:sz="0" w:space="0" w:color="auto"/>
      </w:divBdr>
    </w:div>
    <w:div w:id="1501198567">
      <w:marLeft w:val="0"/>
      <w:marRight w:val="0"/>
      <w:marTop w:val="200"/>
      <w:marBottom w:val="0"/>
      <w:divBdr>
        <w:top w:val="none" w:sz="0" w:space="0" w:color="auto"/>
        <w:left w:val="none" w:sz="0" w:space="0" w:color="auto"/>
        <w:bottom w:val="none" w:sz="0" w:space="0" w:color="auto"/>
        <w:right w:val="none" w:sz="0" w:space="0" w:color="auto"/>
      </w:divBdr>
    </w:div>
    <w:div w:id="1504199123">
      <w:marLeft w:val="0"/>
      <w:marRight w:val="0"/>
      <w:marTop w:val="0"/>
      <w:marBottom w:val="0"/>
      <w:divBdr>
        <w:top w:val="none" w:sz="0" w:space="0" w:color="auto"/>
        <w:left w:val="none" w:sz="0" w:space="0" w:color="auto"/>
        <w:bottom w:val="none" w:sz="0" w:space="0" w:color="auto"/>
        <w:right w:val="none" w:sz="0" w:space="0" w:color="auto"/>
      </w:divBdr>
      <w:divsChild>
        <w:div w:id="14112956">
          <w:marLeft w:val="0"/>
          <w:marRight w:val="0"/>
          <w:marTop w:val="0"/>
          <w:marBottom w:val="0"/>
          <w:divBdr>
            <w:top w:val="none" w:sz="0" w:space="0" w:color="auto"/>
            <w:left w:val="none" w:sz="0" w:space="0" w:color="auto"/>
            <w:bottom w:val="none" w:sz="0" w:space="0" w:color="auto"/>
            <w:right w:val="none" w:sz="0" w:space="0" w:color="auto"/>
          </w:divBdr>
        </w:div>
      </w:divsChild>
    </w:div>
    <w:div w:id="1507482455">
      <w:marLeft w:val="0"/>
      <w:marRight w:val="0"/>
      <w:marTop w:val="180"/>
      <w:marBottom w:val="0"/>
      <w:divBdr>
        <w:top w:val="none" w:sz="0" w:space="0" w:color="auto"/>
        <w:left w:val="none" w:sz="0" w:space="0" w:color="auto"/>
        <w:bottom w:val="none" w:sz="0" w:space="0" w:color="auto"/>
        <w:right w:val="none" w:sz="0" w:space="0" w:color="auto"/>
      </w:divBdr>
    </w:div>
    <w:div w:id="1509249517">
      <w:marLeft w:val="0"/>
      <w:marRight w:val="0"/>
      <w:marTop w:val="160"/>
      <w:marBottom w:val="0"/>
      <w:divBdr>
        <w:top w:val="none" w:sz="0" w:space="0" w:color="auto"/>
        <w:left w:val="none" w:sz="0" w:space="0" w:color="auto"/>
        <w:bottom w:val="none" w:sz="0" w:space="0" w:color="auto"/>
        <w:right w:val="none" w:sz="0" w:space="0" w:color="auto"/>
      </w:divBdr>
      <w:divsChild>
        <w:div w:id="555825385">
          <w:marLeft w:val="0"/>
          <w:marRight w:val="0"/>
          <w:marTop w:val="0"/>
          <w:marBottom w:val="0"/>
          <w:divBdr>
            <w:top w:val="none" w:sz="0" w:space="0" w:color="auto"/>
            <w:left w:val="none" w:sz="0" w:space="0" w:color="auto"/>
            <w:bottom w:val="none" w:sz="0" w:space="0" w:color="auto"/>
            <w:right w:val="none" w:sz="0" w:space="0" w:color="auto"/>
          </w:divBdr>
        </w:div>
      </w:divsChild>
    </w:div>
    <w:div w:id="1511292118">
      <w:marLeft w:val="0"/>
      <w:marRight w:val="0"/>
      <w:marTop w:val="240"/>
      <w:marBottom w:val="0"/>
      <w:divBdr>
        <w:top w:val="none" w:sz="0" w:space="0" w:color="auto"/>
        <w:left w:val="none" w:sz="0" w:space="0" w:color="auto"/>
        <w:bottom w:val="none" w:sz="0" w:space="0" w:color="auto"/>
        <w:right w:val="none" w:sz="0" w:space="0" w:color="auto"/>
      </w:divBdr>
    </w:div>
    <w:div w:id="1512644299">
      <w:marLeft w:val="0"/>
      <w:marRight w:val="0"/>
      <w:marTop w:val="0"/>
      <w:marBottom w:val="0"/>
      <w:divBdr>
        <w:top w:val="none" w:sz="0" w:space="0" w:color="auto"/>
        <w:left w:val="none" w:sz="0" w:space="0" w:color="auto"/>
        <w:bottom w:val="none" w:sz="0" w:space="0" w:color="auto"/>
        <w:right w:val="none" w:sz="0" w:space="0" w:color="auto"/>
      </w:divBdr>
    </w:div>
    <w:div w:id="1513228552">
      <w:marLeft w:val="0"/>
      <w:marRight w:val="0"/>
      <w:marTop w:val="240"/>
      <w:marBottom w:val="0"/>
      <w:divBdr>
        <w:top w:val="none" w:sz="0" w:space="0" w:color="auto"/>
        <w:left w:val="none" w:sz="0" w:space="0" w:color="auto"/>
        <w:bottom w:val="none" w:sz="0" w:space="0" w:color="auto"/>
        <w:right w:val="none" w:sz="0" w:space="0" w:color="auto"/>
      </w:divBdr>
    </w:div>
    <w:div w:id="1514418689">
      <w:marLeft w:val="0"/>
      <w:marRight w:val="0"/>
      <w:marTop w:val="180"/>
      <w:marBottom w:val="240"/>
      <w:divBdr>
        <w:top w:val="none" w:sz="0" w:space="0" w:color="auto"/>
        <w:left w:val="none" w:sz="0" w:space="0" w:color="auto"/>
        <w:bottom w:val="none" w:sz="0" w:space="0" w:color="auto"/>
        <w:right w:val="none" w:sz="0" w:space="0" w:color="auto"/>
      </w:divBdr>
    </w:div>
    <w:div w:id="1514564963">
      <w:marLeft w:val="0"/>
      <w:marRight w:val="0"/>
      <w:marTop w:val="240"/>
      <w:marBottom w:val="0"/>
      <w:divBdr>
        <w:top w:val="none" w:sz="0" w:space="0" w:color="auto"/>
        <w:left w:val="none" w:sz="0" w:space="0" w:color="auto"/>
        <w:bottom w:val="none" w:sz="0" w:space="0" w:color="auto"/>
        <w:right w:val="none" w:sz="0" w:space="0" w:color="auto"/>
      </w:divBdr>
    </w:div>
    <w:div w:id="1515146141">
      <w:marLeft w:val="0"/>
      <w:marRight w:val="0"/>
      <w:marTop w:val="0"/>
      <w:marBottom w:val="0"/>
      <w:divBdr>
        <w:top w:val="none" w:sz="0" w:space="0" w:color="auto"/>
        <w:left w:val="none" w:sz="0" w:space="0" w:color="auto"/>
        <w:bottom w:val="none" w:sz="0" w:space="0" w:color="auto"/>
        <w:right w:val="none" w:sz="0" w:space="0" w:color="auto"/>
      </w:divBdr>
    </w:div>
    <w:div w:id="1516648611">
      <w:marLeft w:val="0"/>
      <w:marRight w:val="0"/>
      <w:marTop w:val="0"/>
      <w:marBottom w:val="0"/>
      <w:divBdr>
        <w:top w:val="none" w:sz="0" w:space="0" w:color="auto"/>
        <w:left w:val="none" w:sz="0" w:space="0" w:color="auto"/>
        <w:bottom w:val="none" w:sz="0" w:space="0" w:color="auto"/>
        <w:right w:val="none" w:sz="0" w:space="0" w:color="auto"/>
      </w:divBdr>
      <w:divsChild>
        <w:div w:id="1528060807">
          <w:marLeft w:val="0"/>
          <w:marRight w:val="0"/>
          <w:marTop w:val="0"/>
          <w:marBottom w:val="0"/>
          <w:divBdr>
            <w:top w:val="none" w:sz="0" w:space="0" w:color="auto"/>
            <w:left w:val="none" w:sz="0" w:space="0" w:color="auto"/>
            <w:bottom w:val="none" w:sz="0" w:space="0" w:color="auto"/>
            <w:right w:val="none" w:sz="0" w:space="0" w:color="auto"/>
          </w:divBdr>
          <w:divsChild>
            <w:div w:id="105331083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516919919">
      <w:marLeft w:val="0"/>
      <w:marRight w:val="0"/>
      <w:marTop w:val="140"/>
      <w:marBottom w:val="0"/>
      <w:divBdr>
        <w:top w:val="none" w:sz="0" w:space="0" w:color="auto"/>
        <w:left w:val="none" w:sz="0" w:space="0" w:color="auto"/>
        <w:bottom w:val="none" w:sz="0" w:space="0" w:color="auto"/>
        <w:right w:val="none" w:sz="0" w:space="0" w:color="auto"/>
      </w:divBdr>
    </w:div>
    <w:div w:id="1518108139">
      <w:marLeft w:val="0"/>
      <w:marRight w:val="0"/>
      <w:marTop w:val="240"/>
      <w:marBottom w:val="240"/>
      <w:divBdr>
        <w:top w:val="none" w:sz="0" w:space="0" w:color="auto"/>
        <w:left w:val="none" w:sz="0" w:space="0" w:color="auto"/>
        <w:bottom w:val="none" w:sz="0" w:space="0" w:color="auto"/>
        <w:right w:val="none" w:sz="0" w:space="0" w:color="auto"/>
      </w:divBdr>
    </w:div>
    <w:div w:id="1521502767">
      <w:marLeft w:val="0"/>
      <w:marRight w:val="0"/>
      <w:marTop w:val="180"/>
      <w:marBottom w:val="0"/>
      <w:divBdr>
        <w:top w:val="none" w:sz="0" w:space="0" w:color="auto"/>
        <w:left w:val="none" w:sz="0" w:space="0" w:color="auto"/>
        <w:bottom w:val="none" w:sz="0" w:space="0" w:color="auto"/>
        <w:right w:val="none" w:sz="0" w:space="0" w:color="auto"/>
      </w:divBdr>
    </w:div>
    <w:div w:id="1521699285">
      <w:marLeft w:val="0"/>
      <w:marRight w:val="0"/>
      <w:marTop w:val="0"/>
      <w:marBottom w:val="0"/>
      <w:divBdr>
        <w:top w:val="none" w:sz="0" w:space="0" w:color="auto"/>
        <w:left w:val="none" w:sz="0" w:space="0" w:color="auto"/>
        <w:bottom w:val="none" w:sz="0" w:space="0" w:color="auto"/>
        <w:right w:val="none" w:sz="0" w:space="0" w:color="auto"/>
      </w:divBdr>
      <w:divsChild>
        <w:div w:id="1120415766">
          <w:marLeft w:val="0"/>
          <w:marRight w:val="0"/>
          <w:marTop w:val="120"/>
          <w:marBottom w:val="0"/>
          <w:divBdr>
            <w:top w:val="none" w:sz="0" w:space="0" w:color="auto"/>
            <w:left w:val="none" w:sz="0" w:space="0" w:color="auto"/>
            <w:bottom w:val="none" w:sz="0" w:space="0" w:color="auto"/>
            <w:right w:val="none" w:sz="0" w:space="0" w:color="auto"/>
          </w:divBdr>
        </w:div>
      </w:divsChild>
    </w:div>
    <w:div w:id="1526165753">
      <w:marLeft w:val="0"/>
      <w:marRight w:val="0"/>
      <w:marTop w:val="240"/>
      <w:marBottom w:val="0"/>
      <w:divBdr>
        <w:top w:val="none" w:sz="0" w:space="0" w:color="auto"/>
        <w:left w:val="none" w:sz="0" w:space="0" w:color="auto"/>
        <w:bottom w:val="none" w:sz="0" w:space="0" w:color="auto"/>
        <w:right w:val="none" w:sz="0" w:space="0" w:color="auto"/>
      </w:divBdr>
    </w:div>
    <w:div w:id="1527215789">
      <w:marLeft w:val="0"/>
      <w:marRight w:val="0"/>
      <w:marTop w:val="0"/>
      <w:marBottom w:val="0"/>
      <w:divBdr>
        <w:top w:val="none" w:sz="0" w:space="0" w:color="auto"/>
        <w:left w:val="none" w:sz="0" w:space="0" w:color="auto"/>
        <w:bottom w:val="none" w:sz="0" w:space="0" w:color="auto"/>
        <w:right w:val="none" w:sz="0" w:space="0" w:color="auto"/>
      </w:divBdr>
      <w:divsChild>
        <w:div w:id="1598706936">
          <w:marLeft w:val="0"/>
          <w:marRight w:val="0"/>
          <w:marTop w:val="0"/>
          <w:marBottom w:val="0"/>
          <w:divBdr>
            <w:top w:val="none" w:sz="0" w:space="0" w:color="auto"/>
            <w:left w:val="none" w:sz="0" w:space="0" w:color="auto"/>
            <w:bottom w:val="none" w:sz="0" w:space="0" w:color="auto"/>
            <w:right w:val="none" w:sz="0" w:space="0" w:color="auto"/>
          </w:divBdr>
        </w:div>
      </w:divsChild>
    </w:div>
    <w:div w:id="1528831198">
      <w:marLeft w:val="0"/>
      <w:marRight w:val="0"/>
      <w:marTop w:val="240"/>
      <w:marBottom w:val="0"/>
      <w:divBdr>
        <w:top w:val="none" w:sz="0" w:space="0" w:color="auto"/>
        <w:left w:val="none" w:sz="0" w:space="0" w:color="auto"/>
        <w:bottom w:val="none" w:sz="0" w:space="0" w:color="auto"/>
        <w:right w:val="none" w:sz="0" w:space="0" w:color="auto"/>
      </w:divBdr>
    </w:div>
    <w:div w:id="1528955742">
      <w:marLeft w:val="0"/>
      <w:marRight w:val="0"/>
      <w:marTop w:val="120"/>
      <w:marBottom w:val="0"/>
      <w:divBdr>
        <w:top w:val="none" w:sz="0" w:space="0" w:color="auto"/>
        <w:left w:val="none" w:sz="0" w:space="0" w:color="auto"/>
        <w:bottom w:val="none" w:sz="0" w:space="0" w:color="auto"/>
        <w:right w:val="none" w:sz="0" w:space="0" w:color="auto"/>
      </w:divBdr>
    </w:div>
    <w:div w:id="1530529673">
      <w:marLeft w:val="0"/>
      <w:marRight w:val="0"/>
      <w:marTop w:val="240"/>
      <w:marBottom w:val="0"/>
      <w:divBdr>
        <w:top w:val="none" w:sz="0" w:space="0" w:color="auto"/>
        <w:left w:val="none" w:sz="0" w:space="0" w:color="auto"/>
        <w:bottom w:val="none" w:sz="0" w:space="0" w:color="auto"/>
        <w:right w:val="none" w:sz="0" w:space="0" w:color="auto"/>
      </w:divBdr>
    </w:div>
    <w:div w:id="1531257726">
      <w:marLeft w:val="0"/>
      <w:marRight w:val="0"/>
      <w:marTop w:val="240"/>
      <w:marBottom w:val="0"/>
      <w:divBdr>
        <w:top w:val="none" w:sz="0" w:space="0" w:color="auto"/>
        <w:left w:val="none" w:sz="0" w:space="0" w:color="auto"/>
        <w:bottom w:val="none" w:sz="0" w:space="0" w:color="auto"/>
        <w:right w:val="none" w:sz="0" w:space="0" w:color="auto"/>
      </w:divBdr>
    </w:div>
    <w:div w:id="1535188014">
      <w:marLeft w:val="0"/>
      <w:marRight w:val="0"/>
      <w:marTop w:val="240"/>
      <w:marBottom w:val="0"/>
      <w:divBdr>
        <w:top w:val="none" w:sz="0" w:space="0" w:color="auto"/>
        <w:left w:val="none" w:sz="0" w:space="0" w:color="auto"/>
        <w:bottom w:val="none" w:sz="0" w:space="0" w:color="auto"/>
        <w:right w:val="none" w:sz="0" w:space="0" w:color="auto"/>
      </w:divBdr>
    </w:div>
    <w:div w:id="1535650479">
      <w:marLeft w:val="0"/>
      <w:marRight w:val="0"/>
      <w:marTop w:val="240"/>
      <w:marBottom w:val="0"/>
      <w:divBdr>
        <w:top w:val="none" w:sz="0" w:space="0" w:color="auto"/>
        <w:left w:val="none" w:sz="0" w:space="0" w:color="auto"/>
        <w:bottom w:val="none" w:sz="0" w:space="0" w:color="auto"/>
        <w:right w:val="none" w:sz="0" w:space="0" w:color="auto"/>
      </w:divBdr>
    </w:div>
    <w:div w:id="1542597924">
      <w:marLeft w:val="0"/>
      <w:marRight w:val="0"/>
      <w:marTop w:val="0"/>
      <w:marBottom w:val="0"/>
      <w:divBdr>
        <w:top w:val="none" w:sz="0" w:space="0" w:color="auto"/>
        <w:left w:val="none" w:sz="0" w:space="0" w:color="auto"/>
        <w:bottom w:val="none" w:sz="0" w:space="0" w:color="auto"/>
        <w:right w:val="none" w:sz="0" w:space="0" w:color="auto"/>
      </w:divBdr>
    </w:div>
    <w:div w:id="1543246998">
      <w:marLeft w:val="0"/>
      <w:marRight w:val="0"/>
      <w:marTop w:val="60"/>
      <w:marBottom w:val="0"/>
      <w:divBdr>
        <w:top w:val="none" w:sz="0" w:space="0" w:color="auto"/>
        <w:left w:val="none" w:sz="0" w:space="0" w:color="auto"/>
        <w:bottom w:val="none" w:sz="0" w:space="0" w:color="auto"/>
        <w:right w:val="none" w:sz="0" w:space="0" w:color="auto"/>
      </w:divBdr>
    </w:div>
    <w:div w:id="1543635601">
      <w:marLeft w:val="0"/>
      <w:marRight w:val="0"/>
      <w:marTop w:val="0"/>
      <w:marBottom w:val="0"/>
      <w:divBdr>
        <w:top w:val="none" w:sz="0" w:space="0" w:color="auto"/>
        <w:left w:val="none" w:sz="0" w:space="0" w:color="auto"/>
        <w:bottom w:val="none" w:sz="0" w:space="0" w:color="auto"/>
        <w:right w:val="none" w:sz="0" w:space="0" w:color="auto"/>
      </w:divBdr>
      <w:divsChild>
        <w:div w:id="1381131804">
          <w:marLeft w:val="0"/>
          <w:marRight w:val="0"/>
          <w:marTop w:val="0"/>
          <w:marBottom w:val="0"/>
          <w:divBdr>
            <w:top w:val="none" w:sz="0" w:space="0" w:color="auto"/>
            <w:left w:val="none" w:sz="0" w:space="0" w:color="auto"/>
            <w:bottom w:val="none" w:sz="0" w:space="0" w:color="auto"/>
            <w:right w:val="none" w:sz="0" w:space="0" w:color="auto"/>
          </w:divBdr>
          <w:divsChild>
            <w:div w:id="153165215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543787439">
      <w:marLeft w:val="0"/>
      <w:marRight w:val="0"/>
      <w:marTop w:val="240"/>
      <w:marBottom w:val="0"/>
      <w:divBdr>
        <w:top w:val="none" w:sz="0" w:space="0" w:color="auto"/>
        <w:left w:val="none" w:sz="0" w:space="0" w:color="auto"/>
        <w:bottom w:val="none" w:sz="0" w:space="0" w:color="auto"/>
        <w:right w:val="none" w:sz="0" w:space="0" w:color="auto"/>
      </w:divBdr>
    </w:div>
    <w:div w:id="1545288696">
      <w:marLeft w:val="0"/>
      <w:marRight w:val="0"/>
      <w:marTop w:val="0"/>
      <w:marBottom w:val="0"/>
      <w:divBdr>
        <w:top w:val="none" w:sz="0" w:space="0" w:color="auto"/>
        <w:left w:val="none" w:sz="0" w:space="0" w:color="auto"/>
        <w:bottom w:val="none" w:sz="0" w:space="0" w:color="auto"/>
        <w:right w:val="none" w:sz="0" w:space="0" w:color="auto"/>
      </w:divBdr>
      <w:divsChild>
        <w:div w:id="251358011">
          <w:marLeft w:val="0"/>
          <w:marRight w:val="0"/>
          <w:marTop w:val="0"/>
          <w:marBottom w:val="0"/>
          <w:divBdr>
            <w:top w:val="none" w:sz="0" w:space="0" w:color="auto"/>
            <w:left w:val="none" w:sz="0" w:space="0" w:color="auto"/>
            <w:bottom w:val="none" w:sz="0" w:space="0" w:color="auto"/>
            <w:right w:val="none" w:sz="0" w:space="0" w:color="auto"/>
          </w:divBdr>
          <w:divsChild>
            <w:div w:id="97972819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546287437">
      <w:marLeft w:val="0"/>
      <w:marRight w:val="0"/>
      <w:marTop w:val="240"/>
      <w:marBottom w:val="0"/>
      <w:divBdr>
        <w:top w:val="none" w:sz="0" w:space="0" w:color="auto"/>
        <w:left w:val="none" w:sz="0" w:space="0" w:color="auto"/>
        <w:bottom w:val="none" w:sz="0" w:space="0" w:color="auto"/>
        <w:right w:val="none" w:sz="0" w:space="0" w:color="auto"/>
      </w:divBdr>
    </w:div>
    <w:div w:id="1549493759">
      <w:marLeft w:val="0"/>
      <w:marRight w:val="0"/>
      <w:marTop w:val="200"/>
      <w:marBottom w:val="0"/>
      <w:divBdr>
        <w:top w:val="none" w:sz="0" w:space="0" w:color="auto"/>
        <w:left w:val="none" w:sz="0" w:space="0" w:color="auto"/>
        <w:bottom w:val="none" w:sz="0" w:space="0" w:color="auto"/>
        <w:right w:val="none" w:sz="0" w:space="0" w:color="auto"/>
      </w:divBdr>
    </w:div>
    <w:div w:id="1551919733">
      <w:marLeft w:val="0"/>
      <w:marRight w:val="0"/>
      <w:marTop w:val="240"/>
      <w:marBottom w:val="0"/>
      <w:divBdr>
        <w:top w:val="none" w:sz="0" w:space="0" w:color="auto"/>
        <w:left w:val="none" w:sz="0" w:space="0" w:color="auto"/>
        <w:bottom w:val="none" w:sz="0" w:space="0" w:color="auto"/>
        <w:right w:val="none" w:sz="0" w:space="0" w:color="auto"/>
      </w:divBdr>
    </w:div>
    <w:div w:id="1553810985">
      <w:marLeft w:val="0"/>
      <w:marRight w:val="0"/>
      <w:marTop w:val="200"/>
      <w:marBottom w:val="0"/>
      <w:divBdr>
        <w:top w:val="none" w:sz="0" w:space="0" w:color="auto"/>
        <w:left w:val="none" w:sz="0" w:space="0" w:color="auto"/>
        <w:bottom w:val="none" w:sz="0" w:space="0" w:color="auto"/>
        <w:right w:val="none" w:sz="0" w:space="0" w:color="auto"/>
      </w:divBdr>
    </w:div>
    <w:div w:id="1556700275">
      <w:marLeft w:val="0"/>
      <w:marRight w:val="0"/>
      <w:marTop w:val="0"/>
      <w:marBottom w:val="0"/>
      <w:divBdr>
        <w:top w:val="none" w:sz="0" w:space="0" w:color="auto"/>
        <w:left w:val="none" w:sz="0" w:space="0" w:color="auto"/>
        <w:bottom w:val="none" w:sz="0" w:space="0" w:color="auto"/>
        <w:right w:val="none" w:sz="0" w:space="0" w:color="auto"/>
      </w:divBdr>
      <w:divsChild>
        <w:div w:id="1388257538">
          <w:marLeft w:val="0"/>
          <w:marRight w:val="0"/>
          <w:marTop w:val="0"/>
          <w:marBottom w:val="0"/>
          <w:divBdr>
            <w:top w:val="none" w:sz="0" w:space="0" w:color="auto"/>
            <w:left w:val="none" w:sz="0" w:space="0" w:color="auto"/>
            <w:bottom w:val="none" w:sz="0" w:space="0" w:color="auto"/>
            <w:right w:val="none" w:sz="0" w:space="0" w:color="auto"/>
          </w:divBdr>
          <w:divsChild>
            <w:div w:id="13869353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559248497">
      <w:marLeft w:val="0"/>
      <w:marRight w:val="0"/>
      <w:marTop w:val="240"/>
      <w:marBottom w:val="0"/>
      <w:divBdr>
        <w:top w:val="none" w:sz="0" w:space="0" w:color="auto"/>
        <w:left w:val="none" w:sz="0" w:space="0" w:color="auto"/>
        <w:bottom w:val="none" w:sz="0" w:space="0" w:color="auto"/>
        <w:right w:val="none" w:sz="0" w:space="0" w:color="auto"/>
      </w:divBdr>
    </w:div>
    <w:div w:id="1565414683">
      <w:marLeft w:val="0"/>
      <w:marRight w:val="0"/>
      <w:marTop w:val="120"/>
      <w:marBottom w:val="0"/>
      <w:divBdr>
        <w:top w:val="none" w:sz="0" w:space="0" w:color="auto"/>
        <w:left w:val="none" w:sz="0" w:space="0" w:color="auto"/>
        <w:bottom w:val="none" w:sz="0" w:space="0" w:color="auto"/>
        <w:right w:val="none" w:sz="0" w:space="0" w:color="auto"/>
      </w:divBdr>
    </w:div>
    <w:div w:id="1567255943">
      <w:marLeft w:val="0"/>
      <w:marRight w:val="0"/>
      <w:marTop w:val="60"/>
      <w:marBottom w:val="0"/>
      <w:divBdr>
        <w:top w:val="none" w:sz="0" w:space="0" w:color="auto"/>
        <w:left w:val="none" w:sz="0" w:space="0" w:color="auto"/>
        <w:bottom w:val="none" w:sz="0" w:space="0" w:color="auto"/>
        <w:right w:val="none" w:sz="0" w:space="0" w:color="auto"/>
      </w:divBdr>
    </w:div>
    <w:div w:id="1568344023">
      <w:marLeft w:val="0"/>
      <w:marRight w:val="0"/>
      <w:marTop w:val="240"/>
      <w:marBottom w:val="0"/>
      <w:divBdr>
        <w:top w:val="none" w:sz="0" w:space="0" w:color="auto"/>
        <w:left w:val="none" w:sz="0" w:space="0" w:color="auto"/>
        <w:bottom w:val="none" w:sz="0" w:space="0" w:color="auto"/>
        <w:right w:val="none" w:sz="0" w:space="0" w:color="auto"/>
      </w:divBdr>
    </w:div>
    <w:div w:id="1568495256">
      <w:marLeft w:val="0"/>
      <w:marRight w:val="0"/>
      <w:marTop w:val="240"/>
      <w:marBottom w:val="0"/>
      <w:divBdr>
        <w:top w:val="none" w:sz="0" w:space="0" w:color="auto"/>
        <w:left w:val="none" w:sz="0" w:space="0" w:color="auto"/>
        <w:bottom w:val="none" w:sz="0" w:space="0" w:color="auto"/>
        <w:right w:val="none" w:sz="0" w:space="0" w:color="auto"/>
      </w:divBdr>
    </w:div>
    <w:div w:id="1569607208">
      <w:marLeft w:val="0"/>
      <w:marRight w:val="0"/>
      <w:marTop w:val="200"/>
      <w:marBottom w:val="0"/>
      <w:divBdr>
        <w:top w:val="none" w:sz="0" w:space="0" w:color="auto"/>
        <w:left w:val="none" w:sz="0" w:space="0" w:color="auto"/>
        <w:bottom w:val="none" w:sz="0" w:space="0" w:color="auto"/>
        <w:right w:val="none" w:sz="0" w:space="0" w:color="auto"/>
      </w:divBdr>
    </w:div>
    <w:div w:id="1569993856">
      <w:marLeft w:val="0"/>
      <w:marRight w:val="0"/>
      <w:marTop w:val="240"/>
      <w:marBottom w:val="0"/>
      <w:divBdr>
        <w:top w:val="none" w:sz="0" w:space="0" w:color="auto"/>
        <w:left w:val="none" w:sz="0" w:space="0" w:color="auto"/>
        <w:bottom w:val="none" w:sz="0" w:space="0" w:color="auto"/>
        <w:right w:val="none" w:sz="0" w:space="0" w:color="auto"/>
      </w:divBdr>
    </w:div>
    <w:div w:id="1570457443">
      <w:marLeft w:val="0"/>
      <w:marRight w:val="0"/>
      <w:marTop w:val="180"/>
      <w:marBottom w:val="0"/>
      <w:divBdr>
        <w:top w:val="none" w:sz="0" w:space="0" w:color="auto"/>
        <w:left w:val="none" w:sz="0" w:space="0" w:color="auto"/>
        <w:bottom w:val="none" w:sz="0" w:space="0" w:color="auto"/>
        <w:right w:val="none" w:sz="0" w:space="0" w:color="auto"/>
      </w:divBdr>
    </w:div>
    <w:div w:id="1571231819">
      <w:marLeft w:val="0"/>
      <w:marRight w:val="0"/>
      <w:marTop w:val="240"/>
      <w:marBottom w:val="0"/>
      <w:divBdr>
        <w:top w:val="none" w:sz="0" w:space="0" w:color="auto"/>
        <w:left w:val="none" w:sz="0" w:space="0" w:color="auto"/>
        <w:bottom w:val="none" w:sz="0" w:space="0" w:color="auto"/>
        <w:right w:val="none" w:sz="0" w:space="0" w:color="auto"/>
      </w:divBdr>
    </w:div>
    <w:div w:id="1571699020">
      <w:marLeft w:val="0"/>
      <w:marRight w:val="0"/>
      <w:marTop w:val="270"/>
      <w:marBottom w:val="0"/>
      <w:divBdr>
        <w:top w:val="none" w:sz="0" w:space="0" w:color="auto"/>
        <w:left w:val="none" w:sz="0" w:space="0" w:color="auto"/>
        <w:bottom w:val="none" w:sz="0" w:space="0" w:color="auto"/>
        <w:right w:val="none" w:sz="0" w:space="0" w:color="auto"/>
      </w:divBdr>
    </w:div>
    <w:div w:id="1572420148">
      <w:marLeft w:val="0"/>
      <w:marRight w:val="0"/>
      <w:marTop w:val="200"/>
      <w:marBottom w:val="0"/>
      <w:divBdr>
        <w:top w:val="none" w:sz="0" w:space="0" w:color="auto"/>
        <w:left w:val="none" w:sz="0" w:space="0" w:color="auto"/>
        <w:bottom w:val="none" w:sz="0" w:space="0" w:color="auto"/>
        <w:right w:val="none" w:sz="0" w:space="0" w:color="auto"/>
      </w:divBdr>
    </w:div>
    <w:div w:id="1572695450">
      <w:marLeft w:val="0"/>
      <w:marRight w:val="0"/>
      <w:marTop w:val="300"/>
      <w:marBottom w:val="0"/>
      <w:divBdr>
        <w:top w:val="none" w:sz="0" w:space="0" w:color="auto"/>
        <w:left w:val="none" w:sz="0" w:space="0" w:color="auto"/>
        <w:bottom w:val="none" w:sz="0" w:space="0" w:color="auto"/>
        <w:right w:val="none" w:sz="0" w:space="0" w:color="auto"/>
      </w:divBdr>
    </w:div>
    <w:div w:id="1573278080">
      <w:marLeft w:val="0"/>
      <w:marRight w:val="0"/>
      <w:marTop w:val="0"/>
      <w:marBottom w:val="0"/>
      <w:divBdr>
        <w:top w:val="none" w:sz="0" w:space="0" w:color="auto"/>
        <w:left w:val="none" w:sz="0" w:space="0" w:color="auto"/>
        <w:bottom w:val="none" w:sz="0" w:space="0" w:color="auto"/>
        <w:right w:val="none" w:sz="0" w:space="0" w:color="auto"/>
      </w:divBdr>
      <w:divsChild>
        <w:div w:id="661391393">
          <w:marLeft w:val="0"/>
          <w:marRight w:val="0"/>
          <w:marTop w:val="0"/>
          <w:marBottom w:val="0"/>
          <w:divBdr>
            <w:top w:val="none" w:sz="0" w:space="0" w:color="auto"/>
            <w:left w:val="none" w:sz="0" w:space="0" w:color="auto"/>
            <w:bottom w:val="none" w:sz="0" w:space="0" w:color="auto"/>
            <w:right w:val="none" w:sz="0" w:space="0" w:color="auto"/>
          </w:divBdr>
        </w:div>
      </w:divsChild>
    </w:div>
    <w:div w:id="1574389276">
      <w:marLeft w:val="0"/>
      <w:marRight w:val="0"/>
      <w:marTop w:val="240"/>
      <w:marBottom w:val="0"/>
      <w:divBdr>
        <w:top w:val="none" w:sz="0" w:space="0" w:color="auto"/>
        <w:left w:val="none" w:sz="0" w:space="0" w:color="auto"/>
        <w:bottom w:val="none" w:sz="0" w:space="0" w:color="auto"/>
        <w:right w:val="none" w:sz="0" w:space="0" w:color="auto"/>
      </w:divBdr>
    </w:div>
    <w:div w:id="1575621679">
      <w:marLeft w:val="0"/>
      <w:marRight w:val="0"/>
      <w:marTop w:val="200"/>
      <w:marBottom w:val="0"/>
      <w:divBdr>
        <w:top w:val="none" w:sz="0" w:space="0" w:color="auto"/>
        <w:left w:val="none" w:sz="0" w:space="0" w:color="auto"/>
        <w:bottom w:val="none" w:sz="0" w:space="0" w:color="auto"/>
        <w:right w:val="none" w:sz="0" w:space="0" w:color="auto"/>
      </w:divBdr>
    </w:div>
    <w:div w:id="1577086700">
      <w:marLeft w:val="0"/>
      <w:marRight w:val="0"/>
      <w:marTop w:val="100"/>
      <w:marBottom w:val="0"/>
      <w:divBdr>
        <w:top w:val="none" w:sz="0" w:space="0" w:color="auto"/>
        <w:left w:val="none" w:sz="0" w:space="0" w:color="auto"/>
        <w:bottom w:val="none" w:sz="0" w:space="0" w:color="auto"/>
        <w:right w:val="none" w:sz="0" w:space="0" w:color="auto"/>
      </w:divBdr>
      <w:divsChild>
        <w:div w:id="1624922041">
          <w:marLeft w:val="0"/>
          <w:marRight w:val="0"/>
          <w:marTop w:val="0"/>
          <w:marBottom w:val="0"/>
          <w:divBdr>
            <w:top w:val="none" w:sz="0" w:space="0" w:color="auto"/>
            <w:left w:val="none" w:sz="0" w:space="0" w:color="auto"/>
            <w:bottom w:val="none" w:sz="0" w:space="0" w:color="auto"/>
            <w:right w:val="none" w:sz="0" w:space="0" w:color="auto"/>
          </w:divBdr>
        </w:div>
      </w:divsChild>
    </w:div>
    <w:div w:id="1578242176">
      <w:marLeft w:val="0"/>
      <w:marRight w:val="0"/>
      <w:marTop w:val="0"/>
      <w:marBottom w:val="0"/>
      <w:divBdr>
        <w:top w:val="none" w:sz="0" w:space="0" w:color="auto"/>
        <w:left w:val="none" w:sz="0" w:space="0" w:color="auto"/>
        <w:bottom w:val="none" w:sz="0" w:space="0" w:color="auto"/>
        <w:right w:val="none" w:sz="0" w:space="0" w:color="auto"/>
      </w:divBdr>
      <w:divsChild>
        <w:div w:id="180164392">
          <w:marLeft w:val="0"/>
          <w:marRight w:val="0"/>
          <w:marTop w:val="0"/>
          <w:marBottom w:val="0"/>
          <w:divBdr>
            <w:top w:val="none" w:sz="0" w:space="0" w:color="auto"/>
            <w:left w:val="none" w:sz="0" w:space="0" w:color="auto"/>
            <w:bottom w:val="none" w:sz="0" w:space="0" w:color="auto"/>
            <w:right w:val="none" w:sz="0" w:space="0" w:color="auto"/>
          </w:divBdr>
          <w:divsChild>
            <w:div w:id="1850595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578515547">
      <w:marLeft w:val="0"/>
      <w:marRight w:val="0"/>
      <w:marTop w:val="240"/>
      <w:marBottom w:val="0"/>
      <w:divBdr>
        <w:top w:val="none" w:sz="0" w:space="0" w:color="auto"/>
        <w:left w:val="none" w:sz="0" w:space="0" w:color="auto"/>
        <w:bottom w:val="none" w:sz="0" w:space="0" w:color="auto"/>
        <w:right w:val="none" w:sz="0" w:space="0" w:color="auto"/>
      </w:divBdr>
    </w:div>
    <w:div w:id="1579708908">
      <w:marLeft w:val="0"/>
      <w:marRight w:val="0"/>
      <w:marTop w:val="240"/>
      <w:marBottom w:val="0"/>
      <w:divBdr>
        <w:top w:val="none" w:sz="0" w:space="0" w:color="auto"/>
        <w:left w:val="none" w:sz="0" w:space="0" w:color="auto"/>
        <w:bottom w:val="none" w:sz="0" w:space="0" w:color="auto"/>
        <w:right w:val="none" w:sz="0" w:space="0" w:color="auto"/>
      </w:divBdr>
    </w:div>
    <w:div w:id="1580478988">
      <w:marLeft w:val="0"/>
      <w:marRight w:val="0"/>
      <w:marTop w:val="0"/>
      <w:marBottom w:val="0"/>
      <w:divBdr>
        <w:top w:val="none" w:sz="0" w:space="0" w:color="auto"/>
        <w:left w:val="none" w:sz="0" w:space="0" w:color="auto"/>
        <w:bottom w:val="none" w:sz="0" w:space="0" w:color="auto"/>
        <w:right w:val="none" w:sz="0" w:space="0" w:color="auto"/>
      </w:divBdr>
      <w:divsChild>
        <w:div w:id="1911232863">
          <w:marLeft w:val="0"/>
          <w:marRight w:val="0"/>
          <w:marTop w:val="0"/>
          <w:marBottom w:val="0"/>
          <w:divBdr>
            <w:top w:val="none" w:sz="0" w:space="0" w:color="auto"/>
            <w:left w:val="none" w:sz="0" w:space="0" w:color="auto"/>
            <w:bottom w:val="none" w:sz="0" w:space="0" w:color="auto"/>
            <w:right w:val="none" w:sz="0" w:space="0" w:color="auto"/>
          </w:divBdr>
        </w:div>
      </w:divsChild>
    </w:div>
    <w:div w:id="1580627916">
      <w:marLeft w:val="0"/>
      <w:marRight w:val="0"/>
      <w:marTop w:val="240"/>
      <w:marBottom w:val="0"/>
      <w:divBdr>
        <w:top w:val="none" w:sz="0" w:space="0" w:color="auto"/>
        <w:left w:val="none" w:sz="0" w:space="0" w:color="auto"/>
        <w:bottom w:val="none" w:sz="0" w:space="0" w:color="auto"/>
        <w:right w:val="none" w:sz="0" w:space="0" w:color="auto"/>
      </w:divBdr>
    </w:div>
    <w:div w:id="1582325399">
      <w:marLeft w:val="0"/>
      <w:marRight w:val="0"/>
      <w:marTop w:val="240"/>
      <w:marBottom w:val="0"/>
      <w:divBdr>
        <w:top w:val="none" w:sz="0" w:space="0" w:color="auto"/>
        <w:left w:val="none" w:sz="0" w:space="0" w:color="auto"/>
        <w:bottom w:val="none" w:sz="0" w:space="0" w:color="auto"/>
        <w:right w:val="none" w:sz="0" w:space="0" w:color="auto"/>
      </w:divBdr>
    </w:div>
    <w:div w:id="1583295262">
      <w:marLeft w:val="0"/>
      <w:marRight w:val="0"/>
      <w:marTop w:val="0"/>
      <w:marBottom w:val="0"/>
      <w:divBdr>
        <w:top w:val="none" w:sz="0" w:space="0" w:color="auto"/>
        <w:left w:val="none" w:sz="0" w:space="0" w:color="auto"/>
        <w:bottom w:val="none" w:sz="0" w:space="0" w:color="auto"/>
        <w:right w:val="none" w:sz="0" w:space="0" w:color="auto"/>
      </w:divBdr>
      <w:divsChild>
        <w:div w:id="72430641">
          <w:marLeft w:val="0"/>
          <w:marRight w:val="0"/>
          <w:marTop w:val="0"/>
          <w:marBottom w:val="0"/>
          <w:divBdr>
            <w:top w:val="none" w:sz="0" w:space="0" w:color="auto"/>
            <w:left w:val="none" w:sz="0" w:space="0" w:color="auto"/>
            <w:bottom w:val="none" w:sz="0" w:space="0" w:color="auto"/>
            <w:right w:val="none" w:sz="0" w:space="0" w:color="auto"/>
          </w:divBdr>
          <w:divsChild>
            <w:div w:id="209728455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583636957">
      <w:marLeft w:val="0"/>
      <w:marRight w:val="0"/>
      <w:marTop w:val="240"/>
      <w:marBottom w:val="0"/>
      <w:divBdr>
        <w:top w:val="none" w:sz="0" w:space="0" w:color="auto"/>
        <w:left w:val="none" w:sz="0" w:space="0" w:color="auto"/>
        <w:bottom w:val="none" w:sz="0" w:space="0" w:color="auto"/>
        <w:right w:val="none" w:sz="0" w:space="0" w:color="auto"/>
      </w:divBdr>
    </w:div>
    <w:div w:id="1586526874">
      <w:marLeft w:val="0"/>
      <w:marRight w:val="0"/>
      <w:marTop w:val="100"/>
      <w:marBottom w:val="180"/>
      <w:divBdr>
        <w:top w:val="none" w:sz="0" w:space="0" w:color="auto"/>
        <w:left w:val="none" w:sz="0" w:space="0" w:color="auto"/>
        <w:bottom w:val="none" w:sz="0" w:space="0" w:color="auto"/>
        <w:right w:val="none" w:sz="0" w:space="0" w:color="auto"/>
      </w:divBdr>
    </w:div>
    <w:div w:id="1586769813">
      <w:marLeft w:val="0"/>
      <w:marRight w:val="0"/>
      <w:marTop w:val="60"/>
      <w:marBottom w:val="180"/>
      <w:divBdr>
        <w:top w:val="none" w:sz="0" w:space="0" w:color="auto"/>
        <w:left w:val="none" w:sz="0" w:space="0" w:color="auto"/>
        <w:bottom w:val="none" w:sz="0" w:space="0" w:color="auto"/>
        <w:right w:val="none" w:sz="0" w:space="0" w:color="auto"/>
      </w:divBdr>
    </w:div>
    <w:div w:id="1588146522">
      <w:marLeft w:val="0"/>
      <w:marRight w:val="0"/>
      <w:marTop w:val="100"/>
      <w:marBottom w:val="0"/>
      <w:divBdr>
        <w:top w:val="none" w:sz="0" w:space="0" w:color="auto"/>
        <w:left w:val="none" w:sz="0" w:space="0" w:color="auto"/>
        <w:bottom w:val="none" w:sz="0" w:space="0" w:color="auto"/>
        <w:right w:val="none" w:sz="0" w:space="0" w:color="auto"/>
      </w:divBdr>
      <w:divsChild>
        <w:div w:id="970283388">
          <w:marLeft w:val="0"/>
          <w:marRight w:val="0"/>
          <w:marTop w:val="0"/>
          <w:marBottom w:val="0"/>
          <w:divBdr>
            <w:top w:val="none" w:sz="0" w:space="0" w:color="auto"/>
            <w:left w:val="none" w:sz="0" w:space="0" w:color="auto"/>
            <w:bottom w:val="none" w:sz="0" w:space="0" w:color="auto"/>
            <w:right w:val="none" w:sz="0" w:space="0" w:color="auto"/>
          </w:divBdr>
        </w:div>
      </w:divsChild>
    </w:div>
    <w:div w:id="1588225909">
      <w:marLeft w:val="0"/>
      <w:marRight w:val="0"/>
      <w:marTop w:val="180"/>
      <w:marBottom w:val="0"/>
      <w:divBdr>
        <w:top w:val="none" w:sz="0" w:space="0" w:color="auto"/>
        <w:left w:val="none" w:sz="0" w:space="0" w:color="auto"/>
        <w:bottom w:val="none" w:sz="0" w:space="0" w:color="auto"/>
        <w:right w:val="none" w:sz="0" w:space="0" w:color="auto"/>
      </w:divBdr>
    </w:div>
    <w:div w:id="1590894992">
      <w:marLeft w:val="0"/>
      <w:marRight w:val="0"/>
      <w:marTop w:val="240"/>
      <w:marBottom w:val="0"/>
      <w:divBdr>
        <w:top w:val="none" w:sz="0" w:space="0" w:color="auto"/>
        <w:left w:val="none" w:sz="0" w:space="0" w:color="auto"/>
        <w:bottom w:val="none" w:sz="0" w:space="0" w:color="auto"/>
        <w:right w:val="none" w:sz="0" w:space="0" w:color="auto"/>
      </w:divBdr>
    </w:div>
    <w:div w:id="1591309923">
      <w:marLeft w:val="0"/>
      <w:marRight w:val="0"/>
      <w:marTop w:val="200"/>
      <w:marBottom w:val="0"/>
      <w:divBdr>
        <w:top w:val="none" w:sz="0" w:space="0" w:color="auto"/>
        <w:left w:val="none" w:sz="0" w:space="0" w:color="auto"/>
        <w:bottom w:val="none" w:sz="0" w:space="0" w:color="auto"/>
        <w:right w:val="none" w:sz="0" w:space="0" w:color="auto"/>
      </w:divBdr>
    </w:div>
    <w:div w:id="1595243260">
      <w:marLeft w:val="0"/>
      <w:marRight w:val="0"/>
      <w:marTop w:val="0"/>
      <w:marBottom w:val="0"/>
      <w:divBdr>
        <w:top w:val="none" w:sz="0" w:space="0" w:color="auto"/>
        <w:left w:val="none" w:sz="0" w:space="0" w:color="auto"/>
        <w:bottom w:val="none" w:sz="0" w:space="0" w:color="auto"/>
        <w:right w:val="none" w:sz="0" w:space="0" w:color="auto"/>
      </w:divBdr>
      <w:divsChild>
        <w:div w:id="968360068">
          <w:marLeft w:val="0"/>
          <w:marRight w:val="0"/>
          <w:marTop w:val="0"/>
          <w:marBottom w:val="0"/>
          <w:divBdr>
            <w:top w:val="none" w:sz="0" w:space="0" w:color="auto"/>
            <w:left w:val="none" w:sz="0" w:space="0" w:color="auto"/>
            <w:bottom w:val="none" w:sz="0" w:space="0" w:color="auto"/>
            <w:right w:val="none" w:sz="0" w:space="0" w:color="auto"/>
          </w:divBdr>
          <w:divsChild>
            <w:div w:id="121839646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596089788">
      <w:marLeft w:val="0"/>
      <w:marRight w:val="0"/>
      <w:marTop w:val="180"/>
      <w:marBottom w:val="0"/>
      <w:divBdr>
        <w:top w:val="none" w:sz="0" w:space="0" w:color="auto"/>
        <w:left w:val="none" w:sz="0" w:space="0" w:color="auto"/>
        <w:bottom w:val="none" w:sz="0" w:space="0" w:color="auto"/>
        <w:right w:val="none" w:sz="0" w:space="0" w:color="auto"/>
      </w:divBdr>
    </w:div>
    <w:div w:id="1597054183">
      <w:marLeft w:val="0"/>
      <w:marRight w:val="0"/>
      <w:marTop w:val="240"/>
      <w:marBottom w:val="0"/>
      <w:divBdr>
        <w:top w:val="none" w:sz="0" w:space="0" w:color="auto"/>
        <w:left w:val="none" w:sz="0" w:space="0" w:color="auto"/>
        <w:bottom w:val="none" w:sz="0" w:space="0" w:color="auto"/>
        <w:right w:val="none" w:sz="0" w:space="0" w:color="auto"/>
      </w:divBdr>
    </w:div>
    <w:div w:id="1598906115">
      <w:marLeft w:val="0"/>
      <w:marRight w:val="0"/>
      <w:marTop w:val="240"/>
      <w:marBottom w:val="0"/>
      <w:divBdr>
        <w:top w:val="none" w:sz="0" w:space="0" w:color="auto"/>
        <w:left w:val="none" w:sz="0" w:space="0" w:color="auto"/>
        <w:bottom w:val="none" w:sz="0" w:space="0" w:color="auto"/>
        <w:right w:val="none" w:sz="0" w:space="0" w:color="auto"/>
      </w:divBdr>
    </w:div>
    <w:div w:id="1601530126">
      <w:marLeft w:val="0"/>
      <w:marRight w:val="0"/>
      <w:marTop w:val="200"/>
      <w:marBottom w:val="0"/>
      <w:divBdr>
        <w:top w:val="none" w:sz="0" w:space="0" w:color="auto"/>
        <w:left w:val="none" w:sz="0" w:space="0" w:color="auto"/>
        <w:bottom w:val="none" w:sz="0" w:space="0" w:color="auto"/>
        <w:right w:val="none" w:sz="0" w:space="0" w:color="auto"/>
      </w:divBdr>
    </w:div>
    <w:div w:id="1602880916">
      <w:marLeft w:val="0"/>
      <w:marRight w:val="0"/>
      <w:marTop w:val="0"/>
      <w:marBottom w:val="0"/>
      <w:divBdr>
        <w:top w:val="none" w:sz="0" w:space="0" w:color="auto"/>
        <w:left w:val="none" w:sz="0" w:space="0" w:color="auto"/>
        <w:bottom w:val="none" w:sz="0" w:space="0" w:color="auto"/>
        <w:right w:val="none" w:sz="0" w:space="0" w:color="auto"/>
      </w:divBdr>
    </w:div>
    <w:div w:id="1603217742">
      <w:marLeft w:val="0"/>
      <w:marRight w:val="0"/>
      <w:marTop w:val="240"/>
      <w:marBottom w:val="0"/>
      <w:divBdr>
        <w:top w:val="none" w:sz="0" w:space="0" w:color="auto"/>
        <w:left w:val="none" w:sz="0" w:space="0" w:color="auto"/>
        <w:bottom w:val="none" w:sz="0" w:space="0" w:color="auto"/>
        <w:right w:val="none" w:sz="0" w:space="0" w:color="auto"/>
      </w:divBdr>
    </w:div>
    <w:div w:id="1604265967">
      <w:marLeft w:val="0"/>
      <w:marRight w:val="0"/>
      <w:marTop w:val="240"/>
      <w:marBottom w:val="0"/>
      <w:divBdr>
        <w:top w:val="none" w:sz="0" w:space="0" w:color="auto"/>
        <w:left w:val="none" w:sz="0" w:space="0" w:color="auto"/>
        <w:bottom w:val="none" w:sz="0" w:space="0" w:color="auto"/>
        <w:right w:val="none" w:sz="0" w:space="0" w:color="auto"/>
      </w:divBdr>
    </w:div>
    <w:div w:id="1604530674">
      <w:marLeft w:val="0"/>
      <w:marRight w:val="0"/>
      <w:marTop w:val="140"/>
      <w:marBottom w:val="0"/>
      <w:divBdr>
        <w:top w:val="none" w:sz="0" w:space="0" w:color="auto"/>
        <w:left w:val="none" w:sz="0" w:space="0" w:color="auto"/>
        <w:bottom w:val="none" w:sz="0" w:space="0" w:color="auto"/>
        <w:right w:val="none" w:sz="0" w:space="0" w:color="auto"/>
      </w:divBdr>
    </w:div>
    <w:div w:id="1605841355">
      <w:marLeft w:val="0"/>
      <w:marRight w:val="0"/>
      <w:marTop w:val="220"/>
      <w:marBottom w:val="0"/>
      <w:divBdr>
        <w:top w:val="none" w:sz="0" w:space="0" w:color="auto"/>
        <w:left w:val="none" w:sz="0" w:space="0" w:color="auto"/>
        <w:bottom w:val="none" w:sz="0" w:space="0" w:color="auto"/>
        <w:right w:val="none" w:sz="0" w:space="0" w:color="auto"/>
      </w:divBdr>
    </w:div>
    <w:div w:id="1605917586">
      <w:marLeft w:val="0"/>
      <w:marRight w:val="0"/>
      <w:marTop w:val="0"/>
      <w:marBottom w:val="0"/>
      <w:divBdr>
        <w:top w:val="none" w:sz="0" w:space="0" w:color="auto"/>
        <w:left w:val="none" w:sz="0" w:space="0" w:color="auto"/>
        <w:bottom w:val="none" w:sz="0" w:space="0" w:color="auto"/>
        <w:right w:val="none" w:sz="0" w:space="0" w:color="auto"/>
      </w:divBdr>
      <w:divsChild>
        <w:div w:id="1492870824">
          <w:marLeft w:val="0"/>
          <w:marRight w:val="0"/>
          <w:marTop w:val="0"/>
          <w:marBottom w:val="0"/>
          <w:divBdr>
            <w:top w:val="none" w:sz="0" w:space="0" w:color="auto"/>
            <w:left w:val="none" w:sz="0" w:space="0" w:color="auto"/>
            <w:bottom w:val="none" w:sz="0" w:space="0" w:color="auto"/>
            <w:right w:val="none" w:sz="0" w:space="0" w:color="auto"/>
          </w:divBdr>
          <w:divsChild>
            <w:div w:id="204108572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608001717">
      <w:marLeft w:val="0"/>
      <w:marRight w:val="0"/>
      <w:marTop w:val="0"/>
      <w:marBottom w:val="0"/>
      <w:divBdr>
        <w:top w:val="none" w:sz="0" w:space="0" w:color="auto"/>
        <w:left w:val="none" w:sz="0" w:space="0" w:color="auto"/>
        <w:bottom w:val="none" w:sz="0" w:space="0" w:color="auto"/>
        <w:right w:val="none" w:sz="0" w:space="0" w:color="auto"/>
      </w:divBdr>
      <w:divsChild>
        <w:div w:id="1480808940">
          <w:marLeft w:val="0"/>
          <w:marRight w:val="0"/>
          <w:marTop w:val="0"/>
          <w:marBottom w:val="0"/>
          <w:divBdr>
            <w:top w:val="none" w:sz="0" w:space="0" w:color="auto"/>
            <w:left w:val="none" w:sz="0" w:space="0" w:color="auto"/>
            <w:bottom w:val="none" w:sz="0" w:space="0" w:color="auto"/>
            <w:right w:val="none" w:sz="0" w:space="0" w:color="auto"/>
          </w:divBdr>
        </w:div>
      </w:divsChild>
    </w:div>
    <w:div w:id="1608004282">
      <w:marLeft w:val="0"/>
      <w:marRight w:val="0"/>
      <w:marTop w:val="240"/>
      <w:marBottom w:val="0"/>
      <w:divBdr>
        <w:top w:val="none" w:sz="0" w:space="0" w:color="auto"/>
        <w:left w:val="none" w:sz="0" w:space="0" w:color="auto"/>
        <w:bottom w:val="none" w:sz="0" w:space="0" w:color="auto"/>
        <w:right w:val="none" w:sz="0" w:space="0" w:color="auto"/>
      </w:divBdr>
    </w:div>
    <w:div w:id="1609502929">
      <w:marLeft w:val="0"/>
      <w:marRight w:val="0"/>
      <w:marTop w:val="0"/>
      <w:marBottom w:val="0"/>
      <w:divBdr>
        <w:top w:val="none" w:sz="0" w:space="0" w:color="auto"/>
        <w:left w:val="none" w:sz="0" w:space="0" w:color="auto"/>
        <w:bottom w:val="none" w:sz="0" w:space="0" w:color="auto"/>
        <w:right w:val="none" w:sz="0" w:space="0" w:color="auto"/>
      </w:divBdr>
    </w:div>
    <w:div w:id="1610623929">
      <w:marLeft w:val="0"/>
      <w:marRight w:val="0"/>
      <w:marTop w:val="0"/>
      <w:marBottom w:val="0"/>
      <w:divBdr>
        <w:top w:val="none" w:sz="0" w:space="0" w:color="auto"/>
        <w:left w:val="none" w:sz="0" w:space="0" w:color="auto"/>
        <w:bottom w:val="none" w:sz="0" w:space="0" w:color="auto"/>
        <w:right w:val="none" w:sz="0" w:space="0" w:color="auto"/>
      </w:divBdr>
    </w:div>
    <w:div w:id="1612204706">
      <w:marLeft w:val="0"/>
      <w:marRight w:val="0"/>
      <w:marTop w:val="120"/>
      <w:marBottom w:val="0"/>
      <w:divBdr>
        <w:top w:val="none" w:sz="0" w:space="0" w:color="auto"/>
        <w:left w:val="none" w:sz="0" w:space="0" w:color="auto"/>
        <w:bottom w:val="none" w:sz="0" w:space="0" w:color="auto"/>
        <w:right w:val="none" w:sz="0" w:space="0" w:color="auto"/>
      </w:divBdr>
    </w:div>
    <w:div w:id="1612786657">
      <w:marLeft w:val="0"/>
      <w:marRight w:val="0"/>
      <w:marTop w:val="240"/>
      <w:marBottom w:val="0"/>
      <w:divBdr>
        <w:top w:val="none" w:sz="0" w:space="0" w:color="auto"/>
        <w:left w:val="none" w:sz="0" w:space="0" w:color="auto"/>
        <w:bottom w:val="none" w:sz="0" w:space="0" w:color="auto"/>
        <w:right w:val="none" w:sz="0" w:space="0" w:color="auto"/>
      </w:divBdr>
    </w:div>
    <w:div w:id="1613634017">
      <w:marLeft w:val="0"/>
      <w:marRight w:val="0"/>
      <w:marTop w:val="0"/>
      <w:marBottom w:val="0"/>
      <w:divBdr>
        <w:top w:val="none" w:sz="0" w:space="0" w:color="auto"/>
        <w:left w:val="none" w:sz="0" w:space="0" w:color="auto"/>
        <w:bottom w:val="none" w:sz="0" w:space="0" w:color="auto"/>
        <w:right w:val="none" w:sz="0" w:space="0" w:color="auto"/>
      </w:divBdr>
      <w:divsChild>
        <w:div w:id="2038654702">
          <w:marLeft w:val="0"/>
          <w:marRight w:val="0"/>
          <w:marTop w:val="0"/>
          <w:marBottom w:val="0"/>
          <w:divBdr>
            <w:top w:val="none" w:sz="0" w:space="0" w:color="auto"/>
            <w:left w:val="none" w:sz="0" w:space="0" w:color="auto"/>
            <w:bottom w:val="none" w:sz="0" w:space="0" w:color="auto"/>
            <w:right w:val="none" w:sz="0" w:space="0" w:color="auto"/>
          </w:divBdr>
          <w:divsChild>
            <w:div w:id="116485760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615164990">
      <w:marLeft w:val="0"/>
      <w:marRight w:val="0"/>
      <w:marTop w:val="60"/>
      <w:marBottom w:val="0"/>
      <w:divBdr>
        <w:top w:val="none" w:sz="0" w:space="0" w:color="auto"/>
        <w:left w:val="none" w:sz="0" w:space="0" w:color="auto"/>
        <w:bottom w:val="none" w:sz="0" w:space="0" w:color="auto"/>
        <w:right w:val="none" w:sz="0" w:space="0" w:color="auto"/>
      </w:divBdr>
    </w:div>
    <w:div w:id="1616789490">
      <w:marLeft w:val="0"/>
      <w:marRight w:val="0"/>
      <w:marTop w:val="300"/>
      <w:marBottom w:val="0"/>
      <w:divBdr>
        <w:top w:val="none" w:sz="0" w:space="0" w:color="auto"/>
        <w:left w:val="none" w:sz="0" w:space="0" w:color="auto"/>
        <w:bottom w:val="none" w:sz="0" w:space="0" w:color="auto"/>
        <w:right w:val="none" w:sz="0" w:space="0" w:color="auto"/>
      </w:divBdr>
    </w:div>
    <w:div w:id="1620914280">
      <w:marLeft w:val="0"/>
      <w:marRight w:val="0"/>
      <w:marTop w:val="0"/>
      <w:marBottom w:val="0"/>
      <w:divBdr>
        <w:top w:val="none" w:sz="0" w:space="0" w:color="auto"/>
        <w:left w:val="none" w:sz="0" w:space="0" w:color="auto"/>
        <w:bottom w:val="none" w:sz="0" w:space="0" w:color="auto"/>
        <w:right w:val="none" w:sz="0" w:space="0" w:color="auto"/>
      </w:divBdr>
    </w:div>
    <w:div w:id="1620919404">
      <w:marLeft w:val="0"/>
      <w:marRight w:val="0"/>
      <w:marTop w:val="0"/>
      <w:marBottom w:val="0"/>
      <w:divBdr>
        <w:top w:val="none" w:sz="0" w:space="0" w:color="auto"/>
        <w:left w:val="none" w:sz="0" w:space="0" w:color="auto"/>
        <w:bottom w:val="none" w:sz="0" w:space="0" w:color="auto"/>
        <w:right w:val="none" w:sz="0" w:space="0" w:color="auto"/>
      </w:divBdr>
      <w:divsChild>
        <w:div w:id="773597703">
          <w:marLeft w:val="0"/>
          <w:marRight w:val="0"/>
          <w:marTop w:val="0"/>
          <w:marBottom w:val="0"/>
          <w:divBdr>
            <w:top w:val="none" w:sz="0" w:space="0" w:color="auto"/>
            <w:left w:val="none" w:sz="0" w:space="0" w:color="auto"/>
            <w:bottom w:val="none" w:sz="0" w:space="0" w:color="auto"/>
            <w:right w:val="none" w:sz="0" w:space="0" w:color="auto"/>
          </w:divBdr>
          <w:divsChild>
            <w:div w:id="136413583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621642890">
      <w:marLeft w:val="0"/>
      <w:marRight w:val="0"/>
      <w:marTop w:val="240"/>
      <w:marBottom w:val="0"/>
      <w:divBdr>
        <w:top w:val="none" w:sz="0" w:space="0" w:color="auto"/>
        <w:left w:val="none" w:sz="0" w:space="0" w:color="auto"/>
        <w:bottom w:val="none" w:sz="0" w:space="0" w:color="auto"/>
        <w:right w:val="none" w:sz="0" w:space="0" w:color="auto"/>
      </w:divBdr>
    </w:div>
    <w:div w:id="1621647585">
      <w:marLeft w:val="0"/>
      <w:marRight w:val="0"/>
      <w:marTop w:val="100"/>
      <w:marBottom w:val="180"/>
      <w:divBdr>
        <w:top w:val="none" w:sz="0" w:space="0" w:color="auto"/>
        <w:left w:val="none" w:sz="0" w:space="0" w:color="auto"/>
        <w:bottom w:val="none" w:sz="0" w:space="0" w:color="auto"/>
        <w:right w:val="none" w:sz="0" w:space="0" w:color="auto"/>
      </w:divBdr>
    </w:div>
    <w:div w:id="1624383784">
      <w:marLeft w:val="0"/>
      <w:marRight w:val="0"/>
      <w:marTop w:val="300"/>
      <w:marBottom w:val="0"/>
      <w:divBdr>
        <w:top w:val="none" w:sz="0" w:space="0" w:color="auto"/>
        <w:left w:val="none" w:sz="0" w:space="0" w:color="auto"/>
        <w:bottom w:val="none" w:sz="0" w:space="0" w:color="auto"/>
        <w:right w:val="none" w:sz="0" w:space="0" w:color="auto"/>
      </w:divBdr>
    </w:div>
    <w:div w:id="1626615952">
      <w:marLeft w:val="0"/>
      <w:marRight w:val="0"/>
      <w:marTop w:val="200"/>
      <w:marBottom w:val="0"/>
      <w:divBdr>
        <w:top w:val="none" w:sz="0" w:space="0" w:color="auto"/>
        <w:left w:val="none" w:sz="0" w:space="0" w:color="auto"/>
        <w:bottom w:val="none" w:sz="0" w:space="0" w:color="auto"/>
        <w:right w:val="none" w:sz="0" w:space="0" w:color="auto"/>
      </w:divBdr>
    </w:div>
    <w:div w:id="1628049546">
      <w:marLeft w:val="0"/>
      <w:marRight w:val="0"/>
      <w:marTop w:val="100"/>
      <w:marBottom w:val="0"/>
      <w:divBdr>
        <w:top w:val="none" w:sz="0" w:space="0" w:color="auto"/>
        <w:left w:val="none" w:sz="0" w:space="0" w:color="auto"/>
        <w:bottom w:val="none" w:sz="0" w:space="0" w:color="auto"/>
        <w:right w:val="none" w:sz="0" w:space="0" w:color="auto"/>
      </w:divBdr>
      <w:divsChild>
        <w:div w:id="338578950">
          <w:marLeft w:val="0"/>
          <w:marRight w:val="0"/>
          <w:marTop w:val="0"/>
          <w:marBottom w:val="0"/>
          <w:divBdr>
            <w:top w:val="none" w:sz="0" w:space="0" w:color="auto"/>
            <w:left w:val="none" w:sz="0" w:space="0" w:color="auto"/>
            <w:bottom w:val="none" w:sz="0" w:space="0" w:color="auto"/>
            <w:right w:val="none" w:sz="0" w:space="0" w:color="auto"/>
          </w:divBdr>
        </w:div>
        <w:div w:id="1411732282">
          <w:marLeft w:val="0"/>
          <w:marRight w:val="0"/>
          <w:marTop w:val="0"/>
          <w:marBottom w:val="0"/>
          <w:divBdr>
            <w:top w:val="none" w:sz="0" w:space="0" w:color="auto"/>
            <w:left w:val="none" w:sz="0" w:space="0" w:color="auto"/>
            <w:bottom w:val="none" w:sz="0" w:space="0" w:color="auto"/>
            <w:right w:val="none" w:sz="0" w:space="0" w:color="auto"/>
          </w:divBdr>
        </w:div>
      </w:divsChild>
    </w:div>
    <w:div w:id="1628899842">
      <w:marLeft w:val="0"/>
      <w:marRight w:val="0"/>
      <w:marTop w:val="240"/>
      <w:marBottom w:val="0"/>
      <w:divBdr>
        <w:top w:val="none" w:sz="0" w:space="0" w:color="auto"/>
        <w:left w:val="none" w:sz="0" w:space="0" w:color="auto"/>
        <w:bottom w:val="none" w:sz="0" w:space="0" w:color="auto"/>
        <w:right w:val="none" w:sz="0" w:space="0" w:color="auto"/>
      </w:divBdr>
    </w:div>
    <w:div w:id="1630012638">
      <w:marLeft w:val="0"/>
      <w:marRight w:val="0"/>
      <w:marTop w:val="240"/>
      <w:marBottom w:val="0"/>
      <w:divBdr>
        <w:top w:val="none" w:sz="0" w:space="0" w:color="auto"/>
        <w:left w:val="none" w:sz="0" w:space="0" w:color="auto"/>
        <w:bottom w:val="none" w:sz="0" w:space="0" w:color="auto"/>
        <w:right w:val="none" w:sz="0" w:space="0" w:color="auto"/>
      </w:divBdr>
    </w:div>
    <w:div w:id="1630280107">
      <w:marLeft w:val="0"/>
      <w:marRight w:val="0"/>
      <w:marTop w:val="240"/>
      <w:marBottom w:val="0"/>
      <w:divBdr>
        <w:top w:val="none" w:sz="0" w:space="0" w:color="auto"/>
        <w:left w:val="none" w:sz="0" w:space="0" w:color="auto"/>
        <w:bottom w:val="none" w:sz="0" w:space="0" w:color="auto"/>
        <w:right w:val="none" w:sz="0" w:space="0" w:color="auto"/>
      </w:divBdr>
    </w:div>
    <w:div w:id="1631596451">
      <w:marLeft w:val="0"/>
      <w:marRight w:val="0"/>
      <w:marTop w:val="240"/>
      <w:marBottom w:val="0"/>
      <w:divBdr>
        <w:top w:val="none" w:sz="0" w:space="0" w:color="auto"/>
        <w:left w:val="none" w:sz="0" w:space="0" w:color="auto"/>
        <w:bottom w:val="none" w:sz="0" w:space="0" w:color="auto"/>
        <w:right w:val="none" w:sz="0" w:space="0" w:color="auto"/>
      </w:divBdr>
    </w:div>
    <w:div w:id="1632592610">
      <w:marLeft w:val="0"/>
      <w:marRight w:val="0"/>
      <w:marTop w:val="100"/>
      <w:marBottom w:val="0"/>
      <w:divBdr>
        <w:top w:val="none" w:sz="0" w:space="0" w:color="auto"/>
        <w:left w:val="none" w:sz="0" w:space="0" w:color="auto"/>
        <w:bottom w:val="none" w:sz="0" w:space="0" w:color="auto"/>
        <w:right w:val="none" w:sz="0" w:space="0" w:color="auto"/>
      </w:divBdr>
    </w:div>
    <w:div w:id="1632899000">
      <w:marLeft w:val="0"/>
      <w:marRight w:val="0"/>
      <w:marTop w:val="220"/>
      <w:marBottom w:val="0"/>
      <w:divBdr>
        <w:top w:val="none" w:sz="0" w:space="0" w:color="auto"/>
        <w:left w:val="none" w:sz="0" w:space="0" w:color="auto"/>
        <w:bottom w:val="none" w:sz="0" w:space="0" w:color="auto"/>
        <w:right w:val="none" w:sz="0" w:space="0" w:color="auto"/>
      </w:divBdr>
    </w:div>
    <w:div w:id="1635285231">
      <w:marLeft w:val="0"/>
      <w:marRight w:val="0"/>
      <w:marTop w:val="240"/>
      <w:marBottom w:val="0"/>
      <w:divBdr>
        <w:top w:val="none" w:sz="0" w:space="0" w:color="auto"/>
        <w:left w:val="none" w:sz="0" w:space="0" w:color="auto"/>
        <w:bottom w:val="none" w:sz="0" w:space="0" w:color="auto"/>
        <w:right w:val="none" w:sz="0" w:space="0" w:color="auto"/>
      </w:divBdr>
    </w:div>
    <w:div w:id="1639871876">
      <w:marLeft w:val="0"/>
      <w:marRight w:val="0"/>
      <w:marTop w:val="240"/>
      <w:marBottom w:val="0"/>
      <w:divBdr>
        <w:top w:val="none" w:sz="0" w:space="0" w:color="auto"/>
        <w:left w:val="none" w:sz="0" w:space="0" w:color="auto"/>
        <w:bottom w:val="none" w:sz="0" w:space="0" w:color="auto"/>
        <w:right w:val="none" w:sz="0" w:space="0" w:color="auto"/>
      </w:divBdr>
    </w:div>
    <w:div w:id="1640259870">
      <w:marLeft w:val="0"/>
      <w:marRight w:val="0"/>
      <w:marTop w:val="0"/>
      <w:marBottom w:val="0"/>
      <w:divBdr>
        <w:top w:val="none" w:sz="0" w:space="0" w:color="auto"/>
        <w:left w:val="none" w:sz="0" w:space="0" w:color="auto"/>
        <w:bottom w:val="none" w:sz="0" w:space="0" w:color="auto"/>
        <w:right w:val="none" w:sz="0" w:space="0" w:color="auto"/>
      </w:divBdr>
      <w:divsChild>
        <w:div w:id="1500660253">
          <w:marLeft w:val="0"/>
          <w:marRight w:val="0"/>
          <w:marTop w:val="0"/>
          <w:marBottom w:val="0"/>
          <w:divBdr>
            <w:top w:val="none" w:sz="0" w:space="0" w:color="auto"/>
            <w:left w:val="none" w:sz="0" w:space="0" w:color="auto"/>
            <w:bottom w:val="none" w:sz="0" w:space="0" w:color="auto"/>
            <w:right w:val="none" w:sz="0" w:space="0" w:color="auto"/>
          </w:divBdr>
        </w:div>
      </w:divsChild>
    </w:div>
    <w:div w:id="1640912939">
      <w:marLeft w:val="0"/>
      <w:marRight w:val="0"/>
      <w:marTop w:val="0"/>
      <w:marBottom w:val="0"/>
      <w:divBdr>
        <w:top w:val="none" w:sz="0" w:space="0" w:color="auto"/>
        <w:left w:val="none" w:sz="0" w:space="0" w:color="auto"/>
        <w:bottom w:val="none" w:sz="0" w:space="0" w:color="auto"/>
        <w:right w:val="none" w:sz="0" w:space="0" w:color="auto"/>
      </w:divBdr>
      <w:divsChild>
        <w:div w:id="456606777">
          <w:marLeft w:val="0"/>
          <w:marRight w:val="0"/>
          <w:marTop w:val="0"/>
          <w:marBottom w:val="0"/>
          <w:divBdr>
            <w:top w:val="none" w:sz="0" w:space="0" w:color="auto"/>
            <w:left w:val="none" w:sz="0" w:space="0" w:color="auto"/>
            <w:bottom w:val="none" w:sz="0" w:space="0" w:color="auto"/>
            <w:right w:val="none" w:sz="0" w:space="0" w:color="auto"/>
          </w:divBdr>
          <w:divsChild>
            <w:div w:id="145085815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647004933">
      <w:marLeft w:val="0"/>
      <w:marRight w:val="0"/>
      <w:marTop w:val="240"/>
      <w:marBottom w:val="0"/>
      <w:divBdr>
        <w:top w:val="none" w:sz="0" w:space="0" w:color="auto"/>
        <w:left w:val="none" w:sz="0" w:space="0" w:color="auto"/>
        <w:bottom w:val="none" w:sz="0" w:space="0" w:color="auto"/>
        <w:right w:val="none" w:sz="0" w:space="0" w:color="auto"/>
      </w:divBdr>
    </w:div>
    <w:div w:id="1647314116">
      <w:marLeft w:val="0"/>
      <w:marRight w:val="0"/>
      <w:marTop w:val="200"/>
      <w:marBottom w:val="0"/>
      <w:divBdr>
        <w:top w:val="none" w:sz="0" w:space="0" w:color="auto"/>
        <w:left w:val="none" w:sz="0" w:space="0" w:color="auto"/>
        <w:bottom w:val="none" w:sz="0" w:space="0" w:color="auto"/>
        <w:right w:val="none" w:sz="0" w:space="0" w:color="auto"/>
      </w:divBdr>
    </w:div>
    <w:div w:id="1648393342">
      <w:marLeft w:val="0"/>
      <w:marRight w:val="0"/>
      <w:marTop w:val="240"/>
      <w:marBottom w:val="0"/>
      <w:divBdr>
        <w:top w:val="none" w:sz="0" w:space="0" w:color="auto"/>
        <w:left w:val="none" w:sz="0" w:space="0" w:color="auto"/>
        <w:bottom w:val="none" w:sz="0" w:space="0" w:color="auto"/>
        <w:right w:val="none" w:sz="0" w:space="0" w:color="auto"/>
      </w:divBdr>
    </w:div>
    <w:div w:id="1649432808">
      <w:marLeft w:val="0"/>
      <w:marRight w:val="0"/>
      <w:marTop w:val="240"/>
      <w:marBottom w:val="0"/>
      <w:divBdr>
        <w:top w:val="none" w:sz="0" w:space="0" w:color="auto"/>
        <w:left w:val="none" w:sz="0" w:space="0" w:color="auto"/>
        <w:bottom w:val="none" w:sz="0" w:space="0" w:color="auto"/>
        <w:right w:val="none" w:sz="0" w:space="0" w:color="auto"/>
      </w:divBdr>
    </w:div>
    <w:div w:id="1649742766">
      <w:marLeft w:val="0"/>
      <w:marRight w:val="0"/>
      <w:marTop w:val="200"/>
      <w:marBottom w:val="0"/>
      <w:divBdr>
        <w:top w:val="none" w:sz="0" w:space="0" w:color="auto"/>
        <w:left w:val="none" w:sz="0" w:space="0" w:color="auto"/>
        <w:bottom w:val="none" w:sz="0" w:space="0" w:color="auto"/>
        <w:right w:val="none" w:sz="0" w:space="0" w:color="auto"/>
      </w:divBdr>
    </w:div>
    <w:div w:id="1650355020">
      <w:marLeft w:val="0"/>
      <w:marRight w:val="0"/>
      <w:marTop w:val="200"/>
      <w:marBottom w:val="0"/>
      <w:divBdr>
        <w:top w:val="none" w:sz="0" w:space="0" w:color="auto"/>
        <w:left w:val="none" w:sz="0" w:space="0" w:color="auto"/>
        <w:bottom w:val="none" w:sz="0" w:space="0" w:color="auto"/>
        <w:right w:val="none" w:sz="0" w:space="0" w:color="auto"/>
      </w:divBdr>
    </w:div>
    <w:div w:id="1651448464">
      <w:marLeft w:val="0"/>
      <w:marRight w:val="0"/>
      <w:marTop w:val="0"/>
      <w:marBottom w:val="60"/>
      <w:divBdr>
        <w:top w:val="none" w:sz="0" w:space="0" w:color="auto"/>
        <w:left w:val="none" w:sz="0" w:space="0" w:color="auto"/>
        <w:bottom w:val="none" w:sz="0" w:space="0" w:color="auto"/>
        <w:right w:val="none" w:sz="0" w:space="0" w:color="auto"/>
      </w:divBdr>
    </w:div>
    <w:div w:id="1652707417">
      <w:marLeft w:val="0"/>
      <w:marRight w:val="0"/>
      <w:marTop w:val="240"/>
      <w:marBottom w:val="240"/>
      <w:divBdr>
        <w:top w:val="none" w:sz="0" w:space="0" w:color="auto"/>
        <w:left w:val="none" w:sz="0" w:space="0" w:color="auto"/>
        <w:bottom w:val="none" w:sz="0" w:space="0" w:color="auto"/>
        <w:right w:val="none" w:sz="0" w:space="0" w:color="auto"/>
      </w:divBdr>
    </w:div>
    <w:div w:id="1652754924">
      <w:marLeft w:val="0"/>
      <w:marRight w:val="0"/>
      <w:marTop w:val="240"/>
      <w:marBottom w:val="0"/>
      <w:divBdr>
        <w:top w:val="none" w:sz="0" w:space="0" w:color="auto"/>
        <w:left w:val="none" w:sz="0" w:space="0" w:color="auto"/>
        <w:bottom w:val="none" w:sz="0" w:space="0" w:color="auto"/>
        <w:right w:val="none" w:sz="0" w:space="0" w:color="auto"/>
      </w:divBdr>
    </w:div>
    <w:div w:id="1652902307">
      <w:marLeft w:val="0"/>
      <w:marRight w:val="0"/>
      <w:marTop w:val="240"/>
      <w:marBottom w:val="0"/>
      <w:divBdr>
        <w:top w:val="none" w:sz="0" w:space="0" w:color="auto"/>
        <w:left w:val="none" w:sz="0" w:space="0" w:color="auto"/>
        <w:bottom w:val="none" w:sz="0" w:space="0" w:color="auto"/>
        <w:right w:val="none" w:sz="0" w:space="0" w:color="auto"/>
      </w:divBdr>
    </w:div>
    <w:div w:id="1654676105">
      <w:marLeft w:val="0"/>
      <w:marRight w:val="0"/>
      <w:marTop w:val="240"/>
      <w:marBottom w:val="0"/>
      <w:divBdr>
        <w:top w:val="none" w:sz="0" w:space="0" w:color="auto"/>
        <w:left w:val="none" w:sz="0" w:space="0" w:color="auto"/>
        <w:bottom w:val="none" w:sz="0" w:space="0" w:color="auto"/>
        <w:right w:val="none" w:sz="0" w:space="0" w:color="auto"/>
      </w:divBdr>
    </w:div>
    <w:div w:id="1655909854">
      <w:marLeft w:val="0"/>
      <w:marRight w:val="0"/>
      <w:marTop w:val="200"/>
      <w:marBottom w:val="0"/>
      <w:divBdr>
        <w:top w:val="none" w:sz="0" w:space="0" w:color="auto"/>
        <w:left w:val="none" w:sz="0" w:space="0" w:color="auto"/>
        <w:bottom w:val="none" w:sz="0" w:space="0" w:color="auto"/>
        <w:right w:val="none" w:sz="0" w:space="0" w:color="auto"/>
      </w:divBdr>
    </w:div>
    <w:div w:id="1659533264">
      <w:marLeft w:val="0"/>
      <w:marRight w:val="0"/>
      <w:marTop w:val="100"/>
      <w:marBottom w:val="0"/>
      <w:divBdr>
        <w:top w:val="none" w:sz="0" w:space="0" w:color="auto"/>
        <w:left w:val="none" w:sz="0" w:space="0" w:color="auto"/>
        <w:bottom w:val="none" w:sz="0" w:space="0" w:color="auto"/>
        <w:right w:val="none" w:sz="0" w:space="0" w:color="auto"/>
      </w:divBdr>
      <w:divsChild>
        <w:div w:id="1873300601">
          <w:marLeft w:val="0"/>
          <w:marRight w:val="0"/>
          <w:marTop w:val="0"/>
          <w:marBottom w:val="0"/>
          <w:divBdr>
            <w:top w:val="none" w:sz="0" w:space="0" w:color="auto"/>
            <w:left w:val="none" w:sz="0" w:space="0" w:color="auto"/>
            <w:bottom w:val="none" w:sz="0" w:space="0" w:color="auto"/>
            <w:right w:val="none" w:sz="0" w:space="0" w:color="auto"/>
          </w:divBdr>
        </w:div>
        <w:div w:id="1356268685">
          <w:marLeft w:val="0"/>
          <w:marRight w:val="0"/>
          <w:marTop w:val="0"/>
          <w:marBottom w:val="0"/>
          <w:divBdr>
            <w:top w:val="none" w:sz="0" w:space="0" w:color="auto"/>
            <w:left w:val="none" w:sz="0" w:space="0" w:color="auto"/>
            <w:bottom w:val="none" w:sz="0" w:space="0" w:color="auto"/>
            <w:right w:val="none" w:sz="0" w:space="0" w:color="auto"/>
          </w:divBdr>
        </w:div>
      </w:divsChild>
    </w:div>
    <w:div w:id="1660621315">
      <w:marLeft w:val="0"/>
      <w:marRight w:val="0"/>
      <w:marTop w:val="0"/>
      <w:marBottom w:val="0"/>
      <w:divBdr>
        <w:top w:val="none" w:sz="0" w:space="0" w:color="auto"/>
        <w:left w:val="none" w:sz="0" w:space="0" w:color="auto"/>
        <w:bottom w:val="none" w:sz="0" w:space="0" w:color="auto"/>
        <w:right w:val="none" w:sz="0" w:space="0" w:color="auto"/>
      </w:divBdr>
      <w:divsChild>
        <w:div w:id="1159540832">
          <w:marLeft w:val="0"/>
          <w:marRight w:val="0"/>
          <w:marTop w:val="0"/>
          <w:marBottom w:val="0"/>
          <w:divBdr>
            <w:top w:val="none" w:sz="0" w:space="0" w:color="auto"/>
            <w:left w:val="none" w:sz="0" w:space="0" w:color="auto"/>
            <w:bottom w:val="none" w:sz="0" w:space="0" w:color="auto"/>
            <w:right w:val="none" w:sz="0" w:space="0" w:color="auto"/>
          </w:divBdr>
          <w:divsChild>
            <w:div w:id="79102017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661231434">
      <w:marLeft w:val="0"/>
      <w:marRight w:val="0"/>
      <w:marTop w:val="0"/>
      <w:marBottom w:val="0"/>
      <w:divBdr>
        <w:top w:val="none" w:sz="0" w:space="0" w:color="auto"/>
        <w:left w:val="none" w:sz="0" w:space="0" w:color="auto"/>
        <w:bottom w:val="none" w:sz="0" w:space="0" w:color="auto"/>
        <w:right w:val="none" w:sz="0" w:space="0" w:color="auto"/>
      </w:divBdr>
      <w:divsChild>
        <w:div w:id="245654020">
          <w:marLeft w:val="0"/>
          <w:marRight w:val="0"/>
          <w:marTop w:val="0"/>
          <w:marBottom w:val="0"/>
          <w:divBdr>
            <w:top w:val="none" w:sz="0" w:space="0" w:color="auto"/>
            <w:left w:val="none" w:sz="0" w:space="0" w:color="auto"/>
            <w:bottom w:val="none" w:sz="0" w:space="0" w:color="auto"/>
            <w:right w:val="none" w:sz="0" w:space="0" w:color="auto"/>
          </w:divBdr>
          <w:divsChild>
            <w:div w:id="6843047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665207482">
      <w:marLeft w:val="0"/>
      <w:marRight w:val="0"/>
      <w:marTop w:val="200"/>
      <w:marBottom w:val="0"/>
      <w:divBdr>
        <w:top w:val="none" w:sz="0" w:space="0" w:color="auto"/>
        <w:left w:val="none" w:sz="0" w:space="0" w:color="auto"/>
        <w:bottom w:val="none" w:sz="0" w:space="0" w:color="auto"/>
        <w:right w:val="none" w:sz="0" w:space="0" w:color="auto"/>
      </w:divBdr>
    </w:div>
    <w:div w:id="1668289431">
      <w:marLeft w:val="0"/>
      <w:marRight w:val="0"/>
      <w:marTop w:val="240"/>
      <w:marBottom w:val="0"/>
      <w:divBdr>
        <w:top w:val="none" w:sz="0" w:space="0" w:color="auto"/>
        <w:left w:val="none" w:sz="0" w:space="0" w:color="auto"/>
        <w:bottom w:val="none" w:sz="0" w:space="0" w:color="auto"/>
        <w:right w:val="none" w:sz="0" w:space="0" w:color="auto"/>
      </w:divBdr>
    </w:div>
    <w:div w:id="1668630431">
      <w:marLeft w:val="0"/>
      <w:marRight w:val="0"/>
      <w:marTop w:val="300"/>
      <w:marBottom w:val="0"/>
      <w:divBdr>
        <w:top w:val="none" w:sz="0" w:space="0" w:color="auto"/>
        <w:left w:val="none" w:sz="0" w:space="0" w:color="auto"/>
        <w:bottom w:val="none" w:sz="0" w:space="0" w:color="auto"/>
        <w:right w:val="none" w:sz="0" w:space="0" w:color="auto"/>
      </w:divBdr>
    </w:div>
    <w:div w:id="1669865023">
      <w:marLeft w:val="0"/>
      <w:marRight w:val="0"/>
      <w:marTop w:val="220"/>
      <w:marBottom w:val="0"/>
      <w:divBdr>
        <w:top w:val="none" w:sz="0" w:space="0" w:color="auto"/>
        <w:left w:val="none" w:sz="0" w:space="0" w:color="auto"/>
        <w:bottom w:val="none" w:sz="0" w:space="0" w:color="auto"/>
        <w:right w:val="none" w:sz="0" w:space="0" w:color="auto"/>
      </w:divBdr>
      <w:divsChild>
        <w:div w:id="2097508537">
          <w:marLeft w:val="0"/>
          <w:marRight w:val="0"/>
          <w:marTop w:val="240"/>
          <w:marBottom w:val="0"/>
          <w:divBdr>
            <w:top w:val="none" w:sz="0" w:space="0" w:color="auto"/>
            <w:left w:val="none" w:sz="0" w:space="0" w:color="auto"/>
            <w:bottom w:val="none" w:sz="0" w:space="0" w:color="auto"/>
            <w:right w:val="none" w:sz="0" w:space="0" w:color="auto"/>
          </w:divBdr>
        </w:div>
        <w:div w:id="64034883">
          <w:marLeft w:val="0"/>
          <w:marRight w:val="0"/>
          <w:marTop w:val="240"/>
          <w:marBottom w:val="0"/>
          <w:divBdr>
            <w:top w:val="none" w:sz="0" w:space="0" w:color="auto"/>
            <w:left w:val="none" w:sz="0" w:space="0" w:color="auto"/>
            <w:bottom w:val="none" w:sz="0" w:space="0" w:color="auto"/>
            <w:right w:val="none" w:sz="0" w:space="0" w:color="auto"/>
          </w:divBdr>
        </w:div>
        <w:div w:id="1398169021">
          <w:marLeft w:val="0"/>
          <w:marRight w:val="0"/>
          <w:marTop w:val="240"/>
          <w:marBottom w:val="0"/>
          <w:divBdr>
            <w:top w:val="none" w:sz="0" w:space="0" w:color="auto"/>
            <w:left w:val="none" w:sz="0" w:space="0" w:color="auto"/>
            <w:bottom w:val="none" w:sz="0" w:space="0" w:color="auto"/>
            <w:right w:val="none" w:sz="0" w:space="0" w:color="auto"/>
          </w:divBdr>
        </w:div>
        <w:div w:id="860096487">
          <w:marLeft w:val="0"/>
          <w:marRight w:val="0"/>
          <w:marTop w:val="240"/>
          <w:marBottom w:val="0"/>
          <w:divBdr>
            <w:top w:val="none" w:sz="0" w:space="0" w:color="auto"/>
            <w:left w:val="none" w:sz="0" w:space="0" w:color="auto"/>
            <w:bottom w:val="none" w:sz="0" w:space="0" w:color="auto"/>
            <w:right w:val="none" w:sz="0" w:space="0" w:color="auto"/>
          </w:divBdr>
        </w:div>
        <w:div w:id="770007198">
          <w:marLeft w:val="0"/>
          <w:marRight w:val="0"/>
          <w:marTop w:val="240"/>
          <w:marBottom w:val="0"/>
          <w:divBdr>
            <w:top w:val="none" w:sz="0" w:space="0" w:color="auto"/>
            <w:left w:val="none" w:sz="0" w:space="0" w:color="auto"/>
            <w:bottom w:val="none" w:sz="0" w:space="0" w:color="auto"/>
            <w:right w:val="none" w:sz="0" w:space="0" w:color="auto"/>
          </w:divBdr>
        </w:div>
        <w:div w:id="1068452974">
          <w:marLeft w:val="0"/>
          <w:marRight w:val="0"/>
          <w:marTop w:val="240"/>
          <w:marBottom w:val="0"/>
          <w:divBdr>
            <w:top w:val="none" w:sz="0" w:space="0" w:color="auto"/>
            <w:left w:val="none" w:sz="0" w:space="0" w:color="auto"/>
            <w:bottom w:val="none" w:sz="0" w:space="0" w:color="auto"/>
            <w:right w:val="none" w:sz="0" w:space="0" w:color="auto"/>
          </w:divBdr>
        </w:div>
      </w:divsChild>
    </w:div>
    <w:div w:id="1671562576">
      <w:marLeft w:val="0"/>
      <w:marRight w:val="0"/>
      <w:marTop w:val="240"/>
      <w:marBottom w:val="0"/>
      <w:divBdr>
        <w:top w:val="none" w:sz="0" w:space="0" w:color="auto"/>
        <w:left w:val="none" w:sz="0" w:space="0" w:color="auto"/>
        <w:bottom w:val="none" w:sz="0" w:space="0" w:color="auto"/>
        <w:right w:val="none" w:sz="0" w:space="0" w:color="auto"/>
      </w:divBdr>
    </w:div>
    <w:div w:id="1672247238">
      <w:marLeft w:val="0"/>
      <w:marRight w:val="0"/>
      <w:marTop w:val="0"/>
      <w:marBottom w:val="0"/>
      <w:divBdr>
        <w:top w:val="none" w:sz="0" w:space="0" w:color="auto"/>
        <w:left w:val="none" w:sz="0" w:space="0" w:color="auto"/>
        <w:bottom w:val="none" w:sz="0" w:space="0" w:color="auto"/>
        <w:right w:val="none" w:sz="0" w:space="0" w:color="auto"/>
      </w:divBdr>
      <w:divsChild>
        <w:div w:id="1402871979">
          <w:marLeft w:val="0"/>
          <w:marRight w:val="0"/>
          <w:marTop w:val="0"/>
          <w:marBottom w:val="0"/>
          <w:divBdr>
            <w:top w:val="none" w:sz="0" w:space="0" w:color="auto"/>
            <w:left w:val="none" w:sz="0" w:space="0" w:color="auto"/>
            <w:bottom w:val="none" w:sz="0" w:space="0" w:color="auto"/>
            <w:right w:val="none" w:sz="0" w:space="0" w:color="auto"/>
          </w:divBdr>
        </w:div>
      </w:divsChild>
    </w:div>
    <w:div w:id="1673142393">
      <w:marLeft w:val="0"/>
      <w:marRight w:val="0"/>
      <w:marTop w:val="240"/>
      <w:marBottom w:val="0"/>
      <w:divBdr>
        <w:top w:val="none" w:sz="0" w:space="0" w:color="auto"/>
        <w:left w:val="none" w:sz="0" w:space="0" w:color="auto"/>
        <w:bottom w:val="none" w:sz="0" w:space="0" w:color="auto"/>
        <w:right w:val="none" w:sz="0" w:space="0" w:color="auto"/>
      </w:divBdr>
    </w:div>
    <w:div w:id="1676609774">
      <w:marLeft w:val="0"/>
      <w:marRight w:val="0"/>
      <w:marTop w:val="60"/>
      <w:marBottom w:val="0"/>
      <w:divBdr>
        <w:top w:val="none" w:sz="0" w:space="0" w:color="auto"/>
        <w:left w:val="none" w:sz="0" w:space="0" w:color="auto"/>
        <w:bottom w:val="none" w:sz="0" w:space="0" w:color="auto"/>
        <w:right w:val="none" w:sz="0" w:space="0" w:color="auto"/>
      </w:divBdr>
    </w:div>
    <w:div w:id="1677345876">
      <w:marLeft w:val="0"/>
      <w:marRight w:val="0"/>
      <w:marTop w:val="240"/>
      <w:marBottom w:val="0"/>
      <w:divBdr>
        <w:top w:val="none" w:sz="0" w:space="0" w:color="auto"/>
        <w:left w:val="none" w:sz="0" w:space="0" w:color="auto"/>
        <w:bottom w:val="none" w:sz="0" w:space="0" w:color="auto"/>
        <w:right w:val="none" w:sz="0" w:space="0" w:color="auto"/>
      </w:divBdr>
    </w:div>
    <w:div w:id="1678263068">
      <w:marLeft w:val="0"/>
      <w:marRight w:val="0"/>
      <w:marTop w:val="240"/>
      <w:marBottom w:val="0"/>
      <w:divBdr>
        <w:top w:val="none" w:sz="0" w:space="0" w:color="auto"/>
        <w:left w:val="none" w:sz="0" w:space="0" w:color="auto"/>
        <w:bottom w:val="none" w:sz="0" w:space="0" w:color="auto"/>
        <w:right w:val="none" w:sz="0" w:space="0" w:color="auto"/>
      </w:divBdr>
    </w:div>
    <w:div w:id="1682004168">
      <w:marLeft w:val="0"/>
      <w:marRight w:val="0"/>
      <w:marTop w:val="0"/>
      <w:marBottom w:val="0"/>
      <w:divBdr>
        <w:top w:val="none" w:sz="0" w:space="0" w:color="auto"/>
        <w:left w:val="none" w:sz="0" w:space="0" w:color="auto"/>
        <w:bottom w:val="none" w:sz="0" w:space="0" w:color="auto"/>
        <w:right w:val="none" w:sz="0" w:space="0" w:color="auto"/>
      </w:divBdr>
      <w:divsChild>
        <w:div w:id="530190156">
          <w:marLeft w:val="0"/>
          <w:marRight w:val="0"/>
          <w:marTop w:val="120"/>
          <w:marBottom w:val="0"/>
          <w:divBdr>
            <w:top w:val="none" w:sz="0" w:space="0" w:color="auto"/>
            <w:left w:val="none" w:sz="0" w:space="0" w:color="auto"/>
            <w:bottom w:val="none" w:sz="0" w:space="0" w:color="auto"/>
            <w:right w:val="none" w:sz="0" w:space="0" w:color="auto"/>
          </w:divBdr>
        </w:div>
      </w:divsChild>
    </w:div>
    <w:div w:id="1683122725">
      <w:marLeft w:val="0"/>
      <w:marRight w:val="0"/>
      <w:marTop w:val="240"/>
      <w:marBottom w:val="0"/>
      <w:divBdr>
        <w:top w:val="none" w:sz="0" w:space="0" w:color="auto"/>
        <w:left w:val="none" w:sz="0" w:space="0" w:color="auto"/>
        <w:bottom w:val="none" w:sz="0" w:space="0" w:color="auto"/>
        <w:right w:val="none" w:sz="0" w:space="0" w:color="auto"/>
      </w:divBdr>
    </w:div>
    <w:div w:id="1683819314">
      <w:marLeft w:val="0"/>
      <w:marRight w:val="0"/>
      <w:marTop w:val="240"/>
      <w:marBottom w:val="240"/>
      <w:divBdr>
        <w:top w:val="none" w:sz="0" w:space="0" w:color="auto"/>
        <w:left w:val="none" w:sz="0" w:space="0" w:color="auto"/>
        <w:bottom w:val="none" w:sz="0" w:space="0" w:color="auto"/>
        <w:right w:val="none" w:sz="0" w:space="0" w:color="auto"/>
      </w:divBdr>
    </w:div>
    <w:div w:id="1683819735">
      <w:marLeft w:val="0"/>
      <w:marRight w:val="0"/>
      <w:marTop w:val="240"/>
      <w:marBottom w:val="0"/>
      <w:divBdr>
        <w:top w:val="none" w:sz="0" w:space="0" w:color="auto"/>
        <w:left w:val="none" w:sz="0" w:space="0" w:color="auto"/>
        <w:bottom w:val="none" w:sz="0" w:space="0" w:color="auto"/>
        <w:right w:val="none" w:sz="0" w:space="0" w:color="auto"/>
      </w:divBdr>
    </w:div>
    <w:div w:id="1685012631">
      <w:marLeft w:val="0"/>
      <w:marRight w:val="0"/>
      <w:marTop w:val="180"/>
      <w:marBottom w:val="0"/>
      <w:divBdr>
        <w:top w:val="none" w:sz="0" w:space="0" w:color="auto"/>
        <w:left w:val="none" w:sz="0" w:space="0" w:color="auto"/>
        <w:bottom w:val="none" w:sz="0" w:space="0" w:color="auto"/>
        <w:right w:val="none" w:sz="0" w:space="0" w:color="auto"/>
      </w:divBdr>
    </w:div>
    <w:div w:id="1686980712">
      <w:marLeft w:val="0"/>
      <w:marRight w:val="0"/>
      <w:marTop w:val="100"/>
      <w:marBottom w:val="0"/>
      <w:divBdr>
        <w:top w:val="none" w:sz="0" w:space="0" w:color="auto"/>
        <w:left w:val="none" w:sz="0" w:space="0" w:color="auto"/>
        <w:bottom w:val="none" w:sz="0" w:space="0" w:color="auto"/>
        <w:right w:val="none" w:sz="0" w:space="0" w:color="auto"/>
      </w:divBdr>
    </w:div>
    <w:div w:id="1686981424">
      <w:marLeft w:val="0"/>
      <w:marRight w:val="0"/>
      <w:marTop w:val="200"/>
      <w:marBottom w:val="0"/>
      <w:divBdr>
        <w:top w:val="none" w:sz="0" w:space="0" w:color="auto"/>
        <w:left w:val="none" w:sz="0" w:space="0" w:color="auto"/>
        <w:bottom w:val="none" w:sz="0" w:space="0" w:color="auto"/>
        <w:right w:val="none" w:sz="0" w:space="0" w:color="auto"/>
      </w:divBdr>
    </w:div>
    <w:div w:id="1687635659">
      <w:marLeft w:val="0"/>
      <w:marRight w:val="0"/>
      <w:marTop w:val="240"/>
      <w:marBottom w:val="240"/>
      <w:divBdr>
        <w:top w:val="none" w:sz="0" w:space="0" w:color="auto"/>
        <w:left w:val="none" w:sz="0" w:space="0" w:color="auto"/>
        <w:bottom w:val="none" w:sz="0" w:space="0" w:color="auto"/>
        <w:right w:val="none" w:sz="0" w:space="0" w:color="auto"/>
      </w:divBdr>
    </w:div>
    <w:div w:id="1687712656">
      <w:marLeft w:val="0"/>
      <w:marRight w:val="0"/>
      <w:marTop w:val="0"/>
      <w:marBottom w:val="0"/>
      <w:divBdr>
        <w:top w:val="none" w:sz="0" w:space="0" w:color="auto"/>
        <w:left w:val="none" w:sz="0" w:space="0" w:color="auto"/>
        <w:bottom w:val="none" w:sz="0" w:space="0" w:color="auto"/>
        <w:right w:val="none" w:sz="0" w:space="0" w:color="auto"/>
      </w:divBdr>
      <w:divsChild>
        <w:div w:id="470906083">
          <w:marLeft w:val="0"/>
          <w:marRight w:val="0"/>
          <w:marTop w:val="0"/>
          <w:marBottom w:val="0"/>
          <w:divBdr>
            <w:top w:val="none" w:sz="0" w:space="0" w:color="auto"/>
            <w:left w:val="none" w:sz="0" w:space="0" w:color="auto"/>
            <w:bottom w:val="none" w:sz="0" w:space="0" w:color="auto"/>
            <w:right w:val="none" w:sz="0" w:space="0" w:color="auto"/>
          </w:divBdr>
          <w:divsChild>
            <w:div w:id="171307092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688170025">
      <w:marLeft w:val="0"/>
      <w:marRight w:val="0"/>
      <w:marTop w:val="180"/>
      <w:marBottom w:val="240"/>
      <w:divBdr>
        <w:top w:val="none" w:sz="0" w:space="0" w:color="auto"/>
        <w:left w:val="none" w:sz="0" w:space="0" w:color="auto"/>
        <w:bottom w:val="none" w:sz="0" w:space="0" w:color="auto"/>
        <w:right w:val="none" w:sz="0" w:space="0" w:color="auto"/>
      </w:divBdr>
    </w:div>
    <w:div w:id="1689596669">
      <w:marLeft w:val="0"/>
      <w:marRight w:val="0"/>
      <w:marTop w:val="0"/>
      <w:marBottom w:val="0"/>
      <w:divBdr>
        <w:top w:val="none" w:sz="0" w:space="0" w:color="auto"/>
        <w:left w:val="none" w:sz="0" w:space="0" w:color="auto"/>
        <w:bottom w:val="none" w:sz="0" w:space="0" w:color="auto"/>
        <w:right w:val="none" w:sz="0" w:space="0" w:color="auto"/>
      </w:divBdr>
      <w:divsChild>
        <w:div w:id="749498835">
          <w:marLeft w:val="0"/>
          <w:marRight w:val="0"/>
          <w:marTop w:val="0"/>
          <w:marBottom w:val="0"/>
          <w:divBdr>
            <w:top w:val="none" w:sz="0" w:space="0" w:color="auto"/>
            <w:left w:val="none" w:sz="0" w:space="0" w:color="auto"/>
            <w:bottom w:val="none" w:sz="0" w:space="0" w:color="auto"/>
            <w:right w:val="none" w:sz="0" w:space="0" w:color="auto"/>
          </w:divBdr>
          <w:divsChild>
            <w:div w:id="120802833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692535480">
      <w:marLeft w:val="0"/>
      <w:marRight w:val="0"/>
      <w:marTop w:val="60"/>
      <w:marBottom w:val="60"/>
      <w:divBdr>
        <w:top w:val="none" w:sz="0" w:space="0" w:color="auto"/>
        <w:left w:val="none" w:sz="0" w:space="0" w:color="auto"/>
        <w:bottom w:val="none" w:sz="0" w:space="0" w:color="auto"/>
        <w:right w:val="none" w:sz="0" w:space="0" w:color="auto"/>
      </w:divBdr>
    </w:div>
    <w:div w:id="1693023241">
      <w:marLeft w:val="0"/>
      <w:marRight w:val="0"/>
      <w:marTop w:val="60"/>
      <w:marBottom w:val="0"/>
      <w:divBdr>
        <w:top w:val="none" w:sz="0" w:space="0" w:color="auto"/>
        <w:left w:val="none" w:sz="0" w:space="0" w:color="auto"/>
        <w:bottom w:val="none" w:sz="0" w:space="0" w:color="auto"/>
        <w:right w:val="none" w:sz="0" w:space="0" w:color="auto"/>
      </w:divBdr>
    </w:div>
    <w:div w:id="1693528884">
      <w:marLeft w:val="0"/>
      <w:marRight w:val="0"/>
      <w:marTop w:val="240"/>
      <w:marBottom w:val="0"/>
      <w:divBdr>
        <w:top w:val="none" w:sz="0" w:space="0" w:color="auto"/>
        <w:left w:val="none" w:sz="0" w:space="0" w:color="auto"/>
        <w:bottom w:val="none" w:sz="0" w:space="0" w:color="auto"/>
        <w:right w:val="none" w:sz="0" w:space="0" w:color="auto"/>
      </w:divBdr>
    </w:div>
    <w:div w:id="1695182396">
      <w:marLeft w:val="0"/>
      <w:marRight w:val="0"/>
      <w:marTop w:val="240"/>
      <w:marBottom w:val="0"/>
      <w:divBdr>
        <w:top w:val="none" w:sz="0" w:space="0" w:color="auto"/>
        <w:left w:val="none" w:sz="0" w:space="0" w:color="auto"/>
        <w:bottom w:val="none" w:sz="0" w:space="0" w:color="auto"/>
        <w:right w:val="none" w:sz="0" w:space="0" w:color="auto"/>
      </w:divBdr>
    </w:div>
    <w:div w:id="1698047133">
      <w:marLeft w:val="0"/>
      <w:marRight w:val="0"/>
      <w:marTop w:val="240"/>
      <w:marBottom w:val="0"/>
      <w:divBdr>
        <w:top w:val="none" w:sz="0" w:space="0" w:color="auto"/>
        <w:left w:val="none" w:sz="0" w:space="0" w:color="auto"/>
        <w:bottom w:val="none" w:sz="0" w:space="0" w:color="auto"/>
        <w:right w:val="none" w:sz="0" w:space="0" w:color="auto"/>
      </w:divBdr>
    </w:div>
    <w:div w:id="1698240029">
      <w:marLeft w:val="0"/>
      <w:marRight w:val="0"/>
      <w:marTop w:val="0"/>
      <w:marBottom w:val="0"/>
      <w:divBdr>
        <w:top w:val="none" w:sz="0" w:space="0" w:color="auto"/>
        <w:left w:val="none" w:sz="0" w:space="0" w:color="auto"/>
        <w:bottom w:val="none" w:sz="0" w:space="0" w:color="auto"/>
        <w:right w:val="none" w:sz="0" w:space="0" w:color="auto"/>
      </w:divBdr>
      <w:divsChild>
        <w:div w:id="1484926888">
          <w:marLeft w:val="0"/>
          <w:marRight w:val="0"/>
          <w:marTop w:val="0"/>
          <w:marBottom w:val="0"/>
          <w:divBdr>
            <w:top w:val="none" w:sz="0" w:space="0" w:color="auto"/>
            <w:left w:val="none" w:sz="0" w:space="0" w:color="auto"/>
            <w:bottom w:val="none" w:sz="0" w:space="0" w:color="auto"/>
            <w:right w:val="none" w:sz="0" w:space="0" w:color="auto"/>
          </w:divBdr>
          <w:divsChild>
            <w:div w:id="126118137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698656116">
      <w:marLeft w:val="0"/>
      <w:marRight w:val="0"/>
      <w:marTop w:val="120"/>
      <w:marBottom w:val="0"/>
      <w:divBdr>
        <w:top w:val="none" w:sz="0" w:space="0" w:color="auto"/>
        <w:left w:val="none" w:sz="0" w:space="0" w:color="auto"/>
        <w:bottom w:val="none" w:sz="0" w:space="0" w:color="auto"/>
        <w:right w:val="none" w:sz="0" w:space="0" w:color="auto"/>
      </w:divBdr>
    </w:div>
    <w:div w:id="1699352828">
      <w:marLeft w:val="0"/>
      <w:marRight w:val="0"/>
      <w:marTop w:val="180"/>
      <w:marBottom w:val="120"/>
      <w:divBdr>
        <w:top w:val="none" w:sz="0" w:space="0" w:color="auto"/>
        <w:left w:val="none" w:sz="0" w:space="0" w:color="auto"/>
        <w:bottom w:val="none" w:sz="0" w:space="0" w:color="auto"/>
        <w:right w:val="none" w:sz="0" w:space="0" w:color="auto"/>
      </w:divBdr>
    </w:div>
    <w:div w:id="1699965666">
      <w:marLeft w:val="0"/>
      <w:marRight w:val="0"/>
      <w:marTop w:val="240"/>
      <w:marBottom w:val="0"/>
      <w:divBdr>
        <w:top w:val="none" w:sz="0" w:space="0" w:color="auto"/>
        <w:left w:val="none" w:sz="0" w:space="0" w:color="auto"/>
        <w:bottom w:val="none" w:sz="0" w:space="0" w:color="auto"/>
        <w:right w:val="none" w:sz="0" w:space="0" w:color="auto"/>
      </w:divBdr>
    </w:div>
    <w:div w:id="1703626325">
      <w:marLeft w:val="0"/>
      <w:marRight w:val="0"/>
      <w:marTop w:val="160"/>
      <w:marBottom w:val="0"/>
      <w:divBdr>
        <w:top w:val="none" w:sz="0" w:space="0" w:color="auto"/>
        <w:left w:val="none" w:sz="0" w:space="0" w:color="auto"/>
        <w:bottom w:val="none" w:sz="0" w:space="0" w:color="auto"/>
        <w:right w:val="none" w:sz="0" w:space="0" w:color="auto"/>
      </w:divBdr>
    </w:div>
    <w:div w:id="1703675185">
      <w:marLeft w:val="0"/>
      <w:marRight w:val="0"/>
      <w:marTop w:val="240"/>
      <w:marBottom w:val="0"/>
      <w:divBdr>
        <w:top w:val="none" w:sz="0" w:space="0" w:color="auto"/>
        <w:left w:val="none" w:sz="0" w:space="0" w:color="auto"/>
        <w:bottom w:val="none" w:sz="0" w:space="0" w:color="auto"/>
        <w:right w:val="none" w:sz="0" w:space="0" w:color="auto"/>
      </w:divBdr>
    </w:div>
    <w:div w:id="1704358599">
      <w:marLeft w:val="0"/>
      <w:marRight w:val="0"/>
      <w:marTop w:val="240"/>
      <w:marBottom w:val="0"/>
      <w:divBdr>
        <w:top w:val="none" w:sz="0" w:space="0" w:color="auto"/>
        <w:left w:val="none" w:sz="0" w:space="0" w:color="auto"/>
        <w:bottom w:val="none" w:sz="0" w:space="0" w:color="auto"/>
        <w:right w:val="none" w:sz="0" w:space="0" w:color="auto"/>
      </w:divBdr>
    </w:div>
    <w:div w:id="1704863745">
      <w:marLeft w:val="0"/>
      <w:marRight w:val="0"/>
      <w:marTop w:val="180"/>
      <w:marBottom w:val="0"/>
      <w:divBdr>
        <w:top w:val="none" w:sz="0" w:space="0" w:color="auto"/>
        <w:left w:val="none" w:sz="0" w:space="0" w:color="auto"/>
        <w:bottom w:val="none" w:sz="0" w:space="0" w:color="auto"/>
        <w:right w:val="none" w:sz="0" w:space="0" w:color="auto"/>
      </w:divBdr>
    </w:div>
    <w:div w:id="1707021207">
      <w:marLeft w:val="0"/>
      <w:marRight w:val="0"/>
      <w:marTop w:val="160"/>
      <w:marBottom w:val="0"/>
      <w:divBdr>
        <w:top w:val="none" w:sz="0" w:space="0" w:color="auto"/>
        <w:left w:val="none" w:sz="0" w:space="0" w:color="auto"/>
        <w:bottom w:val="none" w:sz="0" w:space="0" w:color="auto"/>
        <w:right w:val="none" w:sz="0" w:space="0" w:color="auto"/>
      </w:divBdr>
      <w:divsChild>
        <w:div w:id="494951777">
          <w:marLeft w:val="0"/>
          <w:marRight w:val="0"/>
          <w:marTop w:val="0"/>
          <w:marBottom w:val="0"/>
          <w:divBdr>
            <w:top w:val="none" w:sz="0" w:space="0" w:color="auto"/>
            <w:left w:val="none" w:sz="0" w:space="0" w:color="auto"/>
            <w:bottom w:val="none" w:sz="0" w:space="0" w:color="auto"/>
            <w:right w:val="none" w:sz="0" w:space="0" w:color="auto"/>
          </w:divBdr>
        </w:div>
      </w:divsChild>
    </w:div>
    <w:div w:id="1707869041">
      <w:marLeft w:val="0"/>
      <w:marRight w:val="0"/>
      <w:marTop w:val="240"/>
      <w:marBottom w:val="0"/>
      <w:divBdr>
        <w:top w:val="none" w:sz="0" w:space="0" w:color="auto"/>
        <w:left w:val="none" w:sz="0" w:space="0" w:color="auto"/>
        <w:bottom w:val="none" w:sz="0" w:space="0" w:color="auto"/>
        <w:right w:val="none" w:sz="0" w:space="0" w:color="auto"/>
      </w:divBdr>
    </w:div>
    <w:div w:id="1708683013">
      <w:marLeft w:val="0"/>
      <w:marRight w:val="0"/>
      <w:marTop w:val="240"/>
      <w:marBottom w:val="0"/>
      <w:divBdr>
        <w:top w:val="none" w:sz="0" w:space="0" w:color="auto"/>
        <w:left w:val="none" w:sz="0" w:space="0" w:color="auto"/>
        <w:bottom w:val="none" w:sz="0" w:space="0" w:color="auto"/>
        <w:right w:val="none" w:sz="0" w:space="0" w:color="auto"/>
      </w:divBdr>
    </w:div>
    <w:div w:id="1710259024">
      <w:marLeft w:val="0"/>
      <w:marRight w:val="0"/>
      <w:marTop w:val="0"/>
      <w:marBottom w:val="0"/>
      <w:divBdr>
        <w:top w:val="none" w:sz="0" w:space="0" w:color="auto"/>
        <w:left w:val="none" w:sz="0" w:space="0" w:color="auto"/>
        <w:bottom w:val="none" w:sz="0" w:space="0" w:color="auto"/>
        <w:right w:val="none" w:sz="0" w:space="0" w:color="auto"/>
      </w:divBdr>
      <w:divsChild>
        <w:div w:id="639464148">
          <w:marLeft w:val="0"/>
          <w:marRight w:val="0"/>
          <w:marTop w:val="120"/>
          <w:marBottom w:val="0"/>
          <w:divBdr>
            <w:top w:val="none" w:sz="0" w:space="0" w:color="auto"/>
            <w:left w:val="none" w:sz="0" w:space="0" w:color="auto"/>
            <w:bottom w:val="none" w:sz="0" w:space="0" w:color="auto"/>
            <w:right w:val="none" w:sz="0" w:space="0" w:color="auto"/>
          </w:divBdr>
        </w:div>
      </w:divsChild>
    </w:div>
    <w:div w:id="1710766071">
      <w:marLeft w:val="0"/>
      <w:marRight w:val="0"/>
      <w:marTop w:val="0"/>
      <w:marBottom w:val="0"/>
      <w:divBdr>
        <w:top w:val="none" w:sz="0" w:space="0" w:color="auto"/>
        <w:left w:val="none" w:sz="0" w:space="0" w:color="auto"/>
        <w:bottom w:val="none" w:sz="0" w:space="0" w:color="auto"/>
        <w:right w:val="none" w:sz="0" w:space="0" w:color="auto"/>
      </w:divBdr>
      <w:divsChild>
        <w:div w:id="510460574">
          <w:marLeft w:val="0"/>
          <w:marRight w:val="0"/>
          <w:marTop w:val="0"/>
          <w:marBottom w:val="0"/>
          <w:divBdr>
            <w:top w:val="none" w:sz="0" w:space="0" w:color="auto"/>
            <w:left w:val="none" w:sz="0" w:space="0" w:color="auto"/>
            <w:bottom w:val="none" w:sz="0" w:space="0" w:color="auto"/>
            <w:right w:val="none" w:sz="0" w:space="0" w:color="auto"/>
          </w:divBdr>
          <w:divsChild>
            <w:div w:id="184073185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712925480">
      <w:marLeft w:val="0"/>
      <w:marRight w:val="0"/>
      <w:marTop w:val="0"/>
      <w:marBottom w:val="0"/>
      <w:divBdr>
        <w:top w:val="none" w:sz="0" w:space="0" w:color="auto"/>
        <w:left w:val="none" w:sz="0" w:space="0" w:color="auto"/>
        <w:bottom w:val="none" w:sz="0" w:space="0" w:color="auto"/>
        <w:right w:val="none" w:sz="0" w:space="0" w:color="auto"/>
      </w:divBdr>
      <w:divsChild>
        <w:div w:id="514803186">
          <w:marLeft w:val="0"/>
          <w:marRight w:val="0"/>
          <w:marTop w:val="0"/>
          <w:marBottom w:val="0"/>
          <w:divBdr>
            <w:top w:val="none" w:sz="0" w:space="0" w:color="auto"/>
            <w:left w:val="none" w:sz="0" w:space="0" w:color="auto"/>
            <w:bottom w:val="none" w:sz="0" w:space="0" w:color="auto"/>
            <w:right w:val="none" w:sz="0" w:space="0" w:color="auto"/>
          </w:divBdr>
          <w:divsChild>
            <w:div w:id="95964893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713648532">
      <w:marLeft w:val="0"/>
      <w:marRight w:val="0"/>
      <w:marTop w:val="160"/>
      <w:marBottom w:val="0"/>
      <w:divBdr>
        <w:top w:val="none" w:sz="0" w:space="0" w:color="auto"/>
        <w:left w:val="none" w:sz="0" w:space="0" w:color="auto"/>
        <w:bottom w:val="none" w:sz="0" w:space="0" w:color="auto"/>
        <w:right w:val="none" w:sz="0" w:space="0" w:color="auto"/>
      </w:divBdr>
      <w:divsChild>
        <w:div w:id="31345467">
          <w:marLeft w:val="0"/>
          <w:marRight w:val="0"/>
          <w:marTop w:val="0"/>
          <w:marBottom w:val="0"/>
          <w:divBdr>
            <w:top w:val="none" w:sz="0" w:space="0" w:color="auto"/>
            <w:left w:val="none" w:sz="0" w:space="0" w:color="auto"/>
            <w:bottom w:val="none" w:sz="0" w:space="0" w:color="auto"/>
            <w:right w:val="none" w:sz="0" w:space="0" w:color="auto"/>
          </w:divBdr>
        </w:div>
        <w:div w:id="914628617">
          <w:marLeft w:val="0"/>
          <w:marRight w:val="0"/>
          <w:marTop w:val="0"/>
          <w:marBottom w:val="0"/>
          <w:divBdr>
            <w:top w:val="none" w:sz="0" w:space="0" w:color="auto"/>
            <w:left w:val="none" w:sz="0" w:space="0" w:color="auto"/>
            <w:bottom w:val="none" w:sz="0" w:space="0" w:color="auto"/>
            <w:right w:val="none" w:sz="0" w:space="0" w:color="auto"/>
          </w:divBdr>
        </w:div>
      </w:divsChild>
    </w:div>
    <w:div w:id="1714883614">
      <w:marLeft w:val="0"/>
      <w:marRight w:val="0"/>
      <w:marTop w:val="200"/>
      <w:marBottom w:val="0"/>
      <w:divBdr>
        <w:top w:val="none" w:sz="0" w:space="0" w:color="auto"/>
        <w:left w:val="none" w:sz="0" w:space="0" w:color="auto"/>
        <w:bottom w:val="none" w:sz="0" w:space="0" w:color="auto"/>
        <w:right w:val="none" w:sz="0" w:space="0" w:color="auto"/>
      </w:divBdr>
    </w:div>
    <w:div w:id="1715810314">
      <w:marLeft w:val="0"/>
      <w:marRight w:val="0"/>
      <w:marTop w:val="0"/>
      <w:marBottom w:val="60"/>
      <w:divBdr>
        <w:top w:val="none" w:sz="0" w:space="0" w:color="auto"/>
        <w:left w:val="none" w:sz="0" w:space="0" w:color="auto"/>
        <w:bottom w:val="none" w:sz="0" w:space="0" w:color="auto"/>
        <w:right w:val="none" w:sz="0" w:space="0" w:color="auto"/>
      </w:divBdr>
    </w:div>
    <w:div w:id="1716275553">
      <w:marLeft w:val="0"/>
      <w:marRight w:val="0"/>
      <w:marTop w:val="240"/>
      <w:marBottom w:val="0"/>
      <w:divBdr>
        <w:top w:val="none" w:sz="0" w:space="0" w:color="auto"/>
        <w:left w:val="none" w:sz="0" w:space="0" w:color="auto"/>
        <w:bottom w:val="none" w:sz="0" w:space="0" w:color="auto"/>
        <w:right w:val="none" w:sz="0" w:space="0" w:color="auto"/>
      </w:divBdr>
    </w:div>
    <w:div w:id="1716470486">
      <w:marLeft w:val="0"/>
      <w:marRight w:val="0"/>
      <w:marTop w:val="0"/>
      <w:marBottom w:val="0"/>
      <w:divBdr>
        <w:top w:val="none" w:sz="0" w:space="0" w:color="auto"/>
        <w:left w:val="none" w:sz="0" w:space="0" w:color="auto"/>
        <w:bottom w:val="none" w:sz="0" w:space="0" w:color="auto"/>
        <w:right w:val="none" w:sz="0" w:space="0" w:color="auto"/>
      </w:divBdr>
      <w:divsChild>
        <w:div w:id="1887835891">
          <w:marLeft w:val="0"/>
          <w:marRight w:val="0"/>
          <w:marTop w:val="0"/>
          <w:marBottom w:val="0"/>
          <w:divBdr>
            <w:top w:val="none" w:sz="0" w:space="0" w:color="auto"/>
            <w:left w:val="none" w:sz="0" w:space="0" w:color="auto"/>
            <w:bottom w:val="none" w:sz="0" w:space="0" w:color="auto"/>
            <w:right w:val="none" w:sz="0" w:space="0" w:color="auto"/>
          </w:divBdr>
        </w:div>
      </w:divsChild>
    </w:div>
    <w:div w:id="1719010974">
      <w:marLeft w:val="0"/>
      <w:marRight w:val="0"/>
      <w:marTop w:val="180"/>
      <w:marBottom w:val="0"/>
      <w:divBdr>
        <w:top w:val="none" w:sz="0" w:space="0" w:color="auto"/>
        <w:left w:val="none" w:sz="0" w:space="0" w:color="auto"/>
        <w:bottom w:val="none" w:sz="0" w:space="0" w:color="auto"/>
        <w:right w:val="none" w:sz="0" w:space="0" w:color="auto"/>
      </w:divBdr>
    </w:div>
    <w:div w:id="1719237588">
      <w:marLeft w:val="0"/>
      <w:marRight w:val="0"/>
      <w:marTop w:val="240"/>
      <w:marBottom w:val="0"/>
      <w:divBdr>
        <w:top w:val="none" w:sz="0" w:space="0" w:color="auto"/>
        <w:left w:val="none" w:sz="0" w:space="0" w:color="auto"/>
        <w:bottom w:val="none" w:sz="0" w:space="0" w:color="auto"/>
        <w:right w:val="none" w:sz="0" w:space="0" w:color="auto"/>
      </w:divBdr>
    </w:div>
    <w:div w:id="1720013357">
      <w:marLeft w:val="0"/>
      <w:marRight w:val="0"/>
      <w:marTop w:val="240"/>
      <w:marBottom w:val="0"/>
      <w:divBdr>
        <w:top w:val="none" w:sz="0" w:space="0" w:color="auto"/>
        <w:left w:val="none" w:sz="0" w:space="0" w:color="auto"/>
        <w:bottom w:val="none" w:sz="0" w:space="0" w:color="auto"/>
        <w:right w:val="none" w:sz="0" w:space="0" w:color="auto"/>
      </w:divBdr>
    </w:div>
    <w:div w:id="1721900822">
      <w:marLeft w:val="0"/>
      <w:marRight w:val="0"/>
      <w:marTop w:val="200"/>
      <w:marBottom w:val="0"/>
      <w:divBdr>
        <w:top w:val="none" w:sz="0" w:space="0" w:color="auto"/>
        <w:left w:val="none" w:sz="0" w:space="0" w:color="auto"/>
        <w:bottom w:val="none" w:sz="0" w:space="0" w:color="auto"/>
        <w:right w:val="none" w:sz="0" w:space="0" w:color="auto"/>
      </w:divBdr>
    </w:div>
    <w:div w:id="1724408786">
      <w:marLeft w:val="0"/>
      <w:marRight w:val="0"/>
      <w:marTop w:val="240"/>
      <w:marBottom w:val="0"/>
      <w:divBdr>
        <w:top w:val="none" w:sz="0" w:space="0" w:color="auto"/>
        <w:left w:val="none" w:sz="0" w:space="0" w:color="auto"/>
        <w:bottom w:val="none" w:sz="0" w:space="0" w:color="auto"/>
        <w:right w:val="none" w:sz="0" w:space="0" w:color="auto"/>
      </w:divBdr>
    </w:div>
    <w:div w:id="1730879757">
      <w:marLeft w:val="0"/>
      <w:marRight w:val="0"/>
      <w:marTop w:val="120"/>
      <w:marBottom w:val="0"/>
      <w:divBdr>
        <w:top w:val="none" w:sz="0" w:space="0" w:color="auto"/>
        <w:left w:val="none" w:sz="0" w:space="0" w:color="auto"/>
        <w:bottom w:val="none" w:sz="0" w:space="0" w:color="auto"/>
        <w:right w:val="none" w:sz="0" w:space="0" w:color="auto"/>
      </w:divBdr>
    </w:div>
    <w:div w:id="1733384786">
      <w:marLeft w:val="0"/>
      <w:marRight w:val="0"/>
      <w:marTop w:val="300"/>
      <w:marBottom w:val="0"/>
      <w:divBdr>
        <w:top w:val="none" w:sz="0" w:space="0" w:color="auto"/>
        <w:left w:val="none" w:sz="0" w:space="0" w:color="auto"/>
        <w:bottom w:val="none" w:sz="0" w:space="0" w:color="auto"/>
        <w:right w:val="none" w:sz="0" w:space="0" w:color="auto"/>
      </w:divBdr>
    </w:div>
    <w:div w:id="1733625827">
      <w:marLeft w:val="0"/>
      <w:marRight w:val="0"/>
      <w:marTop w:val="240"/>
      <w:marBottom w:val="0"/>
      <w:divBdr>
        <w:top w:val="none" w:sz="0" w:space="0" w:color="auto"/>
        <w:left w:val="none" w:sz="0" w:space="0" w:color="auto"/>
        <w:bottom w:val="none" w:sz="0" w:space="0" w:color="auto"/>
        <w:right w:val="none" w:sz="0" w:space="0" w:color="auto"/>
      </w:divBdr>
    </w:div>
    <w:div w:id="1736004215">
      <w:marLeft w:val="0"/>
      <w:marRight w:val="0"/>
      <w:marTop w:val="0"/>
      <w:marBottom w:val="0"/>
      <w:divBdr>
        <w:top w:val="none" w:sz="0" w:space="0" w:color="auto"/>
        <w:left w:val="none" w:sz="0" w:space="0" w:color="auto"/>
        <w:bottom w:val="none" w:sz="0" w:space="0" w:color="auto"/>
        <w:right w:val="none" w:sz="0" w:space="0" w:color="auto"/>
      </w:divBdr>
      <w:divsChild>
        <w:div w:id="1158885522">
          <w:marLeft w:val="0"/>
          <w:marRight w:val="0"/>
          <w:marTop w:val="0"/>
          <w:marBottom w:val="0"/>
          <w:divBdr>
            <w:top w:val="none" w:sz="0" w:space="0" w:color="auto"/>
            <w:left w:val="none" w:sz="0" w:space="0" w:color="auto"/>
            <w:bottom w:val="none" w:sz="0" w:space="0" w:color="auto"/>
            <w:right w:val="none" w:sz="0" w:space="0" w:color="auto"/>
          </w:divBdr>
        </w:div>
      </w:divsChild>
    </w:div>
    <w:div w:id="1737629051">
      <w:marLeft w:val="0"/>
      <w:marRight w:val="0"/>
      <w:marTop w:val="60"/>
      <w:marBottom w:val="0"/>
      <w:divBdr>
        <w:top w:val="none" w:sz="0" w:space="0" w:color="auto"/>
        <w:left w:val="none" w:sz="0" w:space="0" w:color="auto"/>
        <w:bottom w:val="none" w:sz="0" w:space="0" w:color="auto"/>
        <w:right w:val="none" w:sz="0" w:space="0" w:color="auto"/>
      </w:divBdr>
    </w:div>
    <w:div w:id="1738823114">
      <w:marLeft w:val="0"/>
      <w:marRight w:val="0"/>
      <w:marTop w:val="180"/>
      <w:marBottom w:val="0"/>
      <w:divBdr>
        <w:top w:val="none" w:sz="0" w:space="0" w:color="auto"/>
        <w:left w:val="none" w:sz="0" w:space="0" w:color="auto"/>
        <w:bottom w:val="none" w:sz="0" w:space="0" w:color="auto"/>
        <w:right w:val="none" w:sz="0" w:space="0" w:color="auto"/>
      </w:divBdr>
    </w:div>
    <w:div w:id="1739789601">
      <w:marLeft w:val="0"/>
      <w:marRight w:val="0"/>
      <w:marTop w:val="0"/>
      <w:marBottom w:val="0"/>
      <w:divBdr>
        <w:top w:val="none" w:sz="0" w:space="0" w:color="auto"/>
        <w:left w:val="none" w:sz="0" w:space="0" w:color="auto"/>
        <w:bottom w:val="none" w:sz="0" w:space="0" w:color="auto"/>
        <w:right w:val="none" w:sz="0" w:space="0" w:color="auto"/>
      </w:divBdr>
      <w:divsChild>
        <w:div w:id="320156221">
          <w:marLeft w:val="0"/>
          <w:marRight w:val="0"/>
          <w:marTop w:val="0"/>
          <w:marBottom w:val="0"/>
          <w:divBdr>
            <w:top w:val="none" w:sz="0" w:space="0" w:color="auto"/>
            <w:left w:val="none" w:sz="0" w:space="0" w:color="auto"/>
            <w:bottom w:val="none" w:sz="0" w:space="0" w:color="auto"/>
            <w:right w:val="none" w:sz="0" w:space="0" w:color="auto"/>
          </w:divBdr>
          <w:divsChild>
            <w:div w:id="164916526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740252234">
      <w:marLeft w:val="0"/>
      <w:marRight w:val="0"/>
      <w:marTop w:val="120"/>
      <w:marBottom w:val="0"/>
      <w:divBdr>
        <w:top w:val="none" w:sz="0" w:space="0" w:color="auto"/>
        <w:left w:val="none" w:sz="0" w:space="0" w:color="auto"/>
        <w:bottom w:val="none" w:sz="0" w:space="0" w:color="auto"/>
        <w:right w:val="none" w:sz="0" w:space="0" w:color="auto"/>
      </w:divBdr>
    </w:div>
    <w:div w:id="1743940153">
      <w:marLeft w:val="0"/>
      <w:marRight w:val="0"/>
      <w:marTop w:val="100"/>
      <w:marBottom w:val="0"/>
      <w:divBdr>
        <w:top w:val="none" w:sz="0" w:space="0" w:color="auto"/>
        <w:left w:val="none" w:sz="0" w:space="0" w:color="auto"/>
        <w:bottom w:val="none" w:sz="0" w:space="0" w:color="auto"/>
        <w:right w:val="none" w:sz="0" w:space="0" w:color="auto"/>
      </w:divBdr>
    </w:div>
    <w:div w:id="1744909598">
      <w:marLeft w:val="0"/>
      <w:marRight w:val="0"/>
      <w:marTop w:val="240"/>
      <w:marBottom w:val="0"/>
      <w:divBdr>
        <w:top w:val="none" w:sz="0" w:space="0" w:color="auto"/>
        <w:left w:val="none" w:sz="0" w:space="0" w:color="auto"/>
        <w:bottom w:val="none" w:sz="0" w:space="0" w:color="auto"/>
        <w:right w:val="none" w:sz="0" w:space="0" w:color="auto"/>
      </w:divBdr>
    </w:div>
    <w:div w:id="1745103863">
      <w:marLeft w:val="0"/>
      <w:marRight w:val="0"/>
      <w:marTop w:val="240"/>
      <w:marBottom w:val="0"/>
      <w:divBdr>
        <w:top w:val="none" w:sz="0" w:space="0" w:color="auto"/>
        <w:left w:val="none" w:sz="0" w:space="0" w:color="auto"/>
        <w:bottom w:val="none" w:sz="0" w:space="0" w:color="auto"/>
        <w:right w:val="none" w:sz="0" w:space="0" w:color="auto"/>
      </w:divBdr>
    </w:div>
    <w:div w:id="1745763493">
      <w:marLeft w:val="0"/>
      <w:marRight w:val="0"/>
      <w:marTop w:val="0"/>
      <w:marBottom w:val="0"/>
      <w:divBdr>
        <w:top w:val="none" w:sz="0" w:space="0" w:color="auto"/>
        <w:left w:val="none" w:sz="0" w:space="0" w:color="auto"/>
        <w:bottom w:val="none" w:sz="0" w:space="0" w:color="auto"/>
        <w:right w:val="none" w:sz="0" w:space="0" w:color="auto"/>
      </w:divBdr>
    </w:div>
    <w:div w:id="1746608601">
      <w:marLeft w:val="0"/>
      <w:marRight w:val="0"/>
      <w:marTop w:val="340"/>
      <w:marBottom w:val="0"/>
      <w:divBdr>
        <w:top w:val="none" w:sz="0" w:space="0" w:color="auto"/>
        <w:left w:val="none" w:sz="0" w:space="0" w:color="auto"/>
        <w:bottom w:val="none" w:sz="0" w:space="0" w:color="auto"/>
        <w:right w:val="none" w:sz="0" w:space="0" w:color="auto"/>
      </w:divBdr>
      <w:divsChild>
        <w:div w:id="1600525601">
          <w:marLeft w:val="0"/>
          <w:marRight w:val="0"/>
          <w:marTop w:val="0"/>
          <w:marBottom w:val="0"/>
          <w:divBdr>
            <w:top w:val="none" w:sz="0" w:space="0" w:color="auto"/>
            <w:left w:val="none" w:sz="0" w:space="0" w:color="auto"/>
            <w:bottom w:val="none" w:sz="0" w:space="0" w:color="auto"/>
            <w:right w:val="none" w:sz="0" w:space="0" w:color="auto"/>
          </w:divBdr>
        </w:div>
      </w:divsChild>
    </w:div>
    <w:div w:id="1746951430">
      <w:marLeft w:val="0"/>
      <w:marRight w:val="0"/>
      <w:marTop w:val="180"/>
      <w:marBottom w:val="0"/>
      <w:divBdr>
        <w:top w:val="none" w:sz="0" w:space="0" w:color="auto"/>
        <w:left w:val="none" w:sz="0" w:space="0" w:color="auto"/>
        <w:bottom w:val="none" w:sz="0" w:space="0" w:color="auto"/>
        <w:right w:val="none" w:sz="0" w:space="0" w:color="auto"/>
      </w:divBdr>
    </w:div>
    <w:div w:id="1748182901">
      <w:marLeft w:val="0"/>
      <w:marRight w:val="0"/>
      <w:marTop w:val="200"/>
      <w:marBottom w:val="0"/>
      <w:divBdr>
        <w:top w:val="none" w:sz="0" w:space="0" w:color="auto"/>
        <w:left w:val="none" w:sz="0" w:space="0" w:color="auto"/>
        <w:bottom w:val="none" w:sz="0" w:space="0" w:color="auto"/>
        <w:right w:val="none" w:sz="0" w:space="0" w:color="auto"/>
      </w:divBdr>
    </w:div>
    <w:div w:id="1748920853">
      <w:marLeft w:val="0"/>
      <w:marRight w:val="0"/>
      <w:marTop w:val="120"/>
      <w:marBottom w:val="0"/>
      <w:divBdr>
        <w:top w:val="none" w:sz="0" w:space="0" w:color="auto"/>
        <w:left w:val="none" w:sz="0" w:space="0" w:color="auto"/>
        <w:bottom w:val="none" w:sz="0" w:space="0" w:color="auto"/>
        <w:right w:val="none" w:sz="0" w:space="0" w:color="auto"/>
      </w:divBdr>
    </w:div>
    <w:div w:id="1750032879">
      <w:marLeft w:val="0"/>
      <w:marRight w:val="0"/>
      <w:marTop w:val="240"/>
      <w:marBottom w:val="0"/>
      <w:divBdr>
        <w:top w:val="none" w:sz="0" w:space="0" w:color="auto"/>
        <w:left w:val="none" w:sz="0" w:space="0" w:color="auto"/>
        <w:bottom w:val="none" w:sz="0" w:space="0" w:color="auto"/>
        <w:right w:val="none" w:sz="0" w:space="0" w:color="auto"/>
      </w:divBdr>
    </w:div>
    <w:div w:id="1752894759">
      <w:marLeft w:val="0"/>
      <w:marRight w:val="0"/>
      <w:marTop w:val="240"/>
      <w:marBottom w:val="0"/>
      <w:divBdr>
        <w:top w:val="none" w:sz="0" w:space="0" w:color="auto"/>
        <w:left w:val="none" w:sz="0" w:space="0" w:color="auto"/>
        <w:bottom w:val="none" w:sz="0" w:space="0" w:color="auto"/>
        <w:right w:val="none" w:sz="0" w:space="0" w:color="auto"/>
      </w:divBdr>
    </w:div>
    <w:div w:id="1759055479">
      <w:marLeft w:val="0"/>
      <w:marRight w:val="0"/>
      <w:marTop w:val="0"/>
      <w:marBottom w:val="0"/>
      <w:divBdr>
        <w:top w:val="none" w:sz="0" w:space="0" w:color="auto"/>
        <w:left w:val="none" w:sz="0" w:space="0" w:color="auto"/>
        <w:bottom w:val="none" w:sz="0" w:space="0" w:color="auto"/>
        <w:right w:val="none" w:sz="0" w:space="0" w:color="auto"/>
      </w:divBdr>
    </w:div>
    <w:div w:id="1761102313">
      <w:marLeft w:val="0"/>
      <w:marRight w:val="0"/>
      <w:marTop w:val="0"/>
      <w:marBottom w:val="0"/>
      <w:divBdr>
        <w:top w:val="none" w:sz="0" w:space="0" w:color="auto"/>
        <w:left w:val="none" w:sz="0" w:space="0" w:color="auto"/>
        <w:bottom w:val="none" w:sz="0" w:space="0" w:color="auto"/>
        <w:right w:val="none" w:sz="0" w:space="0" w:color="auto"/>
      </w:divBdr>
    </w:div>
    <w:div w:id="1763333543">
      <w:marLeft w:val="0"/>
      <w:marRight w:val="0"/>
      <w:marTop w:val="160"/>
      <w:marBottom w:val="0"/>
      <w:divBdr>
        <w:top w:val="none" w:sz="0" w:space="0" w:color="auto"/>
        <w:left w:val="none" w:sz="0" w:space="0" w:color="auto"/>
        <w:bottom w:val="none" w:sz="0" w:space="0" w:color="auto"/>
        <w:right w:val="none" w:sz="0" w:space="0" w:color="auto"/>
      </w:divBdr>
    </w:div>
    <w:div w:id="1765029945">
      <w:marLeft w:val="0"/>
      <w:marRight w:val="0"/>
      <w:marTop w:val="180"/>
      <w:marBottom w:val="0"/>
      <w:divBdr>
        <w:top w:val="none" w:sz="0" w:space="0" w:color="auto"/>
        <w:left w:val="none" w:sz="0" w:space="0" w:color="auto"/>
        <w:bottom w:val="none" w:sz="0" w:space="0" w:color="auto"/>
        <w:right w:val="none" w:sz="0" w:space="0" w:color="auto"/>
      </w:divBdr>
    </w:div>
    <w:div w:id="1768428140">
      <w:marLeft w:val="0"/>
      <w:marRight w:val="0"/>
      <w:marTop w:val="240"/>
      <w:marBottom w:val="0"/>
      <w:divBdr>
        <w:top w:val="none" w:sz="0" w:space="0" w:color="auto"/>
        <w:left w:val="none" w:sz="0" w:space="0" w:color="auto"/>
        <w:bottom w:val="none" w:sz="0" w:space="0" w:color="auto"/>
        <w:right w:val="none" w:sz="0" w:space="0" w:color="auto"/>
      </w:divBdr>
    </w:div>
    <w:div w:id="1771654981">
      <w:marLeft w:val="0"/>
      <w:marRight w:val="0"/>
      <w:marTop w:val="240"/>
      <w:marBottom w:val="0"/>
      <w:divBdr>
        <w:top w:val="none" w:sz="0" w:space="0" w:color="auto"/>
        <w:left w:val="none" w:sz="0" w:space="0" w:color="auto"/>
        <w:bottom w:val="none" w:sz="0" w:space="0" w:color="auto"/>
        <w:right w:val="none" w:sz="0" w:space="0" w:color="auto"/>
      </w:divBdr>
    </w:div>
    <w:div w:id="1771778946">
      <w:marLeft w:val="0"/>
      <w:marRight w:val="0"/>
      <w:marTop w:val="0"/>
      <w:marBottom w:val="0"/>
      <w:divBdr>
        <w:top w:val="none" w:sz="0" w:space="0" w:color="auto"/>
        <w:left w:val="none" w:sz="0" w:space="0" w:color="auto"/>
        <w:bottom w:val="none" w:sz="0" w:space="0" w:color="auto"/>
        <w:right w:val="none" w:sz="0" w:space="0" w:color="auto"/>
      </w:divBdr>
      <w:divsChild>
        <w:div w:id="1572541604">
          <w:marLeft w:val="0"/>
          <w:marRight w:val="0"/>
          <w:marTop w:val="0"/>
          <w:marBottom w:val="0"/>
          <w:divBdr>
            <w:top w:val="none" w:sz="0" w:space="0" w:color="auto"/>
            <w:left w:val="none" w:sz="0" w:space="0" w:color="auto"/>
            <w:bottom w:val="none" w:sz="0" w:space="0" w:color="auto"/>
            <w:right w:val="none" w:sz="0" w:space="0" w:color="auto"/>
          </w:divBdr>
          <w:divsChild>
            <w:div w:id="146296093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771969098">
      <w:marLeft w:val="0"/>
      <w:marRight w:val="0"/>
      <w:marTop w:val="0"/>
      <w:marBottom w:val="0"/>
      <w:divBdr>
        <w:top w:val="none" w:sz="0" w:space="0" w:color="auto"/>
        <w:left w:val="none" w:sz="0" w:space="0" w:color="auto"/>
        <w:bottom w:val="none" w:sz="0" w:space="0" w:color="auto"/>
        <w:right w:val="none" w:sz="0" w:space="0" w:color="auto"/>
      </w:divBdr>
      <w:divsChild>
        <w:div w:id="303199843">
          <w:marLeft w:val="0"/>
          <w:marRight w:val="0"/>
          <w:marTop w:val="120"/>
          <w:marBottom w:val="0"/>
          <w:divBdr>
            <w:top w:val="none" w:sz="0" w:space="0" w:color="auto"/>
            <w:left w:val="none" w:sz="0" w:space="0" w:color="auto"/>
            <w:bottom w:val="none" w:sz="0" w:space="0" w:color="auto"/>
            <w:right w:val="none" w:sz="0" w:space="0" w:color="auto"/>
          </w:divBdr>
        </w:div>
      </w:divsChild>
    </w:div>
    <w:div w:id="1772359086">
      <w:marLeft w:val="0"/>
      <w:marRight w:val="0"/>
      <w:marTop w:val="200"/>
      <w:marBottom w:val="0"/>
      <w:divBdr>
        <w:top w:val="none" w:sz="0" w:space="0" w:color="auto"/>
        <w:left w:val="none" w:sz="0" w:space="0" w:color="auto"/>
        <w:bottom w:val="none" w:sz="0" w:space="0" w:color="auto"/>
        <w:right w:val="none" w:sz="0" w:space="0" w:color="auto"/>
      </w:divBdr>
    </w:div>
    <w:div w:id="1772893510">
      <w:marLeft w:val="0"/>
      <w:marRight w:val="0"/>
      <w:marTop w:val="240"/>
      <w:marBottom w:val="0"/>
      <w:divBdr>
        <w:top w:val="none" w:sz="0" w:space="0" w:color="auto"/>
        <w:left w:val="none" w:sz="0" w:space="0" w:color="auto"/>
        <w:bottom w:val="none" w:sz="0" w:space="0" w:color="auto"/>
        <w:right w:val="none" w:sz="0" w:space="0" w:color="auto"/>
      </w:divBdr>
    </w:div>
    <w:div w:id="1773235634">
      <w:marLeft w:val="0"/>
      <w:marRight w:val="0"/>
      <w:marTop w:val="240"/>
      <w:marBottom w:val="0"/>
      <w:divBdr>
        <w:top w:val="none" w:sz="0" w:space="0" w:color="auto"/>
        <w:left w:val="none" w:sz="0" w:space="0" w:color="auto"/>
        <w:bottom w:val="none" w:sz="0" w:space="0" w:color="auto"/>
        <w:right w:val="none" w:sz="0" w:space="0" w:color="auto"/>
      </w:divBdr>
    </w:div>
    <w:div w:id="1781335571">
      <w:marLeft w:val="0"/>
      <w:marRight w:val="0"/>
      <w:marTop w:val="240"/>
      <w:marBottom w:val="0"/>
      <w:divBdr>
        <w:top w:val="none" w:sz="0" w:space="0" w:color="auto"/>
        <w:left w:val="none" w:sz="0" w:space="0" w:color="auto"/>
        <w:bottom w:val="none" w:sz="0" w:space="0" w:color="auto"/>
        <w:right w:val="none" w:sz="0" w:space="0" w:color="auto"/>
      </w:divBdr>
    </w:div>
    <w:div w:id="1785222143">
      <w:marLeft w:val="0"/>
      <w:marRight w:val="0"/>
      <w:marTop w:val="200"/>
      <w:marBottom w:val="0"/>
      <w:divBdr>
        <w:top w:val="none" w:sz="0" w:space="0" w:color="auto"/>
        <w:left w:val="none" w:sz="0" w:space="0" w:color="auto"/>
        <w:bottom w:val="none" w:sz="0" w:space="0" w:color="auto"/>
        <w:right w:val="none" w:sz="0" w:space="0" w:color="auto"/>
      </w:divBdr>
    </w:div>
    <w:div w:id="1786652858">
      <w:marLeft w:val="0"/>
      <w:marRight w:val="0"/>
      <w:marTop w:val="200"/>
      <w:marBottom w:val="0"/>
      <w:divBdr>
        <w:top w:val="none" w:sz="0" w:space="0" w:color="auto"/>
        <w:left w:val="none" w:sz="0" w:space="0" w:color="auto"/>
        <w:bottom w:val="none" w:sz="0" w:space="0" w:color="auto"/>
        <w:right w:val="none" w:sz="0" w:space="0" w:color="auto"/>
      </w:divBdr>
    </w:div>
    <w:div w:id="1788620138">
      <w:marLeft w:val="0"/>
      <w:marRight w:val="0"/>
      <w:marTop w:val="100"/>
      <w:marBottom w:val="0"/>
      <w:divBdr>
        <w:top w:val="none" w:sz="0" w:space="0" w:color="auto"/>
        <w:left w:val="none" w:sz="0" w:space="0" w:color="auto"/>
        <w:bottom w:val="none" w:sz="0" w:space="0" w:color="auto"/>
        <w:right w:val="none" w:sz="0" w:space="0" w:color="auto"/>
      </w:divBdr>
    </w:div>
    <w:div w:id="1789739489">
      <w:marLeft w:val="0"/>
      <w:marRight w:val="0"/>
      <w:marTop w:val="200"/>
      <w:marBottom w:val="0"/>
      <w:divBdr>
        <w:top w:val="none" w:sz="0" w:space="0" w:color="auto"/>
        <w:left w:val="none" w:sz="0" w:space="0" w:color="auto"/>
        <w:bottom w:val="none" w:sz="0" w:space="0" w:color="auto"/>
        <w:right w:val="none" w:sz="0" w:space="0" w:color="auto"/>
      </w:divBdr>
    </w:div>
    <w:div w:id="1791052773">
      <w:marLeft w:val="0"/>
      <w:marRight w:val="0"/>
      <w:marTop w:val="240"/>
      <w:marBottom w:val="0"/>
      <w:divBdr>
        <w:top w:val="none" w:sz="0" w:space="0" w:color="auto"/>
        <w:left w:val="none" w:sz="0" w:space="0" w:color="auto"/>
        <w:bottom w:val="none" w:sz="0" w:space="0" w:color="auto"/>
        <w:right w:val="none" w:sz="0" w:space="0" w:color="auto"/>
      </w:divBdr>
    </w:div>
    <w:div w:id="1791170741">
      <w:marLeft w:val="0"/>
      <w:marRight w:val="0"/>
      <w:marTop w:val="200"/>
      <w:marBottom w:val="0"/>
      <w:divBdr>
        <w:top w:val="none" w:sz="0" w:space="0" w:color="auto"/>
        <w:left w:val="none" w:sz="0" w:space="0" w:color="auto"/>
        <w:bottom w:val="none" w:sz="0" w:space="0" w:color="auto"/>
        <w:right w:val="none" w:sz="0" w:space="0" w:color="auto"/>
      </w:divBdr>
    </w:div>
    <w:div w:id="1791708612">
      <w:marLeft w:val="0"/>
      <w:marRight w:val="0"/>
      <w:marTop w:val="200"/>
      <w:marBottom w:val="0"/>
      <w:divBdr>
        <w:top w:val="none" w:sz="0" w:space="0" w:color="auto"/>
        <w:left w:val="none" w:sz="0" w:space="0" w:color="auto"/>
        <w:bottom w:val="none" w:sz="0" w:space="0" w:color="auto"/>
        <w:right w:val="none" w:sz="0" w:space="0" w:color="auto"/>
      </w:divBdr>
    </w:div>
    <w:div w:id="1793553220">
      <w:marLeft w:val="0"/>
      <w:marRight w:val="0"/>
      <w:marTop w:val="300"/>
      <w:marBottom w:val="0"/>
      <w:divBdr>
        <w:top w:val="none" w:sz="0" w:space="0" w:color="auto"/>
        <w:left w:val="none" w:sz="0" w:space="0" w:color="auto"/>
        <w:bottom w:val="none" w:sz="0" w:space="0" w:color="auto"/>
        <w:right w:val="none" w:sz="0" w:space="0" w:color="auto"/>
      </w:divBdr>
    </w:div>
    <w:div w:id="1793671414">
      <w:marLeft w:val="0"/>
      <w:marRight w:val="0"/>
      <w:marTop w:val="0"/>
      <w:marBottom w:val="0"/>
      <w:divBdr>
        <w:top w:val="none" w:sz="0" w:space="0" w:color="auto"/>
        <w:left w:val="none" w:sz="0" w:space="0" w:color="auto"/>
        <w:bottom w:val="none" w:sz="0" w:space="0" w:color="auto"/>
        <w:right w:val="none" w:sz="0" w:space="0" w:color="auto"/>
      </w:divBdr>
      <w:divsChild>
        <w:div w:id="667513296">
          <w:marLeft w:val="0"/>
          <w:marRight w:val="0"/>
          <w:marTop w:val="120"/>
          <w:marBottom w:val="0"/>
          <w:divBdr>
            <w:top w:val="none" w:sz="0" w:space="0" w:color="auto"/>
            <w:left w:val="none" w:sz="0" w:space="0" w:color="auto"/>
            <w:bottom w:val="none" w:sz="0" w:space="0" w:color="auto"/>
            <w:right w:val="none" w:sz="0" w:space="0" w:color="auto"/>
          </w:divBdr>
        </w:div>
      </w:divsChild>
    </w:div>
    <w:div w:id="1796219615">
      <w:marLeft w:val="0"/>
      <w:marRight w:val="0"/>
      <w:marTop w:val="240"/>
      <w:marBottom w:val="0"/>
      <w:divBdr>
        <w:top w:val="none" w:sz="0" w:space="0" w:color="auto"/>
        <w:left w:val="none" w:sz="0" w:space="0" w:color="auto"/>
        <w:bottom w:val="none" w:sz="0" w:space="0" w:color="auto"/>
        <w:right w:val="none" w:sz="0" w:space="0" w:color="auto"/>
      </w:divBdr>
    </w:div>
    <w:div w:id="1800222890">
      <w:marLeft w:val="0"/>
      <w:marRight w:val="0"/>
      <w:marTop w:val="0"/>
      <w:marBottom w:val="0"/>
      <w:divBdr>
        <w:top w:val="none" w:sz="0" w:space="0" w:color="auto"/>
        <w:left w:val="none" w:sz="0" w:space="0" w:color="auto"/>
        <w:bottom w:val="none" w:sz="0" w:space="0" w:color="auto"/>
        <w:right w:val="none" w:sz="0" w:space="0" w:color="auto"/>
      </w:divBdr>
      <w:divsChild>
        <w:div w:id="534465294">
          <w:marLeft w:val="0"/>
          <w:marRight w:val="0"/>
          <w:marTop w:val="0"/>
          <w:marBottom w:val="0"/>
          <w:divBdr>
            <w:top w:val="none" w:sz="0" w:space="0" w:color="auto"/>
            <w:left w:val="none" w:sz="0" w:space="0" w:color="auto"/>
            <w:bottom w:val="none" w:sz="0" w:space="0" w:color="auto"/>
            <w:right w:val="none" w:sz="0" w:space="0" w:color="auto"/>
          </w:divBdr>
          <w:divsChild>
            <w:div w:id="80670324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802382947">
      <w:marLeft w:val="0"/>
      <w:marRight w:val="0"/>
      <w:marTop w:val="0"/>
      <w:marBottom w:val="0"/>
      <w:divBdr>
        <w:top w:val="none" w:sz="0" w:space="0" w:color="auto"/>
        <w:left w:val="none" w:sz="0" w:space="0" w:color="auto"/>
        <w:bottom w:val="none" w:sz="0" w:space="0" w:color="auto"/>
        <w:right w:val="none" w:sz="0" w:space="0" w:color="auto"/>
      </w:divBdr>
    </w:div>
    <w:div w:id="1802992663">
      <w:marLeft w:val="0"/>
      <w:marRight w:val="0"/>
      <w:marTop w:val="200"/>
      <w:marBottom w:val="0"/>
      <w:divBdr>
        <w:top w:val="none" w:sz="0" w:space="0" w:color="auto"/>
        <w:left w:val="none" w:sz="0" w:space="0" w:color="auto"/>
        <w:bottom w:val="none" w:sz="0" w:space="0" w:color="auto"/>
        <w:right w:val="none" w:sz="0" w:space="0" w:color="auto"/>
      </w:divBdr>
    </w:div>
    <w:div w:id="1803577746">
      <w:marLeft w:val="0"/>
      <w:marRight w:val="0"/>
      <w:marTop w:val="0"/>
      <w:marBottom w:val="0"/>
      <w:divBdr>
        <w:top w:val="none" w:sz="0" w:space="0" w:color="auto"/>
        <w:left w:val="none" w:sz="0" w:space="0" w:color="auto"/>
        <w:bottom w:val="none" w:sz="0" w:space="0" w:color="auto"/>
        <w:right w:val="none" w:sz="0" w:space="0" w:color="auto"/>
      </w:divBdr>
      <w:divsChild>
        <w:div w:id="292103413">
          <w:marLeft w:val="0"/>
          <w:marRight w:val="0"/>
          <w:marTop w:val="0"/>
          <w:marBottom w:val="0"/>
          <w:divBdr>
            <w:top w:val="none" w:sz="0" w:space="0" w:color="auto"/>
            <w:left w:val="none" w:sz="0" w:space="0" w:color="auto"/>
            <w:bottom w:val="none" w:sz="0" w:space="0" w:color="auto"/>
            <w:right w:val="none" w:sz="0" w:space="0" w:color="auto"/>
          </w:divBdr>
          <w:divsChild>
            <w:div w:id="169280556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803694945">
      <w:marLeft w:val="0"/>
      <w:marRight w:val="0"/>
      <w:marTop w:val="240"/>
      <w:marBottom w:val="0"/>
      <w:divBdr>
        <w:top w:val="none" w:sz="0" w:space="0" w:color="auto"/>
        <w:left w:val="none" w:sz="0" w:space="0" w:color="auto"/>
        <w:bottom w:val="none" w:sz="0" w:space="0" w:color="auto"/>
        <w:right w:val="none" w:sz="0" w:space="0" w:color="auto"/>
      </w:divBdr>
    </w:div>
    <w:div w:id="1803960544">
      <w:marLeft w:val="0"/>
      <w:marRight w:val="0"/>
      <w:marTop w:val="240"/>
      <w:marBottom w:val="0"/>
      <w:divBdr>
        <w:top w:val="none" w:sz="0" w:space="0" w:color="auto"/>
        <w:left w:val="none" w:sz="0" w:space="0" w:color="auto"/>
        <w:bottom w:val="none" w:sz="0" w:space="0" w:color="auto"/>
        <w:right w:val="none" w:sz="0" w:space="0" w:color="auto"/>
      </w:divBdr>
    </w:div>
    <w:div w:id="1804425976">
      <w:marLeft w:val="0"/>
      <w:marRight w:val="0"/>
      <w:marTop w:val="160"/>
      <w:marBottom w:val="0"/>
      <w:divBdr>
        <w:top w:val="none" w:sz="0" w:space="0" w:color="auto"/>
        <w:left w:val="none" w:sz="0" w:space="0" w:color="auto"/>
        <w:bottom w:val="none" w:sz="0" w:space="0" w:color="auto"/>
        <w:right w:val="none" w:sz="0" w:space="0" w:color="auto"/>
      </w:divBdr>
    </w:div>
    <w:div w:id="1805929169">
      <w:marLeft w:val="0"/>
      <w:marRight w:val="0"/>
      <w:marTop w:val="200"/>
      <w:marBottom w:val="0"/>
      <w:divBdr>
        <w:top w:val="none" w:sz="0" w:space="0" w:color="auto"/>
        <w:left w:val="none" w:sz="0" w:space="0" w:color="auto"/>
        <w:bottom w:val="none" w:sz="0" w:space="0" w:color="auto"/>
        <w:right w:val="none" w:sz="0" w:space="0" w:color="auto"/>
      </w:divBdr>
    </w:div>
    <w:div w:id="1806504849">
      <w:marLeft w:val="0"/>
      <w:marRight w:val="0"/>
      <w:marTop w:val="0"/>
      <w:marBottom w:val="0"/>
      <w:divBdr>
        <w:top w:val="none" w:sz="0" w:space="0" w:color="auto"/>
        <w:left w:val="none" w:sz="0" w:space="0" w:color="auto"/>
        <w:bottom w:val="none" w:sz="0" w:space="0" w:color="auto"/>
        <w:right w:val="none" w:sz="0" w:space="0" w:color="auto"/>
      </w:divBdr>
      <w:divsChild>
        <w:div w:id="1232618460">
          <w:marLeft w:val="0"/>
          <w:marRight w:val="0"/>
          <w:marTop w:val="0"/>
          <w:marBottom w:val="0"/>
          <w:divBdr>
            <w:top w:val="none" w:sz="0" w:space="0" w:color="auto"/>
            <w:left w:val="none" w:sz="0" w:space="0" w:color="auto"/>
            <w:bottom w:val="none" w:sz="0" w:space="0" w:color="auto"/>
            <w:right w:val="none" w:sz="0" w:space="0" w:color="auto"/>
          </w:divBdr>
        </w:div>
      </w:divsChild>
    </w:div>
    <w:div w:id="1809590724">
      <w:marLeft w:val="0"/>
      <w:marRight w:val="0"/>
      <w:marTop w:val="180"/>
      <w:marBottom w:val="120"/>
      <w:divBdr>
        <w:top w:val="none" w:sz="0" w:space="0" w:color="auto"/>
        <w:left w:val="none" w:sz="0" w:space="0" w:color="auto"/>
        <w:bottom w:val="none" w:sz="0" w:space="0" w:color="auto"/>
        <w:right w:val="none" w:sz="0" w:space="0" w:color="auto"/>
      </w:divBdr>
    </w:div>
    <w:div w:id="1810897474">
      <w:marLeft w:val="0"/>
      <w:marRight w:val="0"/>
      <w:marTop w:val="220"/>
      <w:marBottom w:val="0"/>
      <w:divBdr>
        <w:top w:val="none" w:sz="0" w:space="0" w:color="auto"/>
        <w:left w:val="none" w:sz="0" w:space="0" w:color="auto"/>
        <w:bottom w:val="none" w:sz="0" w:space="0" w:color="auto"/>
        <w:right w:val="none" w:sz="0" w:space="0" w:color="auto"/>
      </w:divBdr>
      <w:divsChild>
        <w:div w:id="601230101">
          <w:marLeft w:val="0"/>
          <w:marRight w:val="0"/>
          <w:marTop w:val="0"/>
          <w:marBottom w:val="0"/>
          <w:divBdr>
            <w:top w:val="none" w:sz="0" w:space="0" w:color="auto"/>
            <w:left w:val="none" w:sz="0" w:space="0" w:color="auto"/>
            <w:bottom w:val="none" w:sz="0" w:space="0" w:color="auto"/>
            <w:right w:val="none" w:sz="0" w:space="0" w:color="auto"/>
          </w:divBdr>
        </w:div>
      </w:divsChild>
    </w:div>
    <w:div w:id="1812016378">
      <w:marLeft w:val="0"/>
      <w:marRight w:val="0"/>
      <w:marTop w:val="0"/>
      <w:marBottom w:val="0"/>
      <w:divBdr>
        <w:top w:val="none" w:sz="0" w:space="0" w:color="auto"/>
        <w:left w:val="none" w:sz="0" w:space="0" w:color="auto"/>
        <w:bottom w:val="none" w:sz="0" w:space="0" w:color="auto"/>
        <w:right w:val="none" w:sz="0" w:space="0" w:color="auto"/>
      </w:divBdr>
      <w:divsChild>
        <w:div w:id="1961380695">
          <w:marLeft w:val="0"/>
          <w:marRight w:val="0"/>
          <w:marTop w:val="0"/>
          <w:marBottom w:val="0"/>
          <w:divBdr>
            <w:top w:val="none" w:sz="0" w:space="0" w:color="auto"/>
            <w:left w:val="none" w:sz="0" w:space="0" w:color="auto"/>
            <w:bottom w:val="none" w:sz="0" w:space="0" w:color="auto"/>
            <w:right w:val="none" w:sz="0" w:space="0" w:color="auto"/>
          </w:divBdr>
          <w:divsChild>
            <w:div w:id="197220761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812089119">
      <w:marLeft w:val="0"/>
      <w:marRight w:val="0"/>
      <w:marTop w:val="120"/>
      <w:marBottom w:val="60"/>
      <w:divBdr>
        <w:top w:val="none" w:sz="0" w:space="0" w:color="auto"/>
        <w:left w:val="none" w:sz="0" w:space="0" w:color="auto"/>
        <w:bottom w:val="none" w:sz="0" w:space="0" w:color="auto"/>
        <w:right w:val="none" w:sz="0" w:space="0" w:color="auto"/>
      </w:divBdr>
    </w:div>
    <w:div w:id="1812943146">
      <w:marLeft w:val="0"/>
      <w:marRight w:val="0"/>
      <w:marTop w:val="200"/>
      <w:marBottom w:val="0"/>
      <w:divBdr>
        <w:top w:val="none" w:sz="0" w:space="0" w:color="auto"/>
        <w:left w:val="none" w:sz="0" w:space="0" w:color="auto"/>
        <w:bottom w:val="none" w:sz="0" w:space="0" w:color="auto"/>
        <w:right w:val="none" w:sz="0" w:space="0" w:color="auto"/>
      </w:divBdr>
    </w:div>
    <w:div w:id="1818257791">
      <w:marLeft w:val="0"/>
      <w:marRight w:val="0"/>
      <w:marTop w:val="240"/>
      <w:marBottom w:val="0"/>
      <w:divBdr>
        <w:top w:val="none" w:sz="0" w:space="0" w:color="auto"/>
        <w:left w:val="none" w:sz="0" w:space="0" w:color="auto"/>
        <w:bottom w:val="none" w:sz="0" w:space="0" w:color="auto"/>
        <w:right w:val="none" w:sz="0" w:space="0" w:color="auto"/>
      </w:divBdr>
    </w:div>
    <w:div w:id="1818296837">
      <w:marLeft w:val="0"/>
      <w:marRight w:val="0"/>
      <w:marTop w:val="0"/>
      <w:marBottom w:val="0"/>
      <w:divBdr>
        <w:top w:val="none" w:sz="0" w:space="0" w:color="auto"/>
        <w:left w:val="none" w:sz="0" w:space="0" w:color="auto"/>
        <w:bottom w:val="none" w:sz="0" w:space="0" w:color="auto"/>
        <w:right w:val="none" w:sz="0" w:space="0" w:color="auto"/>
      </w:divBdr>
      <w:divsChild>
        <w:div w:id="247353102">
          <w:marLeft w:val="0"/>
          <w:marRight w:val="0"/>
          <w:marTop w:val="0"/>
          <w:marBottom w:val="0"/>
          <w:divBdr>
            <w:top w:val="none" w:sz="0" w:space="0" w:color="auto"/>
            <w:left w:val="none" w:sz="0" w:space="0" w:color="auto"/>
            <w:bottom w:val="none" w:sz="0" w:space="0" w:color="auto"/>
            <w:right w:val="none" w:sz="0" w:space="0" w:color="auto"/>
          </w:divBdr>
          <w:divsChild>
            <w:div w:id="94400067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818641438">
      <w:marLeft w:val="0"/>
      <w:marRight w:val="0"/>
      <w:marTop w:val="180"/>
      <w:marBottom w:val="0"/>
      <w:divBdr>
        <w:top w:val="none" w:sz="0" w:space="0" w:color="auto"/>
        <w:left w:val="none" w:sz="0" w:space="0" w:color="auto"/>
        <w:bottom w:val="none" w:sz="0" w:space="0" w:color="auto"/>
        <w:right w:val="none" w:sz="0" w:space="0" w:color="auto"/>
      </w:divBdr>
    </w:div>
    <w:div w:id="1821456044">
      <w:marLeft w:val="0"/>
      <w:marRight w:val="0"/>
      <w:marTop w:val="240"/>
      <w:marBottom w:val="0"/>
      <w:divBdr>
        <w:top w:val="none" w:sz="0" w:space="0" w:color="auto"/>
        <w:left w:val="none" w:sz="0" w:space="0" w:color="auto"/>
        <w:bottom w:val="none" w:sz="0" w:space="0" w:color="auto"/>
        <w:right w:val="none" w:sz="0" w:space="0" w:color="auto"/>
      </w:divBdr>
    </w:div>
    <w:div w:id="1821723781">
      <w:marLeft w:val="0"/>
      <w:marRight w:val="0"/>
      <w:marTop w:val="0"/>
      <w:marBottom w:val="0"/>
      <w:divBdr>
        <w:top w:val="none" w:sz="0" w:space="0" w:color="auto"/>
        <w:left w:val="none" w:sz="0" w:space="0" w:color="auto"/>
        <w:bottom w:val="none" w:sz="0" w:space="0" w:color="auto"/>
        <w:right w:val="none" w:sz="0" w:space="0" w:color="auto"/>
      </w:divBdr>
      <w:divsChild>
        <w:div w:id="1159807837">
          <w:marLeft w:val="0"/>
          <w:marRight w:val="0"/>
          <w:marTop w:val="0"/>
          <w:marBottom w:val="0"/>
          <w:divBdr>
            <w:top w:val="none" w:sz="0" w:space="0" w:color="auto"/>
            <w:left w:val="none" w:sz="0" w:space="0" w:color="auto"/>
            <w:bottom w:val="none" w:sz="0" w:space="0" w:color="auto"/>
            <w:right w:val="none" w:sz="0" w:space="0" w:color="auto"/>
          </w:divBdr>
        </w:div>
      </w:divsChild>
    </w:div>
    <w:div w:id="1822499061">
      <w:marLeft w:val="0"/>
      <w:marRight w:val="0"/>
      <w:marTop w:val="200"/>
      <w:marBottom w:val="0"/>
      <w:divBdr>
        <w:top w:val="none" w:sz="0" w:space="0" w:color="auto"/>
        <w:left w:val="none" w:sz="0" w:space="0" w:color="auto"/>
        <w:bottom w:val="none" w:sz="0" w:space="0" w:color="auto"/>
        <w:right w:val="none" w:sz="0" w:space="0" w:color="auto"/>
      </w:divBdr>
    </w:div>
    <w:div w:id="1823279547">
      <w:marLeft w:val="0"/>
      <w:marRight w:val="0"/>
      <w:marTop w:val="0"/>
      <w:marBottom w:val="0"/>
      <w:divBdr>
        <w:top w:val="none" w:sz="0" w:space="0" w:color="auto"/>
        <w:left w:val="none" w:sz="0" w:space="0" w:color="auto"/>
        <w:bottom w:val="none" w:sz="0" w:space="0" w:color="auto"/>
        <w:right w:val="none" w:sz="0" w:space="0" w:color="auto"/>
      </w:divBdr>
      <w:divsChild>
        <w:div w:id="1655521651">
          <w:marLeft w:val="0"/>
          <w:marRight w:val="0"/>
          <w:marTop w:val="0"/>
          <w:marBottom w:val="0"/>
          <w:divBdr>
            <w:top w:val="none" w:sz="0" w:space="0" w:color="auto"/>
            <w:left w:val="none" w:sz="0" w:space="0" w:color="auto"/>
            <w:bottom w:val="none" w:sz="0" w:space="0" w:color="auto"/>
            <w:right w:val="none" w:sz="0" w:space="0" w:color="auto"/>
          </w:divBdr>
          <w:divsChild>
            <w:div w:id="113915221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826043666">
      <w:marLeft w:val="0"/>
      <w:marRight w:val="0"/>
      <w:marTop w:val="180"/>
      <w:marBottom w:val="0"/>
      <w:divBdr>
        <w:top w:val="none" w:sz="0" w:space="0" w:color="auto"/>
        <w:left w:val="none" w:sz="0" w:space="0" w:color="auto"/>
        <w:bottom w:val="none" w:sz="0" w:space="0" w:color="auto"/>
        <w:right w:val="none" w:sz="0" w:space="0" w:color="auto"/>
      </w:divBdr>
      <w:divsChild>
        <w:div w:id="1859731500">
          <w:marLeft w:val="0"/>
          <w:marRight w:val="0"/>
          <w:marTop w:val="0"/>
          <w:marBottom w:val="0"/>
          <w:divBdr>
            <w:top w:val="none" w:sz="0" w:space="0" w:color="auto"/>
            <w:left w:val="none" w:sz="0" w:space="0" w:color="auto"/>
            <w:bottom w:val="none" w:sz="0" w:space="0" w:color="auto"/>
            <w:right w:val="none" w:sz="0" w:space="0" w:color="auto"/>
          </w:divBdr>
        </w:div>
        <w:div w:id="1817457206">
          <w:marLeft w:val="0"/>
          <w:marRight w:val="0"/>
          <w:marTop w:val="0"/>
          <w:marBottom w:val="0"/>
          <w:divBdr>
            <w:top w:val="none" w:sz="0" w:space="0" w:color="auto"/>
            <w:left w:val="none" w:sz="0" w:space="0" w:color="auto"/>
            <w:bottom w:val="none" w:sz="0" w:space="0" w:color="auto"/>
            <w:right w:val="none" w:sz="0" w:space="0" w:color="auto"/>
          </w:divBdr>
        </w:div>
        <w:div w:id="1592276021">
          <w:marLeft w:val="0"/>
          <w:marRight w:val="0"/>
          <w:marTop w:val="0"/>
          <w:marBottom w:val="0"/>
          <w:divBdr>
            <w:top w:val="none" w:sz="0" w:space="0" w:color="auto"/>
            <w:left w:val="none" w:sz="0" w:space="0" w:color="auto"/>
            <w:bottom w:val="none" w:sz="0" w:space="0" w:color="auto"/>
            <w:right w:val="none" w:sz="0" w:space="0" w:color="auto"/>
          </w:divBdr>
        </w:div>
      </w:divsChild>
    </w:div>
    <w:div w:id="1826385826">
      <w:marLeft w:val="0"/>
      <w:marRight w:val="0"/>
      <w:marTop w:val="240"/>
      <w:marBottom w:val="0"/>
      <w:divBdr>
        <w:top w:val="none" w:sz="0" w:space="0" w:color="auto"/>
        <w:left w:val="none" w:sz="0" w:space="0" w:color="auto"/>
        <w:bottom w:val="none" w:sz="0" w:space="0" w:color="auto"/>
        <w:right w:val="none" w:sz="0" w:space="0" w:color="auto"/>
      </w:divBdr>
    </w:div>
    <w:div w:id="1826504640">
      <w:marLeft w:val="0"/>
      <w:marRight w:val="0"/>
      <w:marTop w:val="240"/>
      <w:marBottom w:val="0"/>
      <w:divBdr>
        <w:top w:val="none" w:sz="0" w:space="0" w:color="auto"/>
        <w:left w:val="none" w:sz="0" w:space="0" w:color="auto"/>
        <w:bottom w:val="none" w:sz="0" w:space="0" w:color="auto"/>
        <w:right w:val="none" w:sz="0" w:space="0" w:color="auto"/>
      </w:divBdr>
    </w:div>
    <w:div w:id="1828011897">
      <w:marLeft w:val="0"/>
      <w:marRight w:val="0"/>
      <w:marTop w:val="240"/>
      <w:marBottom w:val="0"/>
      <w:divBdr>
        <w:top w:val="none" w:sz="0" w:space="0" w:color="auto"/>
        <w:left w:val="none" w:sz="0" w:space="0" w:color="auto"/>
        <w:bottom w:val="none" w:sz="0" w:space="0" w:color="auto"/>
        <w:right w:val="none" w:sz="0" w:space="0" w:color="auto"/>
      </w:divBdr>
    </w:div>
    <w:div w:id="1828784488">
      <w:marLeft w:val="0"/>
      <w:marRight w:val="0"/>
      <w:marTop w:val="200"/>
      <w:marBottom w:val="0"/>
      <w:divBdr>
        <w:top w:val="none" w:sz="0" w:space="0" w:color="auto"/>
        <w:left w:val="none" w:sz="0" w:space="0" w:color="auto"/>
        <w:bottom w:val="none" w:sz="0" w:space="0" w:color="auto"/>
        <w:right w:val="none" w:sz="0" w:space="0" w:color="auto"/>
      </w:divBdr>
    </w:div>
    <w:div w:id="1829397177">
      <w:marLeft w:val="0"/>
      <w:marRight w:val="0"/>
      <w:marTop w:val="300"/>
      <w:marBottom w:val="120"/>
      <w:divBdr>
        <w:top w:val="none" w:sz="0" w:space="0" w:color="auto"/>
        <w:left w:val="none" w:sz="0" w:space="0" w:color="auto"/>
        <w:bottom w:val="none" w:sz="0" w:space="0" w:color="auto"/>
        <w:right w:val="none" w:sz="0" w:space="0" w:color="auto"/>
      </w:divBdr>
    </w:div>
    <w:div w:id="1831368462">
      <w:marLeft w:val="0"/>
      <w:marRight w:val="0"/>
      <w:marTop w:val="240"/>
      <w:marBottom w:val="0"/>
      <w:divBdr>
        <w:top w:val="none" w:sz="0" w:space="0" w:color="auto"/>
        <w:left w:val="none" w:sz="0" w:space="0" w:color="auto"/>
        <w:bottom w:val="none" w:sz="0" w:space="0" w:color="auto"/>
        <w:right w:val="none" w:sz="0" w:space="0" w:color="auto"/>
      </w:divBdr>
    </w:div>
    <w:div w:id="1832523495">
      <w:marLeft w:val="0"/>
      <w:marRight w:val="0"/>
      <w:marTop w:val="180"/>
      <w:marBottom w:val="0"/>
      <w:divBdr>
        <w:top w:val="none" w:sz="0" w:space="0" w:color="auto"/>
        <w:left w:val="none" w:sz="0" w:space="0" w:color="auto"/>
        <w:bottom w:val="none" w:sz="0" w:space="0" w:color="auto"/>
        <w:right w:val="none" w:sz="0" w:space="0" w:color="auto"/>
      </w:divBdr>
    </w:div>
    <w:div w:id="1832939656">
      <w:marLeft w:val="0"/>
      <w:marRight w:val="0"/>
      <w:marTop w:val="240"/>
      <w:marBottom w:val="0"/>
      <w:divBdr>
        <w:top w:val="none" w:sz="0" w:space="0" w:color="auto"/>
        <w:left w:val="none" w:sz="0" w:space="0" w:color="auto"/>
        <w:bottom w:val="none" w:sz="0" w:space="0" w:color="auto"/>
        <w:right w:val="none" w:sz="0" w:space="0" w:color="auto"/>
      </w:divBdr>
    </w:div>
    <w:div w:id="1835953200">
      <w:marLeft w:val="0"/>
      <w:marRight w:val="0"/>
      <w:marTop w:val="0"/>
      <w:marBottom w:val="0"/>
      <w:divBdr>
        <w:top w:val="none" w:sz="0" w:space="0" w:color="auto"/>
        <w:left w:val="none" w:sz="0" w:space="0" w:color="auto"/>
        <w:bottom w:val="none" w:sz="0" w:space="0" w:color="auto"/>
        <w:right w:val="none" w:sz="0" w:space="0" w:color="auto"/>
      </w:divBdr>
      <w:divsChild>
        <w:div w:id="152337086">
          <w:marLeft w:val="0"/>
          <w:marRight w:val="0"/>
          <w:marTop w:val="0"/>
          <w:marBottom w:val="0"/>
          <w:divBdr>
            <w:top w:val="none" w:sz="0" w:space="0" w:color="auto"/>
            <w:left w:val="none" w:sz="0" w:space="0" w:color="auto"/>
            <w:bottom w:val="none" w:sz="0" w:space="0" w:color="auto"/>
            <w:right w:val="none" w:sz="0" w:space="0" w:color="auto"/>
          </w:divBdr>
        </w:div>
      </w:divsChild>
    </w:div>
    <w:div w:id="1842044234">
      <w:marLeft w:val="0"/>
      <w:marRight w:val="0"/>
      <w:marTop w:val="240"/>
      <w:marBottom w:val="0"/>
      <w:divBdr>
        <w:top w:val="none" w:sz="0" w:space="0" w:color="auto"/>
        <w:left w:val="none" w:sz="0" w:space="0" w:color="auto"/>
        <w:bottom w:val="none" w:sz="0" w:space="0" w:color="auto"/>
        <w:right w:val="none" w:sz="0" w:space="0" w:color="auto"/>
      </w:divBdr>
    </w:div>
    <w:div w:id="1844271730">
      <w:marLeft w:val="0"/>
      <w:marRight w:val="0"/>
      <w:marTop w:val="60"/>
      <w:marBottom w:val="0"/>
      <w:divBdr>
        <w:top w:val="none" w:sz="0" w:space="0" w:color="auto"/>
        <w:left w:val="none" w:sz="0" w:space="0" w:color="auto"/>
        <w:bottom w:val="none" w:sz="0" w:space="0" w:color="auto"/>
        <w:right w:val="none" w:sz="0" w:space="0" w:color="auto"/>
      </w:divBdr>
    </w:div>
    <w:div w:id="1845852143">
      <w:marLeft w:val="0"/>
      <w:marRight w:val="0"/>
      <w:marTop w:val="240"/>
      <w:marBottom w:val="0"/>
      <w:divBdr>
        <w:top w:val="none" w:sz="0" w:space="0" w:color="auto"/>
        <w:left w:val="none" w:sz="0" w:space="0" w:color="auto"/>
        <w:bottom w:val="none" w:sz="0" w:space="0" w:color="auto"/>
        <w:right w:val="none" w:sz="0" w:space="0" w:color="auto"/>
      </w:divBdr>
    </w:div>
    <w:div w:id="1846552865">
      <w:marLeft w:val="0"/>
      <w:marRight w:val="0"/>
      <w:marTop w:val="240"/>
      <w:marBottom w:val="0"/>
      <w:divBdr>
        <w:top w:val="none" w:sz="0" w:space="0" w:color="auto"/>
        <w:left w:val="none" w:sz="0" w:space="0" w:color="auto"/>
        <w:bottom w:val="none" w:sz="0" w:space="0" w:color="auto"/>
        <w:right w:val="none" w:sz="0" w:space="0" w:color="auto"/>
      </w:divBdr>
    </w:div>
    <w:div w:id="1846895968">
      <w:marLeft w:val="0"/>
      <w:marRight w:val="0"/>
      <w:marTop w:val="240"/>
      <w:marBottom w:val="0"/>
      <w:divBdr>
        <w:top w:val="none" w:sz="0" w:space="0" w:color="auto"/>
        <w:left w:val="none" w:sz="0" w:space="0" w:color="auto"/>
        <w:bottom w:val="none" w:sz="0" w:space="0" w:color="auto"/>
        <w:right w:val="none" w:sz="0" w:space="0" w:color="auto"/>
      </w:divBdr>
    </w:div>
    <w:div w:id="1847670673">
      <w:marLeft w:val="0"/>
      <w:marRight w:val="0"/>
      <w:marTop w:val="240"/>
      <w:marBottom w:val="240"/>
      <w:divBdr>
        <w:top w:val="none" w:sz="0" w:space="0" w:color="auto"/>
        <w:left w:val="none" w:sz="0" w:space="0" w:color="auto"/>
        <w:bottom w:val="none" w:sz="0" w:space="0" w:color="auto"/>
        <w:right w:val="none" w:sz="0" w:space="0" w:color="auto"/>
      </w:divBdr>
    </w:div>
    <w:div w:id="1848205676">
      <w:marLeft w:val="0"/>
      <w:marRight w:val="0"/>
      <w:marTop w:val="0"/>
      <w:marBottom w:val="120"/>
      <w:divBdr>
        <w:top w:val="none" w:sz="0" w:space="0" w:color="auto"/>
        <w:left w:val="none" w:sz="0" w:space="0" w:color="auto"/>
        <w:bottom w:val="none" w:sz="0" w:space="0" w:color="auto"/>
        <w:right w:val="none" w:sz="0" w:space="0" w:color="auto"/>
      </w:divBdr>
    </w:div>
    <w:div w:id="1851143872">
      <w:marLeft w:val="0"/>
      <w:marRight w:val="0"/>
      <w:marTop w:val="0"/>
      <w:marBottom w:val="0"/>
      <w:divBdr>
        <w:top w:val="none" w:sz="0" w:space="0" w:color="auto"/>
        <w:left w:val="none" w:sz="0" w:space="0" w:color="auto"/>
        <w:bottom w:val="none" w:sz="0" w:space="0" w:color="auto"/>
        <w:right w:val="none" w:sz="0" w:space="0" w:color="auto"/>
      </w:divBdr>
      <w:divsChild>
        <w:div w:id="1432628907">
          <w:marLeft w:val="0"/>
          <w:marRight w:val="0"/>
          <w:marTop w:val="0"/>
          <w:marBottom w:val="0"/>
          <w:divBdr>
            <w:top w:val="none" w:sz="0" w:space="0" w:color="auto"/>
            <w:left w:val="none" w:sz="0" w:space="0" w:color="auto"/>
            <w:bottom w:val="none" w:sz="0" w:space="0" w:color="auto"/>
            <w:right w:val="none" w:sz="0" w:space="0" w:color="auto"/>
          </w:divBdr>
        </w:div>
      </w:divsChild>
    </w:div>
    <w:div w:id="1851336295">
      <w:marLeft w:val="0"/>
      <w:marRight w:val="0"/>
      <w:marTop w:val="180"/>
      <w:marBottom w:val="0"/>
      <w:divBdr>
        <w:top w:val="none" w:sz="0" w:space="0" w:color="auto"/>
        <w:left w:val="none" w:sz="0" w:space="0" w:color="auto"/>
        <w:bottom w:val="none" w:sz="0" w:space="0" w:color="auto"/>
        <w:right w:val="none" w:sz="0" w:space="0" w:color="auto"/>
      </w:divBdr>
    </w:div>
    <w:div w:id="1853184261">
      <w:marLeft w:val="0"/>
      <w:marRight w:val="0"/>
      <w:marTop w:val="160"/>
      <w:marBottom w:val="0"/>
      <w:divBdr>
        <w:top w:val="none" w:sz="0" w:space="0" w:color="auto"/>
        <w:left w:val="none" w:sz="0" w:space="0" w:color="auto"/>
        <w:bottom w:val="none" w:sz="0" w:space="0" w:color="auto"/>
        <w:right w:val="none" w:sz="0" w:space="0" w:color="auto"/>
      </w:divBdr>
    </w:div>
    <w:div w:id="1854301467">
      <w:marLeft w:val="0"/>
      <w:marRight w:val="0"/>
      <w:marTop w:val="240"/>
      <w:marBottom w:val="0"/>
      <w:divBdr>
        <w:top w:val="none" w:sz="0" w:space="0" w:color="auto"/>
        <w:left w:val="none" w:sz="0" w:space="0" w:color="auto"/>
        <w:bottom w:val="none" w:sz="0" w:space="0" w:color="auto"/>
        <w:right w:val="none" w:sz="0" w:space="0" w:color="auto"/>
      </w:divBdr>
    </w:div>
    <w:div w:id="1856112026">
      <w:marLeft w:val="0"/>
      <w:marRight w:val="0"/>
      <w:marTop w:val="0"/>
      <w:marBottom w:val="0"/>
      <w:divBdr>
        <w:top w:val="none" w:sz="0" w:space="0" w:color="auto"/>
        <w:left w:val="none" w:sz="0" w:space="0" w:color="auto"/>
        <w:bottom w:val="none" w:sz="0" w:space="0" w:color="auto"/>
        <w:right w:val="none" w:sz="0" w:space="0" w:color="auto"/>
      </w:divBdr>
      <w:divsChild>
        <w:div w:id="1469127044">
          <w:marLeft w:val="0"/>
          <w:marRight w:val="0"/>
          <w:marTop w:val="0"/>
          <w:marBottom w:val="0"/>
          <w:divBdr>
            <w:top w:val="none" w:sz="0" w:space="0" w:color="auto"/>
            <w:left w:val="none" w:sz="0" w:space="0" w:color="auto"/>
            <w:bottom w:val="none" w:sz="0" w:space="0" w:color="auto"/>
            <w:right w:val="none" w:sz="0" w:space="0" w:color="auto"/>
          </w:divBdr>
          <w:divsChild>
            <w:div w:id="123971092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856262676">
      <w:marLeft w:val="0"/>
      <w:marRight w:val="0"/>
      <w:marTop w:val="300"/>
      <w:marBottom w:val="0"/>
      <w:divBdr>
        <w:top w:val="none" w:sz="0" w:space="0" w:color="auto"/>
        <w:left w:val="none" w:sz="0" w:space="0" w:color="auto"/>
        <w:bottom w:val="none" w:sz="0" w:space="0" w:color="auto"/>
        <w:right w:val="none" w:sz="0" w:space="0" w:color="auto"/>
      </w:divBdr>
    </w:div>
    <w:div w:id="1857887940">
      <w:marLeft w:val="0"/>
      <w:marRight w:val="0"/>
      <w:marTop w:val="240"/>
      <w:marBottom w:val="0"/>
      <w:divBdr>
        <w:top w:val="none" w:sz="0" w:space="0" w:color="auto"/>
        <w:left w:val="none" w:sz="0" w:space="0" w:color="auto"/>
        <w:bottom w:val="none" w:sz="0" w:space="0" w:color="auto"/>
        <w:right w:val="none" w:sz="0" w:space="0" w:color="auto"/>
      </w:divBdr>
    </w:div>
    <w:div w:id="1859195477">
      <w:marLeft w:val="0"/>
      <w:marRight w:val="0"/>
      <w:marTop w:val="240"/>
      <w:marBottom w:val="0"/>
      <w:divBdr>
        <w:top w:val="none" w:sz="0" w:space="0" w:color="auto"/>
        <w:left w:val="none" w:sz="0" w:space="0" w:color="auto"/>
        <w:bottom w:val="none" w:sz="0" w:space="0" w:color="auto"/>
        <w:right w:val="none" w:sz="0" w:space="0" w:color="auto"/>
      </w:divBdr>
    </w:div>
    <w:div w:id="1859852022">
      <w:marLeft w:val="0"/>
      <w:marRight w:val="0"/>
      <w:marTop w:val="240"/>
      <w:marBottom w:val="0"/>
      <w:divBdr>
        <w:top w:val="none" w:sz="0" w:space="0" w:color="auto"/>
        <w:left w:val="none" w:sz="0" w:space="0" w:color="auto"/>
        <w:bottom w:val="none" w:sz="0" w:space="0" w:color="auto"/>
        <w:right w:val="none" w:sz="0" w:space="0" w:color="auto"/>
      </w:divBdr>
    </w:div>
    <w:div w:id="1860583454">
      <w:marLeft w:val="0"/>
      <w:marRight w:val="0"/>
      <w:marTop w:val="240"/>
      <w:marBottom w:val="240"/>
      <w:divBdr>
        <w:top w:val="none" w:sz="0" w:space="0" w:color="auto"/>
        <w:left w:val="none" w:sz="0" w:space="0" w:color="auto"/>
        <w:bottom w:val="none" w:sz="0" w:space="0" w:color="auto"/>
        <w:right w:val="none" w:sz="0" w:space="0" w:color="auto"/>
      </w:divBdr>
    </w:div>
    <w:div w:id="1861234554">
      <w:marLeft w:val="0"/>
      <w:marRight w:val="0"/>
      <w:marTop w:val="240"/>
      <w:marBottom w:val="0"/>
      <w:divBdr>
        <w:top w:val="none" w:sz="0" w:space="0" w:color="auto"/>
        <w:left w:val="none" w:sz="0" w:space="0" w:color="auto"/>
        <w:bottom w:val="none" w:sz="0" w:space="0" w:color="auto"/>
        <w:right w:val="none" w:sz="0" w:space="0" w:color="auto"/>
      </w:divBdr>
    </w:div>
    <w:div w:id="1862939982">
      <w:marLeft w:val="0"/>
      <w:marRight w:val="0"/>
      <w:marTop w:val="0"/>
      <w:marBottom w:val="0"/>
      <w:divBdr>
        <w:top w:val="none" w:sz="0" w:space="0" w:color="auto"/>
        <w:left w:val="none" w:sz="0" w:space="0" w:color="auto"/>
        <w:bottom w:val="none" w:sz="0" w:space="0" w:color="auto"/>
        <w:right w:val="none" w:sz="0" w:space="0" w:color="auto"/>
      </w:divBdr>
      <w:divsChild>
        <w:div w:id="1397893643">
          <w:marLeft w:val="0"/>
          <w:marRight w:val="0"/>
          <w:marTop w:val="0"/>
          <w:marBottom w:val="0"/>
          <w:divBdr>
            <w:top w:val="none" w:sz="0" w:space="0" w:color="auto"/>
            <w:left w:val="none" w:sz="0" w:space="0" w:color="auto"/>
            <w:bottom w:val="none" w:sz="0" w:space="0" w:color="auto"/>
            <w:right w:val="none" w:sz="0" w:space="0" w:color="auto"/>
          </w:divBdr>
        </w:div>
      </w:divsChild>
    </w:div>
    <w:div w:id="1863544778">
      <w:marLeft w:val="0"/>
      <w:marRight w:val="0"/>
      <w:marTop w:val="240"/>
      <w:marBottom w:val="0"/>
      <w:divBdr>
        <w:top w:val="none" w:sz="0" w:space="0" w:color="auto"/>
        <w:left w:val="none" w:sz="0" w:space="0" w:color="auto"/>
        <w:bottom w:val="none" w:sz="0" w:space="0" w:color="auto"/>
        <w:right w:val="none" w:sz="0" w:space="0" w:color="auto"/>
      </w:divBdr>
    </w:div>
    <w:div w:id="1864511170">
      <w:marLeft w:val="0"/>
      <w:marRight w:val="0"/>
      <w:marTop w:val="200"/>
      <w:marBottom w:val="0"/>
      <w:divBdr>
        <w:top w:val="none" w:sz="0" w:space="0" w:color="auto"/>
        <w:left w:val="none" w:sz="0" w:space="0" w:color="auto"/>
        <w:bottom w:val="none" w:sz="0" w:space="0" w:color="auto"/>
        <w:right w:val="none" w:sz="0" w:space="0" w:color="auto"/>
      </w:divBdr>
    </w:div>
    <w:div w:id="1865442590">
      <w:marLeft w:val="0"/>
      <w:marRight w:val="0"/>
      <w:marTop w:val="300"/>
      <w:marBottom w:val="0"/>
      <w:divBdr>
        <w:top w:val="none" w:sz="0" w:space="0" w:color="auto"/>
        <w:left w:val="none" w:sz="0" w:space="0" w:color="auto"/>
        <w:bottom w:val="none" w:sz="0" w:space="0" w:color="auto"/>
        <w:right w:val="none" w:sz="0" w:space="0" w:color="auto"/>
      </w:divBdr>
    </w:div>
    <w:div w:id="1867718196">
      <w:marLeft w:val="0"/>
      <w:marRight w:val="0"/>
      <w:marTop w:val="240"/>
      <w:marBottom w:val="0"/>
      <w:divBdr>
        <w:top w:val="none" w:sz="0" w:space="0" w:color="auto"/>
        <w:left w:val="none" w:sz="0" w:space="0" w:color="auto"/>
        <w:bottom w:val="none" w:sz="0" w:space="0" w:color="auto"/>
        <w:right w:val="none" w:sz="0" w:space="0" w:color="auto"/>
      </w:divBdr>
    </w:div>
    <w:div w:id="1867787747">
      <w:marLeft w:val="0"/>
      <w:marRight w:val="0"/>
      <w:marTop w:val="0"/>
      <w:marBottom w:val="0"/>
      <w:divBdr>
        <w:top w:val="none" w:sz="0" w:space="0" w:color="auto"/>
        <w:left w:val="none" w:sz="0" w:space="0" w:color="auto"/>
        <w:bottom w:val="none" w:sz="0" w:space="0" w:color="auto"/>
        <w:right w:val="none" w:sz="0" w:space="0" w:color="auto"/>
      </w:divBdr>
      <w:divsChild>
        <w:div w:id="875315668">
          <w:marLeft w:val="0"/>
          <w:marRight w:val="0"/>
          <w:marTop w:val="0"/>
          <w:marBottom w:val="0"/>
          <w:divBdr>
            <w:top w:val="none" w:sz="0" w:space="0" w:color="auto"/>
            <w:left w:val="none" w:sz="0" w:space="0" w:color="auto"/>
            <w:bottom w:val="none" w:sz="0" w:space="0" w:color="auto"/>
            <w:right w:val="none" w:sz="0" w:space="0" w:color="auto"/>
          </w:divBdr>
        </w:div>
      </w:divsChild>
    </w:div>
    <w:div w:id="1867790157">
      <w:marLeft w:val="0"/>
      <w:marRight w:val="0"/>
      <w:marTop w:val="240"/>
      <w:marBottom w:val="0"/>
      <w:divBdr>
        <w:top w:val="none" w:sz="0" w:space="0" w:color="auto"/>
        <w:left w:val="none" w:sz="0" w:space="0" w:color="auto"/>
        <w:bottom w:val="none" w:sz="0" w:space="0" w:color="auto"/>
        <w:right w:val="none" w:sz="0" w:space="0" w:color="auto"/>
      </w:divBdr>
    </w:div>
    <w:div w:id="1871994374">
      <w:marLeft w:val="0"/>
      <w:marRight w:val="0"/>
      <w:marTop w:val="180"/>
      <w:marBottom w:val="0"/>
      <w:divBdr>
        <w:top w:val="none" w:sz="0" w:space="0" w:color="auto"/>
        <w:left w:val="none" w:sz="0" w:space="0" w:color="auto"/>
        <w:bottom w:val="none" w:sz="0" w:space="0" w:color="auto"/>
        <w:right w:val="none" w:sz="0" w:space="0" w:color="auto"/>
      </w:divBdr>
    </w:div>
    <w:div w:id="1872911538">
      <w:marLeft w:val="0"/>
      <w:marRight w:val="0"/>
      <w:marTop w:val="240"/>
      <w:marBottom w:val="0"/>
      <w:divBdr>
        <w:top w:val="none" w:sz="0" w:space="0" w:color="auto"/>
        <w:left w:val="none" w:sz="0" w:space="0" w:color="auto"/>
        <w:bottom w:val="none" w:sz="0" w:space="0" w:color="auto"/>
        <w:right w:val="none" w:sz="0" w:space="0" w:color="auto"/>
      </w:divBdr>
    </w:div>
    <w:div w:id="1874340931">
      <w:marLeft w:val="0"/>
      <w:marRight w:val="0"/>
      <w:marTop w:val="200"/>
      <w:marBottom w:val="0"/>
      <w:divBdr>
        <w:top w:val="none" w:sz="0" w:space="0" w:color="auto"/>
        <w:left w:val="none" w:sz="0" w:space="0" w:color="auto"/>
        <w:bottom w:val="none" w:sz="0" w:space="0" w:color="auto"/>
        <w:right w:val="none" w:sz="0" w:space="0" w:color="auto"/>
      </w:divBdr>
    </w:div>
    <w:div w:id="1874423490">
      <w:marLeft w:val="0"/>
      <w:marRight w:val="0"/>
      <w:marTop w:val="0"/>
      <w:marBottom w:val="0"/>
      <w:divBdr>
        <w:top w:val="none" w:sz="0" w:space="0" w:color="auto"/>
        <w:left w:val="none" w:sz="0" w:space="0" w:color="auto"/>
        <w:bottom w:val="none" w:sz="0" w:space="0" w:color="auto"/>
        <w:right w:val="none" w:sz="0" w:space="0" w:color="auto"/>
      </w:divBdr>
    </w:div>
    <w:div w:id="1874734637">
      <w:marLeft w:val="0"/>
      <w:marRight w:val="0"/>
      <w:marTop w:val="240"/>
      <w:marBottom w:val="0"/>
      <w:divBdr>
        <w:top w:val="none" w:sz="0" w:space="0" w:color="auto"/>
        <w:left w:val="none" w:sz="0" w:space="0" w:color="auto"/>
        <w:bottom w:val="none" w:sz="0" w:space="0" w:color="auto"/>
        <w:right w:val="none" w:sz="0" w:space="0" w:color="auto"/>
      </w:divBdr>
    </w:div>
    <w:div w:id="1875342650">
      <w:marLeft w:val="0"/>
      <w:marRight w:val="0"/>
      <w:marTop w:val="220"/>
      <w:marBottom w:val="240"/>
      <w:divBdr>
        <w:top w:val="none" w:sz="0" w:space="0" w:color="auto"/>
        <w:left w:val="none" w:sz="0" w:space="0" w:color="auto"/>
        <w:bottom w:val="none" w:sz="0" w:space="0" w:color="auto"/>
        <w:right w:val="none" w:sz="0" w:space="0" w:color="auto"/>
      </w:divBdr>
    </w:div>
    <w:div w:id="1875389804">
      <w:marLeft w:val="0"/>
      <w:marRight w:val="0"/>
      <w:marTop w:val="240"/>
      <w:marBottom w:val="0"/>
      <w:divBdr>
        <w:top w:val="none" w:sz="0" w:space="0" w:color="auto"/>
        <w:left w:val="none" w:sz="0" w:space="0" w:color="auto"/>
        <w:bottom w:val="none" w:sz="0" w:space="0" w:color="auto"/>
        <w:right w:val="none" w:sz="0" w:space="0" w:color="auto"/>
      </w:divBdr>
    </w:div>
    <w:div w:id="1875656382">
      <w:marLeft w:val="0"/>
      <w:marRight w:val="0"/>
      <w:marTop w:val="240"/>
      <w:marBottom w:val="0"/>
      <w:divBdr>
        <w:top w:val="none" w:sz="0" w:space="0" w:color="auto"/>
        <w:left w:val="none" w:sz="0" w:space="0" w:color="auto"/>
        <w:bottom w:val="none" w:sz="0" w:space="0" w:color="auto"/>
        <w:right w:val="none" w:sz="0" w:space="0" w:color="auto"/>
      </w:divBdr>
    </w:div>
    <w:div w:id="1876890201">
      <w:marLeft w:val="0"/>
      <w:marRight w:val="0"/>
      <w:marTop w:val="180"/>
      <w:marBottom w:val="0"/>
      <w:divBdr>
        <w:top w:val="none" w:sz="0" w:space="0" w:color="auto"/>
        <w:left w:val="none" w:sz="0" w:space="0" w:color="auto"/>
        <w:bottom w:val="none" w:sz="0" w:space="0" w:color="auto"/>
        <w:right w:val="none" w:sz="0" w:space="0" w:color="auto"/>
      </w:divBdr>
    </w:div>
    <w:div w:id="1877696168">
      <w:marLeft w:val="0"/>
      <w:marRight w:val="0"/>
      <w:marTop w:val="240"/>
      <w:marBottom w:val="180"/>
      <w:divBdr>
        <w:top w:val="none" w:sz="0" w:space="0" w:color="auto"/>
        <w:left w:val="none" w:sz="0" w:space="0" w:color="auto"/>
        <w:bottom w:val="none" w:sz="0" w:space="0" w:color="auto"/>
        <w:right w:val="none" w:sz="0" w:space="0" w:color="auto"/>
      </w:divBdr>
    </w:div>
    <w:div w:id="1878857212">
      <w:marLeft w:val="0"/>
      <w:marRight w:val="0"/>
      <w:marTop w:val="0"/>
      <w:marBottom w:val="0"/>
      <w:divBdr>
        <w:top w:val="none" w:sz="0" w:space="0" w:color="auto"/>
        <w:left w:val="none" w:sz="0" w:space="0" w:color="auto"/>
        <w:bottom w:val="none" w:sz="0" w:space="0" w:color="auto"/>
        <w:right w:val="none" w:sz="0" w:space="0" w:color="auto"/>
      </w:divBdr>
      <w:divsChild>
        <w:div w:id="147937526">
          <w:marLeft w:val="0"/>
          <w:marRight w:val="0"/>
          <w:marTop w:val="0"/>
          <w:marBottom w:val="0"/>
          <w:divBdr>
            <w:top w:val="none" w:sz="0" w:space="0" w:color="auto"/>
            <w:left w:val="none" w:sz="0" w:space="0" w:color="auto"/>
            <w:bottom w:val="none" w:sz="0" w:space="0" w:color="auto"/>
            <w:right w:val="none" w:sz="0" w:space="0" w:color="auto"/>
          </w:divBdr>
          <w:divsChild>
            <w:div w:id="53905468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879202943">
      <w:marLeft w:val="0"/>
      <w:marRight w:val="0"/>
      <w:marTop w:val="240"/>
      <w:marBottom w:val="0"/>
      <w:divBdr>
        <w:top w:val="none" w:sz="0" w:space="0" w:color="auto"/>
        <w:left w:val="none" w:sz="0" w:space="0" w:color="auto"/>
        <w:bottom w:val="none" w:sz="0" w:space="0" w:color="auto"/>
        <w:right w:val="none" w:sz="0" w:space="0" w:color="auto"/>
      </w:divBdr>
    </w:div>
    <w:div w:id="1883008079">
      <w:marLeft w:val="0"/>
      <w:marRight w:val="0"/>
      <w:marTop w:val="60"/>
      <w:marBottom w:val="120"/>
      <w:divBdr>
        <w:top w:val="none" w:sz="0" w:space="0" w:color="auto"/>
        <w:left w:val="none" w:sz="0" w:space="0" w:color="auto"/>
        <w:bottom w:val="none" w:sz="0" w:space="0" w:color="auto"/>
        <w:right w:val="none" w:sz="0" w:space="0" w:color="auto"/>
      </w:divBdr>
    </w:div>
    <w:div w:id="1883134050">
      <w:marLeft w:val="0"/>
      <w:marRight w:val="0"/>
      <w:marTop w:val="180"/>
      <w:marBottom w:val="120"/>
      <w:divBdr>
        <w:top w:val="none" w:sz="0" w:space="0" w:color="auto"/>
        <w:left w:val="none" w:sz="0" w:space="0" w:color="auto"/>
        <w:bottom w:val="none" w:sz="0" w:space="0" w:color="auto"/>
        <w:right w:val="none" w:sz="0" w:space="0" w:color="auto"/>
      </w:divBdr>
    </w:div>
    <w:div w:id="1883442644">
      <w:marLeft w:val="0"/>
      <w:marRight w:val="0"/>
      <w:marTop w:val="240"/>
      <w:marBottom w:val="0"/>
      <w:divBdr>
        <w:top w:val="none" w:sz="0" w:space="0" w:color="auto"/>
        <w:left w:val="none" w:sz="0" w:space="0" w:color="auto"/>
        <w:bottom w:val="none" w:sz="0" w:space="0" w:color="auto"/>
        <w:right w:val="none" w:sz="0" w:space="0" w:color="auto"/>
      </w:divBdr>
    </w:div>
    <w:div w:id="1883904114">
      <w:marLeft w:val="0"/>
      <w:marRight w:val="0"/>
      <w:marTop w:val="240"/>
      <w:marBottom w:val="0"/>
      <w:divBdr>
        <w:top w:val="none" w:sz="0" w:space="0" w:color="auto"/>
        <w:left w:val="none" w:sz="0" w:space="0" w:color="auto"/>
        <w:bottom w:val="none" w:sz="0" w:space="0" w:color="auto"/>
        <w:right w:val="none" w:sz="0" w:space="0" w:color="auto"/>
      </w:divBdr>
    </w:div>
    <w:div w:id="1884975600">
      <w:marLeft w:val="0"/>
      <w:marRight w:val="0"/>
      <w:marTop w:val="0"/>
      <w:marBottom w:val="0"/>
      <w:divBdr>
        <w:top w:val="none" w:sz="0" w:space="0" w:color="auto"/>
        <w:left w:val="none" w:sz="0" w:space="0" w:color="auto"/>
        <w:bottom w:val="none" w:sz="0" w:space="0" w:color="auto"/>
        <w:right w:val="none" w:sz="0" w:space="0" w:color="auto"/>
      </w:divBdr>
      <w:divsChild>
        <w:div w:id="1945530749">
          <w:marLeft w:val="0"/>
          <w:marRight w:val="0"/>
          <w:marTop w:val="0"/>
          <w:marBottom w:val="0"/>
          <w:divBdr>
            <w:top w:val="none" w:sz="0" w:space="0" w:color="auto"/>
            <w:left w:val="none" w:sz="0" w:space="0" w:color="auto"/>
            <w:bottom w:val="none" w:sz="0" w:space="0" w:color="auto"/>
            <w:right w:val="none" w:sz="0" w:space="0" w:color="auto"/>
          </w:divBdr>
          <w:divsChild>
            <w:div w:id="201899413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885798664">
      <w:marLeft w:val="0"/>
      <w:marRight w:val="0"/>
      <w:marTop w:val="270"/>
      <w:marBottom w:val="0"/>
      <w:divBdr>
        <w:top w:val="none" w:sz="0" w:space="0" w:color="auto"/>
        <w:left w:val="none" w:sz="0" w:space="0" w:color="auto"/>
        <w:bottom w:val="none" w:sz="0" w:space="0" w:color="auto"/>
        <w:right w:val="none" w:sz="0" w:space="0" w:color="auto"/>
      </w:divBdr>
    </w:div>
    <w:div w:id="1886983323">
      <w:marLeft w:val="0"/>
      <w:marRight w:val="0"/>
      <w:marTop w:val="240"/>
      <w:marBottom w:val="0"/>
      <w:divBdr>
        <w:top w:val="none" w:sz="0" w:space="0" w:color="auto"/>
        <w:left w:val="none" w:sz="0" w:space="0" w:color="auto"/>
        <w:bottom w:val="none" w:sz="0" w:space="0" w:color="auto"/>
        <w:right w:val="none" w:sz="0" w:space="0" w:color="auto"/>
      </w:divBdr>
    </w:div>
    <w:div w:id="1887718290">
      <w:marLeft w:val="0"/>
      <w:marRight w:val="0"/>
      <w:marTop w:val="240"/>
      <w:marBottom w:val="0"/>
      <w:divBdr>
        <w:top w:val="none" w:sz="0" w:space="0" w:color="auto"/>
        <w:left w:val="none" w:sz="0" w:space="0" w:color="auto"/>
        <w:bottom w:val="none" w:sz="0" w:space="0" w:color="auto"/>
        <w:right w:val="none" w:sz="0" w:space="0" w:color="auto"/>
      </w:divBdr>
    </w:div>
    <w:div w:id="1890796991">
      <w:marLeft w:val="0"/>
      <w:marRight w:val="0"/>
      <w:marTop w:val="240"/>
      <w:marBottom w:val="240"/>
      <w:divBdr>
        <w:top w:val="none" w:sz="0" w:space="0" w:color="auto"/>
        <w:left w:val="none" w:sz="0" w:space="0" w:color="auto"/>
        <w:bottom w:val="none" w:sz="0" w:space="0" w:color="auto"/>
        <w:right w:val="none" w:sz="0" w:space="0" w:color="auto"/>
      </w:divBdr>
    </w:div>
    <w:div w:id="1892422728">
      <w:marLeft w:val="0"/>
      <w:marRight w:val="0"/>
      <w:marTop w:val="240"/>
      <w:marBottom w:val="0"/>
      <w:divBdr>
        <w:top w:val="none" w:sz="0" w:space="0" w:color="auto"/>
        <w:left w:val="none" w:sz="0" w:space="0" w:color="auto"/>
        <w:bottom w:val="none" w:sz="0" w:space="0" w:color="auto"/>
        <w:right w:val="none" w:sz="0" w:space="0" w:color="auto"/>
      </w:divBdr>
    </w:div>
    <w:div w:id="1892501373">
      <w:marLeft w:val="0"/>
      <w:marRight w:val="0"/>
      <w:marTop w:val="240"/>
      <w:marBottom w:val="0"/>
      <w:divBdr>
        <w:top w:val="none" w:sz="0" w:space="0" w:color="auto"/>
        <w:left w:val="none" w:sz="0" w:space="0" w:color="auto"/>
        <w:bottom w:val="none" w:sz="0" w:space="0" w:color="auto"/>
        <w:right w:val="none" w:sz="0" w:space="0" w:color="auto"/>
      </w:divBdr>
    </w:div>
    <w:div w:id="1893492284">
      <w:marLeft w:val="0"/>
      <w:marRight w:val="0"/>
      <w:marTop w:val="60"/>
      <w:marBottom w:val="0"/>
      <w:divBdr>
        <w:top w:val="none" w:sz="0" w:space="0" w:color="auto"/>
        <w:left w:val="none" w:sz="0" w:space="0" w:color="auto"/>
        <w:bottom w:val="none" w:sz="0" w:space="0" w:color="auto"/>
        <w:right w:val="none" w:sz="0" w:space="0" w:color="auto"/>
      </w:divBdr>
    </w:div>
    <w:div w:id="1894197668">
      <w:marLeft w:val="0"/>
      <w:marRight w:val="0"/>
      <w:marTop w:val="0"/>
      <w:marBottom w:val="0"/>
      <w:divBdr>
        <w:top w:val="none" w:sz="0" w:space="0" w:color="auto"/>
        <w:left w:val="none" w:sz="0" w:space="0" w:color="auto"/>
        <w:bottom w:val="none" w:sz="0" w:space="0" w:color="auto"/>
        <w:right w:val="none" w:sz="0" w:space="0" w:color="auto"/>
      </w:divBdr>
      <w:divsChild>
        <w:div w:id="860703302">
          <w:marLeft w:val="0"/>
          <w:marRight w:val="0"/>
          <w:marTop w:val="0"/>
          <w:marBottom w:val="0"/>
          <w:divBdr>
            <w:top w:val="none" w:sz="0" w:space="0" w:color="auto"/>
            <w:left w:val="none" w:sz="0" w:space="0" w:color="auto"/>
            <w:bottom w:val="none" w:sz="0" w:space="0" w:color="auto"/>
            <w:right w:val="none" w:sz="0" w:space="0" w:color="auto"/>
          </w:divBdr>
        </w:div>
      </w:divsChild>
    </w:div>
    <w:div w:id="1894731945">
      <w:marLeft w:val="0"/>
      <w:marRight w:val="0"/>
      <w:marTop w:val="180"/>
      <w:marBottom w:val="0"/>
      <w:divBdr>
        <w:top w:val="none" w:sz="0" w:space="0" w:color="auto"/>
        <w:left w:val="none" w:sz="0" w:space="0" w:color="auto"/>
        <w:bottom w:val="none" w:sz="0" w:space="0" w:color="auto"/>
        <w:right w:val="none" w:sz="0" w:space="0" w:color="auto"/>
      </w:divBdr>
    </w:div>
    <w:div w:id="1896817996">
      <w:marLeft w:val="0"/>
      <w:marRight w:val="0"/>
      <w:marTop w:val="240"/>
      <w:marBottom w:val="0"/>
      <w:divBdr>
        <w:top w:val="none" w:sz="0" w:space="0" w:color="auto"/>
        <w:left w:val="none" w:sz="0" w:space="0" w:color="auto"/>
        <w:bottom w:val="none" w:sz="0" w:space="0" w:color="auto"/>
        <w:right w:val="none" w:sz="0" w:space="0" w:color="auto"/>
      </w:divBdr>
    </w:div>
    <w:div w:id="1897811949">
      <w:marLeft w:val="0"/>
      <w:marRight w:val="0"/>
      <w:marTop w:val="200"/>
      <w:marBottom w:val="0"/>
      <w:divBdr>
        <w:top w:val="none" w:sz="0" w:space="0" w:color="auto"/>
        <w:left w:val="none" w:sz="0" w:space="0" w:color="auto"/>
        <w:bottom w:val="none" w:sz="0" w:space="0" w:color="auto"/>
        <w:right w:val="none" w:sz="0" w:space="0" w:color="auto"/>
      </w:divBdr>
    </w:div>
    <w:div w:id="1898200029">
      <w:marLeft w:val="0"/>
      <w:marRight w:val="0"/>
      <w:marTop w:val="240"/>
      <w:marBottom w:val="0"/>
      <w:divBdr>
        <w:top w:val="none" w:sz="0" w:space="0" w:color="auto"/>
        <w:left w:val="none" w:sz="0" w:space="0" w:color="auto"/>
        <w:bottom w:val="none" w:sz="0" w:space="0" w:color="auto"/>
        <w:right w:val="none" w:sz="0" w:space="0" w:color="auto"/>
      </w:divBdr>
    </w:div>
    <w:div w:id="1898277367">
      <w:marLeft w:val="0"/>
      <w:marRight w:val="0"/>
      <w:marTop w:val="240"/>
      <w:marBottom w:val="0"/>
      <w:divBdr>
        <w:top w:val="none" w:sz="0" w:space="0" w:color="auto"/>
        <w:left w:val="none" w:sz="0" w:space="0" w:color="auto"/>
        <w:bottom w:val="none" w:sz="0" w:space="0" w:color="auto"/>
        <w:right w:val="none" w:sz="0" w:space="0" w:color="auto"/>
      </w:divBdr>
    </w:div>
    <w:div w:id="1899396531">
      <w:marLeft w:val="0"/>
      <w:marRight w:val="0"/>
      <w:marTop w:val="240"/>
      <w:marBottom w:val="0"/>
      <w:divBdr>
        <w:top w:val="none" w:sz="0" w:space="0" w:color="auto"/>
        <w:left w:val="none" w:sz="0" w:space="0" w:color="auto"/>
        <w:bottom w:val="none" w:sz="0" w:space="0" w:color="auto"/>
        <w:right w:val="none" w:sz="0" w:space="0" w:color="auto"/>
      </w:divBdr>
    </w:div>
    <w:div w:id="1901404092">
      <w:marLeft w:val="0"/>
      <w:marRight w:val="0"/>
      <w:marTop w:val="240"/>
      <w:marBottom w:val="240"/>
      <w:divBdr>
        <w:top w:val="none" w:sz="0" w:space="0" w:color="auto"/>
        <w:left w:val="none" w:sz="0" w:space="0" w:color="auto"/>
        <w:bottom w:val="none" w:sz="0" w:space="0" w:color="auto"/>
        <w:right w:val="none" w:sz="0" w:space="0" w:color="auto"/>
      </w:divBdr>
    </w:div>
    <w:div w:id="1901592730">
      <w:marLeft w:val="0"/>
      <w:marRight w:val="0"/>
      <w:marTop w:val="0"/>
      <w:marBottom w:val="0"/>
      <w:divBdr>
        <w:top w:val="none" w:sz="0" w:space="0" w:color="auto"/>
        <w:left w:val="none" w:sz="0" w:space="0" w:color="auto"/>
        <w:bottom w:val="none" w:sz="0" w:space="0" w:color="auto"/>
        <w:right w:val="none" w:sz="0" w:space="0" w:color="auto"/>
      </w:divBdr>
      <w:divsChild>
        <w:div w:id="654534466">
          <w:marLeft w:val="0"/>
          <w:marRight w:val="0"/>
          <w:marTop w:val="0"/>
          <w:marBottom w:val="0"/>
          <w:divBdr>
            <w:top w:val="none" w:sz="0" w:space="0" w:color="auto"/>
            <w:left w:val="none" w:sz="0" w:space="0" w:color="auto"/>
            <w:bottom w:val="none" w:sz="0" w:space="0" w:color="auto"/>
            <w:right w:val="none" w:sz="0" w:space="0" w:color="auto"/>
          </w:divBdr>
        </w:div>
      </w:divsChild>
    </w:div>
    <w:div w:id="1902323773">
      <w:marLeft w:val="0"/>
      <w:marRight w:val="0"/>
      <w:marTop w:val="200"/>
      <w:marBottom w:val="0"/>
      <w:divBdr>
        <w:top w:val="none" w:sz="0" w:space="0" w:color="auto"/>
        <w:left w:val="none" w:sz="0" w:space="0" w:color="auto"/>
        <w:bottom w:val="none" w:sz="0" w:space="0" w:color="auto"/>
        <w:right w:val="none" w:sz="0" w:space="0" w:color="auto"/>
      </w:divBdr>
    </w:div>
    <w:div w:id="1903101829">
      <w:marLeft w:val="0"/>
      <w:marRight w:val="0"/>
      <w:marTop w:val="180"/>
      <w:marBottom w:val="0"/>
      <w:divBdr>
        <w:top w:val="none" w:sz="0" w:space="0" w:color="auto"/>
        <w:left w:val="none" w:sz="0" w:space="0" w:color="auto"/>
        <w:bottom w:val="none" w:sz="0" w:space="0" w:color="auto"/>
        <w:right w:val="none" w:sz="0" w:space="0" w:color="auto"/>
      </w:divBdr>
    </w:div>
    <w:div w:id="1907061274">
      <w:marLeft w:val="0"/>
      <w:marRight w:val="0"/>
      <w:marTop w:val="240"/>
      <w:marBottom w:val="0"/>
      <w:divBdr>
        <w:top w:val="none" w:sz="0" w:space="0" w:color="auto"/>
        <w:left w:val="none" w:sz="0" w:space="0" w:color="auto"/>
        <w:bottom w:val="none" w:sz="0" w:space="0" w:color="auto"/>
        <w:right w:val="none" w:sz="0" w:space="0" w:color="auto"/>
      </w:divBdr>
    </w:div>
    <w:div w:id="1907298890">
      <w:marLeft w:val="0"/>
      <w:marRight w:val="0"/>
      <w:marTop w:val="240"/>
      <w:marBottom w:val="0"/>
      <w:divBdr>
        <w:top w:val="none" w:sz="0" w:space="0" w:color="auto"/>
        <w:left w:val="none" w:sz="0" w:space="0" w:color="auto"/>
        <w:bottom w:val="none" w:sz="0" w:space="0" w:color="auto"/>
        <w:right w:val="none" w:sz="0" w:space="0" w:color="auto"/>
      </w:divBdr>
    </w:div>
    <w:div w:id="1908954394">
      <w:marLeft w:val="0"/>
      <w:marRight w:val="0"/>
      <w:marTop w:val="0"/>
      <w:marBottom w:val="0"/>
      <w:divBdr>
        <w:top w:val="none" w:sz="0" w:space="0" w:color="auto"/>
        <w:left w:val="none" w:sz="0" w:space="0" w:color="auto"/>
        <w:bottom w:val="none" w:sz="0" w:space="0" w:color="auto"/>
        <w:right w:val="none" w:sz="0" w:space="0" w:color="auto"/>
      </w:divBdr>
      <w:divsChild>
        <w:div w:id="1919242746">
          <w:marLeft w:val="0"/>
          <w:marRight w:val="0"/>
          <w:marTop w:val="0"/>
          <w:marBottom w:val="0"/>
          <w:divBdr>
            <w:top w:val="none" w:sz="0" w:space="0" w:color="auto"/>
            <w:left w:val="none" w:sz="0" w:space="0" w:color="auto"/>
            <w:bottom w:val="none" w:sz="0" w:space="0" w:color="auto"/>
            <w:right w:val="none" w:sz="0" w:space="0" w:color="auto"/>
          </w:divBdr>
          <w:divsChild>
            <w:div w:id="200523224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909268159">
      <w:marLeft w:val="0"/>
      <w:marRight w:val="0"/>
      <w:marTop w:val="240"/>
      <w:marBottom w:val="0"/>
      <w:divBdr>
        <w:top w:val="none" w:sz="0" w:space="0" w:color="auto"/>
        <w:left w:val="none" w:sz="0" w:space="0" w:color="auto"/>
        <w:bottom w:val="none" w:sz="0" w:space="0" w:color="auto"/>
        <w:right w:val="none" w:sz="0" w:space="0" w:color="auto"/>
      </w:divBdr>
    </w:div>
    <w:div w:id="1910530606">
      <w:marLeft w:val="0"/>
      <w:marRight w:val="0"/>
      <w:marTop w:val="240"/>
      <w:marBottom w:val="0"/>
      <w:divBdr>
        <w:top w:val="none" w:sz="0" w:space="0" w:color="auto"/>
        <w:left w:val="none" w:sz="0" w:space="0" w:color="auto"/>
        <w:bottom w:val="none" w:sz="0" w:space="0" w:color="auto"/>
        <w:right w:val="none" w:sz="0" w:space="0" w:color="auto"/>
      </w:divBdr>
    </w:div>
    <w:div w:id="1910572504">
      <w:marLeft w:val="0"/>
      <w:marRight w:val="0"/>
      <w:marTop w:val="240"/>
      <w:marBottom w:val="0"/>
      <w:divBdr>
        <w:top w:val="none" w:sz="0" w:space="0" w:color="auto"/>
        <w:left w:val="none" w:sz="0" w:space="0" w:color="auto"/>
        <w:bottom w:val="none" w:sz="0" w:space="0" w:color="auto"/>
        <w:right w:val="none" w:sz="0" w:space="0" w:color="auto"/>
      </w:divBdr>
    </w:div>
    <w:div w:id="1910995834">
      <w:marLeft w:val="0"/>
      <w:marRight w:val="0"/>
      <w:marTop w:val="240"/>
      <w:marBottom w:val="240"/>
      <w:divBdr>
        <w:top w:val="none" w:sz="0" w:space="0" w:color="auto"/>
        <w:left w:val="none" w:sz="0" w:space="0" w:color="auto"/>
        <w:bottom w:val="none" w:sz="0" w:space="0" w:color="auto"/>
        <w:right w:val="none" w:sz="0" w:space="0" w:color="auto"/>
      </w:divBdr>
    </w:div>
    <w:div w:id="1911966837">
      <w:marLeft w:val="0"/>
      <w:marRight w:val="0"/>
      <w:marTop w:val="0"/>
      <w:marBottom w:val="0"/>
      <w:divBdr>
        <w:top w:val="none" w:sz="0" w:space="0" w:color="auto"/>
        <w:left w:val="none" w:sz="0" w:space="0" w:color="auto"/>
        <w:bottom w:val="none" w:sz="0" w:space="0" w:color="auto"/>
        <w:right w:val="none" w:sz="0" w:space="0" w:color="auto"/>
      </w:divBdr>
      <w:divsChild>
        <w:div w:id="252518235">
          <w:marLeft w:val="0"/>
          <w:marRight w:val="0"/>
          <w:marTop w:val="0"/>
          <w:marBottom w:val="0"/>
          <w:divBdr>
            <w:top w:val="none" w:sz="0" w:space="0" w:color="auto"/>
            <w:left w:val="none" w:sz="0" w:space="0" w:color="auto"/>
            <w:bottom w:val="none" w:sz="0" w:space="0" w:color="auto"/>
            <w:right w:val="none" w:sz="0" w:space="0" w:color="auto"/>
          </w:divBdr>
          <w:divsChild>
            <w:div w:id="137673098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912276218">
      <w:marLeft w:val="0"/>
      <w:marRight w:val="0"/>
      <w:marTop w:val="0"/>
      <w:marBottom w:val="0"/>
      <w:divBdr>
        <w:top w:val="none" w:sz="0" w:space="0" w:color="auto"/>
        <w:left w:val="none" w:sz="0" w:space="0" w:color="auto"/>
        <w:bottom w:val="none" w:sz="0" w:space="0" w:color="auto"/>
        <w:right w:val="none" w:sz="0" w:space="0" w:color="auto"/>
      </w:divBdr>
      <w:divsChild>
        <w:div w:id="1067924924">
          <w:marLeft w:val="0"/>
          <w:marRight w:val="0"/>
          <w:marTop w:val="120"/>
          <w:marBottom w:val="0"/>
          <w:divBdr>
            <w:top w:val="none" w:sz="0" w:space="0" w:color="auto"/>
            <w:left w:val="none" w:sz="0" w:space="0" w:color="auto"/>
            <w:bottom w:val="none" w:sz="0" w:space="0" w:color="auto"/>
            <w:right w:val="none" w:sz="0" w:space="0" w:color="auto"/>
          </w:divBdr>
        </w:div>
      </w:divsChild>
    </w:div>
    <w:div w:id="1912420454">
      <w:marLeft w:val="0"/>
      <w:marRight w:val="0"/>
      <w:marTop w:val="0"/>
      <w:marBottom w:val="0"/>
      <w:divBdr>
        <w:top w:val="none" w:sz="0" w:space="0" w:color="auto"/>
        <w:left w:val="none" w:sz="0" w:space="0" w:color="auto"/>
        <w:bottom w:val="none" w:sz="0" w:space="0" w:color="auto"/>
        <w:right w:val="none" w:sz="0" w:space="0" w:color="auto"/>
      </w:divBdr>
      <w:divsChild>
        <w:div w:id="1626079398">
          <w:marLeft w:val="0"/>
          <w:marRight w:val="0"/>
          <w:marTop w:val="0"/>
          <w:marBottom w:val="0"/>
          <w:divBdr>
            <w:top w:val="none" w:sz="0" w:space="0" w:color="auto"/>
            <w:left w:val="none" w:sz="0" w:space="0" w:color="auto"/>
            <w:bottom w:val="none" w:sz="0" w:space="0" w:color="auto"/>
            <w:right w:val="none" w:sz="0" w:space="0" w:color="auto"/>
          </w:divBdr>
        </w:div>
      </w:divsChild>
    </w:div>
    <w:div w:id="1916087472">
      <w:marLeft w:val="0"/>
      <w:marRight w:val="0"/>
      <w:marTop w:val="0"/>
      <w:marBottom w:val="0"/>
      <w:divBdr>
        <w:top w:val="none" w:sz="0" w:space="0" w:color="auto"/>
        <w:left w:val="none" w:sz="0" w:space="0" w:color="auto"/>
        <w:bottom w:val="none" w:sz="0" w:space="0" w:color="auto"/>
        <w:right w:val="none" w:sz="0" w:space="0" w:color="auto"/>
      </w:divBdr>
    </w:div>
    <w:div w:id="1918131451">
      <w:marLeft w:val="0"/>
      <w:marRight w:val="0"/>
      <w:marTop w:val="240"/>
      <w:marBottom w:val="0"/>
      <w:divBdr>
        <w:top w:val="none" w:sz="0" w:space="0" w:color="auto"/>
        <w:left w:val="none" w:sz="0" w:space="0" w:color="auto"/>
        <w:bottom w:val="none" w:sz="0" w:space="0" w:color="auto"/>
        <w:right w:val="none" w:sz="0" w:space="0" w:color="auto"/>
      </w:divBdr>
    </w:div>
    <w:div w:id="1925799253">
      <w:marLeft w:val="0"/>
      <w:marRight w:val="0"/>
      <w:marTop w:val="140"/>
      <w:marBottom w:val="0"/>
      <w:divBdr>
        <w:top w:val="none" w:sz="0" w:space="0" w:color="auto"/>
        <w:left w:val="none" w:sz="0" w:space="0" w:color="auto"/>
        <w:bottom w:val="none" w:sz="0" w:space="0" w:color="auto"/>
        <w:right w:val="none" w:sz="0" w:space="0" w:color="auto"/>
      </w:divBdr>
    </w:div>
    <w:div w:id="1926255561">
      <w:marLeft w:val="0"/>
      <w:marRight w:val="0"/>
      <w:marTop w:val="240"/>
      <w:marBottom w:val="0"/>
      <w:divBdr>
        <w:top w:val="none" w:sz="0" w:space="0" w:color="auto"/>
        <w:left w:val="none" w:sz="0" w:space="0" w:color="auto"/>
        <w:bottom w:val="none" w:sz="0" w:space="0" w:color="auto"/>
        <w:right w:val="none" w:sz="0" w:space="0" w:color="auto"/>
      </w:divBdr>
    </w:div>
    <w:div w:id="1926958932">
      <w:marLeft w:val="0"/>
      <w:marRight w:val="0"/>
      <w:marTop w:val="160"/>
      <w:marBottom w:val="0"/>
      <w:divBdr>
        <w:top w:val="none" w:sz="0" w:space="0" w:color="auto"/>
        <w:left w:val="none" w:sz="0" w:space="0" w:color="auto"/>
        <w:bottom w:val="none" w:sz="0" w:space="0" w:color="auto"/>
        <w:right w:val="none" w:sz="0" w:space="0" w:color="auto"/>
      </w:divBdr>
      <w:divsChild>
        <w:div w:id="1843622403">
          <w:marLeft w:val="0"/>
          <w:marRight w:val="0"/>
          <w:marTop w:val="0"/>
          <w:marBottom w:val="0"/>
          <w:divBdr>
            <w:top w:val="none" w:sz="0" w:space="0" w:color="auto"/>
            <w:left w:val="none" w:sz="0" w:space="0" w:color="auto"/>
            <w:bottom w:val="none" w:sz="0" w:space="0" w:color="auto"/>
            <w:right w:val="none" w:sz="0" w:space="0" w:color="auto"/>
          </w:divBdr>
        </w:div>
      </w:divsChild>
    </w:div>
    <w:div w:id="1929920967">
      <w:marLeft w:val="0"/>
      <w:marRight w:val="0"/>
      <w:marTop w:val="180"/>
      <w:marBottom w:val="0"/>
      <w:divBdr>
        <w:top w:val="none" w:sz="0" w:space="0" w:color="auto"/>
        <w:left w:val="none" w:sz="0" w:space="0" w:color="auto"/>
        <w:bottom w:val="none" w:sz="0" w:space="0" w:color="auto"/>
        <w:right w:val="none" w:sz="0" w:space="0" w:color="auto"/>
      </w:divBdr>
    </w:div>
    <w:div w:id="1930583291">
      <w:marLeft w:val="0"/>
      <w:marRight w:val="0"/>
      <w:marTop w:val="0"/>
      <w:marBottom w:val="0"/>
      <w:divBdr>
        <w:top w:val="none" w:sz="0" w:space="0" w:color="auto"/>
        <w:left w:val="none" w:sz="0" w:space="0" w:color="auto"/>
        <w:bottom w:val="none" w:sz="0" w:space="0" w:color="auto"/>
        <w:right w:val="none" w:sz="0" w:space="0" w:color="auto"/>
      </w:divBdr>
      <w:divsChild>
        <w:div w:id="1332374999">
          <w:marLeft w:val="0"/>
          <w:marRight w:val="0"/>
          <w:marTop w:val="0"/>
          <w:marBottom w:val="0"/>
          <w:divBdr>
            <w:top w:val="none" w:sz="0" w:space="0" w:color="auto"/>
            <w:left w:val="none" w:sz="0" w:space="0" w:color="auto"/>
            <w:bottom w:val="none" w:sz="0" w:space="0" w:color="auto"/>
            <w:right w:val="none" w:sz="0" w:space="0" w:color="auto"/>
          </w:divBdr>
          <w:divsChild>
            <w:div w:id="171619628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931087294">
      <w:marLeft w:val="0"/>
      <w:marRight w:val="0"/>
      <w:marTop w:val="240"/>
      <w:marBottom w:val="60"/>
      <w:divBdr>
        <w:top w:val="none" w:sz="0" w:space="0" w:color="auto"/>
        <w:left w:val="none" w:sz="0" w:space="0" w:color="auto"/>
        <w:bottom w:val="none" w:sz="0" w:space="0" w:color="auto"/>
        <w:right w:val="none" w:sz="0" w:space="0" w:color="auto"/>
      </w:divBdr>
    </w:div>
    <w:div w:id="1931237830">
      <w:marLeft w:val="0"/>
      <w:marRight w:val="0"/>
      <w:marTop w:val="0"/>
      <w:marBottom w:val="0"/>
      <w:divBdr>
        <w:top w:val="none" w:sz="0" w:space="0" w:color="auto"/>
        <w:left w:val="none" w:sz="0" w:space="0" w:color="auto"/>
        <w:bottom w:val="none" w:sz="0" w:space="0" w:color="auto"/>
        <w:right w:val="none" w:sz="0" w:space="0" w:color="auto"/>
      </w:divBdr>
      <w:divsChild>
        <w:div w:id="275256014">
          <w:marLeft w:val="0"/>
          <w:marRight w:val="0"/>
          <w:marTop w:val="0"/>
          <w:marBottom w:val="0"/>
          <w:divBdr>
            <w:top w:val="none" w:sz="0" w:space="0" w:color="auto"/>
            <w:left w:val="none" w:sz="0" w:space="0" w:color="auto"/>
            <w:bottom w:val="none" w:sz="0" w:space="0" w:color="auto"/>
            <w:right w:val="none" w:sz="0" w:space="0" w:color="auto"/>
          </w:divBdr>
        </w:div>
      </w:divsChild>
    </w:div>
    <w:div w:id="1931351775">
      <w:marLeft w:val="0"/>
      <w:marRight w:val="0"/>
      <w:marTop w:val="240"/>
      <w:marBottom w:val="0"/>
      <w:divBdr>
        <w:top w:val="none" w:sz="0" w:space="0" w:color="auto"/>
        <w:left w:val="none" w:sz="0" w:space="0" w:color="auto"/>
        <w:bottom w:val="none" w:sz="0" w:space="0" w:color="auto"/>
        <w:right w:val="none" w:sz="0" w:space="0" w:color="auto"/>
      </w:divBdr>
    </w:div>
    <w:div w:id="1932228334">
      <w:marLeft w:val="0"/>
      <w:marRight w:val="0"/>
      <w:marTop w:val="120"/>
      <w:marBottom w:val="0"/>
      <w:divBdr>
        <w:top w:val="none" w:sz="0" w:space="0" w:color="auto"/>
        <w:left w:val="none" w:sz="0" w:space="0" w:color="auto"/>
        <w:bottom w:val="none" w:sz="0" w:space="0" w:color="auto"/>
        <w:right w:val="none" w:sz="0" w:space="0" w:color="auto"/>
      </w:divBdr>
    </w:div>
    <w:div w:id="1932736779">
      <w:marLeft w:val="0"/>
      <w:marRight w:val="0"/>
      <w:marTop w:val="0"/>
      <w:marBottom w:val="0"/>
      <w:divBdr>
        <w:top w:val="none" w:sz="0" w:space="0" w:color="auto"/>
        <w:left w:val="none" w:sz="0" w:space="0" w:color="auto"/>
        <w:bottom w:val="none" w:sz="0" w:space="0" w:color="auto"/>
        <w:right w:val="none" w:sz="0" w:space="0" w:color="auto"/>
      </w:divBdr>
    </w:div>
    <w:div w:id="1935284002">
      <w:marLeft w:val="0"/>
      <w:marRight w:val="0"/>
      <w:marTop w:val="0"/>
      <w:marBottom w:val="0"/>
      <w:divBdr>
        <w:top w:val="none" w:sz="0" w:space="0" w:color="auto"/>
        <w:left w:val="none" w:sz="0" w:space="0" w:color="auto"/>
        <w:bottom w:val="none" w:sz="0" w:space="0" w:color="auto"/>
        <w:right w:val="none" w:sz="0" w:space="0" w:color="auto"/>
      </w:divBdr>
    </w:div>
    <w:div w:id="1937781841">
      <w:marLeft w:val="0"/>
      <w:marRight w:val="0"/>
      <w:marTop w:val="0"/>
      <w:marBottom w:val="0"/>
      <w:divBdr>
        <w:top w:val="none" w:sz="0" w:space="0" w:color="auto"/>
        <w:left w:val="none" w:sz="0" w:space="0" w:color="auto"/>
        <w:bottom w:val="none" w:sz="0" w:space="0" w:color="auto"/>
        <w:right w:val="none" w:sz="0" w:space="0" w:color="auto"/>
      </w:divBdr>
      <w:divsChild>
        <w:div w:id="767429589">
          <w:marLeft w:val="0"/>
          <w:marRight w:val="0"/>
          <w:marTop w:val="0"/>
          <w:marBottom w:val="0"/>
          <w:divBdr>
            <w:top w:val="none" w:sz="0" w:space="0" w:color="auto"/>
            <w:left w:val="none" w:sz="0" w:space="0" w:color="auto"/>
            <w:bottom w:val="none" w:sz="0" w:space="0" w:color="auto"/>
            <w:right w:val="none" w:sz="0" w:space="0" w:color="auto"/>
          </w:divBdr>
          <w:divsChild>
            <w:div w:id="467938922">
              <w:marLeft w:val="0"/>
              <w:marRight w:val="0"/>
              <w:marTop w:val="0"/>
              <w:marBottom w:val="0"/>
              <w:divBdr>
                <w:top w:val="none" w:sz="0" w:space="0" w:color="auto"/>
                <w:left w:val="none" w:sz="0" w:space="0" w:color="auto"/>
                <w:bottom w:val="none" w:sz="0" w:space="0" w:color="auto"/>
                <w:right w:val="none" w:sz="0" w:space="0" w:color="auto"/>
              </w:divBdr>
            </w:div>
            <w:div w:id="87230692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938050708">
      <w:marLeft w:val="0"/>
      <w:marRight w:val="0"/>
      <w:marTop w:val="240"/>
      <w:marBottom w:val="0"/>
      <w:divBdr>
        <w:top w:val="none" w:sz="0" w:space="0" w:color="auto"/>
        <w:left w:val="none" w:sz="0" w:space="0" w:color="auto"/>
        <w:bottom w:val="none" w:sz="0" w:space="0" w:color="auto"/>
        <w:right w:val="none" w:sz="0" w:space="0" w:color="auto"/>
      </w:divBdr>
    </w:div>
    <w:div w:id="1939437473">
      <w:marLeft w:val="0"/>
      <w:marRight w:val="0"/>
      <w:marTop w:val="160"/>
      <w:marBottom w:val="0"/>
      <w:divBdr>
        <w:top w:val="none" w:sz="0" w:space="0" w:color="auto"/>
        <w:left w:val="none" w:sz="0" w:space="0" w:color="auto"/>
        <w:bottom w:val="none" w:sz="0" w:space="0" w:color="auto"/>
        <w:right w:val="none" w:sz="0" w:space="0" w:color="auto"/>
      </w:divBdr>
    </w:div>
    <w:div w:id="1939633885">
      <w:marLeft w:val="0"/>
      <w:marRight w:val="0"/>
      <w:marTop w:val="240"/>
      <w:marBottom w:val="0"/>
      <w:divBdr>
        <w:top w:val="none" w:sz="0" w:space="0" w:color="auto"/>
        <w:left w:val="none" w:sz="0" w:space="0" w:color="auto"/>
        <w:bottom w:val="none" w:sz="0" w:space="0" w:color="auto"/>
        <w:right w:val="none" w:sz="0" w:space="0" w:color="auto"/>
      </w:divBdr>
    </w:div>
    <w:div w:id="1944610302">
      <w:marLeft w:val="0"/>
      <w:marRight w:val="0"/>
      <w:marTop w:val="200"/>
      <w:marBottom w:val="0"/>
      <w:divBdr>
        <w:top w:val="none" w:sz="0" w:space="0" w:color="auto"/>
        <w:left w:val="none" w:sz="0" w:space="0" w:color="auto"/>
        <w:bottom w:val="none" w:sz="0" w:space="0" w:color="auto"/>
        <w:right w:val="none" w:sz="0" w:space="0" w:color="auto"/>
      </w:divBdr>
    </w:div>
    <w:div w:id="1945838459">
      <w:marLeft w:val="0"/>
      <w:marRight w:val="0"/>
      <w:marTop w:val="0"/>
      <w:marBottom w:val="0"/>
      <w:divBdr>
        <w:top w:val="none" w:sz="0" w:space="0" w:color="auto"/>
        <w:left w:val="none" w:sz="0" w:space="0" w:color="auto"/>
        <w:bottom w:val="none" w:sz="0" w:space="0" w:color="auto"/>
        <w:right w:val="none" w:sz="0" w:space="0" w:color="auto"/>
      </w:divBdr>
      <w:divsChild>
        <w:div w:id="1266187326">
          <w:marLeft w:val="0"/>
          <w:marRight w:val="0"/>
          <w:marTop w:val="0"/>
          <w:marBottom w:val="0"/>
          <w:divBdr>
            <w:top w:val="none" w:sz="0" w:space="0" w:color="auto"/>
            <w:left w:val="none" w:sz="0" w:space="0" w:color="auto"/>
            <w:bottom w:val="none" w:sz="0" w:space="0" w:color="auto"/>
            <w:right w:val="none" w:sz="0" w:space="0" w:color="auto"/>
          </w:divBdr>
        </w:div>
      </w:divsChild>
    </w:div>
    <w:div w:id="1946111353">
      <w:marLeft w:val="0"/>
      <w:marRight w:val="0"/>
      <w:marTop w:val="0"/>
      <w:marBottom w:val="0"/>
      <w:divBdr>
        <w:top w:val="none" w:sz="0" w:space="0" w:color="auto"/>
        <w:left w:val="none" w:sz="0" w:space="0" w:color="auto"/>
        <w:bottom w:val="none" w:sz="0" w:space="0" w:color="auto"/>
        <w:right w:val="none" w:sz="0" w:space="0" w:color="auto"/>
      </w:divBdr>
      <w:divsChild>
        <w:div w:id="1279482372">
          <w:marLeft w:val="0"/>
          <w:marRight w:val="0"/>
          <w:marTop w:val="0"/>
          <w:marBottom w:val="0"/>
          <w:divBdr>
            <w:top w:val="none" w:sz="0" w:space="0" w:color="auto"/>
            <w:left w:val="none" w:sz="0" w:space="0" w:color="auto"/>
            <w:bottom w:val="none" w:sz="0" w:space="0" w:color="auto"/>
            <w:right w:val="none" w:sz="0" w:space="0" w:color="auto"/>
          </w:divBdr>
        </w:div>
      </w:divsChild>
    </w:div>
    <w:div w:id="1946839981">
      <w:marLeft w:val="0"/>
      <w:marRight w:val="0"/>
      <w:marTop w:val="240"/>
      <w:marBottom w:val="0"/>
      <w:divBdr>
        <w:top w:val="none" w:sz="0" w:space="0" w:color="auto"/>
        <w:left w:val="none" w:sz="0" w:space="0" w:color="auto"/>
        <w:bottom w:val="none" w:sz="0" w:space="0" w:color="auto"/>
        <w:right w:val="none" w:sz="0" w:space="0" w:color="auto"/>
      </w:divBdr>
    </w:div>
    <w:div w:id="1948462900">
      <w:marLeft w:val="0"/>
      <w:marRight w:val="0"/>
      <w:marTop w:val="240"/>
      <w:marBottom w:val="0"/>
      <w:divBdr>
        <w:top w:val="none" w:sz="0" w:space="0" w:color="auto"/>
        <w:left w:val="none" w:sz="0" w:space="0" w:color="auto"/>
        <w:bottom w:val="none" w:sz="0" w:space="0" w:color="auto"/>
        <w:right w:val="none" w:sz="0" w:space="0" w:color="auto"/>
      </w:divBdr>
    </w:div>
    <w:div w:id="1949459677">
      <w:marLeft w:val="0"/>
      <w:marRight w:val="0"/>
      <w:marTop w:val="240"/>
      <w:marBottom w:val="0"/>
      <w:divBdr>
        <w:top w:val="none" w:sz="0" w:space="0" w:color="auto"/>
        <w:left w:val="none" w:sz="0" w:space="0" w:color="auto"/>
        <w:bottom w:val="none" w:sz="0" w:space="0" w:color="auto"/>
        <w:right w:val="none" w:sz="0" w:space="0" w:color="auto"/>
      </w:divBdr>
    </w:div>
    <w:div w:id="1950352538">
      <w:marLeft w:val="0"/>
      <w:marRight w:val="0"/>
      <w:marTop w:val="200"/>
      <w:marBottom w:val="0"/>
      <w:divBdr>
        <w:top w:val="none" w:sz="0" w:space="0" w:color="auto"/>
        <w:left w:val="none" w:sz="0" w:space="0" w:color="auto"/>
        <w:bottom w:val="none" w:sz="0" w:space="0" w:color="auto"/>
        <w:right w:val="none" w:sz="0" w:space="0" w:color="auto"/>
      </w:divBdr>
    </w:div>
    <w:div w:id="1950434077">
      <w:marLeft w:val="0"/>
      <w:marRight w:val="0"/>
      <w:marTop w:val="0"/>
      <w:marBottom w:val="0"/>
      <w:divBdr>
        <w:top w:val="none" w:sz="0" w:space="0" w:color="auto"/>
        <w:left w:val="none" w:sz="0" w:space="0" w:color="auto"/>
        <w:bottom w:val="none" w:sz="0" w:space="0" w:color="auto"/>
        <w:right w:val="none" w:sz="0" w:space="0" w:color="auto"/>
      </w:divBdr>
      <w:divsChild>
        <w:div w:id="736245356">
          <w:marLeft w:val="0"/>
          <w:marRight w:val="0"/>
          <w:marTop w:val="0"/>
          <w:marBottom w:val="0"/>
          <w:divBdr>
            <w:top w:val="none" w:sz="0" w:space="0" w:color="auto"/>
            <w:left w:val="none" w:sz="0" w:space="0" w:color="auto"/>
            <w:bottom w:val="none" w:sz="0" w:space="0" w:color="auto"/>
            <w:right w:val="none" w:sz="0" w:space="0" w:color="auto"/>
          </w:divBdr>
        </w:div>
      </w:divsChild>
    </w:div>
    <w:div w:id="1951164422">
      <w:marLeft w:val="0"/>
      <w:marRight w:val="0"/>
      <w:marTop w:val="0"/>
      <w:marBottom w:val="0"/>
      <w:divBdr>
        <w:top w:val="none" w:sz="0" w:space="0" w:color="auto"/>
        <w:left w:val="none" w:sz="0" w:space="0" w:color="auto"/>
        <w:bottom w:val="none" w:sz="0" w:space="0" w:color="auto"/>
        <w:right w:val="none" w:sz="0" w:space="0" w:color="auto"/>
      </w:divBdr>
    </w:div>
    <w:div w:id="1951429560">
      <w:marLeft w:val="0"/>
      <w:marRight w:val="0"/>
      <w:marTop w:val="240"/>
      <w:marBottom w:val="0"/>
      <w:divBdr>
        <w:top w:val="none" w:sz="0" w:space="0" w:color="auto"/>
        <w:left w:val="none" w:sz="0" w:space="0" w:color="auto"/>
        <w:bottom w:val="none" w:sz="0" w:space="0" w:color="auto"/>
        <w:right w:val="none" w:sz="0" w:space="0" w:color="auto"/>
      </w:divBdr>
    </w:div>
    <w:div w:id="1951547452">
      <w:marLeft w:val="0"/>
      <w:marRight w:val="0"/>
      <w:marTop w:val="240"/>
      <w:marBottom w:val="240"/>
      <w:divBdr>
        <w:top w:val="none" w:sz="0" w:space="0" w:color="auto"/>
        <w:left w:val="none" w:sz="0" w:space="0" w:color="auto"/>
        <w:bottom w:val="none" w:sz="0" w:space="0" w:color="auto"/>
        <w:right w:val="none" w:sz="0" w:space="0" w:color="auto"/>
      </w:divBdr>
    </w:div>
    <w:div w:id="1954941654">
      <w:marLeft w:val="0"/>
      <w:marRight w:val="0"/>
      <w:marTop w:val="240"/>
      <w:marBottom w:val="0"/>
      <w:divBdr>
        <w:top w:val="none" w:sz="0" w:space="0" w:color="auto"/>
        <w:left w:val="none" w:sz="0" w:space="0" w:color="auto"/>
        <w:bottom w:val="none" w:sz="0" w:space="0" w:color="auto"/>
        <w:right w:val="none" w:sz="0" w:space="0" w:color="auto"/>
      </w:divBdr>
    </w:div>
    <w:div w:id="1955745262">
      <w:marLeft w:val="0"/>
      <w:marRight w:val="0"/>
      <w:marTop w:val="240"/>
      <w:marBottom w:val="0"/>
      <w:divBdr>
        <w:top w:val="none" w:sz="0" w:space="0" w:color="auto"/>
        <w:left w:val="none" w:sz="0" w:space="0" w:color="auto"/>
        <w:bottom w:val="none" w:sz="0" w:space="0" w:color="auto"/>
        <w:right w:val="none" w:sz="0" w:space="0" w:color="auto"/>
      </w:divBdr>
    </w:div>
    <w:div w:id="1957177451">
      <w:marLeft w:val="0"/>
      <w:marRight w:val="0"/>
      <w:marTop w:val="240"/>
      <w:marBottom w:val="0"/>
      <w:divBdr>
        <w:top w:val="none" w:sz="0" w:space="0" w:color="auto"/>
        <w:left w:val="none" w:sz="0" w:space="0" w:color="auto"/>
        <w:bottom w:val="none" w:sz="0" w:space="0" w:color="auto"/>
        <w:right w:val="none" w:sz="0" w:space="0" w:color="auto"/>
      </w:divBdr>
    </w:div>
    <w:div w:id="1957369639">
      <w:marLeft w:val="0"/>
      <w:marRight w:val="0"/>
      <w:marTop w:val="0"/>
      <w:marBottom w:val="0"/>
      <w:divBdr>
        <w:top w:val="none" w:sz="0" w:space="0" w:color="auto"/>
        <w:left w:val="none" w:sz="0" w:space="0" w:color="auto"/>
        <w:bottom w:val="none" w:sz="0" w:space="0" w:color="auto"/>
        <w:right w:val="none" w:sz="0" w:space="0" w:color="auto"/>
      </w:divBdr>
      <w:divsChild>
        <w:div w:id="1855991884">
          <w:marLeft w:val="0"/>
          <w:marRight w:val="0"/>
          <w:marTop w:val="0"/>
          <w:marBottom w:val="0"/>
          <w:divBdr>
            <w:top w:val="none" w:sz="0" w:space="0" w:color="auto"/>
            <w:left w:val="none" w:sz="0" w:space="0" w:color="auto"/>
            <w:bottom w:val="none" w:sz="0" w:space="0" w:color="auto"/>
            <w:right w:val="none" w:sz="0" w:space="0" w:color="auto"/>
          </w:divBdr>
          <w:divsChild>
            <w:div w:id="113517264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959531280">
      <w:marLeft w:val="0"/>
      <w:marRight w:val="0"/>
      <w:marTop w:val="200"/>
      <w:marBottom w:val="0"/>
      <w:divBdr>
        <w:top w:val="none" w:sz="0" w:space="0" w:color="auto"/>
        <w:left w:val="none" w:sz="0" w:space="0" w:color="auto"/>
        <w:bottom w:val="none" w:sz="0" w:space="0" w:color="auto"/>
        <w:right w:val="none" w:sz="0" w:space="0" w:color="auto"/>
      </w:divBdr>
    </w:div>
    <w:div w:id="1959557025">
      <w:marLeft w:val="0"/>
      <w:marRight w:val="0"/>
      <w:marTop w:val="240"/>
      <w:marBottom w:val="0"/>
      <w:divBdr>
        <w:top w:val="none" w:sz="0" w:space="0" w:color="auto"/>
        <w:left w:val="none" w:sz="0" w:space="0" w:color="auto"/>
        <w:bottom w:val="none" w:sz="0" w:space="0" w:color="auto"/>
        <w:right w:val="none" w:sz="0" w:space="0" w:color="auto"/>
      </w:divBdr>
    </w:div>
    <w:div w:id="1959679144">
      <w:marLeft w:val="0"/>
      <w:marRight w:val="0"/>
      <w:marTop w:val="240"/>
      <w:marBottom w:val="0"/>
      <w:divBdr>
        <w:top w:val="none" w:sz="0" w:space="0" w:color="auto"/>
        <w:left w:val="none" w:sz="0" w:space="0" w:color="auto"/>
        <w:bottom w:val="none" w:sz="0" w:space="0" w:color="auto"/>
        <w:right w:val="none" w:sz="0" w:space="0" w:color="auto"/>
      </w:divBdr>
    </w:div>
    <w:div w:id="1961835851">
      <w:marLeft w:val="0"/>
      <w:marRight w:val="0"/>
      <w:marTop w:val="200"/>
      <w:marBottom w:val="0"/>
      <w:divBdr>
        <w:top w:val="none" w:sz="0" w:space="0" w:color="auto"/>
        <w:left w:val="none" w:sz="0" w:space="0" w:color="auto"/>
        <w:bottom w:val="none" w:sz="0" w:space="0" w:color="auto"/>
        <w:right w:val="none" w:sz="0" w:space="0" w:color="auto"/>
      </w:divBdr>
    </w:div>
    <w:div w:id="1962566633">
      <w:marLeft w:val="0"/>
      <w:marRight w:val="0"/>
      <w:marTop w:val="0"/>
      <w:marBottom w:val="0"/>
      <w:divBdr>
        <w:top w:val="none" w:sz="0" w:space="0" w:color="auto"/>
        <w:left w:val="none" w:sz="0" w:space="0" w:color="auto"/>
        <w:bottom w:val="none" w:sz="0" w:space="0" w:color="auto"/>
        <w:right w:val="none" w:sz="0" w:space="0" w:color="auto"/>
      </w:divBdr>
      <w:divsChild>
        <w:div w:id="613483346">
          <w:marLeft w:val="0"/>
          <w:marRight w:val="0"/>
          <w:marTop w:val="0"/>
          <w:marBottom w:val="0"/>
          <w:divBdr>
            <w:top w:val="none" w:sz="0" w:space="0" w:color="auto"/>
            <w:left w:val="none" w:sz="0" w:space="0" w:color="auto"/>
            <w:bottom w:val="none" w:sz="0" w:space="0" w:color="auto"/>
            <w:right w:val="none" w:sz="0" w:space="0" w:color="auto"/>
          </w:divBdr>
        </w:div>
      </w:divsChild>
    </w:div>
    <w:div w:id="1962882420">
      <w:marLeft w:val="0"/>
      <w:marRight w:val="0"/>
      <w:marTop w:val="0"/>
      <w:marBottom w:val="0"/>
      <w:divBdr>
        <w:top w:val="none" w:sz="0" w:space="0" w:color="auto"/>
        <w:left w:val="none" w:sz="0" w:space="0" w:color="auto"/>
        <w:bottom w:val="none" w:sz="0" w:space="0" w:color="auto"/>
        <w:right w:val="none" w:sz="0" w:space="0" w:color="auto"/>
      </w:divBdr>
      <w:divsChild>
        <w:div w:id="609161780">
          <w:marLeft w:val="0"/>
          <w:marRight w:val="0"/>
          <w:marTop w:val="0"/>
          <w:marBottom w:val="0"/>
          <w:divBdr>
            <w:top w:val="none" w:sz="0" w:space="0" w:color="auto"/>
            <w:left w:val="none" w:sz="0" w:space="0" w:color="auto"/>
            <w:bottom w:val="none" w:sz="0" w:space="0" w:color="auto"/>
            <w:right w:val="none" w:sz="0" w:space="0" w:color="auto"/>
          </w:divBdr>
        </w:div>
      </w:divsChild>
    </w:div>
    <w:div w:id="1963725599">
      <w:marLeft w:val="0"/>
      <w:marRight w:val="0"/>
      <w:marTop w:val="240"/>
      <w:marBottom w:val="240"/>
      <w:divBdr>
        <w:top w:val="none" w:sz="0" w:space="0" w:color="auto"/>
        <w:left w:val="none" w:sz="0" w:space="0" w:color="auto"/>
        <w:bottom w:val="none" w:sz="0" w:space="0" w:color="auto"/>
        <w:right w:val="none" w:sz="0" w:space="0" w:color="auto"/>
      </w:divBdr>
      <w:divsChild>
        <w:div w:id="190384304">
          <w:marLeft w:val="0"/>
          <w:marRight w:val="0"/>
          <w:marTop w:val="0"/>
          <w:marBottom w:val="0"/>
          <w:divBdr>
            <w:top w:val="none" w:sz="0" w:space="0" w:color="auto"/>
            <w:left w:val="none" w:sz="0" w:space="0" w:color="auto"/>
            <w:bottom w:val="none" w:sz="0" w:space="0" w:color="auto"/>
            <w:right w:val="none" w:sz="0" w:space="0" w:color="auto"/>
          </w:divBdr>
        </w:div>
        <w:div w:id="1650748107">
          <w:marLeft w:val="0"/>
          <w:marRight w:val="0"/>
          <w:marTop w:val="0"/>
          <w:marBottom w:val="0"/>
          <w:divBdr>
            <w:top w:val="none" w:sz="0" w:space="0" w:color="auto"/>
            <w:left w:val="none" w:sz="0" w:space="0" w:color="auto"/>
            <w:bottom w:val="none" w:sz="0" w:space="0" w:color="auto"/>
            <w:right w:val="none" w:sz="0" w:space="0" w:color="auto"/>
          </w:divBdr>
        </w:div>
        <w:div w:id="618680462">
          <w:marLeft w:val="0"/>
          <w:marRight w:val="0"/>
          <w:marTop w:val="0"/>
          <w:marBottom w:val="0"/>
          <w:divBdr>
            <w:top w:val="none" w:sz="0" w:space="0" w:color="auto"/>
            <w:left w:val="none" w:sz="0" w:space="0" w:color="auto"/>
            <w:bottom w:val="none" w:sz="0" w:space="0" w:color="auto"/>
            <w:right w:val="none" w:sz="0" w:space="0" w:color="auto"/>
          </w:divBdr>
        </w:div>
        <w:div w:id="1799571921">
          <w:marLeft w:val="0"/>
          <w:marRight w:val="0"/>
          <w:marTop w:val="0"/>
          <w:marBottom w:val="0"/>
          <w:divBdr>
            <w:top w:val="none" w:sz="0" w:space="0" w:color="auto"/>
            <w:left w:val="none" w:sz="0" w:space="0" w:color="auto"/>
            <w:bottom w:val="none" w:sz="0" w:space="0" w:color="auto"/>
            <w:right w:val="none" w:sz="0" w:space="0" w:color="auto"/>
          </w:divBdr>
        </w:div>
      </w:divsChild>
    </w:div>
    <w:div w:id="1964311583">
      <w:marLeft w:val="0"/>
      <w:marRight w:val="0"/>
      <w:marTop w:val="240"/>
      <w:marBottom w:val="0"/>
      <w:divBdr>
        <w:top w:val="none" w:sz="0" w:space="0" w:color="auto"/>
        <w:left w:val="none" w:sz="0" w:space="0" w:color="auto"/>
        <w:bottom w:val="none" w:sz="0" w:space="0" w:color="auto"/>
        <w:right w:val="none" w:sz="0" w:space="0" w:color="auto"/>
      </w:divBdr>
    </w:div>
    <w:div w:id="1965621468">
      <w:marLeft w:val="0"/>
      <w:marRight w:val="0"/>
      <w:marTop w:val="240"/>
      <w:marBottom w:val="0"/>
      <w:divBdr>
        <w:top w:val="none" w:sz="0" w:space="0" w:color="auto"/>
        <w:left w:val="none" w:sz="0" w:space="0" w:color="auto"/>
        <w:bottom w:val="none" w:sz="0" w:space="0" w:color="auto"/>
        <w:right w:val="none" w:sz="0" w:space="0" w:color="auto"/>
      </w:divBdr>
    </w:div>
    <w:div w:id="1965651467">
      <w:marLeft w:val="0"/>
      <w:marRight w:val="0"/>
      <w:marTop w:val="180"/>
      <w:marBottom w:val="0"/>
      <w:divBdr>
        <w:top w:val="none" w:sz="0" w:space="0" w:color="auto"/>
        <w:left w:val="none" w:sz="0" w:space="0" w:color="auto"/>
        <w:bottom w:val="none" w:sz="0" w:space="0" w:color="auto"/>
        <w:right w:val="none" w:sz="0" w:space="0" w:color="auto"/>
      </w:divBdr>
    </w:div>
    <w:div w:id="1966153525">
      <w:marLeft w:val="0"/>
      <w:marRight w:val="0"/>
      <w:marTop w:val="300"/>
      <w:marBottom w:val="0"/>
      <w:divBdr>
        <w:top w:val="none" w:sz="0" w:space="0" w:color="auto"/>
        <w:left w:val="none" w:sz="0" w:space="0" w:color="auto"/>
        <w:bottom w:val="none" w:sz="0" w:space="0" w:color="auto"/>
        <w:right w:val="none" w:sz="0" w:space="0" w:color="auto"/>
      </w:divBdr>
    </w:div>
    <w:div w:id="1966963123">
      <w:marLeft w:val="0"/>
      <w:marRight w:val="0"/>
      <w:marTop w:val="0"/>
      <w:marBottom w:val="0"/>
      <w:divBdr>
        <w:top w:val="none" w:sz="0" w:space="0" w:color="auto"/>
        <w:left w:val="none" w:sz="0" w:space="0" w:color="auto"/>
        <w:bottom w:val="none" w:sz="0" w:space="0" w:color="auto"/>
        <w:right w:val="none" w:sz="0" w:space="0" w:color="auto"/>
      </w:divBdr>
      <w:divsChild>
        <w:div w:id="1702508394">
          <w:marLeft w:val="0"/>
          <w:marRight w:val="0"/>
          <w:marTop w:val="120"/>
          <w:marBottom w:val="0"/>
          <w:divBdr>
            <w:top w:val="none" w:sz="0" w:space="0" w:color="auto"/>
            <w:left w:val="none" w:sz="0" w:space="0" w:color="auto"/>
            <w:bottom w:val="none" w:sz="0" w:space="0" w:color="auto"/>
            <w:right w:val="none" w:sz="0" w:space="0" w:color="auto"/>
          </w:divBdr>
        </w:div>
      </w:divsChild>
    </w:div>
    <w:div w:id="1971010636">
      <w:marLeft w:val="0"/>
      <w:marRight w:val="0"/>
      <w:marTop w:val="0"/>
      <w:marBottom w:val="0"/>
      <w:divBdr>
        <w:top w:val="none" w:sz="0" w:space="0" w:color="auto"/>
        <w:left w:val="none" w:sz="0" w:space="0" w:color="auto"/>
        <w:bottom w:val="none" w:sz="0" w:space="0" w:color="auto"/>
        <w:right w:val="none" w:sz="0" w:space="0" w:color="auto"/>
      </w:divBdr>
      <w:divsChild>
        <w:div w:id="494343329">
          <w:marLeft w:val="0"/>
          <w:marRight w:val="0"/>
          <w:marTop w:val="120"/>
          <w:marBottom w:val="0"/>
          <w:divBdr>
            <w:top w:val="none" w:sz="0" w:space="0" w:color="auto"/>
            <w:left w:val="none" w:sz="0" w:space="0" w:color="auto"/>
            <w:bottom w:val="none" w:sz="0" w:space="0" w:color="auto"/>
            <w:right w:val="none" w:sz="0" w:space="0" w:color="auto"/>
          </w:divBdr>
        </w:div>
      </w:divsChild>
    </w:div>
    <w:div w:id="1971353954">
      <w:marLeft w:val="0"/>
      <w:marRight w:val="0"/>
      <w:marTop w:val="240"/>
      <w:marBottom w:val="0"/>
      <w:divBdr>
        <w:top w:val="none" w:sz="0" w:space="0" w:color="auto"/>
        <w:left w:val="none" w:sz="0" w:space="0" w:color="auto"/>
        <w:bottom w:val="none" w:sz="0" w:space="0" w:color="auto"/>
        <w:right w:val="none" w:sz="0" w:space="0" w:color="auto"/>
      </w:divBdr>
    </w:div>
    <w:div w:id="1971521276">
      <w:marLeft w:val="0"/>
      <w:marRight w:val="0"/>
      <w:marTop w:val="0"/>
      <w:marBottom w:val="0"/>
      <w:divBdr>
        <w:top w:val="none" w:sz="0" w:space="0" w:color="auto"/>
        <w:left w:val="none" w:sz="0" w:space="0" w:color="auto"/>
        <w:bottom w:val="none" w:sz="0" w:space="0" w:color="auto"/>
        <w:right w:val="none" w:sz="0" w:space="0" w:color="auto"/>
      </w:divBdr>
      <w:divsChild>
        <w:div w:id="1517648444">
          <w:marLeft w:val="0"/>
          <w:marRight w:val="0"/>
          <w:marTop w:val="120"/>
          <w:marBottom w:val="0"/>
          <w:divBdr>
            <w:top w:val="none" w:sz="0" w:space="0" w:color="auto"/>
            <w:left w:val="none" w:sz="0" w:space="0" w:color="auto"/>
            <w:bottom w:val="none" w:sz="0" w:space="0" w:color="auto"/>
            <w:right w:val="none" w:sz="0" w:space="0" w:color="auto"/>
          </w:divBdr>
        </w:div>
      </w:divsChild>
    </w:div>
    <w:div w:id="1974019912">
      <w:marLeft w:val="0"/>
      <w:marRight w:val="0"/>
      <w:marTop w:val="120"/>
      <w:marBottom w:val="0"/>
      <w:divBdr>
        <w:top w:val="none" w:sz="0" w:space="0" w:color="auto"/>
        <w:left w:val="none" w:sz="0" w:space="0" w:color="auto"/>
        <w:bottom w:val="none" w:sz="0" w:space="0" w:color="auto"/>
        <w:right w:val="none" w:sz="0" w:space="0" w:color="auto"/>
      </w:divBdr>
    </w:div>
    <w:div w:id="1974941081">
      <w:marLeft w:val="0"/>
      <w:marRight w:val="0"/>
      <w:marTop w:val="0"/>
      <w:marBottom w:val="0"/>
      <w:divBdr>
        <w:top w:val="none" w:sz="0" w:space="0" w:color="auto"/>
        <w:left w:val="none" w:sz="0" w:space="0" w:color="auto"/>
        <w:bottom w:val="none" w:sz="0" w:space="0" w:color="auto"/>
        <w:right w:val="none" w:sz="0" w:space="0" w:color="auto"/>
      </w:divBdr>
      <w:divsChild>
        <w:div w:id="1495602848">
          <w:marLeft w:val="0"/>
          <w:marRight w:val="0"/>
          <w:marTop w:val="0"/>
          <w:marBottom w:val="0"/>
          <w:divBdr>
            <w:top w:val="none" w:sz="0" w:space="0" w:color="auto"/>
            <w:left w:val="none" w:sz="0" w:space="0" w:color="auto"/>
            <w:bottom w:val="none" w:sz="0" w:space="0" w:color="auto"/>
            <w:right w:val="none" w:sz="0" w:space="0" w:color="auto"/>
          </w:divBdr>
        </w:div>
      </w:divsChild>
    </w:div>
    <w:div w:id="1975062873">
      <w:marLeft w:val="0"/>
      <w:marRight w:val="0"/>
      <w:marTop w:val="240"/>
      <w:marBottom w:val="0"/>
      <w:divBdr>
        <w:top w:val="none" w:sz="0" w:space="0" w:color="auto"/>
        <w:left w:val="none" w:sz="0" w:space="0" w:color="auto"/>
        <w:bottom w:val="none" w:sz="0" w:space="0" w:color="auto"/>
        <w:right w:val="none" w:sz="0" w:space="0" w:color="auto"/>
      </w:divBdr>
    </w:div>
    <w:div w:id="1976138564">
      <w:marLeft w:val="0"/>
      <w:marRight w:val="0"/>
      <w:marTop w:val="120"/>
      <w:marBottom w:val="0"/>
      <w:divBdr>
        <w:top w:val="none" w:sz="0" w:space="0" w:color="auto"/>
        <w:left w:val="none" w:sz="0" w:space="0" w:color="auto"/>
        <w:bottom w:val="none" w:sz="0" w:space="0" w:color="auto"/>
        <w:right w:val="none" w:sz="0" w:space="0" w:color="auto"/>
      </w:divBdr>
    </w:div>
    <w:div w:id="1976593376">
      <w:marLeft w:val="0"/>
      <w:marRight w:val="0"/>
      <w:marTop w:val="120"/>
      <w:marBottom w:val="0"/>
      <w:divBdr>
        <w:top w:val="none" w:sz="0" w:space="0" w:color="auto"/>
        <w:left w:val="none" w:sz="0" w:space="0" w:color="auto"/>
        <w:bottom w:val="none" w:sz="0" w:space="0" w:color="auto"/>
        <w:right w:val="none" w:sz="0" w:space="0" w:color="auto"/>
      </w:divBdr>
    </w:div>
    <w:div w:id="1982805862">
      <w:marLeft w:val="0"/>
      <w:marRight w:val="0"/>
      <w:marTop w:val="200"/>
      <w:marBottom w:val="0"/>
      <w:divBdr>
        <w:top w:val="none" w:sz="0" w:space="0" w:color="auto"/>
        <w:left w:val="none" w:sz="0" w:space="0" w:color="auto"/>
        <w:bottom w:val="none" w:sz="0" w:space="0" w:color="auto"/>
        <w:right w:val="none" w:sz="0" w:space="0" w:color="auto"/>
      </w:divBdr>
    </w:div>
    <w:div w:id="1982927000">
      <w:marLeft w:val="0"/>
      <w:marRight w:val="0"/>
      <w:marTop w:val="180"/>
      <w:marBottom w:val="0"/>
      <w:divBdr>
        <w:top w:val="none" w:sz="0" w:space="0" w:color="auto"/>
        <w:left w:val="none" w:sz="0" w:space="0" w:color="auto"/>
        <w:bottom w:val="none" w:sz="0" w:space="0" w:color="auto"/>
        <w:right w:val="none" w:sz="0" w:space="0" w:color="auto"/>
      </w:divBdr>
    </w:div>
    <w:div w:id="1983923429">
      <w:marLeft w:val="0"/>
      <w:marRight w:val="0"/>
      <w:marTop w:val="100"/>
      <w:marBottom w:val="0"/>
      <w:divBdr>
        <w:top w:val="none" w:sz="0" w:space="0" w:color="auto"/>
        <w:left w:val="none" w:sz="0" w:space="0" w:color="auto"/>
        <w:bottom w:val="none" w:sz="0" w:space="0" w:color="auto"/>
        <w:right w:val="none" w:sz="0" w:space="0" w:color="auto"/>
      </w:divBdr>
    </w:div>
    <w:div w:id="1988120561">
      <w:marLeft w:val="0"/>
      <w:marRight w:val="0"/>
      <w:marTop w:val="0"/>
      <w:marBottom w:val="0"/>
      <w:divBdr>
        <w:top w:val="none" w:sz="0" w:space="0" w:color="auto"/>
        <w:left w:val="none" w:sz="0" w:space="0" w:color="auto"/>
        <w:bottom w:val="none" w:sz="0" w:space="0" w:color="auto"/>
        <w:right w:val="none" w:sz="0" w:space="0" w:color="auto"/>
      </w:divBdr>
      <w:divsChild>
        <w:div w:id="736783200">
          <w:marLeft w:val="0"/>
          <w:marRight w:val="0"/>
          <w:marTop w:val="0"/>
          <w:marBottom w:val="0"/>
          <w:divBdr>
            <w:top w:val="none" w:sz="0" w:space="0" w:color="auto"/>
            <w:left w:val="none" w:sz="0" w:space="0" w:color="auto"/>
            <w:bottom w:val="none" w:sz="0" w:space="0" w:color="auto"/>
            <w:right w:val="none" w:sz="0" w:space="0" w:color="auto"/>
          </w:divBdr>
        </w:div>
      </w:divsChild>
    </w:div>
    <w:div w:id="1990554649">
      <w:marLeft w:val="0"/>
      <w:marRight w:val="0"/>
      <w:marTop w:val="240"/>
      <w:marBottom w:val="0"/>
      <w:divBdr>
        <w:top w:val="none" w:sz="0" w:space="0" w:color="auto"/>
        <w:left w:val="none" w:sz="0" w:space="0" w:color="auto"/>
        <w:bottom w:val="none" w:sz="0" w:space="0" w:color="auto"/>
        <w:right w:val="none" w:sz="0" w:space="0" w:color="auto"/>
      </w:divBdr>
    </w:div>
    <w:div w:id="1992784141">
      <w:marLeft w:val="0"/>
      <w:marRight w:val="0"/>
      <w:marTop w:val="120"/>
      <w:marBottom w:val="0"/>
      <w:divBdr>
        <w:top w:val="none" w:sz="0" w:space="0" w:color="auto"/>
        <w:left w:val="none" w:sz="0" w:space="0" w:color="auto"/>
        <w:bottom w:val="none" w:sz="0" w:space="0" w:color="auto"/>
        <w:right w:val="none" w:sz="0" w:space="0" w:color="auto"/>
      </w:divBdr>
    </w:div>
    <w:div w:id="1994290444">
      <w:marLeft w:val="0"/>
      <w:marRight w:val="0"/>
      <w:marTop w:val="240"/>
      <w:marBottom w:val="240"/>
      <w:divBdr>
        <w:top w:val="none" w:sz="0" w:space="0" w:color="auto"/>
        <w:left w:val="none" w:sz="0" w:space="0" w:color="auto"/>
        <w:bottom w:val="none" w:sz="0" w:space="0" w:color="auto"/>
        <w:right w:val="none" w:sz="0" w:space="0" w:color="auto"/>
      </w:divBdr>
    </w:div>
    <w:div w:id="1994678147">
      <w:marLeft w:val="0"/>
      <w:marRight w:val="0"/>
      <w:marTop w:val="240"/>
      <w:marBottom w:val="0"/>
      <w:divBdr>
        <w:top w:val="none" w:sz="0" w:space="0" w:color="auto"/>
        <w:left w:val="none" w:sz="0" w:space="0" w:color="auto"/>
        <w:bottom w:val="none" w:sz="0" w:space="0" w:color="auto"/>
        <w:right w:val="none" w:sz="0" w:space="0" w:color="auto"/>
      </w:divBdr>
    </w:div>
    <w:div w:id="1997294337">
      <w:marLeft w:val="0"/>
      <w:marRight w:val="0"/>
      <w:marTop w:val="240"/>
      <w:marBottom w:val="0"/>
      <w:divBdr>
        <w:top w:val="none" w:sz="0" w:space="0" w:color="auto"/>
        <w:left w:val="none" w:sz="0" w:space="0" w:color="auto"/>
        <w:bottom w:val="none" w:sz="0" w:space="0" w:color="auto"/>
        <w:right w:val="none" w:sz="0" w:space="0" w:color="auto"/>
      </w:divBdr>
    </w:div>
    <w:div w:id="2002393027">
      <w:marLeft w:val="0"/>
      <w:marRight w:val="0"/>
      <w:marTop w:val="0"/>
      <w:marBottom w:val="0"/>
      <w:divBdr>
        <w:top w:val="none" w:sz="0" w:space="0" w:color="auto"/>
        <w:left w:val="none" w:sz="0" w:space="0" w:color="auto"/>
        <w:bottom w:val="none" w:sz="0" w:space="0" w:color="auto"/>
        <w:right w:val="none" w:sz="0" w:space="0" w:color="auto"/>
      </w:divBdr>
      <w:divsChild>
        <w:div w:id="2139565980">
          <w:marLeft w:val="0"/>
          <w:marRight w:val="0"/>
          <w:marTop w:val="0"/>
          <w:marBottom w:val="0"/>
          <w:divBdr>
            <w:top w:val="none" w:sz="0" w:space="0" w:color="auto"/>
            <w:left w:val="none" w:sz="0" w:space="0" w:color="auto"/>
            <w:bottom w:val="none" w:sz="0" w:space="0" w:color="auto"/>
            <w:right w:val="none" w:sz="0" w:space="0" w:color="auto"/>
          </w:divBdr>
          <w:divsChild>
            <w:div w:id="157091934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2002812922">
      <w:marLeft w:val="0"/>
      <w:marRight w:val="0"/>
      <w:marTop w:val="140"/>
      <w:marBottom w:val="0"/>
      <w:divBdr>
        <w:top w:val="none" w:sz="0" w:space="0" w:color="auto"/>
        <w:left w:val="none" w:sz="0" w:space="0" w:color="auto"/>
        <w:bottom w:val="none" w:sz="0" w:space="0" w:color="auto"/>
        <w:right w:val="none" w:sz="0" w:space="0" w:color="auto"/>
      </w:divBdr>
    </w:div>
    <w:div w:id="2003191322">
      <w:marLeft w:val="0"/>
      <w:marRight w:val="0"/>
      <w:marTop w:val="140"/>
      <w:marBottom w:val="0"/>
      <w:divBdr>
        <w:top w:val="none" w:sz="0" w:space="0" w:color="auto"/>
        <w:left w:val="none" w:sz="0" w:space="0" w:color="auto"/>
        <w:bottom w:val="none" w:sz="0" w:space="0" w:color="auto"/>
        <w:right w:val="none" w:sz="0" w:space="0" w:color="auto"/>
      </w:divBdr>
    </w:div>
    <w:div w:id="2003583640">
      <w:marLeft w:val="0"/>
      <w:marRight w:val="0"/>
      <w:marTop w:val="0"/>
      <w:marBottom w:val="0"/>
      <w:divBdr>
        <w:top w:val="none" w:sz="0" w:space="0" w:color="auto"/>
        <w:left w:val="none" w:sz="0" w:space="0" w:color="auto"/>
        <w:bottom w:val="none" w:sz="0" w:space="0" w:color="auto"/>
        <w:right w:val="none" w:sz="0" w:space="0" w:color="auto"/>
      </w:divBdr>
      <w:divsChild>
        <w:div w:id="431097065">
          <w:marLeft w:val="0"/>
          <w:marRight w:val="0"/>
          <w:marTop w:val="0"/>
          <w:marBottom w:val="0"/>
          <w:divBdr>
            <w:top w:val="none" w:sz="0" w:space="0" w:color="auto"/>
            <w:left w:val="none" w:sz="0" w:space="0" w:color="auto"/>
            <w:bottom w:val="none" w:sz="0" w:space="0" w:color="auto"/>
            <w:right w:val="none" w:sz="0" w:space="0" w:color="auto"/>
          </w:divBdr>
        </w:div>
      </w:divsChild>
    </w:div>
    <w:div w:id="2005818863">
      <w:marLeft w:val="0"/>
      <w:marRight w:val="0"/>
      <w:marTop w:val="240"/>
      <w:marBottom w:val="0"/>
      <w:divBdr>
        <w:top w:val="none" w:sz="0" w:space="0" w:color="auto"/>
        <w:left w:val="none" w:sz="0" w:space="0" w:color="auto"/>
        <w:bottom w:val="none" w:sz="0" w:space="0" w:color="auto"/>
        <w:right w:val="none" w:sz="0" w:space="0" w:color="auto"/>
      </w:divBdr>
    </w:div>
    <w:div w:id="2007711403">
      <w:marLeft w:val="0"/>
      <w:marRight w:val="0"/>
      <w:marTop w:val="0"/>
      <w:marBottom w:val="0"/>
      <w:divBdr>
        <w:top w:val="none" w:sz="0" w:space="0" w:color="auto"/>
        <w:left w:val="none" w:sz="0" w:space="0" w:color="auto"/>
        <w:bottom w:val="none" w:sz="0" w:space="0" w:color="auto"/>
        <w:right w:val="none" w:sz="0" w:space="0" w:color="auto"/>
      </w:divBdr>
      <w:divsChild>
        <w:div w:id="442383457">
          <w:marLeft w:val="0"/>
          <w:marRight w:val="0"/>
          <w:marTop w:val="0"/>
          <w:marBottom w:val="0"/>
          <w:divBdr>
            <w:top w:val="none" w:sz="0" w:space="0" w:color="auto"/>
            <w:left w:val="none" w:sz="0" w:space="0" w:color="auto"/>
            <w:bottom w:val="none" w:sz="0" w:space="0" w:color="auto"/>
            <w:right w:val="none" w:sz="0" w:space="0" w:color="auto"/>
          </w:divBdr>
        </w:div>
      </w:divsChild>
    </w:div>
    <w:div w:id="2011131505">
      <w:marLeft w:val="0"/>
      <w:marRight w:val="0"/>
      <w:marTop w:val="120"/>
      <w:marBottom w:val="0"/>
      <w:divBdr>
        <w:top w:val="none" w:sz="0" w:space="0" w:color="auto"/>
        <w:left w:val="none" w:sz="0" w:space="0" w:color="auto"/>
        <w:bottom w:val="none" w:sz="0" w:space="0" w:color="auto"/>
        <w:right w:val="none" w:sz="0" w:space="0" w:color="auto"/>
      </w:divBdr>
    </w:div>
    <w:div w:id="2011328025">
      <w:marLeft w:val="0"/>
      <w:marRight w:val="0"/>
      <w:marTop w:val="200"/>
      <w:marBottom w:val="0"/>
      <w:divBdr>
        <w:top w:val="none" w:sz="0" w:space="0" w:color="auto"/>
        <w:left w:val="none" w:sz="0" w:space="0" w:color="auto"/>
        <w:bottom w:val="none" w:sz="0" w:space="0" w:color="auto"/>
        <w:right w:val="none" w:sz="0" w:space="0" w:color="auto"/>
      </w:divBdr>
    </w:div>
    <w:div w:id="2018801523">
      <w:marLeft w:val="0"/>
      <w:marRight w:val="0"/>
      <w:marTop w:val="240"/>
      <w:marBottom w:val="0"/>
      <w:divBdr>
        <w:top w:val="none" w:sz="0" w:space="0" w:color="auto"/>
        <w:left w:val="none" w:sz="0" w:space="0" w:color="auto"/>
        <w:bottom w:val="none" w:sz="0" w:space="0" w:color="auto"/>
        <w:right w:val="none" w:sz="0" w:space="0" w:color="auto"/>
      </w:divBdr>
    </w:div>
    <w:div w:id="2018999896">
      <w:marLeft w:val="0"/>
      <w:marRight w:val="0"/>
      <w:marTop w:val="200"/>
      <w:marBottom w:val="0"/>
      <w:divBdr>
        <w:top w:val="none" w:sz="0" w:space="0" w:color="auto"/>
        <w:left w:val="none" w:sz="0" w:space="0" w:color="auto"/>
        <w:bottom w:val="none" w:sz="0" w:space="0" w:color="auto"/>
        <w:right w:val="none" w:sz="0" w:space="0" w:color="auto"/>
      </w:divBdr>
    </w:div>
    <w:div w:id="2019694782">
      <w:marLeft w:val="0"/>
      <w:marRight w:val="0"/>
      <w:marTop w:val="100"/>
      <w:marBottom w:val="0"/>
      <w:divBdr>
        <w:top w:val="none" w:sz="0" w:space="0" w:color="auto"/>
        <w:left w:val="none" w:sz="0" w:space="0" w:color="auto"/>
        <w:bottom w:val="none" w:sz="0" w:space="0" w:color="auto"/>
        <w:right w:val="none" w:sz="0" w:space="0" w:color="auto"/>
      </w:divBdr>
    </w:div>
    <w:div w:id="2019887730">
      <w:marLeft w:val="0"/>
      <w:marRight w:val="0"/>
      <w:marTop w:val="160"/>
      <w:marBottom w:val="0"/>
      <w:divBdr>
        <w:top w:val="none" w:sz="0" w:space="0" w:color="auto"/>
        <w:left w:val="none" w:sz="0" w:space="0" w:color="auto"/>
        <w:bottom w:val="none" w:sz="0" w:space="0" w:color="auto"/>
        <w:right w:val="none" w:sz="0" w:space="0" w:color="auto"/>
      </w:divBdr>
    </w:div>
    <w:div w:id="2020424846">
      <w:marLeft w:val="0"/>
      <w:marRight w:val="0"/>
      <w:marTop w:val="0"/>
      <w:marBottom w:val="0"/>
      <w:divBdr>
        <w:top w:val="none" w:sz="0" w:space="0" w:color="auto"/>
        <w:left w:val="none" w:sz="0" w:space="0" w:color="auto"/>
        <w:bottom w:val="none" w:sz="0" w:space="0" w:color="auto"/>
        <w:right w:val="none" w:sz="0" w:space="0" w:color="auto"/>
      </w:divBdr>
      <w:divsChild>
        <w:div w:id="130248368">
          <w:marLeft w:val="0"/>
          <w:marRight w:val="0"/>
          <w:marTop w:val="0"/>
          <w:marBottom w:val="0"/>
          <w:divBdr>
            <w:top w:val="none" w:sz="0" w:space="0" w:color="auto"/>
            <w:left w:val="none" w:sz="0" w:space="0" w:color="auto"/>
            <w:bottom w:val="none" w:sz="0" w:space="0" w:color="auto"/>
            <w:right w:val="none" w:sz="0" w:space="0" w:color="auto"/>
          </w:divBdr>
          <w:divsChild>
            <w:div w:id="76503040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2020737134">
      <w:marLeft w:val="0"/>
      <w:marRight w:val="0"/>
      <w:marTop w:val="240"/>
      <w:marBottom w:val="0"/>
      <w:divBdr>
        <w:top w:val="none" w:sz="0" w:space="0" w:color="auto"/>
        <w:left w:val="none" w:sz="0" w:space="0" w:color="auto"/>
        <w:bottom w:val="none" w:sz="0" w:space="0" w:color="auto"/>
        <w:right w:val="none" w:sz="0" w:space="0" w:color="auto"/>
      </w:divBdr>
    </w:div>
    <w:div w:id="2023244768">
      <w:marLeft w:val="0"/>
      <w:marRight w:val="0"/>
      <w:marTop w:val="240"/>
      <w:marBottom w:val="0"/>
      <w:divBdr>
        <w:top w:val="none" w:sz="0" w:space="0" w:color="auto"/>
        <w:left w:val="none" w:sz="0" w:space="0" w:color="auto"/>
        <w:bottom w:val="none" w:sz="0" w:space="0" w:color="auto"/>
        <w:right w:val="none" w:sz="0" w:space="0" w:color="auto"/>
      </w:divBdr>
    </w:div>
    <w:div w:id="2023781353">
      <w:marLeft w:val="0"/>
      <w:marRight w:val="0"/>
      <w:marTop w:val="240"/>
      <w:marBottom w:val="0"/>
      <w:divBdr>
        <w:top w:val="none" w:sz="0" w:space="0" w:color="auto"/>
        <w:left w:val="none" w:sz="0" w:space="0" w:color="auto"/>
        <w:bottom w:val="none" w:sz="0" w:space="0" w:color="auto"/>
        <w:right w:val="none" w:sz="0" w:space="0" w:color="auto"/>
      </w:divBdr>
    </w:div>
    <w:div w:id="2026131772">
      <w:marLeft w:val="0"/>
      <w:marRight w:val="0"/>
      <w:marTop w:val="240"/>
      <w:marBottom w:val="0"/>
      <w:divBdr>
        <w:top w:val="none" w:sz="0" w:space="0" w:color="auto"/>
        <w:left w:val="none" w:sz="0" w:space="0" w:color="auto"/>
        <w:bottom w:val="none" w:sz="0" w:space="0" w:color="auto"/>
        <w:right w:val="none" w:sz="0" w:space="0" w:color="auto"/>
      </w:divBdr>
    </w:div>
    <w:div w:id="2028939825">
      <w:marLeft w:val="0"/>
      <w:marRight w:val="0"/>
      <w:marTop w:val="0"/>
      <w:marBottom w:val="120"/>
      <w:divBdr>
        <w:top w:val="none" w:sz="0" w:space="0" w:color="auto"/>
        <w:left w:val="none" w:sz="0" w:space="0" w:color="auto"/>
        <w:bottom w:val="none" w:sz="0" w:space="0" w:color="auto"/>
        <w:right w:val="none" w:sz="0" w:space="0" w:color="auto"/>
      </w:divBdr>
    </w:div>
    <w:div w:id="2030135368">
      <w:marLeft w:val="0"/>
      <w:marRight w:val="0"/>
      <w:marTop w:val="240"/>
      <w:marBottom w:val="0"/>
      <w:divBdr>
        <w:top w:val="none" w:sz="0" w:space="0" w:color="auto"/>
        <w:left w:val="none" w:sz="0" w:space="0" w:color="auto"/>
        <w:bottom w:val="none" w:sz="0" w:space="0" w:color="auto"/>
        <w:right w:val="none" w:sz="0" w:space="0" w:color="auto"/>
      </w:divBdr>
    </w:div>
    <w:div w:id="2030639818">
      <w:marLeft w:val="0"/>
      <w:marRight w:val="0"/>
      <w:marTop w:val="180"/>
      <w:marBottom w:val="0"/>
      <w:divBdr>
        <w:top w:val="none" w:sz="0" w:space="0" w:color="auto"/>
        <w:left w:val="none" w:sz="0" w:space="0" w:color="auto"/>
        <w:bottom w:val="none" w:sz="0" w:space="0" w:color="auto"/>
        <w:right w:val="none" w:sz="0" w:space="0" w:color="auto"/>
      </w:divBdr>
    </w:div>
    <w:div w:id="2030713183">
      <w:marLeft w:val="0"/>
      <w:marRight w:val="0"/>
      <w:marTop w:val="240"/>
      <w:marBottom w:val="0"/>
      <w:divBdr>
        <w:top w:val="none" w:sz="0" w:space="0" w:color="auto"/>
        <w:left w:val="none" w:sz="0" w:space="0" w:color="auto"/>
        <w:bottom w:val="none" w:sz="0" w:space="0" w:color="auto"/>
        <w:right w:val="none" w:sz="0" w:space="0" w:color="auto"/>
      </w:divBdr>
    </w:div>
    <w:div w:id="2032680858">
      <w:marLeft w:val="0"/>
      <w:marRight w:val="0"/>
      <w:marTop w:val="240"/>
      <w:marBottom w:val="0"/>
      <w:divBdr>
        <w:top w:val="none" w:sz="0" w:space="0" w:color="auto"/>
        <w:left w:val="none" w:sz="0" w:space="0" w:color="auto"/>
        <w:bottom w:val="none" w:sz="0" w:space="0" w:color="auto"/>
        <w:right w:val="none" w:sz="0" w:space="0" w:color="auto"/>
      </w:divBdr>
    </w:div>
    <w:div w:id="2033071230">
      <w:marLeft w:val="0"/>
      <w:marRight w:val="0"/>
      <w:marTop w:val="240"/>
      <w:marBottom w:val="0"/>
      <w:divBdr>
        <w:top w:val="none" w:sz="0" w:space="0" w:color="auto"/>
        <w:left w:val="none" w:sz="0" w:space="0" w:color="auto"/>
        <w:bottom w:val="none" w:sz="0" w:space="0" w:color="auto"/>
        <w:right w:val="none" w:sz="0" w:space="0" w:color="auto"/>
      </w:divBdr>
    </w:div>
    <w:div w:id="2033143145">
      <w:marLeft w:val="0"/>
      <w:marRight w:val="0"/>
      <w:marTop w:val="240"/>
      <w:marBottom w:val="0"/>
      <w:divBdr>
        <w:top w:val="none" w:sz="0" w:space="0" w:color="auto"/>
        <w:left w:val="none" w:sz="0" w:space="0" w:color="auto"/>
        <w:bottom w:val="none" w:sz="0" w:space="0" w:color="auto"/>
        <w:right w:val="none" w:sz="0" w:space="0" w:color="auto"/>
      </w:divBdr>
    </w:div>
    <w:div w:id="2033189922">
      <w:marLeft w:val="0"/>
      <w:marRight w:val="0"/>
      <w:marTop w:val="300"/>
      <w:marBottom w:val="0"/>
      <w:divBdr>
        <w:top w:val="none" w:sz="0" w:space="0" w:color="auto"/>
        <w:left w:val="none" w:sz="0" w:space="0" w:color="auto"/>
        <w:bottom w:val="none" w:sz="0" w:space="0" w:color="auto"/>
        <w:right w:val="none" w:sz="0" w:space="0" w:color="auto"/>
      </w:divBdr>
    </w:div>
    <w:div w:id="2034071042">
      <w:marLeft w:val="0"/>
      <w:marRight w:val="0"/>
      <w:marTop w:val="200"/>
      <w:marBottom w:val="0"/>
      <w:divBdr>
        <w:top w:val="none" w:sz="0" w:space="0" w:color="auto"/>
        <w:left w:val="none" w:sz="0" w:space="0" w:color="auto"/>
        <w:bottom w:val="none" w:sz="0" w:space="0" w:color="auto"/>
        <w:right w:val="none" w:sz="0" w:space="0" w:color="auto"/>
      </w:divBdr>
    </w:div>
    <w:div w:id="2035837838">
      <w:marLeft w:val="0"/>
      <w:marRight w:val="0"/>
      <w:marTop w:val="0"/>
      <w:marBottom w:val="0"/>
      <w:divBdr>
        <w:top w:val="none" w:sz="0" w:space="0" w:color="auto"/>
        <w:left w:val="none" w:sz="0" w:space="0" w:color="auto"/>
        <w:bottom w:val="none" w:sz="0" w:space="0" w:color="auto"/>
        <w:right w:val="none" w:sz="0" w:space="0" w:color="auto"/>
      </w:divBdr>
      <w:divsChild>
        <w:div w:id="1701468556">
          <w:marLeft w:val="0"/>
          <w:marRight w:val="0"/>
          <w:marTop w:val="120"/>
          <w:marBottom w:val="0"/>
          <w:divBdr>
            <w:top w:val="none" w:sz="0" w:space="0" w:color="auto"/>
            <w:left w:val="none" w:sz="0" w:space="0" w:color="auto"/>
            <w:bottom w:val="none" w:sz="0" w:space="0" w:color="auto"/>
            <w:right w:val="none" w:sz="0" w:space="0" w:color="auto"/>
          </w:divBdr>
        </w:div>
      </w:divsChild>
    </w:div>
    <w:div w:id="2036956684">
      <w:marLeft w:val="0"/>
      <w:marRight w:val="0"/>
      <w:marTop w:val="0"/>
      <w:marBottom w:val="0"/>
      <w:divBdr>
        <w:top w:val="none" w:sz="0" w:space="0" w:color="auto"/>
        <w:left w:val="none" w:sz="0" w:space="0" w:color="auto"/>
        <w:bottom w:val="none" w:sz="0" w:space="0" w:color="auto"/>
        <w:right w:val="none" w:sz="0" w:space="0" w:color="auto"/>
      </w:divBdr>
      <w:divsChild>
        <w:div w:id="1644655123">
          <w:marLeft w:val="0"/>
          <w:marRight w:val="0"/>
          <w:marTop w:val="120"/>
          <w:marBottom w:val="0"/>
          <w:divBdr>
            <w:top w:val="none" w:sz="0" w:space="0" w:color="auto"/>
            <w:left w:val="none" w:sz="0" w:space="0" w:color="auto"/>
            <w:bottom w:val="none" w:sz="0" w:space="0" w:color="auto"/>
            <w:right w:val="none" w:sz="0" w:space="0" w:color="auto"/>
          </w:divBdr>
        </w:div>
      </w:divsChild>
    </w:div>
    <w:div w:id="2038192692">
      <w:marLeft w:val="0"/>
      <w:marRight w:val="0"/>
      <w:marTop w:val="0"/>
      <w:marBottom w:val="0"/>
      <w:divBdr>
        <w:top w:val="none" w:sz="0" w:space="0" w:color="auto"/>
        <w:left w:val="none" w:sz="0" w:space="0" w:color="auto"/>
        <w:bottom w:val="none" w:sz="0" w:space="0" w:color="auto"/>
        <w:right w:val="none" w:sz="0" w:space="0" w:color="auto"/>
      </w:divBdr>
    </w:div>
    <w:div w:id="2040232385">
      <w:marLeft w:val="0"/>
      <w:marRight w:val="0"/>
      <w:marTop w:val="60"/>
      <w:marBottom w:val="0"/>
      <w:divBdr>
        <w:top w:val="none" w:sz="0" w:space="0" w:color="auto"/>
        <w:left w:val="none" w:sz="0" w:space="0" w:color="auto"/>
        <w:bottom w:val="none" w:sz="0" w:space="0" w:color="auto"/>
        <w:right w:val="none" w:sz="0" w:space="0" w:color="auto"/>
      </w:divBdr>
    </w:div>
    <w:div w:id="2041858726">
      <w:marLeft w:val="0"/>
      <w:marRight w:val="0"/>
      <w:marTop w:val="300"/>
      <w:marBottom w:val="0"/>
      <w:divBdr>
        <w:top w:val="none" w:sz="0" w:space="0" w:color="auto"/>
        <w:left w:val="none" w:sz="0" w:space="0" w:color="auto"/>
        <w:bottom w:val="none" w:sz="0" w:space="0" w:color="auto"/>
        <w:right w:val="none" w:sz="0" w:space="0" w:color="auto"/>
      </w:divBdr>
    </w:div>
    <w:div w:id="2041927655">
      <w:marLeft w:val="0"/>
      <w:marRight w:val="0"/>
      <w:marTop w:val="0"/>
      <w:marBottom w:val="0"/>
      <w:divBdr>
        <w:top w:val="none" w:sz="0" w:space="0" w:color="auto"/>
        <w:left w:val="none" w:sz="0" w:space="0" w:color="auto"/>
        <w:bottom w:val="none" w:sz="0" w:space="0" w:color="auto"/>
        <w:right w:val="none" w:sz="0" w:space="0" w:color="auto"/>
      </w:divBdr>
      <w:divsChild>
        <w:div w:id="29962777">
          <w:marLeft w:val="0"/>
          <w:marRight w:val="0"/>
          <w:marTop w:val="0"/>
          <w:marBottom w:val="0"/>
          <w:divBdr>
            <w:top w:val="none" w:sz="0" w:space="0" w:color="auto"/>
            <w:left w:val="none" w:sz="0" w:space="0" w:color="auto"/>
            <w:bottom w:val="none" w:sz="0" w:space="0" w:color="auto"/>
            <w:right w:val="none" w:sz="0" w:space="0" w:color="auto"/>
          </w:divBdr>
          <w:divsChild>
            <w:div w:id="126734930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2043742217">
      <w:marLeft w:val="0"/>
      <w:marRight w:val="0"/>
      <w:marTop w:val="200"/>
      <w:marBottom w:val="0"/>
      <w:divBdr>
        <w:top w:val="none" w:sz="0" w:space="0" w:color="auto"/>
        <w:left w:val="none" w:sz="0" w:space="0" w:color="auto"/>
        <w:bottom w:val="none" w:sz="0" w:space="0" w:color="auto"/>
        <w:right w:val="none" w:sz="0" w:space="0" w:color="auto"/>
      </w:divBdr>
    </w:div>
    <w:div w:id="2045520504">
      <w:marLeft w:val="0"/>
      <w:marRight w:val="0"/>
      <w:marTop w:val="180"/>
      <w:marBottom w:val="0"/>
      <w:divBdr>
        <w:top w:val="none" w:sz="0" w:space="0" w:color="auto"/>
        <w:left w:val="none" w:sz="0" w:space="0" w:color="auto"/>
        <w:bottom w:val="none" w:sz="0" w:space="0" w:color="auto"/>
        <w:right w:val="none" w:sz="0" w:space="0" w:color="auto"/>
      </w:divBdr>
    </w:div>
    <w:div w:id="2046099526">
      <w:marLeft w:val="0"/>
      <w:marRight w:val="0"/>
      <w:marTop w:val="180"/>
      <w:marBottom w:val="0"/>
      <w:divBdr>
        <w:top w:val="none" w:sz="0" w:space="0" w:color="auto"/>
        <w:left w:val="none" w:sz="0" w:space="0" w:color="auto"/>
        <w:bottom w:val="none" w:sz="0" w:space="0" w:color="auto"/>
        <w:right w:val="none" w:sz="0" w:space="0" w:color="auto"/>
      </w:divBdr>
    </w:div>
    <w:div w:id="2047178382">
      <w:marLeft w:val="0"/>
      <w:marRight w:val="0"/>
      <w:marTop w:val="240"/>
      <w:marBottom w:val="0"/>
      <w:divBdr>
        <w:top w:val="none" w:sz="0" w:space="0" w:color="auto"/>
        <w:left w:val="none" w:sz="0" w:space="0" w:color="auto"/>
        <w:bottom w:val="none" w:sz="0" w:space="0" w:color="auto"/>
        <w:right w:val="none" w:sz="0" w:space="0" w:color="auto"/>
      </w:divBdr>
    </w:div>
    <w:div w:id="2048025404">
      <w:marLeft w:val="0"/>
      <w:marRight w:val="0"/>
      <w:marTop w:val="240"/>
      <w:marBottom w:val="0"/>
      <w:divBdr>
        <w:top w:val="none" w:sz="0" w:space="0" w:color="auto"/>
        <w:left w:val="none" w:sz="0" w:space="0" w:color="auto"/>
        <w:bottom w:val="none" w:sz="0" w:space="0" w:color="auto"/>
        <w:right w:val="none" w:sz="0" w:space="0" w:color="auto"/>
      </w:divBdr>
    </w:div>
    <w:div w:id="2048985304">
      <w:marLeft w:val="0"/>
      <w:marRight w:val="0"/>
      <w:marTop w:val="240"/>
      <w:marBottom w:val="0"/>
      <w:divBdr>
        <w:top w:val="none" w:sz="0" w:space="0" w:color="auto"/>
        <w:left w:val="none" w:sz="0" w:space="0" w:color="auto"/>
        <w:bottom w:val="none" w:sz="0" w:space="0" w:color="auto"/>
        <w:right w:val="none" w:sz="0" w:space="0" w:color="auto"/>
      </w:divBdr>
    </w:div>
    <w:div w:id="2052882244">
      <w:marLeft w:val="0"/>
      <w:marRight w:val="0"/>
      <w:marTop w:val="0"/>
      <w:marBottom w:val="0"/>
      <w:divBdr>
        <w:top w:val="none" w:sz="0" w:space="0" w:color="auto"/>
        <w:left w:val="none" w:sz="0" w:space="0" w:color="auto"/>
        <w:bottom w:val="none" w:sz="0" w:space="0" w:color="auto"/>
        <w:right w:val="none" w:sz="0" w:space="0" w:color="auto"/>
      </w:divBdr>
    </w:div>
    <w:div w:id="2057925154">
      <w:marLeft w:val="0"/>
      <w:marRight w:val="0"/>
      <w:marTop w:val="160"/>
      <w:marBottom w:val="0"/>
      <w:divBdr>
        <w:top w:val="none" w:sz="0" w:space="0" w:color="auto"/>
        <w:left w:val="none" w:sz="0" w:space="0" w:color="auto"/>
        <w:bottom w:val="none" w:sz="0" w:space="0" w:color="auto"/>
        <w:right w:val="none" w:sz="0" w:space="0" w:color="auto"/>
      </w:divBdr>
    </w:div>
    <w:div w:id="2059820210">
      <w:marLeft w:val="0"/>
      <w:marRight w:val="0"/>
      <w:marTop w:val="300"/>
      <w:marBottom w:val="60"/>
      <w:divBdr>
        <w:top w:val="none" w:sz="0" w:space="0" w:color="auto"/>
        <w:left w:val="none" w:sz="0" w:space="0" w:color="auto"/>
        <w:bottom w:val="none" w:sz="0" w:space="0" w:color="auto"/>
        <w:right w:val="none" w:sz="0" w:space="0" w:color="auto"/>
      </w:divBdr>
    </w:div>
    <w:div w:id="2060396874">
      <w:marLeft w:val="0"/>
      <w:marRight w:val="0"/>
      <w:marTop w:val="0"/>
      <w:marBottom w:val="60"/>
      <w:divBdr>
        <w:top w:val="none" w:sz="0" w:space="0" w:color="auto"/>
        <w:left w:val="none" w:sz="0" w:space="0" w:color="auto"/>
        <w:bottom w:val="none" w:sz="0" w:space="0" w:color="auto"/>
        <w:right w:val="none" w:sz="0" w:space="0" w:color="auto"/>
      </w:divBdr>
      <w:divsChild>
        <w:div w:id="1322931156">
          <w:marLeft w:val="0"/>
          <w:marRight w:val="0"/>
          <w:marTop w:val="0"/>
          <w:marBottom w:val="0"/>
          <w:divBdr>
            <w:top w:val="none" w:sz="0" w:space="0" w:color="auto"/>
            <w:left w:val="none" w:sz="0" w:space="0" w:color="auto"/>
            <w:bottom w:val="none" w:sz="0" w:space="0" w:color="auto"/>
            <w:right w:val="none" w:sz="0" w:space="0" w:color="auto"/>
          </w:divBdr>
        </w:div>
        <w:div w:id="114833466">
          <w:marLeft w:val="0"/>
          <w:marRight w:val="0"/>
          <w:marTop w:val="0"/>
          <w:marBottom w:val="0"/>
          <w:divBdr>
            <w:top w:val="none" w:sz="0" w:space="0" w:color="auto"/>
            <w:left w:val="none" w:sz="0" w:space="0" w:color="auto"/>
            <w:bottom w:val="none" w:sz="0" w:space="0" w:color="auto"/>
            <w:right w:val="none" w:sz="0" w:space="0" w:color="auto"/>
          </w:divBdr>
        </w:div>
        <w:div w:id="521013928">
          <w:marLeft w:val="0"/>
          <w:marRight w:val="0"/>
          <w:marTop w:val="0"/>
          <w:marBottom w:val="0"/>
          <w:divBdr>
            <w:top w:val="none" w:sz="0" w:space="0" w:color="auto"/>
            <w:left w:val="none" w:sz="0" w:space="0" w:color="auto"/>
            <w:bottom w:val="none" w:sz="0" w:space="0" w:color="auto"/>
            <w:right w:val="none" w:sz="0" w:space="0" w:color="auto"/>
          </w:divBdr>
        </w:div>
      </w:divsChild>
    </w:div>
    <w:div w:id="2062702922">
      <w:marLeft w:val="0"/>
      <w:marRight w:val="0"/>
      <w:marTop w:val="240"/>
      <w:marBottom w:val="0"/>
      <w:divBdr>
        <w:top w:val="none" w:sz="0" w:space="0" w:color="auto"/>
        <w:left w:val="none" w:sz="0" w:space="0" w:color="auto"/>
        <w:bottom w:val="none" w:sz="0" w:space="0" w:color="auto"/>
        <w:right w:val="none" w:sz="0" w:space="0" w:color="auto"/>
      </w:divBdr>
    </w:div>
    <w:div w:id="2063946765">
      <w:marLeft w:val="0"/>
      <w:marRight w:val="0"/>
      <w:marTop w:val="0"/>
      <w:marBottom w:val="0"/>
      <w:divBdr>
        <w:top w:val="none" w:sz="0" w:space="0" w:color="auto"/>
        <w:left w:val="none" w:sz="0" w:space="0" w:color="auto"/>
        <w:bottom w:val="none" w:sz="0" w:space="0" w:color="auto"/>
        <w:right w:val="none" w:sz="0" w:space="0" w:color="auto"/>
      </w:divBdr>
      <w:divsChild>
        <w:div w:id="1675918401">
          <w:marLeft w:val="0"/>
          <w:marRight w:val="0"/>
          <w:marTop w:val="0"/>
          <w:marBottom w:val="0"/>
          <w:divBdr>
            <w:top w:val="none" w:sz="0" w:space="0" w:color="auto"/>
            <w:left w:val="none" w:sz="0" w:space="0" w:color="auto"/>
            <w:bottom w:val="none" w:sz="0" w:space="0" w:color="auto"/>
            <w:right w:val="none" w:sz="0" w:space="0" w:color="auto"/>
          </w:divBdr>
          <w:divsChild>
            <w:div w:id="184038939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2064668009">
      <w:marLeft w:val="0"/>
      <w:marRight w:val="0"/>
      <w:marTop w:val="240"/>
      <w:marBottom w:val="0"/>
      <w:divBdr>
        <w:top w:val="none" w:sz="0" w:space="0" w:color="auto"/>
        <w:left w:val="none" w:sz="0" w:space="0" w:color="auto"/>
        <w:bottom w:val="none" w:sz="0" w:space="0" w:color="auto"/>
        <w:right w:val="none" w:sz="0" w:space="0" w:color="auto"/>
      </w:divBdr>
    </w:div>
    <w:div w:id="2064910789">
      <w:marLeft w:val="0"/>
      <w:marRight w:val="0"/>
      <w:marTop w:val="240"/>
      <w:marBottom w:val="0"/>
      <w:divBdr>
        <w:top w:val="none" w:sz="0" w:space="0" w:color="auto"/>
        <w:left w:val="none" w:sz="0" w:space="0" w:color="auto"/>
        <w:bottom w:val="none" w:sz="0" w:space="0" w:color="auto"/>
        <w:right w:val="none" w:sz="0" w:space="0" w:color="auto"/>
      </w:divBdr>
    </w:div>
    <w:div w:id="2069263786">
      <w:marLeft w:val="0"/>
      <w:marRight w:val="0"/>
      <w:marTop w:val="0"/>
      <w:marBottom w:val="0"/>
      <w:divBdr>
        <w:top w:val="none" w:sz="0" w:space="0" w:color="auto"/>
        <w:left w:val="none" w:sz="0" w:space="0" w:color="auto"/>
        <w:bottom w:val="none" w:sz="0" w:space="0" w:color="auto"/>
        <w:right w:val="none" w:sz="0" w:space="0" w:color="auto"/>
      </w:divBdr>
      <w:divsChild>
        <w:div w:id="337774382">
          <w:marLeft w:val="0"/>
          <w:marRight w:val="0"/>
          <w:marTop w:val="0"/>
          <w:marBottom w:val="0"/>
          <w:divBdr>
            <w:top w:val="none" w:sz="0" w:space="0" w:color="auto"/>
            <w:left w:val="none" w:sz="0" w:space="0" w:color="auto"/>
            <w:bottom w:val="none" w:sz="0" w:space="0" w:color="auto"/>
            <w:right w:val="none" w:sz="0" w:space="0" w:color="auto"/>
          </w:divBdr>
        </w:div>
      </w:divsChild>
    </w:div>
    <w:div w:id="2070951968">
      <w:marLeft w:val="0"/>
      <w:marRight w:val="0"/>
      <w:marTop w:val="0"/>
      <w:marBottom w:val="0"/>
      <w:divBdr>
        <w:top w:val="none" w:sz="0" w:space="0" w:color="auto"/>
        <w:left w:val="none" w:sz="0" w:space="0" w:color="auto"/>
        <w:bottom w:val="none" w:sz="0" w:space="0" w:color="auto"/>
        <w:right w:val="none" w:sz="0" w:space="0" w:color="auto"/>
      </w:divBdr>
      <w:divsChild>
        <w:div w:id="1142039331">
          <w:marLeft w:val="0"/>
          <w:marRight w:val="0"/>
          <w:marTop w:val="0"/>
          <w:marBottom w:val="0"/>
          <w:divBdr>
            <w:top w:val="none" w:sz="0" w:space="0" w:color="auto"/>
            <w:left w:val="none" w:sz="0" w:space="0" w:color="auto"/>
            <w:bottom w:val="none" w:sz="0" w:space="0" w:color="auto"/>
            <w:right w:val="none" w:sz="0" w:space="0" w:color="auto"/>
          </w:divBdr>
          <w:divsChild>
            <w:div w:id="86791004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2071148860">
      <w:marLeft w:val="0"/>
      <w:marRight w:val="0"/>
      <w:marTop w:val="240"/>
      <w:marBottom w:val="0"/>
      <w:divBdr>
        <w:top w:val="none" w:sz="0" w:space="0" w:color="auto"/>
        <w:left w:val="none" w:sz="0" w:space="0" w:color="auto"/>
        <w:bottom w:val="none" w:sz="0" w:space="0" w:color="auto"/>
        <w:right w:val="none" w:sz="0" w:space="0" w:color="auto"/>
      </w:divBdr>
    </w:div>
    <w:div w:id="2076005487">
      <w:marLeft w:val="0"/>
      <w:marRight w:val="0"/>
      <w:marTop w:val="240"/>
      <w:marBottom w:val="0"/>
      <w:divBdr>
        <w:top w:val="none" w:sz="0" w:space="0" w:color="auto"/>
        <w:left w:val="none" w:sz="0" w:space="0" w:color="auto"/>
        <w:bottom w:val="none" w:sz="0" w:space="0" w:color="auto"/>
        <w:right w:val="none" w:sz="0" w:space="0" w:color="auto"/>
      </w:divBdr>
    </w:div>
    <w:div w:id="2076470296">
      <w:marLeft w:val="0"/>
      <w:marRight w:val="0"/>
      <w:marTop w:val="240"/>
      <w:marBottom w:val="0"/>
      <w:divBdr>
        <w:top w:val="none" w:sz="0" w:space="0" w:color="auto"/>
        <w:left w:val="none" w:sz="0" w:space="0" w:color="auto"/>
        <w:bottom w:val="none" w:sz="0" w:space="0" w:color="auto"/>
        <w:right w:val="none" w:sz="0" w:space="0" w:color="auto"/>
      </w:divBdr>
    </w:div>
    <w:div w:id="2076855732">
      <w:marLeft w:val="0"/>
      <w:marRight w:val="0"/>
      <w:marTop w:val="240"/>
      <w:marBottom w:val="0"/>
      <w:divBdr>
        <w:top w:val="none" w:sz="0" w:space="0" w:color="auto"/>
        <w:left w:val="none" w:sz="0" w:space="0" w:color="auto"/>
        <w:bottom w:val="none" w:sz="0" w:space="0" w:color="auto"/>
        <w:right w:val="none" w:sz="0" w:space="0" w:color="auto"/>
      </w:divBdr>
    </w:div>
    <w:div w:id="2078436793">
      <w:marLeft w:val="0"/>
      <w:marRight w:val="0"/>
      <w:marTop w:val="240"/>
      <w:marBottom w:val="240"/>
      <w:divBdr>
        <w:top w:val="none" w:sz="0" w:space="0" w:color="auto"/>
        <w:left w:val="none" w:sz="0" w:space="0" w:color="auto"/>
        <w:bottom w:val="none" w:sz="0" w:space="0" w:color="auto"/>
        <w:right w:val="none" w:sz="0" w:space="0" w:color="auto"/>
      </w:divBdr>
    </w:div>
    <w:div w:id="2078938883">
      <w:marLeft w:val="0"/>
      <w:marRight w:val="0"/>
      <w:marTop w:val="120"/>
      <w:marBottom w:val="0"/>
      <w:divBdr>
        <w:top w:val="none" w:sz="0" w:space="0" w:color="auto"/>
        <w:left w:val="none" w:sz="0" w:space="0" w:color="auto"/>
        <w:bottom w:val="none" w:sz="0" w:space="0" w:color="auto"/>
        <w:right w:val="none" w:sz="0" w:space="0" w:color="auto"/>
      </w:divBdr>
    </w:div>
    <w:div w:id="2080011973">
      <w:marLeft w:val="0"/>
      <w:marRight w:val="0"/>
      <w:marTop w:val="200"/>
      <w:marBottom w:val="0"/>
      <w:divBdr>
        <w:top w:val="none" w:sz="0" w:space="0" w:color="auto"/>
        <w:left w:val="none" w:sz="0" w:space="0" w:color="auto"/>
        <w:bottom w:val="none" w:sz="0" w:space="0" w:color="auto"/>
        <w:right w:val="none" w:sz="0" w:space="0" w:color="auto"/>
      </w:divBdr>
    </w:div>
    <w:div w:id="2081294199">
      <w:marLeft w:val="0"/>
      <w:marRight w:val="0"/>
      <w:marTop w:val="240"/>
      <w:marBottom w:val="0"/>
      <w:divBdr>
        <w:top w:val="none" w:sz="0" w:space="0" w:color="auto"/>
        <w:left w:val="none" w:sz="0" w:space="0" w:color="auto"/>
        <w:bottom w:val="none" w:sz="0" w:space="0" w:color="auto"/>
        <w:right w:val="none" w:sz="0" w:space="0" w:color="auto"/>
      </w:divBdr>
    </w:div>
    <w:div w:id="2083526927">
      <w:marLeft w:val="0"/>
      <w:marRight w:val="0"/>
      <w:marTop w:val="240"/>
      <w:marBottom w:val="0"/>
      <w:divBdr>
        <w:top w:val="none" w:sz="0" w:space="0" w:color="auto"/>
        <w:left w:val="none" w:sz="0" w:space="0" w:color="auto"/>
        <w:bottom w:val="none" w:sz="0" w:space="0" w:color="auto"/>
        <w:right w:val="none" w:sz="0" w:space="0" w:color="auto"/>
      </w:divBdr>
    </w:div>
    <w:div w:id="2083717234">
      <w:marLeft w:val="0"/>
      <w:marRight w:val="0"/>
      <w:marTop w:val="0"/>
      <w:marBottom w:val="0"/>
      <w:divBdr>
        <w:top w:val="none" w:sz="0" w:space="0" w:color="auto"/>
        <w:left w:val="none" w:sz="0" w:space="0" w:color="auto"/>
        <w:bottom w:val="none" w:sz="0" w:space="0" w:color="auto"/>
        <w:right w:val="none" w:sz="0" w:space="0" w:color="auto"/>
      </w:divBdr>
      <w:divsChild>
        <w:div w:id="1712613500">
          <w:marLeft w:val="0"/>
          <w:marRight w:val="0"/>
          <w:marTop w:val="0"/>
          <w:marBottom w:val="0"/>
          <w:divBdr>
            <w:top w:val="none" w:sz="0" w:space="0" w:color="auto"/>
            <w:left w:val="none" w:sz="0" w:space="0" w:color="auto"/>
            <w:bottom w:val="none" w:sz="0" w:space="0" w:color="auto"/>
            <w:right w:val="none" w:sz="0" w:space="0" w:color="auto"/>
          </w:divBdr>
          <w:divsChild>
            <w:div w:id="85322547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2084403964">
      <w:marLeft w:val="0"/>
      <w:marRight w:val="0"/>
      <w:marTop w:val="0"/>
      <w:marBottom w:val="60"/>
      <w:divBdr>
        <w:top w:val="none" w:sz="0" w:space="0" w:color="auto"/>
        <w:left w:val="none" w:sz="0" w:space="0" w:color="auto"/>
        <w:bottom w:val="none" w:sz="0" w:space="0" w:color="auto"/>
        <w:right w:val="none" w:sz="0" w:space="0" w:color="auto"/>
      </w:divBdr>
    </w:div>
    <w:div w:id="2086874912">
      <w:marLeft w:val="0"/>
      <w:marRight w:val="0"/>
      <w:marTop w:val="240"/>
      <w:marBottom w:val="240"/>
      <w:divBdr>
        <w:top w:val="none" w:sz="0" w:space="0" w:color="auto"/>
        <w:left w:val="none" w:sz="0" w:space="0" w:color="auto"/>
        <w:bottom w:val="none" w:sz="0" w:space="0" w:color="auto"/>
        <w:right w:val="none" w:sz="0" w:space="0" w:color="auto"/>
      </w:divBdr>
    </w:div>
    <w:div w:id="2092922514">
      <w:marLeft w:val="0"/>
      <w:marRight w:val="0"/>
      <w:marTop w:val="120"/>
      <w:marBottom w:val="0"/>
      <w:divBdr>
        <w:top w:val="none" w:sz="0" w:space="0" w:color="auto"/>
        <w:left w:val="none" w:sz="0" w:space="0" w:color="auto"/>
        <w:bottom w:val="none" w:sz="0" w:space="0" w:color="auto"/>
        <w:right w:val="none" w:sz="0" w:space="0" w:color="auto"/>
      </w:divBdr>
    </w:div>
    <w:div w:id="2094279432">
      <w:marLeft w:val="0"/>
      <w:marRight w:val="0"/>
      <w:marTop w:val="0"/>
      <w:marBottom w:val="0"/>
      <w:divBdr>
        <w:top w:val="none" w:sz="0" w:space="0" w:color="auto"/>
        <w:left w:val="none" w:sz="0" w:space="0" w:color="auto"/>
        <w:bottom w:val="none" w:sz="0" w:space="0" w:color="auto"/>
        <w:right w:val="none" w:sz="0" w:space="0" w:color="auto"/>
      </w:divBdr>
      <w:divsChild>
        <w:div w:id="372728755">
          <w:marLeft w:val="0"/>
          <w:marRight w:val="0"/>
          <w:marTop w:val="120"/>
          <w:marBottom w:val="0"/>
          <w:divBdr>
            <w:top w:val="none" w:sz="0" w:space="0" w:color="auto"/>
            <w:left w:val="none" w:sz="0" w:space="0" w:color="auto"/>
            <w:bottom w:val="none" w:sz="0" w:space="0" w:color="auto"/>
            <w:right w:val="none" w:sz="0" w:space="0" w:color="auto"/>
          </w:divBdr>
        </w:div>
      </w:divsChild>
    </w:div>
    <w:div w:id="2098138904">
      <w:marLeft w:val="0"/>
      <w:marRight w:val="0"/>
      <w:marTop w:val="240"/>
      <w:marBottom w:val="0"/>
      <w:divBdr>
        <w:top w:val="none" w:sz="0" w:space="0" w:color="auto"/>
        <w:left w:val="none" w:sz="0" w:space="0" w:color="auto"/>
        <w:bottom w:val="none" w:sz="0" w:space="0" w:color="auto"/>
        <w:right w:val="none" w:sz="0" w:space="0" w:color="auto"/>
      </w:divBdr>
    </w:div>
    <w:div w:id="2098161936">
      <w:marLeft w:val="0"/>
      <w:marRight w:val="0"/>
      <w:marTop w:val="240"/>
      <w:marBottom w:val="0"/>
      <w:divBdr>
        <w:top w:val="none" w:sz="0" w:space="0" w:color="auto"/>
        <w:left w:val="none" w:sz="0" w:space="0" w:color="auto"/>
        <w:bottom w:val="none" w:sz="0" w:space="0" w:color="auto"/>
        <w:right w:val="none" w:sz="0" w:space="0" w:color="auto"/>
      </w:divBdr>
    </w:div>
    <w:div w:id="2103606031">
      <w:marLeft w:val="0"/>
      <w:marRight w:val="0"/>
      <w:marTop w:val="200"/>
      <w:marBottom w:val="0"/>
      <w:divBdr>
        <w:top w:val="none" w:sz="0" w:space="0" w:color="auto"/>
        <w:left w:val="none" w:sz="0" w:space="0" w:color="auto"/>
        <w:bottom w:val="none" w:sz="0" w:space="0" w:color="auto"/>
        <w:right w:val="none" w:sz="0" w:space="0" w:color="auto"/>
      </w:divBdr>
    </w:div>
    <w:div w:id="2104371573">
      <w:marLeft w:val="0"/>
      <w:marRight w:val="0"/>
      <w:marTop w:val="240"/>
      <w:marBottom w:val="0"/>
      <w:divBdr>
        <w:top w:val="none" w:sz="0" w:space="0" w:color="auto"/>
        <w:left w:val="none" w:sz="0" w:space="0" w:color="auto"/>
        <w:bottom w:val="none" w:sz="0" w:space="0" w:color="auto"/>
        <w:right w:val="none" w:sz="0" w:space="0" w:color="auto"/>
      </w:divBdr>
    </w:div>
    <w:div w:id="2105027320">
      <w:marLeft w:val="0"/>
      <w:marRight w:val="0"/>
      <w:marTop w:val="200"/>
      <w:marBottom w:val="0"/>
      <w:divBdr>
        <w:top w:val="none" w:sz="0" w:space="0" w:color="auto"/>
        <w:left w:val="none" w:sz="0" w:space="0" w:color="auto"/>
        <w:bottom w:val="none" w:sz="0" w:space="0" w:color="auto"/>
        <w:right w:val="none" w:sz="0" w:space="0" w:color="auto"/>
      </w:divBdr>
    </w:div>
    <w:div w:id="2107925155">
      <w:marLeft w:val="0"/>
      <w:marRight w:val="0"/>
      <w:marTop w:val="0"/>
      <w:marBottom w:val="0"/>
      <w:divBdr>
        <w:top w:val="none" w:sz="0" w:space="0" w:color="auto"/>
        <w:left w:val="none" w:sz="0" w:space="0" w:color="auto"/>
        <w:bottom w:val="none" w:sz="0" w:space="0" w:color="auto"/>
        <w:right w:val="none" w:sz="0" w:space="0" w:color="auto"/>
      </w:divBdr>
      <w:divsChild>
        <w:div w:id="1768771689">
          <w:marLeft w:val="0"/>
          <w:marRight w:val="0"/>
          <w:marTop w:val="0"/>
          <w:marBottom w:val="0"/>
          <w:divBdr>
            <w:top w:val="none" w:sz="0" w:space="0" w:color="auto"/>
            <w:left w:val="none" w:sz="0" w:space="0" w:color="auto"/>
            <w:bottom w:val="none" w:sz="0" w:space="0" w:color="auto"/>
            <w:right w:val="none" w:sz="0" w:space="0" w:color="auto"/>
          </w:divBdr>
          <w:divsChild>
            <w:div w:id="60281014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2109080585">
      <w:marLeft w:val="0"/>
      <w:marRight w:val="0"/>
      <w:marTop w:val="240"/>
      <w:marBottom w:val="0"/>
      <w:divBdr>
        <w:top w:val="none" w:sz="0" w:space="0" w:color="auto"/>
        <w:left w:val="none" w:sz="0" w:space="0" w:color="auto"/>
        <w:bottom w:val="none" w:sz="0" w:space="0" w:color="auto"/>
        <w:right w:val="none" w:sz="0" w:space="0" w:color="auto"/>
      </w:divBdr>
    </w:div>
    <w:div w:id="2109348681">
      <w:marLeft w:val="0"/>
      <w:marRight w:val="0"/>
      <w:marTop w:val="240"/>
      <w:marBottom w:val="0"/>
      <w:divBdr>
        <w:top w:val="none" w:sz="0" w:space="0" w:color="auto"/>
        <w:left w:val="none" w:sz="0" w:space="0" w:color="auto"/>
        <w:bottom w:val="none" w:sz="0" w:space="0" w:color="auto"/>
        <w:right w:val="none" w:sz="0" w:space="0" w:color="auto"/>
      </w:divBdr>
    </w:div>
    <w:div w:id="2110661138">
      <w:marLeft w:val="0"/>
      <w:marRight w:val="0"/>
      <w:marTop w:val="140"/>
      <w:marBottom w:val="0"/>
      <w:divBdr>
        <w:top w:val="none" w:sz="0" w:space="0" w:color="auto"/>
        <w:left w:val="none" w:sz="0" w:space="0" w:color="auto"/>
        <w:bottom w:val="none" w:sz="0" w:space="0" w:color="auto"/>
        <w:right w:val="none" w:sz="0" w:space="0" w:color="auto"/>
      </w:divBdr>
    </w:div>
    <w:div w:id="2111392663">
      <w:marLeft w:val="0"/>
      <w:marRight w:val="0"/>
      <w:marTop w:val="200"/>
      <w:marBottom w:val="0"/>
      <w:divBdr>
        <w:top w:val="none" w:sz="0" w:space="0" w:color="auto"/>
        <w:left w:val="none" w:sz="0" w:space="0" w:color="auto"/>
        <w:bottom w:val="none" w:sz="0" w:space="0" w:color="auto"/>
        <w:right w:val="none" w:sz="0" w:space="0" w:color="auto"/>
      </w:divBdr>
    </w:div>
    <w:div w:id="2112777226">
      <w:marLeft w:val="0"/>
      <w:marRight w:val="0"/>
      <w:marTop w:val="0"/>
      <w:marBottom w:val="0"/>
      <w:divBdr>
        <w:top w:val="none" w:sz="0" w:space="0" w:color="auto"/>
        <w:left w:val="none" w:sz="0" w:space="0" w:color="auto"/>
        <w:bottom w:val="none" w:sz="0" w:space="0" w:color="auto"/>
        <w:right w:val="none" w:sz="0" w:space="0" w:color="auto"/>
      </w:divBdr>
    </w:div>
    <w:div w:id="2116902274">
      <w:marLeft w:val="0"/>
      <w:marRight w:val="0"/>
      <w:marTop w:val="240"/>
      <w:marBottom w:val="0"/>
      <w:divBdr>
        <w:top w:val="none" w:sz="0" w:space="0" w:color="auto"/>
        <w:left w:val="none" w:sz="0" w:space="0" w:color="auto"/>
        <w:bottom w:val="none" w:sz="0" w:space="0" w:color="auto"/>
        <w:right w:val="none" w:sz="0" w:space="0" w:color="auto"/>
      </w:divBdr>
    </w:div>
    <w:div w:id="2117823955">
      <w:marLeft w:val="0"/>
      <w:marRight w:val="0"/>
      <w:marTop w:val="200"/>
      <w:marBottom w:val="0"/>
      <w:divBdr>
        <w:top w:val="none" w:sz="0" w:space="0" w:color="auto"/>
        <w:left w:val="none" w:sz="0" w:space="0" w:color="auto"/>
        <w:bottom w:val="none" w:sz="0" w:space="0" w:color="auto"/>
        <w:right w:val="none" w:sz="0" w:space="0" w:color="auto"/>
      </w:divBdr>
    </w:div>
    <w:div w:id="2118863244">
      <w:marLeft w:val="0"/>
      <w:marRight w:val="0"/>
      <w:marTop w:val="60"/>
      <w:marBottom w:val="0"/>
      <w:divBdr>
        <w:top w:val="none" w:sz="0" w:space="0" w:color="auto"/>
        <w:left w:val="none" w:sz="0" w:space="0" w:color="auto"/>
        <w:bottom w:val="none" w:sz="0" w:space="0" w:color="auto"/>
        <w:right w:val="none" w:sz="0" w:space="0" w:color="auto"/>
      </w:divBdr>
    </w:div>
    <w:div w:id="2119373808">
      <w:marLeft w:val="0"/>
      <w:marRight w:val="0"/>
      <w:marTop w:val="100"/>
      <w:marBottom w:val="0"/>
      <w:divBdr>
        <w:top w:val="none" w:sz="0" w:space="0" w:color="auto"/>
        <w:left w:val="none" w:sz="0" w:space="0" w:color="auto"/>
        <w:bottom w:val="none" w:sz="0" w:space="0" w:color="auto"/>
        <w:right w:val="none" w:sz="0" w:space="0" w:color="auto"/>
      </w:divBdr>
    </w:div>
    <w:div w:id="2120877678">
      <w:marLeft w:val="0"/>
      <w:marRight w:val="0"/>
      <w:marTop w:val="240"/>
      <w:marBottom w:val="0"/>
      <w:divBdr>
        <w:top w:val="none" w:sz="0" w:space="0" w:color="auto"/>
        <w:left w:val="none" w:sz="0" w:space="0" w:color="auto"/>
        <w:bottom w:val="none" w:sz="0" w:space="0" w:color="auto"/>
        <w:right w:val="none" w:sz="0" w:space="0" w:color="auto"/>
      </w:divBdr>
    </w:div>
    <w:div w:id="2123374155">
      <w:marLeft w:val="0"/>
      <w:marRight w:val="0"/>
      <w:marTop w:val="240"/>
      <w:marBottom w:val="0"/>
      <w:divBdr>
        <w:top w:val="none" w:sz="0" w:space="0" w:color="auto"/>
        <w:left w:val="none" w:sz="0" w:space="0" w:color="auto"/>
        <w:bottom w:val="none" w:sz="0" w:space="0" w:color="auto"/>
        <w:right w:val="none" w:sz="0" w:space="0" w:color="auto"/>
      </w:divBdr>
    </w:div>
    <w:div w:id="2128234826">
      <w:marLeft w:val="0"/>
      <w:marRight w:val="0"/>
      <w:marTop w:val="0"/>
      <w:marBottom w:val="0"/>
      <w:divBdr>
        <w:top w:val="none" w:sz="0" w:space="0" w:color="auto"/>
        <w:left w:val="none" w:sz="0" w:space="0" w:color="auto"/>
        <w:bottom w:val="none" w:sz="0" w:space="0" w:color="auto"/>
        <w:right w:val="none" w:sz="0" w:space="0" w:color="auto"/>
      </w:divBdr>
    </w:div>
    <w:div w:id="2128548454">
      <w:marLeft w:val="0"/>
      <w:marRight w:val="0"/>
      <w:marTop w:val="200"/>
      <w:marBottom w:val="0"/>
      <w:divBdr>
        <w:top w:val="none" w:sz="0" w:space="0" w:color="auto"/>
        <w:left w:val="none" w:sz="0" w:space="0" w:color="auto"/>
        <w:bottom w:val="none" w:sz="0" w:space="0" w:color="auto"/>
        <w:right w:val="none" w:sz="0" w:space="0" w:color="auto"/>
      </w:divBdr>
    </w:div>
    <w:div w:id="2130930468">
      <w:marLeft w:val="0"/>
      <w:marRight w:val="0"/>
      <w:marTop w:val="180"/>
      <w:marBottom w:val="0"/>
      <w:divBdr>
        <w:top w:val="none" w:sz="0" w:space="0" w:color="auto"/>
        <w:left w:val="none" w:sz="0" w:space="0" w:color="auto"/>
        <w:bottom w:val="none" w:sz="0" w:space="0" w:color="auto"/>
        <w:right w:val="none" w:sz="0" w:space="0" w:color="auto"/>
      </w:divBdr>
      <w:divsChild>
        <w:div w:id="1167674983">
          <w:marLeft w:val="0"/>
          <w:marRight w:val="0"/>
          <w:marTop w:val="0"/>
          <w:marBottom w:val="0"/>
          <w:divBdr>
            <w:top w:val="none" w:sz="0" w:space="0" w:color="auto"/>
            <w:left w:val="none" w:sz="0" w:space="0" w:color="auto"/>
            <w:bottom w:val="none" w:sz="0" w:space="0" w:color="auto"/>
            <w:right w:val="none" w:sz="0" w:space="0" w:color="auto"/>
          </w:divBdr>
        </w:div>
        <w:div w:id="1807434627">
          <w:marLeft w:val="0"/>
          <w:marRight w:val="0"/>
          <w:marTop w:val="0"/>
          <w:marBottom w:val="0"/>
          <w:divBdr>
            <w:top w:val="none" w:sz="0" w:space="0" w:color="auto"/>
            <w:left w:val="none" w:sz="0" w:space="0" w:color="auto"/>
            <w:bottom w:val="none" w:sz="0" w:space="0" w:color="auto"/>
            <w:right w:val="none" w:sz="0" w:space="0" w:color="auto"/>
          </w:divBdr>
        </w:div>
      </w:divsChild>
    </w:div>
    <w:div w:id="2131781507">
      <w:marLeft w:val="0"/>
      <w:marRight w:val="0"/>
      <w:marTop w:val="180"/>
      <w:marBottom w:val="0"/>
      <w:divBdr>
        <w:top w:val="none" w:sz="0" w:space="0" w:color="auto"/>
        <w:left w:val="none" w:sz="0" w:space="0" w:color="auto"/>
        <w:bottom w:val="none" w:sz="0" w:space="0" w:color="auto"/>
        <w:right w:val="none" w:sz="0" w:space="0" w:color="auto"/>
      </w:divBdr>
    </w:div>
    <w:div w:id="2133012435">
      <w:marLeft w:val="0"/>
      <w:marRight w:val="0"/>
      <w:marTop w:val="60"/>
      <w:marBottom w:val="0"/>
      <w:divBdr>
        <w:top w:val="none" w:sz="0" w:space="0" w:color="auto"/>
        <w:left w:val="none" w:sz="0" w:space="0" w:color="auto"/>
        <w:bottom w:val="none" w:sz="0" w:space="0" w:color="auto"/>
        <w:right w:val="none" w:sz="0" w:space="0" w:color="auto"/>
      </w:divBdr>
    </w:div>
    <w:div w:id="2136026319">
      <w:marLeft w:val="0"/>
      <w:marRight w:val="0"/>
      <w:marTop w:val="200"/>
      <w:marBottom w:val="0"/>
      <w:divBdr>
        <w:top w:val="none" w:sz="0" w:space="0" w:color="auto"/>
        <w:left w:val="none" w:sz="0" w:space="0" w:color="auto"/>
        <w:bottom w:val="none" w:sz="0" w:space="0" w:color="auto"/>
        <w:right w:val="none" w:sz="0" w:space="0" w:color="auto"/>
      </w:divBdr>
    </w:div>
    <w:div w:id="2142455955">
      <w:marLeft w:val="0"/>
      <w:marRight w:val="0"/>
      <w:marTop w:val="240"/>
      <w:marBottom w:val="0"/>
      <w:divBdr>
        <w:top w:val="none" w:sz="0" w:space="0" w:color="auto"/>
        <w:left w:val="none" w:sz="0" w:space="0" w:color="auto"/>
        <w:bottom w:val="none" w:sz="0" w:space="0" w:color="auto"/>
        <w:right w:val="none" w:sz="0" w:space="0" w:color="auto"/>
      </w:divBdr>
    </w:div>
    <w:div w:id="2144077521">
      <w:marLeft w:val="0"/>
      <w:marRight w:val="0"/>
      <w:marTop w:val="0"/>
      <w:marBottom w:val="0"/>
      <w:divBdr>
        <w:top w:val="none" w:sz="0" w:space="0" w:color="auto"/>
        <w:left w:val="none" w:sz="0" w:space="0" w:color="auto"/>
        <w:bottom w:val="none" w:sz="0" w:space="0" w:color="auto"/>
        <w:right w:val="none" w:sz="0" w:space="0" w:color="auto"/>
      </w:divBdr>
    </w:div>
    <w:div w:id="2144806562">
      <w:marLeft w:val="0"/>
      <w:marRight w:val="0"/>
      <w:marTop w:val="240"/>
      <w:marBottom w:val="0"/>
      <w:divBdr>
        <w:top w:val="none" w:sz="0" w:space="0" w:color="auto"/>
        <w:left w:val="none" w:sz="0" w:space="0" w:color="auto"/>
        <w:bottom w:val="none" w:sz="0" w:space="0" w:color="auto"/>
        <w:right w:val="none" w:sz="0" w:space="0" w:color="auto"/>
      </w:divBdr>
    </w:div>
    <w:div w:id="2144883769">
      <w:marLeft w:val="0"/>
      <w:marRight w:val="0"/>
      <w:marTop w:val="240"/>
      <w:marBottom w:val="0"/>
      <w:divBdr>
        <w:top w:val="none" w:sz="0" w:space="0" w:color="auto"/>
        <w:left w:val="none" w:sz="0" w:space="0" w:color="auto"/>
        <w:bottom w:val="none" w:sz="0" w:space="0" w:color="auto"/>
        <w:right w:val="none" w:sz="0" w:space="0" w:color="auto"/>
      </w:divBdr>
    </w:div>
    <w:div w:id="2147161213">
      <w:marLeft w:val="0"/>
      <w:marRight w:val="0"/>
      <w:marTop w:val="20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c.gov/Archives/edgar/data/1037038/000095012305008114/y10404exv10w15.htm" TargetMode="External"/><Relationship Id="rId21" Type="http://schemas.openxmlformats.org/officeDocument/2006/relationships/hyperlink" Target="http://www.sec.gov/Archives/edgar/data/1037038/000103703821000029/rl-20210626x10qex102.htm" TargetMode="External"/><Relationship Id="rId42" Type="http://schemas.openxmlformats.org/officeDocument/2006/relationships/hyperlink" Target="http://www.sec.gov/Archives/edgar/data/1037038/000103703817000010/rl-20170930x10qex102.htm" TargetMode="External"/><Relationship Id="rId47" Type="http://schemas.openxmlformats.org/officeDocument/2006/relationships/hyperlink" Target="http://www.sec.gov/Archives/edgar/data/1037038/000103703819000008/rl-20190629x10qex102.htm" TargetMode="External"/><Relationship Id="rId63" Type="http://schemas.openxmlformats.org/officeDocument/2006/relationships/hyperlink" Target="http://www.sec.gov/Archives/edgar/data/1037038/000103703822000007/rl-20211225x10qex101.htm" TargetMode="External"/><Relationship Id="rId68" Type="http://schemas.openxmlformats.org/officeDocument/2006/relationships/hyperlink" Target="http://www.sec.gov/Archives/edgar/data/1037038/000103703822000007/rl-20211225x10qex101.htm" TargetMode="External"/><Relationship Id="rId84" Type="http://schemas.openxmlformats.org/officeDocument/2006/relationships/hyperlink" Target="rl-20220402x10kex312.htm" TargetMode="External"/><Relationship Id="rId16" Type="http://schemas.openxmlformats.org/officeDocument/2006/relationships/hyperlink" Target="http://www.sec.gov/Archives/edgar/data/1037038/000103703820000023/rl-20200627x10qex101.htm" TargetMode="External"/><Relationship Id="rId11" Type="http://schemas.openxmlformats.org/officeDocument/2006/relationships/hyperlink" Target="http://www.sec.gov/Archives/edgar/data/0001037038/000119312520159787/d903486dex42.htm" TargetMode="External"/><Relationship Id="rId32" Type="http://schemas.openxmlformats.org/officeDocument/2006/relationships/hyperlink" Target="http://www.sec.gov/Archives/edgar/data/1037038/000103703816000022/rl-20160702x10qex104.htm" TargetMode="External"/><Relationship Id="rId37" Type="http://schemas.openxmlformats.org/officeDocument/2006/relationships/hyperlink" Target="http://www.sec.gov/Archives/edgar/data/1037038/000103703814000006/rl-20140329x10kex1028.htm" TargetMode="External"/><Relationship Id="rId53" Type="http://schemas.openxmlformats.org/officeDocument/2006/relationships/hyperlink" Target="rl-20220402x10kex1039.htm" TargetMode="External"/><Relationship Id="rId58" Type="http://schemas.openxmlformats.org/officeDocument/2006/relationships/hyperlink" Target="http://www.sec.gov/Archives/edgar/data/1037038/000103703821000037/rl-20210925x10qex102.htm" TargetMode="External"/><Relationship Id="rId74" Type="http://schemas.openxmlformats.org/officeDocument/2006/relationships/hyperlink" Target="http://www.sec.gov/Archives/edgar/data/1037038/000103703822000007/rl-20211225x10qex101.htm" TargetMode="External"/><Relationship Id="rId79" Type="http://schemas.openxmlformats.org/officeDocument/2006/relationships/hyperlink" Target="http://www.sec.gov/Archives/edgar/data/1037038/000095012303007248/y87538exv14w1.txt" TargetMode="External"/><Relationship Id="rId5" Type="http://schemas.openxmlformats.org/officeDocument/2006/relationships/image" Target="file:///E:\projects\LLMs\new_data_collection\data_new\htm\RALPH%20LAUREN%20CORP\rl-20220402_g2.jpg" TargetMode="External"/><Relationship Id="rId19" Type="http://schemas.openxmlformats.org/officeDocument/2006/relationships/hyperlink" Target="http://www.sec.gov/Archives/edgar/data/1037038/000103703817000008/rl-20170701x10qex101.htm" TargetMode="External"/><Relationship Id="rId14" Type="http://schemas.openxmlformats.org/officeDocument/2006/relationships/hyperlink" Target="http://www.sec.gov/Archives/edgar/data/1037038/0000950123-97-004911.txt" TargetMode="External"/><Relationship Id="rId22" Type="http://schemas.openxmlformats.org/officeDocument/2006/relationships/hyperlink" Target="http://www.sec.gov/Archives/edgar/data/1037038/000103703821000029/rl-20210626x10qex102.htm" TargetMode="External"/><Relationship Id="rId27" Type="http://schemas.openxmlformats.org/officeDocument/2006/relationships/hyperlink" Target="http://www.sec.gov/Archives/edgar/data/1037038/000103703817000008/rl-20170701x10qex102.htm" TargetMode="External"/><Relationship Id="rId30" Type="http://schemas.openxmlformats.org/officeDocument/2006/relationships/hyperlink" Target="http://www.sec.gov/Archives/edgar/data/1037038/000095012306010353/y23830exv10w4.htm" TargetMode="External"/><Relationship Id="rId35" Type="http://schemas.openxmlformats.org/officeDocument/2006/relationships/hyperlink" Target="http://www.sec.gov/Archives/edgar/data/1037038/000103703814000006/rl-20140329x10kex1026.htm" TargetMode="External"/><Relationship Id="rId43" Type="http://schemas.openxmlformats.org/officeDocument/2006/relationships/hyperlink" Target="http://www.sec.gov/Archives/edgar/data/1037038/000103703817000010/rl-20170930x10qex103.htm" TargetMode="External"/><Relationship Id="rId48" Type="http://schemas.openxmlformats.org/officeDocument/2006/relationships/hyperlink" Target="http://www.sec.gov/Archives/edgar/data/1037038/000103703819000008/rl-20190629x10qex103.htm" TargetMode="External"/><Relationship Id="rId56" Type="http://schemas.openxmlformats.org/officeDocument/2006/relationships/hyperlink" Target="http://www.sec.gov/Archives/edgar/data/1037038/000095012306001404/y17243exv10w1.htm" TargetMode="External"/><Relationship Id="rId64" Type="http://schemas.openxmlformats.org/officeDocument/2006/relationships/hyperlink" Target="http://www.sec.gov/Archives/edgar/data/1037038/000103703822000007/rl-20211225x10qex101.htm" TargetMode="External"/><Relationship Id="rId69" Type="http://schemas.openxmlformats.org/officeDocument/2006/relationships/hyperlink" Target="http://www.sec.gov/Archives/edgar/data/1037038/000103703822000007/rl-20211225x10qex101.htm" TargetMode="External"/><Relationship Id="rId77" Type="http://schemas.openxmlformats.org/officeDocument/2006/relationships/hyperlink" Target="http://www.sec.gov/Archives/edgar/data/1037038/000103703822000007/rl-20211225x10qex101.htm" TargetMode="External"/><Relationship Id="rId8" Type="http://schemas.openxmlformats.org/officeDocument/2006/relationships/hyperlink" Target="http://www.sec.gov/Archives/edgar/data/1037038/000103703817000008/rl-20170701x10qex33.htm" TargetMode="External"/><Relationship Id="rId51" Type="http://schemas.openxmlformats.org/officeDocument/2006/relationships/hyperlink" Target="http://www.sec.gov/Archives/edgar/data/1037038/000103703819000010/rl-20190928x10qex103.htm" TargetMode="External"/><Relationship Id="rId72" Type="http://schemas.openxmlformats.org/officeDocument/2006/relationships/hyperlink" Target="http://www.sec.gov/Archives/edgar/data/1037038/000103703822000007/rl-20211225x10qex101.htm" TargetMode="External"/><Relationship Id="rId80" Type="http://schemas.openxmlformats.org/officeDocument/2006/relationships/hyperlink" Target="http://www.sec.gov/Archives/edgar/data/1037038/000103703815000009/rl-20150627x10qex141.htm" TargetMode="External"/><Relationship Id="rId85" Type="http://schemas.openxmlformats.org/officeDocument/2006/relationships/hyperlink" Target="rl-20220402x10kex321.htm" TargetMode="External"/><Relationship Id="rId3" Type="http://schemas.openxmlformats.org/officeDocument/2006/relationships/webSettings" Target="webSettings.xml"/><Relationship Id="rId12" Type="http://schemas.openxmlformats.org/officeDocument/2006/relationships/hyperlink" Target="http://www.sec.gov/Archives/edgar/data/0001037038/000103703820000014/rl-20200328x10kex44.htm" TargetMode="External"/><Relationship Id="rId17" Type="http://schemas.openxmlformats.org/officeDocument/2006/relationships/hyperlink" Target="http://www.sec.gov/Archives/edgar/data/1037038/000103703821000029/rl-20210626x10qex101.htm" TargetMode="External"/><Relationship Id="rId25" Type="http://schemas.openxmlformats.org/officeDocument/2006/relationships/hyperlink" Target="http://www.sec.gov/Archives/edgar/data/1037038/000103703820000023/rl-20200627x10qex103.htm" TargetMode="External"/><Relationship Id="rId33" Type="http://schemas.openxmlformats.org/officeDocument/2006/relationships/hyperlink" Target="http://www.sec.gov/Archives/edgar/data/1037038/000119312519178914/d729878ddef14a.htm" TargetMode="External"/><Relationship Id="rId38" Type="http://schemas.openxmlformats.org/officeDocument/2006/relationships/hyperlink" Target="http://www.sec.gov/Archives/edgar/data/1037038/000103703815000006/rl-20150328x10kex1038.htm" TargetMode="External"/><Relationship Id="rId46" Type="http://schemas.openxmlformats.org/officeDocument/2006/relationships/hyperlink" Target="http://www.sec.gov/Archives/edgar/data/1037038/000103703819000002/rl-20181229x10qex103.htm" TargetMode="External"/><Relationship Id="rId59" Type="http://schemas.openxmlformats.org/officeDocument/2006/relationships/hyperlink" Target="http://www.sec.gov/Archives/edgar/data/1037038/000103703821000037/rl-20210925x10qex103.htm" TargetMode="External"/><Relationship Id="rId67" Type="http://schemas.openxmlformats.org/officeDocument/2006/relationships/hyperlink" Target="http://www.sec.gov/Archives/edgar/data/1037038/000103703822000007/rl-20211225x10qex101.htm" TargetMode="External"/><Relationship Id="rId20" Type="http://schemas.openxmlformats.org/officeDocument/2006/relationships/hyperlink" Target="http://www.sec.gov/Archives/edgar/data/1037038/000103703820000023/rl-20200627x10qex102.htm" TargetMode="External"/><Relationship Id="rId41" Type="http://schemas.openxmlformats.org/officeDocument/2006/relationships/hyperlink" Target="http://www.sec.gov/Archives/edgar/data/1037038/000103703817000010/rl-20170930x10qex101.htm" TargetMode="External"/><Relationship Id="rId54" Type="http://schemas.openxmlformats.org/officeDocument/2006/relationships/hyperlink" Target="http://www.sec.gov/Archives/edgar/data/1037038/000103703820000030/rl-20200926x10qex102.htm" TargetMode="External"/><Relationship Id="rId62" Type="http://schemas.openxmlformats.org/officeDocument/2006/relationships/hyperlink" Target="http://www.sec.gov/Archives/edgar/data/1037038/000103703822000007/rl-20211225x10qex101.htm" TargetMode="External"/><Relationship Id="rId70" Type="http://schemas.openxmlformats.org/officeDocument/2006/relationships/hyperlink" Target="http://www.sec.gov/Archives/edgar/data/1037038/000103703822000007/rl-20211225x10qex101.htm" TargetMode="External"/><Relationship Id="rId75" Type="http://schemas.openxmlformats.org/officeDocument/2006/relationships/hyperlink" Target="http://www.sec.gov/Archives/edgar/data/1037038/000103703822000007/rl-20211225x10qex101.htm" TargetMode="External"/><Relationship Id="rId83" Type="http://schemas.openxmlformats.org/officeDocument/2006/relationships/hyperlink" Target="rl-20220402x10kex311.htm" TargetMode="External"/><Relationship Id="rId88"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ec.gov/Archives/edgar/data/1037038/0000950123-97-004911.txt" TargetMode="External"/><Relationship Id="rId15" Type="http://schemas.openxmlformats.org/officeDocument/2006/relationships/hyperlink" Target="http://www.sec.gov/Archives/edgar/data/1037038/000095014217000682/eh1700461_ex1001.htm" TargetMode="External"/><Relationship Id="rId23" Type="http://schemas.openxmlformats.org/officeDocument/2006/relationships/hyperlink" Target="http://www.sec.gov/Archives/edgar/data/1037038/000103703821000029/rl-20210626x10qex102.htm" TargetMode="External"/><Relationship Id="rId28" Type="http://schemas.openxmlformats.org/officeDocument/2006/relationships/hyperlink" Target="http://www.sec.gov/Archives/edgar/data/0001037038/000103703820000014/rl-20200328x10kex1014.htm" TargetMode="External"/><Relationship Id="rId36" Type="http://schemas.openxmlformats.org/officeDocument/2006/relationships/hyperlink" Target="http://www.sec.gov/Archives/edgar/data/1037038/000103703814000006/rl-20140329x10kex1027.htm" TargetMode="External"/><Relationship Id="rId49" Type="http://schemas.openxmlformats.org/officeDocument/2006/relationships/hyperlink" Target="http://www.sec.gov/Archives/edgar/data/1037038/000103703819000008/rl-20190629x10qex104.htm" TargetMode="External"/><Relationship Id="rId57" Type="http://schemas.openxmlformats.org/officeDocument/2006/relationships/hyperlink" Target="http://www.sec.gov/Archives/edgar/data/1037038/000103703821000037/rl-20210925x10qex101.htm" TargetMode="External"/><Relationship Id="rId10" Type="http://schemas.openxmlformats.org/officeDocument/2006/relationships/hyperlink" Target="http://www.sec.gov/Archives/edgar/data/1037038/000119312518244504/d605912dex42.htm" TargetMode="External"/><Relationship Id="rId31" Type="http://schemas.openxmlformats.org/officeDocument/2006/relationships/hyperlink" Target="http://www.sec.gov/Archives/edgar/data/1037038/000095012309009558/y77331exv10w26.htm" TargetMode="External"/><Relationship Id="rId44" Type="http://schemas.openxmlformats.org/officeDocument/2006/relationships/hyperlink" Target="http://www.sec.gov/Archives/edgar/data/1037038/000103703819000002/rl-20181229x10qex101.htm" TargetMode="External"/><Relationship Id="rId52" Type="http://schemas.openxmlformats.org/officeDocument/2006/relationships/hyperlink" Target="http://www.sec.gov/Archives/edgar/data/1037038/000103703819000010/rl-20190928x10qex104.htm" TargetMode="External"/><Relationship Id="rId60" Type="http://schemas.openxmlformats.org/officeDocument/2006/relationships/hyperlink" Target="http://www.sec.gov/Archives/edgar/data/0001037038/000103703820000014/rl-20200328x10kex1041.htm" TargetMode="External"/><Relationship Id="rId65" Type="http://schemas.openxmlformats.org/officeDocument/2006/relationships/hyperlink" Target="http://www.sec.gov/Archives/edgar/data/1037038/000103703822000007/rl-20211225x10qex101.htm" TargetMode="External"/><Relationship Id="rId73" Type="http://schemas.openxmlformats.org/officeDocument/2006/relationships/hyperlink" Target="http://www.sec.gov/Archives/edgar/data/1037038/000103703822000007/rl-20211225x10qex101.htm" TargetMode="External"/><Relationship Id="rId78" Type="http://schemas.openxmlformats.org/officeDocument/2006/relationships/hyperlink" Target="rl-20220402x10kex1048.htm" TargetMode="External"/><Relationship Id="rId81" Type="http://schemas.openxmlformats.org/officeDocument/2006/relationships/hyperlink" Target="rl-20220402x10kex211.htm" TargetMode="External"/><Relationship Id="rId86" Type="http://schemas.openxmlformats.org/officeDocument/2006/relationships/hyperlink" Target="rl-20220402x10kex322.htm" TargetMode="External"/><Relationship Id="rId4" Type="http://schemas.openxmlformats.org/officeDocument/2006/relationships/image" Target="file:///E:\projects\LLMs\new_data_collection\data_new\htm\RALPH%20LAUREN%20CORP\rl-20220402_g1.jpg" TargetMode="External"/><Relationship Id="rId9" Type="http://schemas.openxmlformats.org/officeDocument/2006/relationships/hyperlink" Target="http://www.sec.gov/Archives/edgar/data/1037038/000119312513380171/d603749dex41.htm" TargetMode="External"/><Relationship Id="rId13" Type="http://schemas.openxmlformats.org/officeDocument/2006/relationships/hyperlink" Target="http://www.sec.gov/Archives/edgar/data/1037038/0000950123-97-004911.txt" TargetMode="External"/><Relationship Id="rId18" Type="http://schemas.openxmlformats.org/officeDocument/2006/relationships/hyperlink" Target="http://www.sec.gov/Archives/edgar/data/1037038/000095014217001057/eh1700645_ex1001.htm" TargetMode="External"/><Relationship Id="rId39" Type="http://schemas.openxmlformats.org/officeDocument/2006/relationships/hyperlink" Target="http://www.sec.gov/Archives/edgar/data/1037038/000103703815000006/rl-20150328x10kex1039.htm" TargetMode="External"/><Relationship Id="rId34" Type="http://schemas.openxmlformats.org/officeDocument/2006/relationships/hyperlink" Target="http://www.sec.gov/Archives/edgar/data/1037038/000103703814000006/rl-20140329x10kex1025.htm" TargetMode="External"/><Relationship Id="rId50" Type="http://schemas.openxmlformats.org/officeDocument/2006/relationships/hyperlink" Target="http://www.sec.gov/Archives/edgar/data/1037038/000103703819000010/rl-20190928x10qex102.htm" TargetMode="External"/><Relationship Id="rId55" Type="http://schemas.openxmlformats.org/officeDocument/2006/relationships/hyperlink" Target="http://www.sec.gov/Archives/edgar/data/1037038/000103703820000030/rl-20200926x10qex103.htm" TargetMode="External"/><Relationship Id="rId76" Type="http://schemas.openxmlformats.org/officeDocument/2006/relationships/hyperlink" Target="http://www.sec.gov/Archives/edgar/data/1037038/000103703822000007/rl-20211225x10qex101.htm" TargetMode="External"/><Relationship Id="rId7" Type="http://schemas.openxmlformats.org/officeDocument/2006/relationships/hyperlink" Target="http://www.sec.gov/Archives/edgar/data/1037038/000095014211001462/eh1100604-ex0301.htm" TargetMode="External"/><Relationship Id="rId71" Type="http://schemas.openxmlformats.org/officeDocument/2006/relationships/hyperlink" Target="http://www.sec.gov/Archives/edgar/data/1037038/000103703822000007/rl-20211225x10qex101.htm" TargetMode="External"/><Relationship Id="rId2" Type="http://schemas.openxmlformats.org/officeDocument/2006/relationships/settings" Target="settings.xml"/><Relationship Id="rId29" Type="http://schemas.openxmlformats.org/officeDocument/2006/relationships/hyperlink" Target="http://www.sec.gov/Archives/edgar/data/1037038/000095014204003417/ex99-1form8k_081204.txt" TargetMode="External"/><Relationship Id="rId24" Type="http://schemas.openxmlformats.org/officeDocument/2006/relationships/hyperlink" Target="http://www.sec.gov/Archives/edgar/data/1037038/000095014219000380/eh1900294_ex1001.htm" TargetMode="External"/><Relationship Id="rId40" Type="http://schemas.openxmlformats.org/officeDocument/2006/relationships/hyperlink" Target="http://www.sec.gov/Archives/edgar/data/1037038/000103703815000009/rl-20150627x10qex101.htm" TargetMode="External"/><Relationship Id="rId45" Type="http://schemas.openxmlformats.org/officeDocument/2006/relationships/hyperlink" Target="http://www.sec.gov/Archives/edgar/data/1037038/000103703819000002/rl-20181229x10qex102.htm" TargetMode="External"/><Relationship Id="rId66" Type="http://schemas.openxmlformats.org/officeDocument/2006/relationships/hyperlink" Target="http://www.sec.gov/Archives/edgar/data/1037038/000103703822000007/rl-20211225x10qex101.htm" TargetMode="External"/><Relationship Id="rId87" Type="http://schemas.openxmlformats.org/officeDocument/2006/relationships/fontTable" Target="fontTable.xml"/><Relationship Id="rId61" Type="http://schemas.openxmlformats.org/officeDocument/2006/relationships/hyperlink" Target="http://www.sec.gov/Archives/edgar/data/1037038/000103703822000007/rl-20211225x10qex101.htm" TargetMode="External"/><Relationship Id="rId82" Type="http://schemas.openxmlformats.org/officeDocument/2006/relationships/hyperlink" Target="rl-20220402x10kex23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91624</Words>
  <Characters>522263</Characters>
  <Application>Microsoft Office Word</Application>
  <DocSecurity>0</DocSecurity>
  <Lines>4352</Lines>
  <Paragraphs>1225</Paragraphs>
  <ScaleCrop>false</ScaleCrop>
  <Company/>
  <LinksUpToDate>false</LinksUpToDate>
  <CharactersWithSpaces>612662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rl-20220402</dc:title>
  <dc:subject/>
  <dc:creator>Chongjian.Yue</dc:creator>
  <cp:keywords/>
  <dc:description/>
  <cp:lastModifiedBy>Yue Chongjian</cp:lastModifiedBy>
  <cp:revision>1</cp:revision>
  <dcterms:created xsi:type="dcterms:W3CDTF">2024-01-04T15:59:00Z</dcterms:created>
  <dcterms:modified xsi:type="dcterms:W3CDTF">2024-01-04T15:59:00Z</dcterms:modified>
</cp:coreProperties>
</file>