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15B87">
      <w:pPr>
        <w:divId w:val="384185373"/>
        <w:rPr>
          <w:rFonts w:eastAsia="Times New Roman"/>
          <w:sz w:val="2"/>
          <w:szCs w:val="2"/>
        </w:rPr>
      </w:pPr>
      <w:r>
        <w:rPr>
          <w:rFonts w:eastAsia="Times New Roman"/>
          <w:sz w:val="2"/>
          <w:szCs w:val="2"/>
        </w:rPr>
        <w:t> </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UNITED STATES</w:t>
      </w:r>
    </w:p>
    <w:p w:rsidR="00000000" w:rsidRDefault="00215B87">
      <w:pPr>
        <w:pStyle w:val="a3"/>
        <w:spacing w:before="0" w:beforeAutospacing="0" w:after="0" w:afterAutospacing="0"/>
        <w:jc w:val="center"/>
        <w:divId w:val="1196651354"/>
        <w:rPr>
          <w:sz w:val="20"/>
          <w:szCs w:val="20"/>
        </w:rPr>
      </w:pPr>
      <w:r>
        <w:rPr>
          <w:b/>
          <w:bCs/>
          <w:sz w:val="20"/>
          <w:szCs w:val="20"/>
        </w:rPr>
        <w:t>SECURITIES AND EXCHANGE COMMISSION</w:t>
      </w:r>
    </w:p>
    <w:p w:rsidR="00000000" w:rsidRDefault="00215B87">
      <w:pPr>
        <w:pStyle w:val="a3"/>
        <w:spacing w:before="0" w:beforeAutospacing="0" w:after="0" w:afterAutospacing="0"/>
        <w:jc w:val="center"/>
        <w:divId w:val="1196651354"/>
        <w:rPr>
          <w:sz w:val="20"/>
          <w:szCs w:val="20"/>
        </w:rPr>
      </w:pPr>
      <w:r>
        <w:rPr>
          <w:b/>
          <w:bCs/>
          <w:sz w:val="20"/>
          <w:szCs w:val="20"/>
        </w:rPr>
        <w:t>Washington, D.C. 20549</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FORM 10-Q</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For the quarterly period ended March 31, 2022</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or</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rFonts w:ascii="Segoe UI Symbol" w:hAnsi="Segoe UI Symbol" w:cs="Segoe UI Symbol"/>
          <w:sz w:val="20"/>
          <w:szCs w:val="20"/>
        </w:rPr>
        <w:t>☐</w:t>
      </w:r>
      <w:r>
        <w:rPr>
          <w:sz w:val="20"/>
          <w:szCs w:val="20"/>
        </w:rPr>
        <w:t xml:space="preserve"> </w:t>
      </w:r>
      <w:r>
        <w:rPr>
          <w:sz w:val="20"/>
          <w:szCs w:val="20"/>
        </w:rPr>
        <w:t>TRANSITION REPORT PURSUANT TO SECTION 13 OR 15(d) OF THE SECURITIES EXCHANGE ACT OF 1934</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For the transition period from _____________ to __________</w:t>
      </w:r>
    </w:p>
    <w:p w:rsidR="00000000" w:rsidRDefault="00215B87">
      <w:pPr>
        <w:pStyle w:val="a3"/>
        <w:spacing w:before="0" w:beforeAutospacing="0" w:after="0" w:afterAutospacing="0"/>
        <w:jc w:val="center"/>
        <w:divId w:val="1196651354"/>
        <w:rPr>
          <w:sz w:val="20"/>
          <w:szCs w:val="20"/>
        </w:rPr>
      </w:pPr>
      <w:r>
        <w:rPr>
          <w:b/>
          <w:bCs/>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Commission File Number: 000-53450</w:t>
      </w:r>
    </w:p>
    <w:p w:rsidR="00000000" w:rsidRDefault="00215B87">
      <w:pPr>
        <w:pStyle w:val="a3"/>
        <w:spacing w:before="0" w:beforeAutospacing="0" w:after="0" w:afterAutospacing="0"/>
        <w:jc w:val="center"/>
        <w:divId w:val="1196651354"/>
        <w:rPr>
          <w:sz w:val="20"/>
          <w:szCs w:val="20"/>
        </w:rPr>
      </w:pPr>
      <w:r>
        <w:rPr>
          <w:b/>
          <w:bCs/>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u w:val="single"/>
        </w:rPr>
        <w:t>REMSLEEP HOLDINGS, INC.</w:t>
      </w:r>
    </w:p>
    <w:p w:rsidR="00000000" w:rsidRDefault="00215B87">
      <w:pPr>
        <w:pStyle w:val="a3"/>
        <w:spacing w:before="0" w:beforeAutospacing="0" w:after="0" w:afterAutospacing="0"/>
        <w:jc w:val="center"/>
        <w:divId w:val="1196651354"/>
        <w:rPr>
          <w:sz w:val="20"/>
          <w:szCs w:val="20"/>
        </w:rPr>
      </w:pPr>
      <w:r>
        <w:rPr>
          <w:sz w:val="20"/>
          <w:szCs w:val="20"/>
        </w:rPr>
        <w:t>(Exact name of registrant as specified in it</w:t>
      </w:r>
      <w:r>
        <w:rPr>
          <w:sz w:val="20"/>
          <w:szCs w:val="20"/>
        </w:rPr>
        <w:t>s charter)</w:t>
      </w:r>
    </w:p>
    <w:p w:rsidR="00000000" w:rsidRDefault="00215B87">
      <w:pPr>
        <w:pStyle w:val="a3"/>
        <w:spacing w:before="0" w:beforeAutospacing="0" w:after="0" w:afterAutospacing="0"/>
        <w:jc w:val="center"/>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rPr>
          <w:divId w:val="1196651354"/>
        </w:trPr>
        <w:tc>
          <w:tcPr>
            <w:tcW w:w="2450" w:type="pct"/>
            <w:tcBorders>
              <w:bottom w:val="single" w:sz="12" w:space="0" w:color="000000"/>
            </w:tcBorders>
            <w:hideMark/>
          </w:tcPr>
          <w:p w:rsidR="00000000" w:rsidRDefault="00215B87">
            <w:pPr>
              <w:jc w:val="center"/>
              <w:rPr>
                <w:rFonts w:eastAsia="Times New Roman"/>
                <w:sz w:val="20"/>
                <w:szCs w:val="20"/>
              </w:rPr>
            </w:pPr>
            <w:r>
              <w:rPr>
                <w:rFonts w:eastAsia="Times New Roman"/>
                <w:b/>
                <w:bCs/>
                <w:sz w:val="20"/>
                <w:szCs w:val="20"/>
              </w:rPr>
              <w:t>Nevada</w:t>
            </w:r>
          </w:p>
        </w:tc>
        <w:tc>
          <w:tcPr>
            <w:tcW w:w="100" w:type="pct"/>
            <w:hideMark/>
          </w:tcPr>
          <w:p w:rsidR="00000000" w:rsidRDefault="00215B87">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215B87">
            <w:pPr>
              <w:jc w:val="center"/>
              <w:rPr>
                <w:rFonts w:eastAsia="Times New Roman"/>
                <w:sz w:val="20"/>
                <w:szCs w:val="20"/>
              </w:rPr>
            </w:pPr>
            <w:r>
              <w:rPr>
                <w:rFonts w:eastAsia="Times New Roman"/>
                <w:b/>
                <w:bCs/>
                <w:sz w:val="20"/>
                <w:szCs w:val="20"/>
              </w:rPr>
              <w:t>47-5386867</w:t>
            </w:r>
          </w:p>
        </w:tc>
      </w:tr>
      <w:tr w:rsidR="00000000">
        <w:trPr>
          <w:divId w:val="1196651354"/>
        </w:trPr>
        <w:tc>
          <w:tcPr>
            <w:tcW w:w="0" w:type="auto"/>
            <w:hideMark/>
          </w:tcPr>
          <w:p w:rsidR="00000000" w:rsidRDefault="00215B87">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t>incorporation or organization)</w:t>
            </w:r>
          </w:p>
        </w:tc>
        <w:tc>
          <w:tcPr>
            <w:tcW w:w="0" w:type="auto"/>
            <w:hideMark/>
          </w:tcPr>
          <w:p w:rsidR="00000000" w:rsidRDefault="00215B87">
            <w:pPr>
              <w:jc w:val="center"/>
              <w:rPr>
                <w:rFonts w:eastAsia="Times New Roman"/>
                <w:sz w:val="20"/>
                <w:szCs w:val="20"/>
              </w:rPr>
            </w:pPr>
            <w:r>
              <w:rPr>
                <w:rFonts w:eastAsia="Times New Roman"/>
                <w:sz w:val="20"/>
                <w:szCs w:val="20"/>
              </w:rPr>
              <w:t> </w:t>
            </w:r>
          </w:p>
        </w:tc>
        <w:tc>
          <w:tcPr>
            <w:tcW w:w="0" w:type="auto"/>
            <w:hideMark/>
          </w:tcPr>
          <w:p w:rsidR="00000000" w:rsidRDefault="00215B87">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u w:val="single"/>
        </w:rPr>
        <w:t>14175 Icot Boulevard, Suite 300, Clearwater, Florida 33760.</w:t>
      </w:r>
    </w:p>
    <w:p w:rsidR="00000000" w:rsidRDefault="00215B87">
      <w:pPr>
        <w:pStyle w:val="a3"/>
        <w:spacing w:before="0" w:beforeAutospacing="0" w:after="0" w:afterAutospacing="0"/>
        <w:ind w:left="11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(Address of principal executive offices) (Zip Code)</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u w:val="single"/>
        </w:rPr>
        <w:t>813-367-385</w:t>
      </w:r>
      <w:r>
        <w:rPr>
          <w:b/>
          <w:bCs/>
          <w:sz w:val="20"/>
          <w:szCs w:val="20"/>
          <w:u w:val="single"/>
        </w:rPr>
        <w:t>5</w:t>
      </w:r>
    </w:p>
    <w:p w:rsidR="00000000" w:rsidRDefault="00215B87">
      <w:pPr>
        <w:pStyle w:val="a3"/>
        <w:spacing w:before="0" w:beforeAutospacing="0" w:after="0" w:afterAutospacing="0"/>
        <w:jc w:val="center"/>
        <w:divId w:val="1196651354"/>
        <w:rPr>
          <w:sz w:val="20"/>
          <w:szCs w:val="20"/>
        </w:rPr>
      </w:pPr>
      <w:r>
        <w:rPr>
          <w:sz w:val="20"/>
          <w:szCs w:val="20"/>
        </w:rPr>
        <w:t>(Registrant’s telephone number, including area code)</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ind w:firstLine="360"/>
        <w:jc w:val="both"/>
        <w:divId w:val="1196651354"/>
        <w:rPr>
          <w:sz w:val="20"/>
          <w:szCs w:val="20"/>
        </w:rPr>
      </w:pPr>
      <w:r>
        <w:rPr>
          <w:sz w:val="20"/>
          <w:szCs w:val="20"/>
        </w:rPr>
        <w:t xml:space="preserve">Indicate by check mark whether the registrant (1) has filed all reports required to be filed by Section 13 or 15(d) of the Securities </w:t>
      </w:r>
      <w:r>
        <w:rPr>
          <w:sz w:val="20"/>
          <w:szCs w:val="20"/>
        </w:rPr>
        <w:t>Exchange 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ind w:firstLine="360"/>
        <w:jc w:val="both"/>
        <w:divId w:val="1196651354"/>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sz w:val="20"/>
          <w:szCs w:val="20"/>
        </w:rPr>
        <w:t>t the registrant was required to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ind w:firstLine="360"/>
        <w:jc w:val="both"/>
        <w:divId w:val="1196651354"/>
        <w:rPr>
          <w:sz w:val="20"/>
          <w:szCs w:val="20"/>
        </w:rPr>
      </w:pPr>
      <w:r>
        <w:rPr>
          <w:sz w:val="20"/>
          <w:szCs w:val="20"/>
        </w:rPr>
        <w:t>Indicate by check mark whether the registrant is a large accelerated filer, an accelerated filer, a non-accelerated filer, a smaller reporting company, or an emerging growth company. See the</w:t>
      </w:r>
      <w:r>
        <w:rPr>
          <w:sz w:val="20"/>
          <w:szCs w:val="20"/>
        </w:rPr>
        <w:t xml:space="preserve"> definitions of “large accelerated filer,” “accelerated filer,” “smaller reporting company” and “emerging growth company” in Rule 12b-2 of the Exchange Act.</w:t>
      </w:r>
    </w:p>
    <w:p w:rsidR="00000000" w:rsidRDefault="00215B87">
      <w:pPr>
        <w:pStyle w:val="a3"/>
        <w:spacing w:before="0" w:beforeAutospacing="0" w:after="0" w:afterAutospacing="0"/>
        <w:ind w:firstLine="36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rPr>
          <w:divId w:val="1196651354"/>
        </w:trPr>
        <w:tc>
          <w:tcPr>
            <w:tcW w:w="2400" w:type="pct"/>
            <w:hideMark/>
          </w:tcPr>
          <w:p w:rsidR="00000000" w:rsidRDefault="00215B87">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215B87">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215B87">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ind w:firstLine="360"/>
        <w:jc w:val="both"/>
        <w:divId w:val="1196651354"/>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w:t>
      </w:r>
      <w:r>
        <w:rPr>
          <w:sz w:val="20"/>
          <w:szCs w:val="20"/>
        </w:rPr>
        <w:t>n 13(a) of the Exchange Act. </w:t>
      </w:r>
      <w:r>
        <w:rPr>
          <w:rFonts w:ascii="Segoe UI Symbol" w:hAnsi="Segoe UI Symbol" w:cs="Segoe UI Symbol"/>
          <w:sz w:val="20"/>
          <w:szCs w:val="20"/>
        </w:rPr>
        <w: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ind w:firstLine="360"/>
        <w:jc w:val="both"/>
        <w:divId w:val="1196651354"/>
        <w:rPr>
          <w:sz w:val="20"/>
          <w:szCs w:val="20"/>
        </w:rPr>
      </w:pPr>
      <w:r>
        <w:rPr>
          <w:sz w:val="20"/>
          <w:szCs w:val="20"/>
        </w:rPr>
        <w:lastRenderedPageBreak/>
        <w:t>Indicate by check mark whether the registrant is a 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215B87">
      <w:pPr>
        <w:pStyle w:val="a3"/>
        <w:spacing w:before="0" w:beforeAutospacing="0" w:after="0" w:afterAutospacing="0"/>
        <w:ind w:firstLine="720"/>
        <w:jc w:val="both"/>
        <w:divId w:val="1196651354"/>
        <w:rPr>
          <w:sz w:val="20"/>
          <w:szCs w:val="20"/>
        </w:rPr>
      </w:pPr>
      <w:r>
        <w:rPr>
          <w:sz w:val="20"/>
          <w:szCs w:val="20"/>
        </w:rPr>
        <w:t> </w:t>
      </w:r>
    </w:p>
    <w:p w:rsidR="00000000" w:rsidRDefault="00215B87">
      <w:pPr>
        <w:pStyle w:val="a3"/>
        <w:spacing w:before="0" w:beforeAutospacing="0" w:after="0" w:afterAutospacing="0"/>
        <w:ind w:firstLine="360"/>
        <w:jc w:val="both"/>
        <w:divId w:val="1196651354"/>
        <w:rPr>
          <w:sz w:val="20"/>
          <w:szCs w:val="20"/>
        </w:rPr>
      </w:pPr>
      <w:r>
        <w:rPr>
          <w:sz w:val="20"/>
          <w:szCs w:val="20"/>
        </w:rPr>
        <w:t>Indicate the number of shares outstanding of each of the issuer’s classes of common stock, as of May 11, 2022, there were 1,461,616,601 shares of common stock outstanding.</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divId w:val="992223117"/>
        <w:rPr>
          <w:rFonts w:eastAsia="Times New Roman"/>
          <w:sz w:val="2"/>
          <w:szCs w:val="2"/>
        </w:rPr>
      </w:pPr>
      <w:r>
        <w:rPr>
          <w:rFonts w:eastAsia="Times New Roman"/>
          <w:sz w:val="2"/>
          <w:szCs w:val="2"/>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522090320"/>
        <w:rPr>
          <w:sz w:val="20"/>
          <w:szCs w:val="20"/>
        </w:rPr>
      </w:pPr>
      <w:r>
        <w:rPr>
          <w:sz w:val="20"/>
          <w:szCs w:val="20"/>
        </w:rPr>
        <w:t> </w:t>
      </w:r>
    </w:p>
    <w:p w:rsidR="00000000" w:rsidRDefault="00215B87">
      <w:pPr>
        <w:pStyle w:val="a3"/>
        <w:spacing w:before="0" w:beforeAutospacing="0" w:after="0" w:afterAutospacing="0"/>
        <w:divId w:val="1461222519"/>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TABLE OF CONTENTS</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
        <w:gridCol w:w="6645"/>
        <w:gridCol w:w="831"/>
      </w:tblGrid>
      <w:tr w:rsidR="00000000">
        <w:trPr>
          <w:divId w:val="1196651354"/>
        </w:trPr>
        <w:tc>
          <w:tcPr>
            <w:tcW w:w="500" w:type="pct"/>
            <w:hideMark/>
          </w:tcPr>
          <w:p w:rsidR="00000000" w:rsidRDefault="00215B87">
            <w:pPr>
              <w:rPr>
                <w:rFonts w:eastAsia="Times New Roman"/>
                <w:sz w:val="20"/>
                <w:szCs w:val="20"/>
              </w:rPr>
            </w:pPr>
            <w:r>
              <w:rPr>
                <w:rFonts w:eastAsia="Times New Roman"/>
                <w:sz w:val="20"/>
                <w:szCs w:val="20"/>
              </w:rPr>
              <w:t> </w:t>
            </w:r>
          </w:p>
        </w:tc>
        <w:tc>
          <w:tcPr>
            <w:tcW w:w="4000" w:type="pct"/>
            <w:hideMark/>
          </w:tcPr>
          <w:p w:rsidR="00000000" w:rsidRDefault="00215B87">
            <w:pPr>
              <w:rPr>
                <w:rFonts w:eastAsia="Times New Roman"/>
                <w:sz w:val="20"/>
                <w:szCs w:val="20"/>
              </w:rPr>
            </w:pPr>
            <w:r>
              <w:rPr>
                <w:rFonts w:eastAsia="Times New Roman"/>
                <w:sz w:val="20"/>
                <w:szCs w:val="20"/>
              </w:rPr>
              <w:t> </w:t>
            </w:r>
          </w:p>
        </w:tc>
        <w:tc>
          <w:tcPr>
            <w:tcW w:w="500" w:type="pct"/>
            <w:tcBorders>
              <w:bottom w:val="single" w:sz="12" w:space="0" w:color="000000"/>
            </w:tcBorders>
            <w:noWrap/>
            <w:vAlign w:val="bottom"/>
            <w:hideMark/>
          </w:tcPr>
          <w:p w:rsidR="00000000" w:rsidRDefault="00215B87">
            <w:pPr>
              <w:jc w:val="center"/>
              <w:rPr>
                <w:rFonts w:eastAsia="Times New Roman"/>
                <w:sz w:val="20"/>
                <w:szCs w:val="20"/>
              </w:rPr>
            </w:pPr>
            <w:r>
              <w:rPr>
                <w:rFonts w:eastAsia="Times New Roman"/>
                <w:b/>
                <w:bCs/>
                <w:sz w:val="20"/>
                <w:szCs w:val="20"/>
              </w:rPr>
              <w:t>Page</w:t>
            </w:r>
            <w:r>
              <w:rPr>
                <w:rFonts w:eastAsia="Times New Roman"/>
                <w:b/>
                <w:bCs/>
                <w:sz w:val="20"/>
                <w:szCs w:val="20"/>
              </w:rPr>
              <w:t> </w:t>
            </w:r>
            <w:r>
              <w:rPr>
                <w:rFonts w:eastAsia="Times New Roman"/>
                <w:b/>
                <w:bCs/>
                <w:sz w:val="20"/>
                <w:szCs w:val="20"/>
              </w:rPr>
              <w:t>No.</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gridSpan w:val="2"/>
            <w:shd w:val="clear" w:color="auto" w:fill="CCEEFF"/>
            <w:hideMark/>
          </w:tcPr>
          <w:p w:rsidR="00000000" w:rsidRDefault="00215B87">
            <w:pPr>
              <w:jc w:val="center"/>
              <w:rPr>
                <w:rFonts w:eastAsia="Times New Roman"/>
                <w:sz w:val="20"/>
                <w:szCs w:val="20"/>
              </w:rPr>
            </w:pPr>
            <w:hyperlink w:anchor="a_001" w:history="1">
              <w:r>
                <w:rPr>
                  <w:rStyle w:val="a4"/>
                  <w:rFonts w:eastAsia="Times New Roman"/>
                  <w:b/>
                  <w:bCs/>
                  <w:sz w:val="20"/>
                  <w:szCs w:val="20"/>
                </w:rPr>
                <w:t>PART I. - FINANCIAL INFORMATION</w:t>
              </w:r>
            </w:hyperlink>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gridSpan w:val="2"/>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215B87">
            <w:pPr>
              <w:rPr>
                <w:rFonts w:eastAsia="Times New Roman"/>
                <w:sz w:val="20"/>
                <w:szCs w:val="20"/>
              </w:rPr>
            </w:pPr>
            <w:hyperlink w:anchor="a_002" w:history="1">
              <w:r>
                <w:rPr>
                  <w:rStyle w:val="a4"/>
                  <w:rFonts w:eastAsia="Times New Roman"/>
                  <w:sz w:val="20"/>
                  <w:szCs w:val="20"/>
                </w:rPr>
                <w:t>Financial Statements.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215B87">
            <w:pPr>
              <w:rPr>
                <w:rFonts w:eastAsia="Times New Roman"/>
                <w:sz w:val="20"/>
                <w:szCs w:val="20"/>
              </w:rPr>
            </w:pPr>
            <w:hyperlink w:anchor="a_008" w:history="1">
              <w:r>
                <w:rPr>
                  <w:rStyle w:val="a4"/>
                  <w:rFonts w:eastAsia="Times New Roman"/>
                  <w:sz w:val="20"/>
                  <w:szCs w:val="20"/>
                </w:rPr>
                <w:t>Management’s Discussion and Analysis of Financial Condition and Plan of Operations</w:t>
              </w:r>
              <w:r>
                <w:rPr>
                  <w:rStyle w:val="a4"/>
                  <w:rFonts w:eastAsia="Times New Roman"/>
                  <w:sz w:val="20"/>
                  <w:szCs w:val="20"/>
                </w:rPr>
                <w:t>.</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12</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215B87">
            <w:pPr>
              <w:rPr>
                <w:rFonts w:eastAsia="Times New Roman"/>
                <w:sz w:val="20"/>
                <w:szCs w:val="20"/>
              </w:rPr>
            </w:pPr>
            <w:hyperlink w:anchor="a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15</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215B87">
            <w:pPr>
              <w:rPr>
                <w:rFonts w:eastAsia="Times New Roman"/>
                <w:sz w:val="20"/>
                <w:szCs w:val="20"/>
              </w:rPr>
            </w:pPr>
            <w:hyperlink w:anchor="a_010"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15</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gridSpan w:val="2"/>
            <w:shd w:val="clear" w:color="auto" w:fill="CCEEFF"/>
            <w:hideMark/>
          </w:tcPr>
          <w:p w:rsidR="00000000" w:rsidRDefault="00215B87">
            <w:pPr>
              <w:jc w:val="center"/>
              <w:rPr>
                <w:rFonts w:eastAsia="Times New Roman"/>
                <w:sz w:val="20"/>
                <w:szCs w:val="20"/>
              </w:rPr>
            </w:pPr>
            <w:hyperlink w:anchor="a_011"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gridSpan w:val="2"/>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215B87">
            <w:pPr>
              <w:rPr>
                <w:rFonts w:eastAsia="Times New Roman"/>
                <w:sz w:val="20"/>
                <w:szCs w:val="20"/>
              </w:rPr>
            </w:pPr>
            <w:hyperlink w:anchor="a_012" w:history="1">
              <w:r>
                <w:rPr>
                  <w:rStyle w:val="a4"/>
                  <w:rFonts w:eastAsia="Times New Roman"/>
                  <w:sz w:val="20"/>
                  <w:szCs w:val="20"/>
                </w:rPr>
                <w:t>Legal Proceedings.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16</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215B87">
            <w:pPr>
              <w:rPr>
                <w:rFonts w:eastAsia="Times New Roman"/>
                <w:sz w:val="20"/>
                <w:szCs w:val="20"/>
              </w:rPr>
            </w:pPr>
            <w:hyperlink w:anchor="a_013" w:history="1">
              <w:r>
                <w:rPr>
                  <w:rStyle w:val="a4"/>
                  <w:rFonts w:eastAsia="Times New Roman"/>
                  <w:sz w:val="20"/>
                  <w:szCs w:val="20"/>
                </w:rPr>
                <w:t>Risk Factors.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16</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215B87">
            <w:pPr>
              <w:rPr>
                <w:rFonts w:eastAsia="Times New Roman"/>
                <w:sz w:val="20"/>
                <w:szCs w:val="20"/>
              </w:rPr>
            </w:pPr>
            <w:hyperlink w:anchor="a_014"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16</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215B87">
            <w:pPr>
              <w:rPr>
                <w:rFonts w:eastAsia="Times New Roman"/>
                <w:sz w:val="20"/>
                <w:szCs w:val="20"/>
              </w:rPr>
            </w:pPr>
            <w:hyperlink w:anchor="a_015"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16</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215B87">
            <w:pPr>
              <w:rPr>
                <w:rFonts w:eastAsia="Times New Roman"/>
                <w:sz w:val="20"/>
                <w:szCs w:val="20"/>
              </w:rPr>
            </w:pPr>
            <w:hyperlink w:anchor="a_016"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16</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215B87">
            <w:pPr>
              <w:rPr>
                <w:rFonts w:eastAsia="Times New Roman"/>
                <w:sz w:val="20"/>
                <w:szCs w:val="20"/>
              </w:rPr>
            </w:pPr>
            <w:hyperlink w:anchor="a_017" w:history="1">
              <w:r>
                <w:rPr>
                  <w:rStyle w:val="a4"/>
                  <w:rFonts w:eastAsia="Times New Roman"/>
                  <w:sz w:val="20"/>
                  <w:szCs w:val="20"/>
                </w:rPr>
                <w:t>Other Information.</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16</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215B87">
            <w:pPr>
              <w:rPr>
                <w:rFonts w:eastAsia="Times New Roman"/>
                <w:sz w:val="20"/>
                <w:szCs w:val="20"/>
              </w:rPr>
            </w:pPr>
            <w:hyperlink w:anchor="a_018" w:history="1">
              <w:r>
                <w:rPr>
                  <w:rStyle w:val="a4"/>
                  <w:rFonts w:eastAsia="Times New Roman"/>
                  <w:sz w:val="20"/>
                  <w:szCs w:val="20"/>
                </w:rPr>
                <w:t>Exhibits.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17</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gridSpan w:val="2"/>
            <w:shd w:val="clear" w:color="auto" w:fill="CCEEFF"/>
            <w:hideMark/>
          </w:tcPr>
          <w:p w:rsidR="00000000" w:rsidRDefault="00215B87">
            <w:pPr>
              <w:rPr>
                <w:rFonts w:eastAsia="Times New Roman"/>
                <w:sz w:val="20"/>
                <w:szCs w:val="20"/>
              </w:rPr>
            </w:pPr>
            <w:hyperlink w:anchor="a_019" w:history="1">
              <w:r>
                <w:rPr>
                  <w:rStyle w:val="a4"/>
                  <w:rFonts w:eastAsia="Times New Roman"/>
                  <w:sz w:val="20"/>
                  <w:szCs w:val="20"/>
                </w:rPr>
                <w:t>Signatures</w:t>
              </w:r>
            </w:hyperlink>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18</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853687666"/>
        <w:rPr>
          <w:sz w:val="20"/>
          <w:szCs w:val="20"/>
        </w:rPr>
      </w:pPr>
      <w:r>
        <w:rPr>
          <w:sz w:val="20"/>
          <w:szCs w:val="20"/>
        </w:rPr>
        <w:t>i</w:t>
      </w:r>
    </w:p>
    <w:p w:rsidR="00000000" w:rsidRDefault="00215B87">
      <w:pPr>
        <w:pStyle w:val="a3"/>
        <w:spacing w:before="0" w:beforeAutospacing="0" w:after="0" w:afterAutospacing="0"/>
        <w:divId w:val="833833560"/>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PART I - FINANCIAL INFORMATION</w:t>
      </w:r>
    </w:p>
    <w:p w:rsidR="00000000" w:rsidRDefault="00215B87">
      <w:pPr>
        <w:pStyle w:val="a3"/>
        <w:spacing w:before="0" w:beforeAutospacing="0" w:after="0" w:afterAutospacing="0"/>
        <w:jc w:val="center"/>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1. FINANCIAL STATEMENTS</w:t>
      </w:r>
    </w:p>
    <w:p w:rsidR="00000000" w:rsidRDefault="00215B87">
      <w:pPr>
        <w:pStyle w:val="a3"/>
        <w:spacing w:before="0" w:beforeAutospacing="0" w:after="0" w:afterAutospacing="0"/>
        <w:jc w:val="center"/>
        <w:divId w:val="1196651354"/>
        <w:rPr>
          <w:sz w:val="20"/>
          <w:szCs w:val="20"/>
        </w:rPr>
      </w:pPr>
      <w:r>
        <w:rPr>
          <w:b/>
          <w:bCs/>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 xml:space="preserve">REMSLEEP HOLDINGS, INC. </w:t>
      </w:r>
    </w:p>
    <w:p w:rsidR="00000000" w:rsidRDefault="00215B87">
      <w:pPr>
        <w:pStyle w:val="a3"/>
        <w:spacing w:before="0" w:beforeAutospacing="0" w:after="0" w:afterAutospacing="0"/>
        <w:jc w:val="center"/>
        <w:divId w:val="1196651354"/>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rPr>
          <w:divId w:val="1196651354"/>
        </w:trPr>
        <w:tc>
          <w:tcPr>
            <w:tcW w:w="4500" w:type="pct"/>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hyperlink w:anchor="a_003" w:history="1">
              <w:r>
                <w:rPr>
                  <w:rStyle w:val="a4"/>
                  <w:rFonts w:eastAsia="Times New Roman"/>
                  <w:sz w:val="20"/>
                  <w:szCs w:val="20"/>
                </w:rPr>
                <w:t>Condensed Balance Sheets as of March 31, 2022 (unaudited) and December 31, 2021</w:t>
              </w:r>
            </w:hyperlink>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15B87">
            <w:pPr>
              <w:jc w:val="center"/>
              <w:rPr>
                <w:rFonts w:eastAsia="Times New Roman"/>
                <w:sz w:val="20"/>
                <w:szCs w:val="20"/>
              </w:rPr>
            </w:pPr>
            <w:r>
              <w:rPr>
                <w:rFonts w:eastAsia="Times New Roman"/>
                <w:sz w:val="20"/>
                <w:szCs w:val="20"/>
              </w:rPr>
              <w:t>2</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hyperlink w:anchor="a_004" w:history="1">
              <w:r>
                <w:rPr>
                  <w:rStyle w:val="a4"/>
                  <w:rFonts w:eastAsia="Times New Roman"/>
                  <w:sz w:val="20"/>
                  <w:szCs w:val="20"/>
                </w:rPr>
                <w:t>Condensed Statements of Operations for the Three Months Ended March 31, 2022 and 2021 (unaudited)</w:t>
              </w:r>
            </w:hyperlink>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3</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hyperlink w:anchor="a_005" w:history="1">
              <w:r>
                <w:rPr>
                  <w:rStyle w:val="a4"/>
                  <w:rFonts w:eastAsia="Times New Roman"/>
                  <w:sz w:val="20"/>
                  <w:szCs w:val="20"/>
                </w:rPr>
                <w:t>Condensed Statements of Stockholders’ Equity for the Three Months Ended March 31, 2022 and 2021 (unaudited)</w:t>
              </w:r>
            </w:hyperlink>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4</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hyperlink w:anchor="a_006" w:history="1">
              <w:r>
                <w:rPr>
                  <w:rStyle w:val="a4"/>
                  <w:rFonts w:eastAsia="Times New Roman"/>
                  <w:sz w:val="20"/>
                  <w:szCs w:val="20"/>
                </w:rPr>
                <w:t>Condensed Statements of Cash Flows for the Three Months Ended March 31, 2022 and 2021 (unaudited)</w:t>
              </w:r>
            </w:hyperlink>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5</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hyperlink w:anchor="a_007"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6</w:t>
            </w:r>
          </w:p>
        </w:tc>
      </w:tr>
    </w:tbl>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jc w:val="center"/>
        <w:divId w:val="503783365"/>
        <w:rPr>
          <w:sz w:val="20"/>
          <w:szCs w:val="20"/>
        </w:rPr>
      </w:pPr>
      <w:r>
        <w:rPr>
          <w:sz w:val="20"/>
          <w:szCs w:val="20"/>
        </w:rPr>
        <w:t>1</w:t>
      </w:r>
    </w:p>
    <w:p w:rsidR="00000000" w:rsidRDefault="00215B87">
      <w:pPr>
        <w:pStyle w:val="a3"/>
        <w:spacing w:before="0" w:beforeAutospacing="0" w:after="0" w:afterAutospacing="0"/>
        <w:divId w:val="1538084130"/>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 xml:space="preserve">REMSLEEP HOLDINGS, INC. </w:t>
      </w:r>
      <w:r>
        <w:rPr>
          <w:b/>
          <w:bCs/>
          <w:sz w:val="20"/>
          <w:szCs w:val="20"/>
        </w:rPr>
        <w:br/>
        <w:t>CONDENSED BALANCE SHEETS</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38"/>
        <w:gridCol w:w="50"/>
        <w:gridCol w:w="100"/>
        <w:gridCol w:w="967"/>
        <w:gridCol w:w="67"/>
        <w:gridCol w:w="50"/>
        <w:gridCol w:w="117"/>
        <w:gridCol w:w="1050"/>
        <w:gridCol w:w="67"/>
      </w:tblGrid>
      <w:tr w:rsidR="00000000">
        <w:trPr>
          <w:divId w:val="1196651354"/>
        </w:trPr>
        <w:tc>
          <w:tcPr>
            <w:tcW w:w="0" w:type="auto"/>
            <w:vAlign w:val="bottom"/>
            <w:hideMark/>
          </w:tcPr>
          <w:p w:rsidR="00000000" w:rsidRDefault="00215B87">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 xml:space="preserve">March 31, </w:t>
            </w:r>
            <w:r>
              <w:rPr>
                <w:rFonts w:eastAsia="Times New Roman"/>
                <w:b/>
                <w:bCs/>
                <w:sz w:val="20"/>
                <w:szCs w:val="20"/>
              </w:rPr>
              <w:br/>
              <w:t>2022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 xml:space="preserve">December 31, </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0" w:type="auto"/>
            <w:vAlign w:val="bottom"/>
            <w:hideMark/>
          </w:tcPr>
          <w:p w:rsidR="00000000" w:rsidRDefault="00215B87">
            <w:pPr>
              <w:rPr>
                <w:rFonts w:eastAsia="Times New Roman"/>
                <w:b/>
                <w:bCs/>
                <w:sz w:val="20"/>
                <w:szCs w:val="20"/>
              </w:rPr>
            </w:pPr>
            <w:r>
              <w:rPr>
                <w:rFonts w:eastAsia="Times New Roman"/>
                <w:b/>
                <w:bCs/>
                <w:sz w:val="20"/>
                <w:szCs w:val="20"/>
                <w:u w:val="single"/>
              </w:rPr>
              <w:t>ASSETS</w:t>
            </w:r>
          </w:p>
        </w:tc>
        <w:tc>
          <w:tcPr>
            <w:tcW w:w="0" w:type="auto"/>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20"/>
                <w:szCs w:val="20"/>
              </w:rPr>
              <w:t>(Unaudited)</w:t>
            </w:r>
          </w:p>
        </w:tc>
        <w:tc>
          <w:tcPr>
            <w:tcW w:w="0" w:type="auto"/>
            <w:vAlign w:val="bottom"/>
            <w:hideMark/>
          </w:tcPr>
          <w:p w:rsidR="00000000" w:rsidRDefault="00215B87">
            <w:pPr>
              <w:rPr>
                <w:rFonts w:eastAsia="Times New Roman"/>
                <w:sz w:val="20"/>
                <w:szCs w:val="20"/>
              </w:rPr>
            </w:pPr>
            <w:r>
              <w:rPr>
                <w:rFonts w:eastAsia="Times New Roman"/>
                <w:b/>
                <w:bCs/>
                <w:sz w:val="20"/>
                <w:szCs w:val="20"/>
              </w:rPr>
              <w:t> </w:t>
            </w:r>
          </w:p>
        </w:tc>
        <w:tc>
          <w:tcPr>
            <w:tcW w:w="0" w:type="auto"/>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20"/>
                <w:szCs w:val="20"/>
              </w:rPr>
              <w:t>(Audited)</w:t>
            </w:r>
          </w:p>
        </w:tc>
        <w:tc>
          <w:tcPr>
            <w:tcW w:w="0" w:type="auto"/>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Current assets: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3800" w:type="pct"/>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4,014,578</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3,383,568</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Prepaid</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69,494</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divId w:val="903445621"/>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4,084,072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3,383,568</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Property and equipment, net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113,435</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105,061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Total Assets</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4,207,507</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3,498,629</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b/>
                <w:bCs/>
                <w:sz w:val="20"/>
                <w:szCs w:val="20"/>
                <w:u w:val="single"/>
              </w:rPr>
            </w:pPr>
            <w:r>
              <w:rPr>
                <w:rFonts w:eastAsia="Times New Roman"/>
                <w:b/>
                <w:bCs/>
                <w:sz w:val="20"/>
                <w:szCs w:val="20"/>
                <w:u w:val="single"/>
              </w:rPr>
              <w:t>LIABILITIES AND STOCKHOLDERS’ EQUITY (DEFICIT)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Current Liabilities: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22,941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15,505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Accrued compensation</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48,000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47,000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26,065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41,851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Accrued interest – related party</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73,151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67,505</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Convertible Notes, net of discount of $46,774 and $206,157, respectively</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39,576</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193,243</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Derivative Liability</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76,423</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290,712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 xml:space="preserve">Loan payable – </w:t>
            </w:r>
            <w:r>
              <w:rPr>
                <w:rFonts w:eastAsia="Times New Roman"/>
                <w:sz w:val="20"/>
                <w:szCs w:val="20"/>
              </w:rPr>
              <w:t>related party</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Loans payable</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45,000</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45,000</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Total Liabilities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510,347</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880,007</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Commitments and Contingencies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306549493"/>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404258914"/>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u w:val="single"/>
              </w:rPr>
            </w:pPr>
            <w:r>
              <w:rPr>
                <w:rFonts w:eastAsia="Times New Roman"/>
                <w:sz w:val="20"/>
                <w:szCs w:val="20"/>
                <w:u w:val="single"/>
              </w:rPr>
              <w:t>STOCKHOLDERS’ EQUITY</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Series A preferred stock, $0.001 par value, 5,000,000 shares authorized, 4,000,000 and issued and outstanding</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5,000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5,000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 xml:space="preserve">Series B preferred stock, $0.001 par value, 5,000,000 </w:t>
            </w:r>
            <w:r>
              <w:rPr>
                <w:rFonts w:eastAsia="Times New Roman"/>
                <w:sz w:val="20"/>
                <w:szCs w:val="20"/>
              </w:rPr>
              <w:t>shares authorized, 500,000 shares issued</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Series C preferred stock, $0.001 par value, 5,000,000 shares authorized,</w:t>
            </w:r>
            <w:r>
              <w:rPr>
                <w:rFonts w:eastAsia="Times New Roman"/>
                <w:sz w:val="20"/>
                <w:szCs w:val="20"/>
              </w:rPr>
              <w:t xml:space="preserve"> </w:t>
            </w:r>
            <w:r>
              <w:rPr>
                <w:rFonts w:eastAsia="Times New Roman"/>
                <w:sz w:val="20"/>
                <w:szCs w:val="20"/>
              </w:rPr>
              <w:t>n</w:t>
            </w:r>
            <w:r>
              <w:rPr>
                <w:rFonts w:eastAsia="Times New Roman"/>
                <w:sz w:val="20"/>
                <w:szCs w:val="20"/>
              </w:rPr>
              <w:t>o</w:t>
            </w:r>
            <w:r>
              <w:rPr>
                <w:rFonts w:eastAsia="Times New Roman"/>
                <w:sz w:val="20"/>
                <w:szCs w:val="20"/>
              </w:rPr>
              <w:t xml:space="preserve"> shares issued</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491485478"/>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123109637"/>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lastRenderedPageBreak/>
              <w:t xml:space="preserve">Common stock, $0.001 par value, 3,000,000,000 shares authorized, </w:t>
            </w:r>
            <w:r>
              <w:rPr>
                <w:rFonts w:eastAsia="Times New Roman"/>
                <w:sz w:val="20"/>
                <w:szCs w:val="20"/>
              </w:rPr>
              <w:t>1,452,936,313 and 1,234,008,735 shares issued and outstanding, respectively</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1,452,935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1,234,006</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Discount to common stock</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(94,708</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(94,708</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Additional paid in capital</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13,041,347</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11,865,439</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(10,707,914</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(10,391,615</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TOTAL STOCKHOLDERS’ EQUITY</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3,697,160</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2,618,622</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TOTAL LIABILITIES AND STOCKHOLDERS’ EQUITY</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4,207,507</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3,498,629</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i/>
          <w:iCs/>
          <w:sz w:val="20"/>
          <w:szCs w:val="20"/>
        </w:rPr>
        <w:t>The accompanying notes are an integral part of these unaudited condensed financial statements.</w:t>
      </w:r>
    </w:p>
    <w:p w:rsidR="00000000" w:rsidRDefault="00215B87">
      <w:pPr>
        <w:pStyle w:val="a3"/>
        <w:spacing w:before="0" w:beforeAutospacing="0" w:after="0" w:afterAutospacing="0"/>
        <w:jc w:val="center"/>
        <w:divId w:val="1196651354"/>
        <w:rPr>
          <w:sz w:val="20"/>
          <w:szCs w:val="20"/>
        </w:rPr>
      </w:pPr>
      <w:r>
        <w:rPr>
          <w:i/>
          <w:iCs/>
          <w:sz w:val="20"/>
          <w:szCs w:val="20"/>
        </w:rPr>
        <w:t> </w:t>
      </w:r>
    </w:p>
    <w:p w:rsidR="00000000" w:rsidRDefault="00215B87">
      <w:pPr>
        <w:pStyle w:val="a3"/>
        <w:spacing w:before="0" w:beforeAutospacing="0" w:after="0" w:afterAutospacing="0"/>
        <w:jc w:val="center"/>
        <w:divId w:val="541986638"/>
        <w:rPr>
          <w:sz w:val="20"/>
          <w:szCs w:val="20"/>
        </w:rPr>
      </w:pPr>
      <w:r>
        <w:rPr>
          <w:sz w:val="20"/>
          <w:szCs w:val="20"/>
        </w:rPr>
        <w:t>2</w:t>
      </w:r>
    </w:p>
    <w:p w:rsidR="00000000" w:rsidRDefault="00215B87">
      <w:pPr>
        <w:pStyle w:val="a3"/>
        <w:spacing w:before="0" w:beforeAutospacing="0" w:after="0" w:afterAutospacing="0"/>
        <w:divId w:val="489519270"/>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i/>
          <w:iCs/>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 </w:t>
      </w:r>
      <w:r>
        <w:rPr>
          <w:b/>
          <w:bCs/>
          <w:sz w:val="20"/>
          <w:szCs w:val="20"/>
        </w:rPr>
        <w:t xml:space="preserve">REMSLEEP HOLDINGS, INC. </w:t>
      </w:r>
      <w:r>
        <w:rPr>
          <w:b/>
          <w:bCs/>
          <w:sz w:val="20"/>
          <w:szCs w:val="20"/>
        </w:rPr>
        <w:br/>
        <w:t xml:space="preserve">CONDENSED STATEMENTS OF OPERATIONS </w:t>
      </w:r>
      <w:r>
        <w:rPr>
          <w:b/>
          <w:bCs/>
          <w:sz w:val="20"/>
          <w:szCs w:val="20"/>
        </w:rPr>
        <w:br/>
        <w:t>(UNAUDITED)</w:t>
      </w:r>
    </w:p>
    <w:p w:rsidR="00000000" w:rsidRDefault="00215B87">
      <w:pPr>
        <w:pStyle w:val="a3"/>
        <w:spacing w:before="0" w:beforeAutospacing="0" w:after="0" w:afterAutospacing="0"/>
        <w:jc w:val="center"/>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22"/>
        <w:gridCol w:w="50"/>
        <w:gridCol w:w="100"/>
        <w:gridCol w:w="1150"/>
        <w:gridCol w:w="67"/>
        <w:gridCol w:w="50"/>
        <w:gridCol w:w="100"/>
        <w:gridCol w:w="1000"/>
        <w:gridCol w:w="67"/>
      </w:tblGrid>
      <w:tr w:rsidR="00000000">
        <w:trPr>
          <w:divId w:val="1196651354"/>
        </w:trPr>
        <w:tc>
          <w:tcPr>
            <w:tcW w:w="0" w:type="auto"/>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 xml:space="preserve">For the </w:t>
            </w:r>
            <w:r>
              <w:rPr>
                <w:rFonts w:eastAsia="Times New Roman"/>
                <w:b/>
                <w:bCs/>
                <w:sz w:val="20"/>
                <w:szCs w:val="20"/>
              </w:rPr>
              <w:br/>
              <w:t>Three Months</w:t>
            </w:r>
            <w:r>
              <w:rPr>
                <w:rFonts w:eastAsia="Times New Roman"/>
                <w:b/>
                <w:bCs/>
                <w:sz w:val="20"/>
                <w:szCs w:val="20"/>
              </w:rPr>
              <w:br/>
              <w:t>Ended</w:t>
            </w:r>
            <w:r>
              <w:rPr>
                <w:rFonts w:eastAsia="Times New Roman"/>
                <w:b/>
                <w:bCs/>
                <w:sz w:val="20"/>
                <w:szCs w:val="20"/>
              </w:rPr>
              <w:t> </w:t>
            </w: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Operating Expenses: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3800" w:type="pct"/>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26,000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24,598</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Compensation expense – related party</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21,000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21,000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Development expense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25,667</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74233786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General and administrative</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81,891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48,666</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Total operating expenses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154,558</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94,264</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Loss from operations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(154,558</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(94,264</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Other income (expense):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(173,648</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(166,573</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Default penalty of convertible note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858037419"/>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(162,798</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Loss on issuance of convertible debt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27921459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(442,979</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Change in fair value of derivative</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11,907</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395,148</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Total other expense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(161,741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(377,202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Loss before income taxes</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(316,299</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(471,466</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divId w:val="94326600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divId w:val="530604486"/>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(316,299</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(471,466</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Net loss per share, basic and diluted</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1,383,367,206</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406,969,823</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center"/>
        <w:divId w:val="1196651354"/>
        <w:rPr>
          <w:sz w:val="20"/>
          <w:szCs w:val="20"/>
        </w:rPr>
      </w:pPr>
      <w:r>
        <w:rPr>
          <w:i/>
          <w:iCs/>
          <w:sz w:val="20"/>
          <w:szCs w:val="20"/>
        </w:rPr>
        <w:t> </w:t>
      </w:r>
    </w:p>
    <w:p w:rsidR="00000000" w:rsidRDefault="00215B87">
      <w:pPr>
        <w:pStyle w:val="a3"/>
        <w:spacing w:before="0" w:beforeAutospacing="0" w:after="0" w:afterAutospacing="0"/>
        <w:jc w:val="center"/>
        <w:divId w:val="1196651354"/>
        <w:rPr>
          <w:sz w:val="20"/>
          <w:szCs w:val="20"/>
        </w:rPr>
      </w:pPr>
      <w:r>
        <w:rPr>
          <w:i/>
          <w:iCs/>
          <w:sz w:val="20"/>
          <w:szCs w:val="20"/>
        </w:rPr>
        <w:t>The accompanying notes are an integral part of these unaudited condensed financial statements.</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229800939"/>
        <w:rPr>
          <w:sz w:val="20"/>
          <w:szCs w:val="20"/>
        </w:rPr>
      </w:pPr>
      <w:r>
        <w:rPr>
          <w:sz w:val="20"/>
          <w:szCs w:val="20"/>
        </w:rPr>
        <w:t>3</w:t>
      </w:r>
    </w:p>
    <w:p w:rsidR="00000000" w:rsidRDefault="00215B87">
      <w:pPr>
        <w:pStyle w:val="a3"/>
        <w:spacing w:before="0" w:beforeAutospacing="0" w:after="0" w:afterAutospacing="0"/>
        <w:divId w:val="1974365187"/>
        <w:rPr>
          <w:sz w:val="20"/>
          <w:szCs w:val="20"/>
        </w:rPr>
      </w:pPr>
      <w:r>
        <w:rPr>
          <w:sz w:val="20"/>
          <w:szCs w:val="20"/>
        </w:rPr>
        <w:lastRenderedPageBreak/>
        <w:t> </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REMSLEEP HOLDINGS, INC.</w:t>
      </w:r>
    </w:p>
    <w:p w:rsidR="00000000" w:rsidRDefault="00215B87">
      <w:pPr>
        <w:pStyle w:val="a3"/>
        <w:spacing w:before="0" w:beforeAutospacing="0" w:after="0" w:afterAutospacing="0"/>
        <w:jc w:val="center"/>
        <w:divId w:val="1196651354"/>
        <w:rPr>
          <w:sz w:val="20"/>
          <w:szCs w:val="20"/>
        </w:rPr>
      </w:pPr>
      <w:r>
        <w:rPr>
          <w:b/>
          <w:bCs/>
          <w:sz w:val="20"/>
          <w:szCs w:val="20"/>
        </w:rPr>
        <w:t>STATEMENTS OF STOCKHOLDERS’ EQUITY (DEFICIT)</w:t>
      </w:r>
    </w:p>
    <w:p w:rsidR="00000000" w:rsidRDefault="00215B87">
      <w:pPr>
        <w:pStyle w:val="a3"/>
        <w:spacing w:before="0" w:beforeAutospacing="0" w:after="0" w:afterAutospacing="0"/>
        <w:jc w:val="center"/>
        <w:divId w:val="1196651354"/>
        <w:rPr>
          <w:sz w:val="20"/>
          <w:szCs w:val="20"/>
        </w:rPr>
      </w:pPr>
      <w:r>
        <w:rPr>
          <w:b/>
          <w:bCs/>
          <w:sz w:val="20"/>
          <w:szCs w:val="20"/>
        </w:rPr>
        <w:t>FOR THE THREE MOTHS ENDED MARCH 31, 2022 AND 2021</w:t>
      </w:r>
    </w:p>
    <w:p w:rsidR="00000000" w:rsidRDefault="00215B87">
      <w:pPr>
        <w:pStyle w:val="a3"/>
        <w:spacing w:before="0" w:beforeAutospacing="0" w:after="0" w:afterAutospacing="0"/>
        <w:jc w:val="center"/>
        <w:divId w:val="1196651354"/>
        <w:rPr>
          <w:sz w:val="20"/>
          <w:szCs w:val="20"/>
        </w:rPr>
      </w:pPr>
      <w:r>
        <w:rPr>
          <w:b/>
          <w:bCs/>
          <w:sz w:val="20"/>
          <w:szCs w:val="20"/>
        </w:rPr>
        <w:t>(UNAUDITED)</w:t>
      </w:r>
    </w:p>
    <w:p w:rsidR="00000000" w:rsidRDefault="00215B87">
      <w:pPr>
        <w:pStyle w:val="a3"/>
        <w:spacing w:before="0" w:beforeAutospacing="0" w:after="0" w:afterAutospacing="0"/>
        <w:jc w:val="center"/>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83"/>
        <w:gridCol w:w="40"/>
        <w:gridCol w:w="40"/>
        <w:gridCol w:w="640"/>
        <w:gridCol w:w="40"/>
        <w:gridCol w:w="40"/>
        <w:gridCol w:w="94"/>
        <w:gridCol w:w="467"/>
        <w:gridCol w:w="40"/>
        <w:gridCol w:w="40"/>
        <w:gridCol w:w="40"/>
        <w:gridCol w:w="520"/>
        <w:gridCol w:w="40"/>
        <w:gridCol w:w="40"/>
        <w:gridCol w:w="94"/>
        <w:gridCol w:w="467"/>
        <w:gridCol w:w="40"/>
        <w:gridCol w:w="40"/>
        <w:gridCol w:w="40"/>
        <w:gridCol w:w="920"/>
        <w:gridCol w:w="40"/>
        <w:gridCol w:w="40"/>
        <w:gridCol w:w="80"/>
        <w:gridCol w:w="640"/>
        <w:gridCol w:w="40"/>
        <w:gridCol w:w="40"/>
        <w:gridCol w:w="106"/>
        <w:gridCol w:w="526"/>
        <w:gridCol w:w="54"/>
        <w:gridCol w:w="40"/>
        <w:gridCol w:w="80"/>
        <w:gridCol w:w="774"/>
        <w:gridCol w:w="54"/>
        <w:gridCol w:w="40"/>
        <w:gridCol w:w="152"/>
        <w:gridCol w:w="774"/>
        <w:gridCol w:w="54"/>
        <w:gridCol w:w="40"/>
        <w:gridCol w:w="80"/>
        <w:gridCol w:w="640"/>
        <w:gridCol w:w="54"/>
      </w:tblGrid>
      <w:tr w:rsidR="00000000">
        <w:trPr>
          <w:divId w:val="1196651354"/>
        </w:trPr>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 xml:space="preserve">Series A </w:t>
            </w:r>
            <w:r>
              <w:rPr>
                <w:rFonts w:eastAsia="Times New Roman"/>
                <w:b/>
                <w:bCs/>
                <w:sz w:val="16"/>
                <w:szCs w:val="16"/>
              </w:rPr>
              <w:br/>
            </w:r>
            <w:r>
              <w:rPr>
                <w:rFonts w:eastAsia="Times New Roman"/>
                <w:b/>
                <w:bCs/>
                <w:sz w:val="16"/>
                <w:szCs w:val="16"/>
              </w:rPr>
              <w:t>Preferred Stock</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Series B</w:t>
            </w:r>
            <w:r>
              <w:rPr>
                <w:rFonts w:eastAsia="Times New Roman"/>
                <w:b/>
                <w:bCs/>
                <w:sz w:val="16"/>
                <w:szCs w:val="16"/>
              </w:rPr>
              <w:br/>
              <w:t>Preferred Stock</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Common Stock</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Discount to</w:t>
            </w:r>
            <w:r>
              <w:rPr>
                <w:rFonts w:eastAsia="Times New Roman"/>
                <w:b/>
                <w:bCs/>
                <w:sz w:val="16"/>
                <w:szCs w:val="16"/>
              </w:rPr>
              <w:br/>
              <w:t>Common</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Additional</w:t>
            </w:r>
            <w:r>
              <w:rPr>
                <w:rFonts w:eastAsia="Times New Roman"/>
                <w:b/>
                <w:bCs/>
                <w:sz w:val="16"/>
                <w:szCs w:val="16"/>
              </w:rPr>
              <w:br/>
              <w:t>Paid-in</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Accumulated</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r>
      <w:tr w:rsidR="00000000">
        <w:trPr>
          <w:divId w:val="1196651354"/>
        </w:trPr>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Shares</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Amount</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Shares</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Amount</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Shares</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Amount</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 Stock</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Capital</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Deficit</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Total</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w:t>
            </w:r>
          </w:p>
        </w:tc>
        <w:tc>
          <w:tcPr>
            <w:tcW w:w="0" w:type="auto"/>
            <w:vAlign w:val="bottom"/>
            <w:hideMark/>
          </w:tcPr>
          <w:p w:rsidR="00000000" w:rsidRDefault="00215B87">
            <w:pPr>
              <w:jc w:val="center"/>
              <w:rPr>
                <w:rFonts w:eastAsia="Times New Roman"/>
                <w:sz w:val="20"/>
                <w:szCs w:val="20"/>
              </w:rPr>
            </w:pPr>
            <w:r>
              <w:rPr>
                <w:rFonts w:eastAsia="Times New Roman"/>
                <w:b/>
                <w:bCs/>
                <w:sz w:val="16"/>
                <w:szCs w:val="16"/>
              </w:rPr>
              <w:t> </w:t>
            </w:r>
          </w:p>
        </w:tc>
      </w:tr>
      <w:tr w:rsidR="00215B87">
        <w:trPr>
          <w:divId w:val="1196651354"/>
        </w:trPr>
        <w:tc>
          <w:tcPr>
            <w:tcW w:w="1000" w:type="pct"/>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Balance, December 31, 2021</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5,000,000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1,234,008,735</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1,234,006</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(94,708</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11,865,439</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r>
              <w:rPr>
                <w:rFonts w:eastAsia="Times New Roman"/>
                <w:sz w:val="16"/>
                <w:szCs w:val="16"/>
              </w:rPr>
              <w:t>10,391,615</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250" w:type="pct"/>
            <w:shd w:val="clear" w:color="auto" w:fill="CCEEFF"/>
            <w:vAlign w:val="bottom"/>
            <w:hideMark/>
          </w:tcPr>
          <w:p w:rsidR="00000000" w:rsidRDefault="00215B87">
            <w:pPr>
              <w:jc w:val="right"/>
              <w:rPr>
                <w:rFonts w:eastAsia="Times New Roman"/>
                <w:sz w:val="20"/>
                <w:szCs w:val="20"/>
              </w:rPr>
            </w:pPr>
            <w:r>
              <w:rPr>
                <w:rFonts w:eastAsia="Times New Roman"/>
                <w:sz w:val="16"/>
                <w:szCs w:val="16"/>
              </w:rPr>
              <w:t>2,618,622</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16"/>
                <w:szCs w:val="16"/>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Common stock issued for conversion of debt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776364737"/>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890529703"/>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34,799,374</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34,801</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468743329"/>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505,036</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324696184"/>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539,837</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r>
      <w:tr w:rsidR="00215B87">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Common stock issued for cash</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363286390"/>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310982922"/>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114,000,000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114,000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1597446756"/>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741,000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157305485"/>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855,000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Warrants converted to common stock</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826940237"/>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587034403"/>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70,128,204</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70,128</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392239151"/>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(70,128</w:t>
            </w:r>
          </w:p>
        </w:tc>
        <w:tc>
          <w:tcPr>
            <w:tcW w:w="0" w:type="auto"/>
            <w:vAlign w:val="bottom"/>
            <w:hideMark/>
          </w:tcPr>
          <w:p w:rsidR="00000000" w:rsidRDefault="00215B87">
            <w:pPr>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207913294"/>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32073265"/>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r>
      <w:tr w:rsidR="00215B87">
        <w:trPr>
          <w:divId w:val="1196651354"/>
        </w:trPr>
        <w:tc>
          <w:tcPr>
            <w:tcW w:w="0" w:type="auto"/>
            <w:shd w:val="clear" w:color="auto" w:fill="CCEEFF"/>
            <w:tcMar>
              <w:top w:w="0" w:type="dxa"/>
              <w:left w:w="180" w:type="dxa"/>
              <w:bottom w:w="30" w:type="dxa"/>
              <w:right w:w="0" w:type="dxa"/>
            </w:tcMar>
            <w:vAlign w:val="bottom"/>
            <w:hideMark/>
          </w:tcPr>
          <w:p w:rsidR="00000000" w:rsidRDefault="00215B87">
            <w:pPr>
              <w:ind w:hanging="180"/>
              <w:rPr>
                <w:rFonts w:eastAsia="Times New Roman"/>
                <w:sz w:val="20"/>
                <w:szCs w:val="20"/>
              </w:rPr>
            </w:pPr>
            <w:r>
              <w:rPr>
                <w:rFonts w:eastAsia="Times New Roman"/>
                <w:sz w:val="16"/>
                <w:szCs w:val="16"/>
              </w:rPr>
              <w:t>Net Loss</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divId w:val="88548327"/>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divId w:val="2037806727"/>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divId w:val="1399936232"/>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divId w:val="1917323133"/>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divId w:val="1198548016"/>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(316,299</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(316,299</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w:t>
            </w:r>
          </w:p>
        </w:tc>
      </w:tr>
      <w:tr w:rsidR="00000000">
        <w:trPr>
          <w:divId w:val="1196651354"/>
        </w:trPr>
        <w:tc>
          <w:tcPr>
            <w:tcW w:w="0" w:type="auto"/>
            <w:tcMar>
              <w:top w:w="0" w:type="dxa"/>
              <w:left w:w="180" w:type="dxa"/>
              <w:bottom w:w="80" w:type="dxa"/>
              <w:right w:w="0" w:type="dxa"/>
            </w:tcMar>
            <w:vAlign w:val="bottom"/>
            <w:hideMark/>
          </w:tcPr>
          <w:p w:rsidR="00000000" w:rsidRDefault="00215B87">
            <w:pPr>
              <w:ind w:hanging="180"/>
              <w:rPr>
                <w:rFonts w:eastAsia="Times New Roman"/>
                <w:sz w:val="20"/>
                <w:szCs w:val="20"/>
              </w:rPr>
            </w:pPr>
            <w:r>
              <w:rPr>
                <w:rFonts w:eastAsia="Times New Roman"/>
                <w:sz w:val="16"/>
                <w:szCs w:val="16"/>
              </w:rPr>
              <w:t>Balance, March 31, 2022</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5,000,000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5,000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500,000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500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1,452,936,313</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1,452,935</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(94,708</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(13,041,347</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(10,707,914</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16"/>
                <w:szCs w:val="16"/>
              </w:rPr>
              <w:t>3,697,160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r>
    </w:tbl>
    <w:p w:rsidR="00000000" w:rsidRDefault="00215B87">
      <w:pPr>
        <w:pStyle w:val="a3"/>
        <w:spacing w:before="0" w:beforeAutospacing="0" w:after="0" w:afterAutospacing="0"/>
        <w:jc w:val="center"/>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320"/>
        <w:gridCol w:w="40"/>
        <w:gridCol w:w="40"/>
        <w:gridCol w:w="640"/>
        <w:gridCol w:w="40"/>
        <w:gridCol w:w="40"/>
        <w:gridCol w:w="80"/>
        <w:gridCol w:w="520"/>
        <w:gridCol w:w="40"/>
        <w:gridCol w:w="40"/>
        <w:gridCol w:w="44"/>
        <w:gridCol w:w="568"/>
        <w:gridCol w:w="44"/>
        <w:gridCol w:w="44"/>
        <w:gridCol w:w="140"/>
        <w:gridCol w:w="421"/>
        <w:gridCol w:w="40"/>
        <w:gridCol w:w="40"/>
        <w:gridCol w:w="40"/>
        <w:gridCol w:w="800"/>
        <w:gridCol w:w="40"/>
        <w:gridCol w:w="40"/>
        <w:gridCol w:w="80"/>
        <w:gridCol w:w="520"/>
        <w:gridCol w:w="40"/>
        <w:gridCol w:w="40"/>
        <w:gridCol w:w="81"/>
        <w:gridCol w:w="649"/>
        <w:gridCol w:w="40"/>
        <w:gridCol w:w="40"/>
        <w:gridCol w:w="94"/>
        <w:gridCol w:w="813"/>
        <w:gridCol w:w="54"/>
        <w:gridCol w:w="40"/>
        <w:gridCol w:w="80"/>
        <w:gridCol w:w="574"/>
        <w:gridCol w:w="54"/>
        <w:gridCol w:w="40"/>
        <w:gridCol w:w="6"/>
      </w:tblGrid>
      <w:tr w:rsidR="00000000">
        <w:trPr>
          <w:gridAfter w:val="2"/>
          <w:divId w:val="1196651354"/>
        </w:trPr>
        <w:tc>
          <w:tcPr>
            <w:tcW w:w="0" w:type="auto"/>
            <w:tcMar>
              <w:top w:w="0" w:type="dxa"/>
              <w:left w:w="180" w:type="dxa"/>
              <w:bottom w:w="0" w:type="dxa"/>
              <w:right w:w="0" w:type="dxa"/>
            </w:tcMar>
            <w:vAlign w:val="bottom"/>
            <w:hideMark/>
          </w:tcPr>
          <w:p w:rsidR="00000000" w:rsidRDefault="00215B87">
            <w:pPr>
              <w:ind w:hanging="180"/>
              <w:jc w:val="cente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Series A</w:t>
            </w:r>
            <w:r>
              <w:rPr>
                <w:rFonts w:eastAsia="Times New Roman"/>
                <w:b/>
                <w:bCs/>
                <w:sz w:val="16"/>
                <w:szCs w:val="16"/>
              </w:rPr>
              <w:br/>
              <w:t>PreferredStock</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Series B</w:t>
            </w:r>
            <w:r>
              <w:rPr>
                <w:rFonts w:eastAsia="Times New Roman"/>
                <w:b/>
                <w:bCs/>
                <w:sz w:val="16"/>
                <w:szCs w:val="16"/>
              </w:rPr>
              <w:br/>
              <w:t>PreferredStock</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Additional</w:t>
            </w:r>
            <w:r>
              <w:rPr>
                <w:rFonts w:eastAsia="Times New Roman"/>
                <w:b/>
                <w:bCs/>
                <w:sz w:val="16"/>
                <w:szCs w:val="16"/>
              </w:rPr>
              <w:br/>
              <w:t>Paid-in</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b/>
                <w:bCs/>
                <w:sz w:val="16"/>
                <w:szCs w:val="16"/>
              </w:rPr>
              <w:t xml:space="preserve">Accumulated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vAlign w:val="bottom"/>
            <w:hideMark/>
          </w:tcPr>
          <w:p w:rsidR="00000000" w:rsidRDefault="00215B87">
            <w:pPr>
              <w:rPr>
                <w:rFonts w:eastAsia="Times New Roman"/>
                <w:sz w:val="20"/>
                <w:szCs w:val="20"/>
              </w:rPr>
            </w:pP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jc w:val="cente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Capital</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16"/>
                <w:szCs w:val="16"/>
              </w:rPr>
              <w:t>Total</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gridSpan w:val="2"/>
            <w:vAlign w:val="bottom"/>
            <w:hideMark/>
          </w:tcPr>
          <w:p w:rsidR="00000000" w:rsidRDefault="00215B87">
            <w:pPr>
              <w:jc w:val="cente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center"/>
            <w:hideMark/>
          </w:tcPr>
          <w:p w:rsidR="00000000" w:rsidRDefault="00215B87">
            <w:pPr>
              <w:rPr>
                <w:rFonts w:eastAsia="Times New Roman"/>
                <w:sz w:val="20"/>
                <w:szCs w:val="20"/>
              </w:rPr>
            </w:pPr>
          </w:p>
        </w:tc>
        <w:tc>
          <w:tcPr>
            <w:tcW w:w="0" w:type="auto"/>
            <w:vAlign w:val="center"/>
            <w:hideMark/>
          </w:tcPr>
          <w:p w:rsidR="00000000" w:rsidRDefault="00215B87">
            <w:pPr>
              <w:rPr>
                <w:rFonts w:eastAsia="Times New Roman"/>
                <w:sz w:val="20"/>
                <w:szCs w:val="20"/>
              </w:rPr>
            </w:pPr>
          </w:p>
        </w:tc>
      </w:tr>
      <w:tr w:rsidR="00215B87">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Balance, December 31, 2020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126,000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368,063,606</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368,061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5,200,885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(6,565,942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(870,496</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center"/>
            <w:hideMark/>
          </w:tcPr>
          <w:p w:rsidR="00000000" w:rsidRDefault="00215B87">
            <w:pPr>
              <w:rPr>
                <w:rFonts w:eastAsia="Times New Roman"/>
                <w:sz w:val="20"/>
                <w:szCs w:val="20"/>
              </w:rPr>
            </w:pPr>
          </w:p>
        </w:tc>
        <w:tc>
          <w:tcPr>
            <w:tcW w:w="0" w:type="auto"/>
            <w:shd w:val="clear" w:color="auto" w:fill="CCEEFF"/>
            <w:vAlign w:val="center"/>
            <w:hideMark/>
          </w:tcPr>
          <w:p w:rsidR="00000000" w:rsidRDefault="00215B87">
            <w:pPr>
              <w:rPr>
                <w:rFonts w:eastAsia="Times New Roman"/>
                <w:sz w:val="20"/>
                <w:szCs w:val="20"/>
              </w:rPr>
            </w:pP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Common stock issued for conversion of debt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2140026029"/>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1673994119"/>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288706030"/>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868221772"/>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74,985,965</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74,986</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467,990</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divId w:val="37054008"/>
              <w:rPr>
                <w:rFonts w:eastAsia="Times New Roman"/>
                <w:sz w:val="20"/>
                <w:szCs w:val="20"/>
              </w:rPr>
            </w:pPr>
            <w:r>
              <w:rPr>
                <w:rFonts w:eastAsia="Times New Roman"/>
                <w:sz w:val="16"/>
                <w:szCs w:val="16"/>
              </w:rPr>
              <w:t>—</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bottom"/>
            <w:hideMark/>
          </w:tcPr>
          <w:p w:rsidR="00000000" w:rsidRDefault="00215B87">
            <w:pPr>
              <w:jc w:val="right"/>
              <w:rPr>
                <w:rFonts w:eastAsia="Times New Roman"/>
                <w:sz w:val="20"/>
                <w:szCs w:val="20"/>
              </w:rPr>
            </w:pPr>
            <w:r>
              <w:rPr>
                <w:rFonts w:eastAsia="Times New Roman"/>
                <w:sz w:val="16"/>
                <w:szCs w:val="16"/>
              </w:rPr>
              <w:t>542,976</w:t>
            </w:r>
          </w:p>
        </w:tc>
        <w:tc>
          <w:tcPr>
            <w:tcW w:w="0" w:type="auto"/>
            <w:vAlign w:val="bottom"/>
            <w:hideMark/>
          </w:tcPr>
          <w:p w:rsidR="00000000" w:rsidRDefault="00215B87">
            <w:pPr>
              <w:rPr>
                <w:rFonts w:eastAsia="Times New Roman"/>
                <w:sz w:val="20"/>
                <w:szCs w:val="20"/>
              </w:rPr>
            </w:pPr>
            <w:r>
              <w:rPr>
                <w:rFonts w:eastAsia="Times New Roman"/>
                <w:sz w:val="16"/>
                <w:szCs w:val="16"/>
              </w:rPr>
              <w:t> </w:t>
            </w:r>
          </w:p>
        </w:tc>
        <w:tc>
          <w:tcPr>
            <w:tcW w:w="0" w:type="auto"/>
            <w:vAlign w:val="center"/>
            <w:hideMark/>
          </w:tcPr>
          <w:p w:rsidR="00000000" w:rsidRDefault="00215B87">
            <w:pPr>
              <w:rPr>
                <w:rFonts w:eastAsia="Times New Roman"/>
                <w:sz w:val="20"/>
                <w:szCs w:val="20"/>
              </w:rPr>
            </w:pPr>
          </w:p>
        </w:tc>
        <w:tc>
          <w:tcPr>
            <w:tcW w:w="0" w:type="auto"/>
            <w:vAlign w:val="center"/>
            <w:hideMark/>
          </w:tcPr>
          <w:p w:rsidR="00000000" w:rsidRDefault="00215B87">
            <w:pPr>
              <w:rPr>
                <w:rFonts w:eastAsia="Times New Roman"/>
                <w:sz w:val="20"/>
                <w:szCs w:val="20"/>
              </w:rPr>
            </w:pPr>
          </w:p>
        </w:tc>
      </w:tr>
      <w:tr w:rsidR="00215B87">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Warrants issued with convertible debt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471605474"/>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389424988"/>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196281972"/>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75,070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divId w:val="182595166"/>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16"/>
                <w:szCs w:val="16"/>
              </w:rPr>
              <w:t>75,070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vAlign w:val="center"/>
            <w:hideMark/>
          </w:tcPr>
          <w:p w:rsidR="00000000" w:rsidRDefault="00215B87">
            <w:pPr>
              <w:rPr>
                <w:rFonts w:eastAsia="Times New Roman"/>
                <w:sz w:val="20"/>
                <w:szCs w:val="20"/>
              </w:rPr>
            </w:pPr>
          </w:p>
        </w:tc>
        <w:tc>
          <w:tcPr>
            <w:tcW w:w="0" w:type="auto"/>
            <w:shd w:val="clear" w:color="auto" w:fill="CCEEFF"/>
            <w:vAlign w:val="center"/>
            <w:hideMark/>
          </w:tcPr>
          <w:p w:rsidR="00000000" w:rsidRDefault="00215B87">
            <w:pPr>
              <w:rPr>
                <w:rFonts w:eastAsia="Times New Roman"/>
                <w:sz w:val="20"/>
                <w:szCs w:val="20"/>
              </w:rPr>
            </w:pP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Net Loss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divId w:val="1461460616"/>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divId w:val="1278025648"/>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divId w:val="661931268"/>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divId w:val="1139033541"/>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16"/>
                <w:szCs w:val="16"/>
              </w:rPr>
              <w:t>(471,466</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16"/>
                <w:szCs w:val="16"/>
              </w:rPr>
              <w:t>(471,466</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vAlign w:val="center"/>
            <w:hideMark/>
          </w:tcPr>
          <w:p w:rsidR="00000000" w:rsidRDefault="00215B87">
            <w:pPr>
              <w:rPr>
                <w:rFonts w:eastAsia="Times New Roman"/>
                <w:sz w:val="20"/>
                <w:szCs w:val="20"/>
              </w:rPr>
            </w:pPr>
          </w:p>
        </w:tc>
        <w:tc>
          <w:tcPr>
            <w:tcW w:w="0" w:type="auto"/>
            <w:vAlign w:val="center"/>
            <w:hideMark/>
          </w:tcPr>
          <w:p w:rsidR="00000000" w:rsidRDefault="00215B87">
            <w:pPr>
              <w:rPr>
                <w:rFonts w:eastAsia="Times New Roman"/>
                <w:sz w:val="20"/>
                <w:szCs w:val="20"/>
              </w:rPr>
            </w:pPr>
          </w:p>
        </w:tc>
      </w:tr>
      <w:tr w:rsidR="00215B87">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16"/>
                <w:szCs w:val="16"/>
              </w:rPr>
              <w:t>Balance, March 31, 2021</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5,000,000</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126,000</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500,000</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500</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443,049,571</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443,047</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5,743,945</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w:t>
            </w:r>
            <w:r>
              <w:rPr>
                <w:rFonts w:eastAsia="Times New Roman"/>
                <w:sz w:val="16"/>
                <w:szCs w:val="16"/>
              </w:rPr>
              <w:t>7,037,408</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16"/>
                <w:szCs w:val="16"/>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16"/>
                <w:szCs w:val="16"/>
              </w:rPr>
              <w:t>(723,916</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16"/>
                <w:szCs w:val="16"/>
              </w:rPr>
              <w:t>)</w:t>
            </w:r>
          </w:p>
        </w:tc>
        <w:tc>
          <w:tcPr>
            <w:tcW w:w="0" w:type="auto"/>
            <w:shd w:val="clear" w:color="auto" w:fill="CCEEFF"/>
            <w:vAlign w:val="center"/>
            <w:hideMark/>
          </w:tcPr>
          <w:p w:rsidR="00000000" w:rsidRDefault="00215B87">
            <w:pPr>
              <w:rPr>
                <w:rFonts w:eastAsia="Times New Roman"/>
                <w:sz w:val="20"/>
                <w:szCs w:val="20"/>
              </w:rPr>
            </w:pPr>
          </w:p>
        </w:tc>
        <w:tc>
          <w:tcPr>
            <w:tcW w:w="0" w:type="auto"/>
            <w:shd w:val="clear" w:color="auto" w:fill="CCEEFF"/>
            <w:vAlign w:val="center"/>
            <w:hideMark/>
          </w:tcPr>
          <w:p w:rsidR="00000000" w:rsidRDefault="00215B87">
            <w:pPr>
              <w:rPr>
                <w:rFonts w:eastAsia="Times New Roman"/>
                <w:sz w:val="20"/>
                <w:szCs w:val="20"/>
              </w:rPr>
            </w:pPr>
          </w:p>
        </w:tc>
      </w:tr>
    </w:tbl>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i/>
          <w:iCs/>
          <w:sz w:val="20"/>
          <w:szCs w:val="20"/>
        </w:rPr>
        <w:t>The accompanying notes are an integral part of these unaudited condensed financial statements.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860976850"/>
        <w:rPr>
          <w:sz w:val="20"/>
          <w:szCs w:val="20"/>
        </w:rPr>
      </w:pPr>
      <w:r>
        <w:rPr>
          <w:sz w:val="20"/>
          <w:szCs w:val="20"/>
        </w:rPr>
        <w:t>4</w:t>
      </w:r>
    </w:p>
    <w:p w:rsidR="00000000" w:rsidRDefault="00215B87">
      <w:pPr>
        <w:pStyle w:val="a3"/>
        <w:spacing w:before="0" w:beforeAutospacing="0" w:after="0" w:afterAutospacing="0"/>
        <w:divId w:val="188644980"/>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REMSLEEP HOLDINGS, INC.</w:t>
      </w:r>
    </w:p>
    <w:p w:rsidR="00000000" w:rsidRDefault="00215B87">
      <w:pPr>
        <w:pStyle w:val="a3"/>
        <w:spacing w:before="0" w:beforeAutospacing="0" w:after="0" w:afterAutospacing="0"/>
        <w:jc w:val="center"/>
        <w:divId w:val="1196651354"/>
        <w:rPr>
          <w:sz w:val="20"/>
          <w:szCs w:val="20"/>
        </w:rPr>
      </w:pPr>
      <w:r>
        <w:rPr>
          <w:b/>
          <w:bCs/>
          <w:sz w:val="20"/>
          <w:szCs w:val="20"/>
        </w:rPr>
        <w:t>CONDENSED STATEMENTS OF CASH FLOWS</w:t>
      </w:r>
    </w:p>
    <w:p w:rsidR="00000000" w:rsidRDefault="00215B87">
      <w:pPr>
        <w:pStyle w:val="a3"/>
        <w:spacing w:before="0" w:beforeAutospacing="0" w:after="0" w:afterAutospacing="0"/>
        <w:jc w:val="center"/>
        <w:divId w:val="1196651354"/>
        <w:rPr>
          <w:sz w:val="20"/>
          <w:szCs w:val="20"/>
        </w:rPr>
      </w:pPr>
      <w:r>
        <w:rPr>
          <w:b/>
          <w:bCs/>
          <w:sz w:val="20"/>
          <w:szCs w:val="20"/>
        </w:rPr>
        <w:t>(UNAUDITED)</w:t>
      </w:r>
    </w:p>
    <w:p w:rsidR="00000000" w:rsidRDefault="00215B87">
      <w:pPr>
        <w:pStyle w:val="a3"/>
        <w:spacing w:before="0" w:beforeAutospacing="0" w:after="0" w:afterAutospacing="0"/>
        <w:jc w:val="center"/>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98"/>
        <w:gridCol w:w="68"/>
        <w:gridCol w:w="100"/>
        <w:gridCol w:w="800"/>
        <w:gridCol w:w="68"/>
        <w:gridCol w:w="69"/>
        <w:gridCol w:w="100"/>
        <w:gridCol w:w="734"/>
        <w:gridCol w:w="69"/>
      </w:tblGrid>
      <w:tr w:rsidR="00000000">
        <w:trPr>
          <w:divId w:val="1196651354"/>
        </w:trPr>
        <w:tc>
          <w:tcPr>
            <w:tcW w:w="0" w:type="auto"/>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For the</w:t>
            </w:r>
            <w:r>
              <w:rPr>
                <w:rFonts w:eastAsia="Times New Roman"/>
                <w:b/>
                <w:bCs/>
                <w:sz w:val="20"/>
                <w:szCs w:val="20"/>
              </w:rPr>
              <w:br/>
              <w:t>Three Months</w:t>
            </w:r>
            <w:r>
              <w:rPr>
                <w:rFonts w:eastAsia="Times New Roman"/>
                <w:b/>
                <w:bCs/>
                <w:sz w:val="20"/>
                <w:szCs w:val="20"/>
              </w:rPr>
              <w:br/>
              <w:t>Ended</w:t>
            </w:r>
            <w:r>
              <w:rPr>
                <w:rFonts w:eastAsia="Times New Roman"/>
                <w:b/>
                <w:bCs/>
                <w:sz w:val="20"/>
                <w:szCs w:val="20"/>
              </w:rPr>
              <w:t> </w:t>
            </w: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0" w:type="auto"/>
            <w:vAlign w:val="bottom"/>
            <w:hideMark/>
          </w:tcPr>
          <w:p w:rsidR="00000000" w:rsidRDefault="00215B87">
            <w:pPr>
              <w:jc w:val="center"/>
              <w:rPr>
                <w:rFonts w:eastAsia="Times New Roman"/>
                <w:sz w:val="20"/>
                <w:szCs w:val="20"/>
              </w:rPr>
            </w:pPr>
            <w:r>
              <w:rPr>
                <w:rFonts w:eastAsia="Times New Roman"/>
                <w:b/>
                <w:bCs/>
                <w:sz w:val="20"/>
                <w:szCs w:val="20"/>
              </w:rPr>
              <w:lastRenderedPageBreak/>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3800" w:type="pct"/>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(316,299</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(471,466</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Adjustments to reconcile net loss to net cash used in operations: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16,532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12,890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Change in fair value of derivative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(11,907</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(395,148</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159,383</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138,622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Loss on issuance of convertible debt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126704668"/>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442,979</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Default penalty of convertible note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36930370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162,798</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Changes in Operating Assets and Liabilities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(69,494</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83691636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Accounts payable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7,435</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13,306</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Accrued officer compensation</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Accrued interest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8,619</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22,191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Accrued interest – related party</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5,646</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5,646</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Net cash used in operating activities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(199,085</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(63,182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Cash Flows from Investing Activities: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54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Purchase of equipment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(24,905</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(17,705</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36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Net Cash used in investing activities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(24,905</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(17,705</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Cash Flows from Financing Activities: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Repayment of loans</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91793512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(867</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36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Proceeds from convertible notes payable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2097626372"/>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126,400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Common stock sold for cash</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855,000</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divId w:val="163918954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Net cash provided by financing activities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855,000</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125,533</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Net change in cash</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631,010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44,646</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Cash at beginning of the period</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3,383,568</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114,227</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8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Cash at end of the period</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4,014,578</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158,873</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Supplemental cash flow information:</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360" w:type="dxa"/>
              <w:bottom w:w="80" w:type="dxa"/>
              <w:right w:w="0" w:type="dxa"/>
            </w:tcMar>
            <w:vAlign w:val="bottom"/>
            <w:hideMark/>
          </w:tcPr>
          <w:p w:rsidR="00000000" w:rsidRDefault="00215B87">
            <w:pPr>
              <w:ind w:hanging="180"/>
              <w:rPr>
                <w:rFonts w:eastAsia="Times New Roman"/>
                <w:sz w:val="20"/>
                <w:szCs w:val="20"/>
              </w:rPr>
            </w:pPr>
            <w:r>
              <w:rPr>
                <w:rFonts w:eastAsia="Times New Roman"/>
                <w:sz w:val="20"/>
                <w:szCs w:val="20"/>
              </w:rPr>
              <w:t>Interest paid in cash</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divId w:val="16386497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114</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80" w:type="dxa"/>
              <w:right w:w="0" w:type="dxa"/>
            </w:tcMar>
            <w:vAlign w:val="bottom"/>
            <w:hideMark/>
          </w:tcPr>
          <w:p w:rsidR="00000000" w:rsidRDefault="00215B87">
            <w:pPr>
              <w:ind w:hanging="180"/>
              <w:rPr>
                <w:rFonts w:eastAsia="Times New Roman"/>
                <w:sz w:val="20"/>
                <w:szCs w:val="20"/>
              </w:rPr>
            </w:pPr>
            <w:r>
              <w:rPr>
                <w:rFonts w:eastAsia="Times New Roman"/>
                <w:sz w:val="20"/>
                <w:szCs w:val="20"/>
              </w:rPr>
              <w:t>Taxes paid</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divId w:val="274560531"/>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divId w:val="171535041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Supplemental non-cash disclosure: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360" w:type="dxa"/>
              <w:bottom w:w="80" w:type="dxa"/>
              <w:right w:w="0" w:type="dxa"/>
            </w:tcMar>
            <w:vAlign w:val="bottom"/>
            <w:hideMark/>
          </w:tcPr>
          <w:p w:rsidR="00000000" w:rsidRDefault="00215B87">
            <w:pPr>
              <w:ind w:hanging="180"/>
              <w:rPr>
                <w:rFonts w:eastAsia="Times New Roman"/>
                <w:sz w:val="20"/>
                <w:szCs w:val="20"/>
              </w:rPr>
            </w:pPr>
            <w:r>
              <w:rPr>
                <w:rFonts w:eastAsia="Times New Roman"/>
                <w:sz w:val="20"/>
                <w:szCs w:val="20"/>
              </w:rPr>
              <w:t>Common stock issued for conversion of debt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337,455</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86,915</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i/>
          <w:iCs/>
          <w:sz w:val="20"/>
          <w:szCs w:val="20"/>
        </w:rPr>
        <w:t>The accompanying notes are an integral part of these unaudited condensed financial statements.</w:t>
      </w:r>
      <w:r>
        <w:rPr>
          <w:b/>
          <w:bCs/>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558785593"/>
        <w:rPr>
          <w:sz w:val="20"/>
          <w:szCs w:val="20"/>
        </w:rPr>
      </w:pPr>
      <w:r>
        <w:rPr>
          <w:sz w:val="20"/>
          <w:szCs w:val="20"/>
        </w:rPr>
        <w:t>5</w:t>
      </w:r>
    </w:p>
    <w:p w:rsidR="00000000" w:rsidRDefault="00215B87">
      <w:pPr>
        <w:pStyle w:val="a3"/>
        <w:spacing w:before="0" w:beforeAutospacing="0" w:after="0" w:afterAutospacing="0"/>
        <w:divId w:val="1216546910"/>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REMSLEEP HOLDINGS, INC.</w:t>
      </w:r>
    </w:p>
    <w:p w:rsidR="00000000" w:rsidRDefault="00215B87">
      <w:pPr>
        <w:pStyle w:val="a3"/>
        <w:spacing w:before="0" w:beforeAutospacing="0" w:after="0" w:afterAutospacing="0"/>
        <w:jc w:val="center"/>
        <w:divId w:val="1196651354"/>
        <w:rPr>
          <w:sz w:val="20"/>
          <w:szCs w:val="20"/>
        </w:rPr>
      </w:pPr>
      <w:r>
        <w:rPr>
          <w:b/>
          <w:bCs/>
          <w:sz w:val="20"/>
          <w:szCs w:val="20"/>
        </w:rPr>
        <w:t> </w:t>
      </w:r>
      <w:r>
        <w:rPr>
          <w:b/>
          <w:bCs/>
          <w:sz w:val="20"/>
          <w:szCs w:val="20"/>
        </w:rPr>
        <w:t>NOTES TO CONDENSED FINANCIAL STATEMENTS</w:t>
      </w:r>
    </w:p>
    <w:p w:rsidR="00000000" w:rsidRDefault="00215B87">
      <w:pPr>
        <w:pStyle w:val="a3"/>
        <w:spacing w:before="0" w:beforeAutospacing="0" w:after="0" w:afterAutospacing="0"/>
        <w:jc w:val="center"/>
        <w:divId w:val="1196651354"/>
        <w:rPr>
          <w:sz w:val="20"/>
          <w:szCs w:val="20"/>
        </w:rPr>
      </w:pPr>
      <w:r>
        <w:rPr>
          <w:b/>
          <w:bCs/>
          <w:sz w:val="20"/>
          <w:szCs w:val="20"/>
        </w:rPr>
        <w:t>March 31, 2022</w:t>
      </w:r>
    </w:p>
    <w:p w:rsidR="00000000" w:rsidRDefault="00215B87">
      <w:pPr>
        <w:pStyle w:val="a3"/>
        <w:spacing w:before="0" w:beforeAutospacing="0" w:after="0" w:afterAutospacing="0"/>
        <w:jc w:val="center"/>
        <w:divId w:val="1196651354"/>
        <w:rPr>
          <w:sz w:val="20"/>
          <w:szCs w:val="20"/>
        </w:rPr>
      </w:pPr>
      <w:r>
        <w:rPr>
          <w:b/>
          <w:bCs/>
          <w:sz w:val="20"/>
          <w:szCs w:val="20"/>
        </w:rPr>
        <w:t>(Unaudited)</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NOTE 1 - BACKGROUND</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i/>
          <w:iCs/>
          <w:sz w:val="20"/>
          <w:szCs w:val="20"/>
          <w:u w:val="single"/>
        </w:rPr>
        <w:t>Business Activity</w:t>
      </w:r>
    </w:p>
    <w:p w:rsidR="00000000" w:rsidRDefault="00215B87">
      <w:pPr>
        <w:pStyle w:val="a3"/>
        <w:spacing w:before="0" w:beforeAutospacing="0" w:after="0" w:afterAutospacing="0"/>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REMSleep Holdings, Inc., (the “Company”) was incorporated </w:t>
      </w:r>
      <w:r>
        <w:rPr>
          <w:sz w:val="20"/>
          <w:szCs w:val="20"/>
        </w:rPr>
        <w:t>in the State of Nevada on June 6, 2007. On January 5, 2015 the name of the Company was changed to REMSleep Holdings, Inc. and the business model was changed to reflect the new direction of the Company; to develop and distribute products to help people affe</w:t>
      </w:r>
      <w:r>
        <w:rPr>
          <w:sz w:val="20"/>
          <w:szCs w:val="20"/>
        </w:rPr>
        <w:t>cted by sleep apnea. On May 30, 2015 REMSleep LLC was formally merged into REMSleep Holdings, Inc.</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 xml:space="preserve">NOTE 2 - SUMMARY OF SIGNIFICANT ACCOUNTING POLICIES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i/>
          <w:iCs/>
          <w:sz w:val="20"/>
          <w:szCs w:val="20"/>
          <w:u w:val="single"/>
        </w:rPr>
        <w:t>Basis of Presentation</w:t>
      </w:r>
    </w:p>
    <w:p w:rsidR="00000000" w:rsidRDefault="00215B87">
      <w:pPr>
        <w:pStyle w:val="a3"/>
        <w:spacing w:before="0" w:beforeAutospacing="0" w:after="0" w:afterAutospacing="0"/>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These unaudited condensed financial statements have been prepared in accorda</w:t>
      </w:r>
      <w:r>
        <w:rPr>
          <w:sz w:val="20"/>
          <w:szCs w:val="20"/>
        </w:rPr>
        <w:t>nce with accounting principles generally accepted in the United States of America (“US GAAP”) and the rules and regulations of the Securities and Exchange Commission (“SEC”). These financial statements and the notes attached hereto should be read in conjun</w:t>
      </w:r>
      <w:r>
        <w:rPr>
          <w:sz w:val="20"/>
          <w:szCs w:val="20"/>
        </w:rPr>
        <w:t>ction with the financial statements and notes included in the Company’s 10-K for its fiscal year ended December 31, 2021. In the opinion of the Company, all adjustments, including normal recurring adjustments necessary to present fairly the financial posit</w:t>
      </w:r>
      <w:r>
        <w:rPr>
          <w:sz w:val="20"/>
          <w:szCs w:val="20"/>
        </w:rPr>
        <w:t>ion of the Company, as of March 31, 2022 and the results of its operations and cash flows for the three months then ended have been included. The results of operations for the interim period are not necessarily indicative of the results for the full year e</w:t>
      </w:r>
      <w:r>
        <w:rPr>
          <w:sz w:val="20"/>
          <w:szCs w:val="20"/>
        </w:rPr>
        <w:t>nding December 31, 2022.</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i/>
          <w:iCs/>
          <w:sz w:val="20"/>
          <w:szCs w:val="20"/>
          <w:u w:val="single"/>
        </w:rPr>
        <w:t>Use of Estimates</w:t>
      </w:r>
    </w:p>
    <w:p w:rsidR="00000000" w:rsidRDefault="00215B87">
      <w:pPr>
        <w:pStyle w:val="a3"/>
        <w:spacing w:before="0" w:beforeAutospacing="0" w:after="0" w:afterAutospacing="0"/>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preparation of financial statements in conformity with accounting principles generally accepted in the United States of America requires management to make estimates and assumptions that affect the reported</w:t>
      </w:r>
      <w:r>
        <w:rPr>
          <w:sz w:val="20"/>
          <w:szCs w:val="20"/>
        </w:rPr>
        <w:t xml:space="preserve"> amounts of assets and liabilities at the date of the financial statements and the reported amounts of revenues and expenses during the reporting periods. Actual results could differ from those estimates.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Fair Value of Financial Instruments</w:t>
      </w:r>
    </w:p>
    <w:p w:rsidR="00000000" w:rsidRDefault="00215B87">
      <w:pPr>
        <w:pStyle w:val="a3"/>
        <w:spacing w:before="0" w:beforeAutospacing="0" w:after="0" w:afterAutospacing="0"/>
        <w:jc w:val="both"/>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follows paragraph 825-10-50-10 of the FASB Accounting Standards Codification for disclosures about fair value of its financial instruments and paragraph 820-10-35-37 of the FASB Accounting Standards Codific</w:t>
      </w:r>
      <w:r>
        <w:rPr>
          <w:sz w:val="20"/>
          <w:szCs w:val="20"/>
        </w:rPr>
        <w:t>ation (“Paragraph 820-10-35-37”) to measure the fair value of its financial instruments. Paragraph 820-10-35-37 establishes a framework for measuring fair value in accounting principles generally accepted in the United States of America (U.S. GAAP), and ex</w:t>
      </w:r>
      <w:r>
        <w:rPr>
          <w:sz w:val="20"/>
          <w:szCs w:val="20"/>
        </w:rPr>
        <w:t>pands disclosures about fair value measurements. To increase consistency and comparability in fair value measurements and related disclosures, Paragraph 820-10-35-37 establishes a fair value hierarchy which prioritizes the inputs to valuation techniques us</w:t>
      </w:r>
      <w:r>
        <w:rPr>
          <w:sz w:val="20"/>
          <w:szCs w:val="20"/>
        </w:rPr>
        <w:t>ed to measure fair value into three broad levels. The fair value hierarchy gives the highest priority to quoted prices (unadjusted) in active markets for identical assets or liabilities and the lowest priority to unobservable inputs. The three levels of fa</w:t>
      </w:r>
      <w:r>
        <w:rPr>
          <w:sz w:val="20"/>
          <w:szCs w:val="20"/>
        </w:rPr>
        <w:t>ir value hierarchy defined by Paragraph 820-10-35-37 are described below:</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661"/>
        <w:gridCol w:w="7285"/>
      </w:tblGrid>
      <w:tr w:rsidR="00000000">
        <w:trPr>
          <w:divId w:val="1196651354"/>
        </w:trPr>
        <w:tc>
          <w:tcPr>
            <w:tcW w:w="360" w:type="dxa"/>
            <w:hideMark/>
          </w:tcPr>
          <w:p w:rsidR="00000000" w:rsidRDefault="00215B87">
            <w:pPr>
              <w:rPr>
                <w:rFonts w:eastAsia="Times New Roman"/>
                <w:sz w:val="20"/>
                <w:szCs w:val="20"/>
              </w:rPr>
            </w:pPr>
            <w:r>
              <w:rPr>
                <w:rFonts w:eastAsia="Times New Roman"/>
                <w:sz w:val="20"/>
                <w:szCs w:val="20"/>
              </w:rPr>
              <w:t> </w:t>
            </w:r>
          </w:p>
        </w:tc>
        <w:tc>
          <w:tcPr>
            <w:tcW w:w="360" w:type="dxa"/>
            <w:noWrap/>
            <w:hideMark/>
          </w:tcPr>
          <w:p w:rsidR="00000000" w:rsidRDefault="00215B87">
            <w:pPr>
              <w:jc w:val="both"/>
              <w:rPr>
                <w:rFonts w:eastAsia="Times New Roman"/>
                <w:sz w:val="20"/>
                <w:szCs w:val="20"/>
              </w:rPr>
            </w:pPr>
            <w:r>
              <w:rPr>
                <w:rFonts w:eastAsia="Times New Roman"/>
                <w:sz w:val="20"/>
                <w:szCs w:val="20"/>
              </w:rPr>
              <w:t>Level 1:</w:t>
            </w:r>
          </w:p>
        </w:tc>
        <w:tc>
          <w:tcPr>
            <w:tcW w:w="0" w:type="auto"/>
            <w:hideMark/>
          </w:tcPr>
          <w:p w:rsidR="00000000" w:rsidRDefault="00215B87">
            <w:pPr>
              <w:jc w:val="both"/>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Level 2:</w:t>
            </w:r>
          </w:p>
        </w:tc>
        <w:tc>
          <w:tcPr>
            <w:tcW w:w="0" w:type="auto"/>
            <w:hideMark/>
          </w:tcPr>
          <w:p w:rsidR="00000000" w:rsidRDefault="00215B87">
            <w:pPr>
              <w:jc w:val="both"/>
              <w:rPr>
                <w:rFonts w:eastAsia="Times New Roman"/>
                <w:sz w:val="20"/>
                <w:szCs w:val="20"/>
              </w:rPr>
            </w:pPr>
            <w:r>
              <w:rPr>
                <w:rFonts w:eastAsia="Times New Roman"/>
                <w:sz w:val="20"/>
                <w:szCs w:val="20"/>
              </w:rPr>
              <w:t>Pricing inputs other than quoted prices</w:t>
            </w:r>
            <w:r>
              <w:rPr>
                <w:rFonts w:eastAsia="Times New Roman"/>
                <w:sz w:val="20"/>
                <w:szCs w:val="20"/>
              </w:rPr>
              <w:t xml:space="preserve"> in active markets included in Level 1, which are either directly or indirectly observable as of the reporting date.</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Level 3:</w:t>
            </w:r>
          </w:p>
        </w:tc>
        <w:tc>
          <w:tcPr>
            <w:tcW w:w="0" w:type="auto"/>
            <w:hideMark/>
          </w:tcPr>
          <w:p w:rsidR="00000000" w:rsidRDefault="00215B87">
            <w:pPr>
              <w:jc w:val="both"/>
              <w:rPr>
                <w:rFonts w:eastAsia="Times New Roman"/>
                <w:sz w:val="20"/>
                <w:szCs w:val="20"/>
              </w:rPr>
            </w:pPr>
            <w:r>
              <w:rPr>
                <w:rFonts w:eastAsia="Times New Roman"/>
                <w:sz w:val="20"/>
                <w:szCs w:val="20"/>
              </w:rPr>
              <w:t>Pricing inputs that are generally unobservable inputs and not corroborated by market data.</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carrying amount of the Company’s financial assets and liabilities, such as cash, prepaid expenses and accrued expenses approximate their fair value because of</w:t>
      </w:r>
      <w:r>
        <w:rPr>
          <w:sz w:val="20"/>
          <w:szCs w:val="20"/>
        </w:rPr>
        <w:t xml:space="preserve"> the short maturity of those instruments. The Company’s notes payable approximates the fair value of such instruments as the notes bear interest rates that are consistent with current market rates.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986817583"/>
        <w:rPr>
          <w:sz w:val="20"/>
          <w:szCs w:val="20"/>
        </w:rPr>
      </w:pPr>
      <w:r>
        <w:rPr>
          <w:sz w:val="20"/>
          <w:szCs w:val="20"/>
        </w:rPr>
        <w:t>6</w:t>
      </w:r>
    </w:p>
    <w:p w:rsidR="00000000" w:rsidRDefault="00215B87">
      <w:pPr>
        <w:pStyle w:val="a3"/>
        <w:spacing w:before="0" w:beforeAutospacing="0" w:after="0" w:afterAutospacing="0"/>
        <w:divId w:val="1006442790"/>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The following table classifies the Company’s liabi</w:t>
      </w:r>
      <w:r>
        <w:rPr>
          <w:sz w:val="20"/>
          <w:szCs w:val="20"/>
        </w:rPr>
        <w:t>lities measured at fair value on a recurring basis into the fair value hierarchy as of March 31, 2022 and December 31, 2021:</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March 31, 2022:</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228"/>
        <w:gridCol w:w="78"/>
        <w:gridCol w:w="78"/>
        <w:gridCol w:w="101"/>
        <w:gridCol w:w="743"/>
        <w:gridCol w:w="78"/>
        <w:gridCol w:w="78"/>
        <w:gridCol w:w="101"/>
        <w:gridCol w:w="743"/>
        <w:gridCol w:w="78"/>
        <w:gridCol w:w="78"/>
        <w:gridCol w:w="100"/>
        <w:gridCol w:w="743"/>
        <w:gridCol w:w="79"/>
      </w:tblGrid>
      <w:tr w:rsidR="00000000">
        <w:trPr>
          <w:divId w:val="1196651354"/>
        </w:trPr>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31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15B87">
            <w:pPr>
              <w:jc w:val="right"/>
              <w:divId w:val="1156651567"/>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15B87">
            <w:pPr>
              <w:jc w:val="right"/>
              <w:divId w:val="246697181"/>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76,423</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divId w:val="1618247527"/>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divId w:val="1255745834"/>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76,423</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December 31, 2021:</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228"/>
        <w:gridCol w:w="78"/>
        <w:gridCol w:w="78"/>
        <w:gridCol w:w="101"/>
        <w:gridCol w:w="743"/>
        <w:gridCol w:w="78"/>
        <w:gridCol w:w="78"/>
        <w:gridCol w:w="101"/>
        <w:gridCol w:w="743"/>
        <w:gridCol w:w="78"/>
        <w:gridCol w:w="78"/>
        <w:gridCol w:w="100"/>
        <w:gridCol w:w="743"/>
        <w:gridCol w:w="79"/>
      </w:tblGrid>
      <w:tr w:rsidR="00000000">
        <w:trPr>
          <w:divId w:val="1196651354"/>
        </w:trPr>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Description</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Level 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Level 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Level 3</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31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15B87">
            <w:pPr>
              <w:jc w:val="right"/>
              <w:divId w:val="1393383894"/>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15B87">
            <w:pPr>
              <w:jc w:val="right"/>
              <w:divId w:val="201212840"/>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290,712</w:t>
            </w:r>
          </w:p>
        </w:tc>
        <w:tc>
          <w:tcPr>
            <w:tcW w:w="50" w:type="pct"/>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Total</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divId w:val="698044373"/>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divId w:val="925116414"/>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290,712</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Basic and Diluted Earnings Per Share</w:t>
      </w:r>
    </w:p>
    <w:p w:rsidR="00000000" w:rsidRDefault="00215B87">
      <w:pPr>
        <w:pStyle w:val="a3"/>
        <w:spacing w:before="0" w:beforeAutospacing="0" w:after="0" w:afterAutospacing="0"/>
        <w:jc w:val="both"/>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Net income (loss) per common share is computed pursuant to section 260-10-45 of the FASB Accounting Standards Codification. Basic net income (loss) per common share is computed by dividing net income (loss) by the wei</w:t>
      </w:r>
      <w:r>
        <w:rPr>
          <w:sz w:val="20"/>
          <w:szCs w:val="20"/>
        </w:rPr>
        <w:t>ghted average number of shares of common stock outstanding during the period. Diluted net income (loss) per common share is computed by dividing net income (loss) by the weighted average number of shares of common stock and potentially outstanding shares o</w:t>
      </w:r>
      <w:r>
        <w:rPr>
          <w:sz w:val="20"/>
          <w:szCs w:val="20"/>
        </w:rPr>
        <w:t>f common stock during the period. The weighted average number of common shares outstanding and potentially outstanding common shares assumes that the Company incorporated as of the beginning of the first period presented.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As of March 31, 2022, the Compa</w:t>
      </w:r>
      <w:r>
        <w:rPr>
          <w:sz w:val="20"/>
          <w:szCs w:val="20"/>
        </w:rPr>
        <w:t>ny had 8,680,288 of potentially dilutive shares of common stock from convertible debt, 139,714,286 potentially dilutive shares of common stock warrants, 5,000,000 shares from Series A preferred stock and 50,000,000 from Series B preferred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As of Ma</w:t>
      </w:r>
      <w:r>
        <w:rPr>
          <w:sz w:val="20"/>
          <w:szCs w:val="20"/>
        </w:rPr>
        <w:t>rch 31, 2021, the Company had 73,121,000 of potentially dilutive shares of common stock from convertible debt 170,974,026 potentially dilutive shares of common stock warrants, 5,000,000 shares from Series A preferred stock and 50,000,000 from Series B pref</w:t>
      </w:r>
      <w:r>
        <w:rPr>
          <w:sz w:val="20"/>
          <w:szCs w:val="20"/>
        </w:rPr>
        <w:t>erred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Company’s diluted loss per share is the same as the basic loss per share for all periods, as the inclusion of any potential shares would have had an anti-dilutive effect due to the Company generating a loss in those periods.</w:t>
      </w:r>
    </w:p>
    <w:p w:rsidR="00000000" w:rsidRDefault="00215B87">
      <w:pPr>
        <w:pStyle w:val="a3"/>
        <w:spacing w:before="0" w:beforeAutospacing="0" w:after="0" w:afterAutospacing="0"/>
        <w:divId w:val="1196651354"/>
        <w:rPr>
          <w:sz w:val="20"/>
          <w:szCs w:val="20"/>
        </w:rPr>
      </w:pPr>
      <w:r>
        <w:rPr>
          <w:i/>
          <w:iCs/>
          <w:sz w:val="20"/>
          <w:szCs w:val="20"/>
        </w:rPr>
        <w:t> </w:t>
      </w:r>
    </w:p>
    <w:p w:rsidR="00000000" w:rsidRDefault="00215B87">
      <w:pPr>
        <w:pStyle w:val="a3"/>
        <w:spacing w:before="0" w:beforeAutospacing="0" w:after="0" w:afterAutospacing="0"/>
        <w:divId w:val="1196651354"/>
        <w:rPr>
          <w:sz w:val="20"/>
          <w:szCs w:val="20"/>
        </w:rPr>
      </w:pPr>
      <w:r>
        <w:rPr>
          <w:i/>
          <w:iCs/>
          <w:sz w:val="20"/>
          <w:szCs w:val="20"/>
          <w:u w:val="single"/>
        </w:rPr>
        <w:t>Recently A</w:t>
      </w:r>
      <w:r>
        <w:rPr>
          <w:i/>
          <w:iCs/>
          <w:sz w:val="20"/>
          <w:szCs w:val="20"/>
          <w:u w:val="single"/>
        </w:rPr>
        <w:t>dopted Accounting Pronouncements</w:t>
      </w:r>
    </w:p>
    <w:p w:rsidR="00000000" w:rsidRDefault="00215B87">
      <w:pPr>
        <w:pStyle w:val="a3"/>
        <w:spacing w:before="0" w:beforeAutospacing="0" w:after="0" w:afterAutospacing="0"/>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The Company has implemented all new accounting </w:t>
      </w:r>
      <w:r>
        <w:rPr>
          <w:sz w:val="20"/>
          <w:szCs w:val="20"/>
        </w:rPr>
        <w:t>pronouncements that are in effect. These pronouncements did not have any material impact on the financial statements unless otherwise disclosed, and the Company does not believe that there are any other new accounting pronouncements that have been issued t</w:t>
      </w:r>
      <w:r>
        <w:rPr>
          <w:sz w:val="20"/>
          <w:szCs w:val="20"/>
        </w:rPr>
        <w:t>hat might have a material impact on its financial position or results of operations.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NOTE 3 - GOING CONCERN</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accompanying financial statements have been prepared on a going concern basis, which contemplates the realization of assets and the satisfac</w:t>
      </w:r>
      <w:r>
        <w:rPr>
          <w:sz w:val="20"/>
          <w:szCs w:val="20"/>
        </w:rPr>
        <w:t xml:space="preserve">tion of liabilities in the normal course of business. The Company has an accumulated deficit of $10,707,914 at March 31, 2022, had a net loss of $316,299, and net cash used in operating activities of $199,085 for the three months ended March 31, 2022. The </w:t>
      </w:r>
      <w:r>
        <w:rPr>
          <w:sz w:val="20"/>
          <w:szCs w:val="20"/>
        </w:rPr>
        <w:t>Company’s ability to raise additional capital through the future issuances of common stock and/or debt financing is unknown. The obtainment of additional financing, the successful development of the Company’s contemplated plan of operations, and its transi</w:t>
      </w:r>
      <w:r>
        <w:rPr>
          <w:sz w:val="20"/>
          <w:szCs w:val="20"/>
        </w:rPr>
        <w:t>tion, ultimately, to the attainment of profitable operations are necessary for the Company to continue operations. These conditions and the ability to successfully resolve these factors over the next twelve months raise substantial doubt about the Company’</w:t>
      </w:r>
      <w:r>
        <w:rPr>
          <w:sz w:val="20"/>
          <w:szCs w:val="20"/>
        </w:rPr>
        <w:t>s ability to continue as a going concern. The financial statements of the Company do not include any adjustments that may result from the outcome of these aforementioned uncertainties.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is in the final stages of product development and plans t</w:t>
      </w:r>
      <w:r>
        <w:rPr>
          <w:sz w:val="20"/>
          <w:szCs w:val="20"/>
        </w:rPr>
        <w:t>o begin selling its product in Q2 of 2022. The Company will continue to finance its operations through debt and/or equity financing as needed.</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industry in which we operate depends heavily upon our ability to obtain raw material and manufacture our pr</w:t>
      </w:r>
      <w:r>
        <w:rPr>
          <w:sz w:val="20"/>
          <w:szCs w:val="20"/>
        </w:rPr>
        <w:t>oduct as well as the overall level of consumer and business spending. A sustained deterioration in general economic conditions (including distress in financial markets, turmoil in specific economies around the world, public health crises, and additional go</w:t>
      </w:r>
      <w:r>
        <w:rPr>
          <w:sz w:val="20"/>
          <w:szCs w:val="20"/>
        </w:rPr>
        <w:t>vernment intervention), particularly in the United States, may have a negative financial impact to our Company. Adverse conditions as a result of the global COVID-19 outbreak, have and may continue to impact our manufacturing processes and ultimately our a</w:t>
      </w:r>
      <w:r>
        <w:rPr>
          <w:sz w:val="20"/>
          <w:szCs w:val="20"/>
        </w:rPr>
        <w:t>bility to sell our product.</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450126983"/>
        <w:rPr>
          <w:sz w:val="20"/>
          <w:szCs w:val="20"/>
        </w:rPr>
      </w:pPr>
      <w:r>
        <w:rPr>
          <w:sz w:val="20"/>
          <w:szCs w:val="20"/>
        </w:rPr>
        <w:t>7</w:t>
      </w:r>
    </w:p>
    <w:p w:rsidR="00000000" w:rsidRDefault="00215B87">
      <w:pPr>
        <w:pStyle w:val="a3"/>
        <w:spacing w:before="0" w:beforeAutospacing="0" w:after="0" w:afterAutospacing="0"/>
        <w:divId w:val="878594268"/>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NOTE 4 - PROPERTY &amp; EQUIPMENT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Long lived assets, including property and equipment and certain intangible assets to be held and used by the Company are reviewed for impairment whenever events or changes in circumstances</w:t>
      </w:r>
      <w:r>
        <w:rPr>
          <w:sz w:val="20"/>
          <w:szCs w:val="20"/>
        </w:rPr>
        <w:t xml:space="preserve"> indicate that the carrying value of the assets may not be recoverable. Impairment losses are recognized if expected future cash flows of the related assets are less than their carrying values. Measurement of an impairment loss is based on the fair value o</w:t>
      </w:r>
      <w:r>
        <w:rPr>
          <w:sz w:val="20"/>
          <w:szCs w:val="20"/>
        </w:rPr>
        <w:t>f the asset. Long-lived assets and certain identifiable intangibles to be disposed of are reported at the lower of carrying amount or fair value less cost to sell.</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Property and Equipment and intangible assets are first recorded at cost. Depreciation and/</w:t>
      </w:r>
      <w:r>
        <w:rPr>
          <w:sz w:val="20"/>
          <w:szCs w:val="20"/>
        </w:rPr>
        <w:t>or amortization is computed using the straight-line method over the estimated useful lives of the various classes of assets as follows between three and five years.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Maintenance and repair expenses, as incurred, are charged to expense. Betterments and ren</w:t>
      </w:r>
      <w:r>
        <w:rPr>
          <w:sz w:val="20"/>
          <w:szCs w:val="20"/>
        </w:rPr>
        <w:t>ewals are capitalized in plant and equipment accounts. Cost and accumulated depreciation applicable to items replaced or retired are eliminated from the related accounts with any gain or loss on the disposition included as income.</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Property and equipment</w:t>
      </w:r>
      <w:r>
        <w:rPr>
          <w:sz w:val="20"/>
          <w:szCs w:val="20"/>
        </w:rPr>
        <w:t>, stated at cost, less accumulated depreciation consisted of the following:</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133"/>
        <w:gridCol w:w="50"/>
        <w:gridCol w:w="100"/>
        <w:gridCol w:w="717"/>
        <w:gridCol w:w="67"/>
        <w:gridCol w:w="50"/>
        <w:gridCol w:w="113"/>
        <w:gridCol w:w="1009"/>
        <w:gridCol w:w="67"/>
      </w:tblGrid>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March 31,</w:t>
            </w:r>
            <w:r>
              <w:rPr>
                <w:rFonts w:eastAsia="Times New Roman"/>
                <w:sz w:val="20"/>
                <w:szCs w:val="20"/>
              </w:rPr>
              <w:br/>
              <w:t>2022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December 31,</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3800" w:type="pct"/>
            <w:shd w:val="clear" w:color="auto" w:fill="CCEEFF"/>
            <w:vAlign w:val="bottom"/>
            <w:hideMark/>
          </w:tcPr>
          <w:p w:rsidR="00000000" w:rsidRDefault="00215B87">
            <w:pPr>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27,310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Office equipment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14,522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14,522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29,905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Tooling/Molds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189,490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176,990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(147,792</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(131,260</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Property and equipment, net</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113,435</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105,061</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Depreciation expense</w:t>
      </w:r>
    </w:p>
    <w:p w:rsidR="00000000" w:rsidRDefault="00215B87">
      <w:pPr>
        <w:pStyle w:val="a3"/>
        <w:spacing w:before="0" w:beforeAutospacing="0" w:after="0" w:afterAutospacing="0"/>
        <w:jc w:val="both"/>
        <w:divId w:val="1196651354"/>
        <w:rPr>
          <w:sz w:val="20"/>
          <w:szCs w:val="20"/>
        </w:rPr>
      </w:pPr>
      <w:r>
        <w:rPr>
          <w:i/>
          <w:i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Depreciation expense for the three months ended March 31, 2022 and 2021 was $16,532 and $12,890, respectively.</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NOTE 5 - LOANS PAYABLE</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On October 24, 2017, the Company was notified that a petition had been filed in the Iowa District Court for Polk Count</w:t>
      </w:r>
      <w:r>
        <w:rPr>
          <w:sz w:val="20"/>
          <w:szCs w:val="20"/>
        </w:rPr>
        <w:t>y by a Mr. John M. Wesson for failure to repay a loan. Mr. Wesson had loaned the Company $30,000 and $20,000 on October 24, 2012 and June 12, 2013, respectively. The loans were to accrue interest at 5%. On April 26, 2018, the Company agreed to repay the lo</w:t>
      </w:r>
      <w:r>
        <w:rPr>
          <w:sz w:val="20"/>
          <w:szCs w:val="20"/>
        </w:rPr>
        <w:t>an in full including accrued interest and $5,000 for legal fees. As of March 31, 2022, there is $45,000 and $22,140 of principal and interest due on this loan. As of December 31, 2021, there is $45,000 and $21,549 of principal and interest due on this loan</w:t>
      </w:r>
      <w:r>
        <w:rPr>
          <w:sz w:val="20"/>
          <w:szCs w:val="20"/>
        </w:rPr>
        <w: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NOTE 6 - CONVERTIBLE NOTES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following table summarizes the convertible notes and related activity as of March 31, 2022:</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90"/>
        <w:gridCol w:w="50"/>
        <w:gridCol w:w="912"/>
        <w:gridCol w:w="50"/>
        <w:gridCol w:w="912"/>
        <w:gridCol w:w="50"/>
        <w:gridCol w:w="75"/>
        <w:gridCol w:w="525"/>
        <w:gridCol w:w="167"/>
        <w:gridCol w:w="50"/>
        <w:gridCol w:w="141"/>
        <w:gridCol w:w="981"/>
        <w:gridCol w:w="67"/>
        <w:gridCol w:w="50"/>
        <w:gridCol w:w="101"/>
        <w:gridCol w:w="690"/>
        <w:gridCol w:w="50"/>
        <w:gridCol w:w="50"/>
        <w:gridCol w:w="132"/>
        <w:gridCol w:w="924"/>
        <w:gridCol w:w="100"/>
        <w:gridCol w:w="50"/>
        <w:gridCol w:w="103"/>
        <w:gridCol w:w="719"/>
        <w:gridCol w:w="67"/>
      </w:tblGrid>
      <w:tr w:rsidR="00000000">
        <w:trPr>
          <w:divId w:val="1196651354"/>
        </w:trPr>
        <w:tc>
          <w:tcPr>
            <w:tcW w:w="0" w:type="auto"/>
            <w:tcBorders>
              <w:bottom w:val="single" w:sz="12" w:space="0" w:color="000000"/>
            </w:tcBorders>
            <w:tcMar>
              <w:top w:w="0" w:type="dxa"/>
              <w:left w:w="180" w:type="dxa"/>
              <w:bottom w:w="0" w:type="dxa"/>
              <w:right w:w="0" w:type="dxa"/>
            </w:tcMar>
            <w:vAlign w:val="bottom"/>
            <w:hideMark/>
          </w:tcPr>
          <w:p w:rsidR="00000000" w:rsidRDefault="00215B87">
            <w:pPr>
              <w:ind w:hanging="180"/>
              <w:rPr>
                <w:rFonts w:eastAsia="Times New Roman"/>
                <w:b/>
                <w:bCs/>
                <w:sz w:val="20"/>
                <w:szCs w:val="20"/>
              </w:rPr>
            </w:pPr>
            <w:r>
              <w:rPr>
                <w:rFonts w:eastAsia="Times New Roman"/>
                <w:sz w:val="20"/>
                <w:szCs w:val="20"/>
              </w:rPr>
              <w:t>Note Holder</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Date</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Maturity Date</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Balance</w:t>
            </w:r>
            <w:r>
              <w:rPr>
                <w:rFonts w:eastAsia="Times New Roman"/>
                <w:sz w:val="20"/>
                <w:szCs w:val="20"/>
              </w:rPr>
              <w:br/>
              <w:t>December 31,</w:t>
            </w:r>
            <w:r>
              <w:rPr>
                <w:rFonts w:eastAsia="Times New Roman"/>
                <w:sz w:val="20"/>
                <w:szCs w:val="20"/>
              </w:rPr>
              <w:br/>
              <w:t>2021</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Additions</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 xml:space="preserve">Conversions/ </w:t>
            </w:r>
            <w:r>
              <w:rPr>
                <w:rFonts w:eastAsia="Times New Roman"/>
                <w:sz w:val="20"/>
                <w:szCs w:val="20"/>
              </w:rPr>
              <w:br/>
            </w:r>
            <w:r>
              <w:rPr>
                <w:rFonts w:eastAsia="Times New Roman"/>
                <w:sz w:val="20"/>
                <w:szCs w:val="20"/>
              </w:rPr>
              <w:t>Repayments</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sz w:val="20"/>
                <w:szCs w:val="20"/>
              </w:rPr>
              <w:t>Balance</w:t>
            </w:r>
            <w:r>
              <w:rPr>
                <w:rFonts w:eastAsia="Times New Roman"/>
                <w:sz w:val="20"/>
                <w:szCs w:val="20"/>
              </w:rPr>
              <w:br/>
              <w:t>March 31,</w:t>
            </w:r>
            <w:r>
              <w:rPr>
                <w:rFonts w:eastAsia="Times New Roman"/>
                <w:sz w:val="20"/>
                <w:szCs w:val="20"/>
              </w:rPr>
              <w:br/>
              <w:t>2022</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sz w:val="20"/>
                <w:szCs w:val="20"/>
              </w:rPr>
              <w:t> </w:t>
            </w:r>
          </w:p>
        </w:tc>
      </w:tr>
      <w:tr w:rsidR="00000000">
        <w:trPr>
          <w:divId w:val="1196651354"/>
        </w:trPr>
        <w:tc>
          <w:tcPr>
            <w:tcW w:w="1700" w:type="pct"/>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Granite Global Investments Ltd</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center"/>
              <w:rPr>
                <w:rFonts w:eastAsia="Times New Roman"/>
                <w:sz w:val="20"/>
                <w:szCs w:val="20"/>
              </w:rPr>
            </w:pPr>
            <w:r>
              <w:rPr>
                <w:rFonts w:eastAsia="Times New Roman"/>
                <w:sz w:val="20"/>
                <w:szCs w:val="20"/>
              </w:rPr>
              <w:t>4/7/2021</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center"/>
              <w:rPr>
                <w:rFonts w:eastAsia="Times New Roman"/>
                <w:sz w:val="20"/>
                <w:szCs w:val="20"/>
              </w:rPr>
            </w:pPr>
            <w:r>
              <w:rPr>
                <w:rFonts w:eastAsia="Times New Roman"/>
                <w:sz w:val="20"/>
                <w:szCs w:val="20"/>
              </w:rPr>
              <w:t>4/7/2022</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right"/>
              <w:divId w:val="2121996133"/>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(36,500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215B87">
            <w:pPr>
              <w:jc w:val="right"/>
              <w:divId w:val="43678176"/>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Granite Global Investments Ltd</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4/9/2021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4/9/2022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911429734"/>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(100,000</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34963047"/>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7/22/2021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7/22/2022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48461572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777364911"/>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Power Up Lending Group LTD</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8/26/2021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center"/>
              <w:rPr>
                <w:rFonts w:eastAsia="Times New Roman"/>
                <w:sz w:val="20"/>
                <w:szCs w:val="20"/>
              </w:rPr>
            </w:pPr>
            <w:r>
              <w:rPr>
                <w:rFonts w:eastAsia="Times New Roman"/>
                <w:sz w:val="20"/>
                <w:szCs w:val="20"/>
              </w:rPr>
              <w:t>8/26/2022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58,850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683551893"/>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(58,850</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387021523"/>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Power Up Lending Group LTD</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9/22/2021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9/22/2022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837067578"/>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(58,850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_</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86332318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Power Up Lending Group LTD</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10/12/2021</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10/12/2022</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right"/>
              <w:rPr>
                <w:rFonts w:eastAsia="Times New Roman"/>
                <w:sz w:val="20"/>
                <w:szCs w:val="20"/>
              </w:rPr>
            </w:pPr>
            <w:r>
              <w:rPr>
                <w:rFonts w:eastAsia="Times New Roman"/>
                <w:sz w:val="20"/>
                <w:szCs w:val="20"/>
              </w:rPr>
              <w:t>10</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86,350</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divId w:val="361369545"/>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divId w:val="68428810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86,350</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Total</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399,400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divId w:val="1845591139"/>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(313,050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86,350</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3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gridSpan w:val="4"/>
            <w:tcMar>
              <w:top w:w="0" w:type="dxa"/>
              <w:left w:w="0" w:type="dxa"/>
              <w:bottom w:w="30" w:type="dxa"/>
              <w:right w:w="0" w:type="dxa"/>
            </w:tcMar>
            <w:vAlign w:val="bottom"/>
            <w:hideMark/>
          </w:tcPr>
          <w:p w:rsidR="00000000" w:rsidRDefault="00215B87">
            <w:pPr>
              <w:jc w:val="right"/>
              <w:rPr>
                <w:rFonts w:eastAsia="Times New Roman"/>
                <w:sz w:val="20"/>
                <w:szCs w:val="20"/>
              </w:rPr>
            </w:pPr>
            <w:r>
              <w:rPr>
                <w:rFonts w:eastAsia="Times New Roman"/>
                <w:sz w:val="20"/>
                <w:szCs w:val="20"/>
              </w:rPr>
              <w:t>Less debt discount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(206,157</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(46,774</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180" w:type="dxa"/>
              <w:bottom w:w="80" w:type="dxa"/>
              <w:right w:w="0" w:type="dxa"/>
            </w:tcMar>
            <w:vAlign w:val="bottom"/>
            <w:hideMark/>
          </w:tcPr>
          <w:p w:rsidR="00000000" w:rsidRDefault="00215B87">
            <w:pPr>
              <w:ind w:hanging="18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193,243</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39,576</w:t>
            </w:r>
          </w:p>
        </w:tc>
        <w:tc>
          <w:tcPr>
            <w:tcW w:w="0" w:type="auto"/>
            <w:shd w:val="clear" w:color="auto" w:fill="CCEEFF"/>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72501128"/>
        <w:rPr>
          <w:sz w:val="20"/>
          <w:szCs w:val="20"/>
        </w:rPr>
      </w:pPr>
      <w:r>
        <w:rPr>
          <w:sz w:val="20"/>
          <w:szCs w:val="20"/>
        </w:rPr>
        <w:t>8</w:t>
      </w:r>
    </w:p>
    <w:p w:rsidR="00000000" w:rsidRDefault="00215B87">
      <w:pPr>
        <w:pStyle w:val="a3"/>
        <w:spacing w:before="0" w:beforeAutospacing="0" w:after="0" w:afterAutospacing="0"/>
        <w:divId w:val="191195826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 summary of the activity of the derivative liability for the notes above is as follows:</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trPr>
          <w:divId w:val="1196651354"/>
        </w:trPr>
        <w:tc>
          <w:tcPr>
            <w:tcW w:w="4400" w:type="pct"/>
            <w:shd w:val="clear" w:color="auto" w:fill="CCEEFF"/>
            <w:vAlign w:val="bottom"/>
            <w:hideMark/>
          </w:tcPr>
          <w:p w:rsidR="00000000" w:rsidRDefault="00215B87">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700,719</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Increase to derivative due to new issuances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1,087,302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Decrease to derivative due to conversion/repayments</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(3,098,325</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Derivative loss due to mark to market adjustment</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1,601,016</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290,712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Decrease to derivative due to conversion/repayments</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(202,382</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Derivative gain due to mark to market adjustment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(11,907</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Balance at March 31, 2022</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76,423</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 summary of quantitative information about significant unobservable inputs (Level 3 inputs) used in measuring the Company’s derivative liability that are categorized within Level 3 of the fair value hierarchy as of March 31, 2022 is as follows:</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267"/>
        <w:gridCol w:w="50"/>
        <w:gridCol w:w="100"/>
        <w:gridCol w:w="694"/>
        <w:gridCol w:w="167"/>
        <w:gridCol w:w="50"/>
        <w:gridCol w:w="101"/>
        <w:gridCol w:w="710"/>
        <w:gridCol w:w="167"/>
      </w:tblGrid>
      <w:tr w:rsidR="00000000">
        <w:trPr>
          <w:divId w:val="1196651354"/>
        </w:trPr>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Inputs</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March 31, 2022</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sz w:val="20"/>
                <w:szCs w:val="20"/>
              </w:rPr>
              <w:t>Initial Valuation</w:t>
            </w:r>
          </w:p>
        </w:tc>
        <w:tc>
          <w:tcPr>
            <w:tcW w:w="0" w:type="auto"/>
            <w:tcMar>
              <w:top w:w="0" w:type="dxa"/>
              <w:left w:w="0" w:type="dxa"/>
              <w:bottom w:w="30" w:type="dxa"/>
              <w:right w:w="0" w:type="dxa"/>
            </w:tcMar>
            <w:vAlign w:val="bottom"/>
            <w:hideMark/>
          </w:tcPr>
          <w:p w:rsidR="00000000" w:rsidRDefault="00215B87">
            <w:pPr>
              <w:jc w:val="center"/>
              <w:rPr>
                <w:rFonts w:eastAsia="Times New Roman"/>
                <w:sz w:val="20"/>
                <w:szCs w:val="20"/>
              </w:rPr>
            </w:pPr>
            <w:r>
              <w:rPr>
                <w:rFonts w:eastAsia="Times New Roman"/>
                <w:sz w:val="20"/>
                <w:szCs w:val="20"/>
              </w:rPr>
              <w:t> </w:t>
            </w:r>
          </w:p>
        </w:tc>
      </w:tr>
      <w:tr w:rsidR="00000000">
        <w:trPr>
          <w:divId w:val="1196651354"/>
        </w:trPr>
        <w:tc>
          <w:tcPr>
            <w:tcW w:w="3800" w:type="pct"/>
            <w:shd w:val="clear" w:color="auto" w:fill="CCEEFF"/>
            <w:vAlign w:val="bottom"/>
            <w:hideMark/>
          </w:tcPr>
          <w:p w:rsidR="00000000" w:rsidRDefault="00215B87">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.028</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Conversion price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.0092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0.012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175.09</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233.62</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Risk-free rate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1.06</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.10</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1024581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27584211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Years to maturity</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.52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 summary of quantitative information about significant unobservable inputs (Level 3 inputs) used in measuring the Company’</w:t>
      </w:r>
      <w:r>
        <w:rPr>
          <w:sz w:val="20"/>
          <w:szCs w:val="20"/>
        </w:rPr>
        <w:t>s derivative liability that are categorized within Level 3 of the fair value hierarchy at the time of conversion is as follows:</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522"/>
        <w:gridCol w:w="50"/>
        <w:gridCol w:w="100"/>
        <w:gridCol w:w="1467"/>
        <w:gridCol w:w="167"/>
      </w:tblGrid>
      <w:tr w:rsidR="00000000">
        <w:trPr>
          <w:divId w:val="1196651354"/>
        </w:trPr>
        <w:tc>
          <w:tcPr>
            <w:tcW w:w="0" w:type="auto"/>
            <w:tcBorders>
              <w:bottom w:val="single" w:sz="12" w:space="0" w:color="000000"/>
            </w:tcBorders>
            <w:vAlign w:val="bottom"/>
            <w:hideMark/>
          </w:tcPr>
          <w:p w:rsidR="00000000" w:rsidRDefault="00215B87">
            <w:pPr>
              <w:rPr>
                <w:rFonts w:eastAsia="Times New Roman"/>
                <w:sz w:val="20"/>
                <w:szCs w:val="20"/>
              </w:rPr>
            </w:pPr>
            <w:r>
              <w:rPr>
                <w:rFonts w:eastAsia="Times New Roman"/>
                <w:sz w:val="20"/>
                <w:szCs w:val="20"/>
              </w:rPr>
              <w:t>Inputs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4400" w:type="pct"/>
            <w:shd w:val="clear" w:color="auto" w:fill="CCEEFF"/>
            <w:vAlign w:val="bottom"/>
            <w:hideMark/>
          </w:tcPr>
          <w:p w:rsidR="00000000" w:rsidRDefault="00215B87">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.01 - .02</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Conversion price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.0097 - .01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169.37% – 172.14</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Risk-free rate</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.39% - .93</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Years to maturity</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.49 - .50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development and determination of the unobservable inputs for Level 3 fair value measurements and fair value calculations are the responsibility of the Company’</w:t>
      </w:r>
      <w:r>
        <w:rPr>
          <w:sz w:val="20"/>
          <w:szCs w:val="20"/>
        </w:rPr>
        <w:t>s management.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NOTE 7 - RELATED PARTY TRANSACTIONS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The Company has received support from parties </w:t>
      </w:r>
      <w:r>
        <w:rPr>
          <w:sz w:val="20"/>
          <w:szCs w:val="20"/>
        </w:rPr>
        <w:t>related through common ownership and directorship. These loans are unsecured, and due on demand. As of March 31, 2022 and December 31, 2021, the balance due on these loans is $179,191 and $179,191, respectively. Beginning on January 1, 2019, the balance du</w:t>
      </w:r>
      <w:r>
        <w:rPr>
          <w:sz w:val="20"/>
          <w:szCs w:val="20"/>
        </w:rPr>
        <w:t>e accrues interest at 12.5%. As of March 31, 2022, total accrued interest is $73,151.</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executed a new employment agreement with Mr. Wood on April 1, 2019. Per the terms of the agreement Mr. Wood is to be compensated $4,000 per month. The agree</w:t>
      </w:r>
      <w:r>
        <w:rPr>
          <w:sz w:val="20"/>
          <w:szCs w:val="20"/>
        </w:rPr>
        <w:t>ment expired on April 1, 2020 and has been renewed for two more years. As of March 31, 2022 and December 31, 2021, there is $0 and $2,000 of accrued compensation, respectively, due to Mr. Wood. During the three months ended March 31, 2022 and 2021, cash pa</w:t>
      </w:r>
      <w:r>
        <w:rPr>
          <w:sz w:val="20"/>
          <w:szCs w:val="20"/>
        </w:rPr>
        <w:t>yments of $14,000 and $16,000, respectively, were paid to Mr. Wood.</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259871791"/>
        <w:rPr>
          <w:sz w:val="20"/>
          <w:szCs w:val="20"/>
        </w:rPr>
      </w:pPr>
      <w:r>
        <w:rPr>
          <w:sz w:val="20"/>
          <w:szCs w:val="20"/>
        </w:rPr>
        <w:t>9</w:t>
      </w:r>
    </w:p>
    <w:p w:rsidR="00000000" w:rsidRDefault="00215B87">
      <w:pPr>
        <w:pStyle w:val="a3"/>
        <w:spacing w:before="0" w:beforeAutospacing="0" w:after="0" w:afterAutospacing="0"/>
        <w:divId w:val="2055152381"/>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executed an employment agreement with its Chairman, Russell Bird, on January 1, 2019. Per the terms of the agreement, which is effective for one year, Mr. Bird is to be</w:t>
      </w:r>
      <w:r>
        <w:rPr>
          <w:sz w:val="20"/>
          <w:szCs w:val="20"/>
        </w:rPr>
        <w:t xml:space="preserve"> compensated $3,000 per month. As of March 31, 2022 and December 31, 2021, there is $48,000 and $45,000 of accrued compensation, respectively, due to Mr. Bird. Mr. Bird’s employment agreement has been renewed in 2020 for two more years. During the three mo</w:t>
      </w:r>
      <w:r>
        <w:rPr>
          <w:sz w:val="20"/>
          <w:szCs w:val="20"/>
        </w:rPr>
        <w:t>nths ended March 31, 2022 and 2021, cash payments of $6,000 and $0, respectively, were paid to Mr. Bird.</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has entered into an at-will consulting agreement with Jonathan Lane to serve as Chief Technology Officer. During the three months ended M</w:t>
      </w:r>
      <w:r>
        <w:rPr>
          <w:sz w:val="20"/>
          <w:szCs w:val="20"/>
        </w:rPr>
        <w:t>arch 31, 2022 and 2021, the Company made cash payments to Mr. Lane of $10,000 and $3,000, respectively.</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ended March 31, 2022 and, 2021, the Company paid $7,500 and $7,000, respectively, to the brother of the CEO for services relat</w:t>
      </w:r>
      <w:r>
        <w:rPr>
          <w:sz w:val="20"/>
          <w:szCs w:val="20"/>
        </w:rPr>
        <w:t>ed to development of the Company’s product.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ended March 31, 2022 and 2021, the Company paid $4,000 and $3,000, respectively, to the son of the CEO for website design services.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NOTE 8 - COMMON STOCK</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w:t>
      </w:r>
      <w:r>
        <w:rPr>
          <w:sz w:val="20"/>
          <w:szCs w:val="20"/>
        </w:rPr>
        <w:t>d March 31, 2022, Granite Global Value converted $152,880 of principal and interest into 16,146,666 shares of common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ended March 31, 2022, Power Up Lending Group LTD converted $184,575 of principal and interest into 18,652,</w:t>
      </w:r>
      <w:r>
        <w:rPr>
          <w:sz w:val="20"/>
          <w:szCs w:val="20"/>
        </w:rPr>
        <w:t>708 shares of common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ended March 31, 2022, the Company issued 70,128,204 shares of common stock for the conversion of warrants.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During the three months ended </w:t>
      </w:r>
      <w:r>
        <w:rPr>
          <w:sz w:val="20"/>
          <w:szCs w:val="20"/>
        </w:rPr>
        <w:t>March 31, 2022, the Company sold 114,000,000 shares of common stock for total cash proceeds of $855,000. The shares were sold pursuant to its Tier 2 of Regulation A Offering Statement.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NOTE 9 - PREFERRED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is currently authorized to iss</w:t>
      </w:r>
      <w:r>
        <w:rPr>
          <w:sz w:val="20"/>
          <w:szCs w:val="20"/>
        </w:rPr>
        <w:t>ue 5,000,000 shares of Series A Preferred Stock, par value $0.001 per share value with 1:25 voting rights. The Series A Preferred Stock ranks equal to the common stock on liquidation, pays no dividend and is convertible to common stock for one share of com</w:t>
      </w:r>
      <w:r>
        <w:rPr>
          <w:sz w:val="20"/>
          <w:szCs w:val="20"/>
        </w:rPr>
        <w:t>mon for one share of Series A Preferred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The Company is currently authorized to issue 5,000,000 shares of Series B Preferred Stock, par value $0.001 per share. Each share of Series B Preferred Stock has a 1:100 voting right and is convertible into </w:t>
      </w:r>
      <w:r>
        <w:rPr>
          <w:sz w:val="20"/>
          <w:szCs w:val="20"/>
        </w:rPr>
        <w:t>100 shares of common stock. No dividends will be paid and in the event of liquidation all shares of Series B will automatically convert into common stock. There are 500,000 shares of Series B Preferred Stock issued and outstanding.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Company is current</w:t>
      </w:r>
      <w:r>
        <w:rPr>
          <w:sz w:val="20"/>
          <w:szCs w:val="20"/>
        </w:rPr>
        <w:t>ly authorized to issue 5,000,000 shares of Series C Preferred Stock, par value $0.001 per share value. Each share of Series C Preferred Stock has a 1:50 voting right and is convertible into 50 shares of common stock. No dividends will be paid and in the ev</w:t>
      </w:r>
      <w:r>
        <w:rPr>
          <w:sz w:val="20"/>
          <w:szCs w:val="20"/>
        </w:rPr>
        <w:t>ent of liquidation all shares of Series C will automatically convert into common stock. There are no shares of Series C Preferred Stock issued and outstanding.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653679527"/>
        <w:rPr>
          <w:sz w:val="20"/>
          <w:szCs w:val="20"/>
        </w:rPr>
      </w:pPr>
      <w:r>
        <w:rPr>
          <w:sz w:val="20"/>
          <w:szCs w:val="20"/>
        </w:rPr>
        <w:t>1</w:t>
      </w:r>
      <w:r>
        <w:rPr>
          <w:sz w:val="20"/>
          <w:szCs w:val="20"/>
        </w:rPr>
        <w:t>0</w:t>
      </w:r>
    </w:p>
    <w:p w:rsidR="00000000" w:rsidRDefault="00215B87">
      <w:pPr>
        <w:pStyle w:val="a3"/>
        <w:spacing w:before="0" w:beforeAutospacing="0" w:after="0" w:afterAutospacing="0"/>
        <w:divId w:val="213009917"/>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NOTE 10 - WARRANTS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 summary of the status of the Company’s outstanding stock warrant</w:t>
      </w:r>
      <w:r>
        <w:rPr>
          <w:sz w:val="20"/>
          <w:szCs w:val="20"/>
        </w:rPr>
        <w:t>s and changes during the year is presented below:</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4"/>
        <w:gridCol w:w="50"/>
        <w:gridCol w:w="50"/>
        <w:gridCol w:w="1000"/>
        <w:gridCol w:w="67"/>
        <w:gridCol w:w="50"/>
        <w:gridCol w:w="101"/>
        <w:gridCol w:w="740"/>
        <w:gridCol w:w="50"/>
        <w:gridCol w:w="50"/>
        <w:gridCol w:w="94"/>
        <w:gridCol w:w="840"/>
        <w:gridCol w:w="50"/>
        <w:gridCol w:w="50"/>
        <w:gridCol w:w="100"/>
        <w:gridCol w:w="800"/>
        <w:gridCol w:w="50"/>
      </w:tblGrid>
      <w:tr w:rsidR="00000000">
        <w:trPr>
          <w:divId w:val="1196651354"/>
        </w:trPr>
        <w:tc>
          <w:tcPr>
            <w:tcW w:w="0" w:type="auto"/>
            <w:vAlign w:val="bottom"/>
            <w:hideMark/>
          </w:tcPr>
          <w:p w:rsidR="00000000" w:rsidRDefault="00215B87">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Number of</w:t>
            </w:r>
            <w:r>
              <w:rPr>
                <w:rFonts w:eastAsia="Times New Roman"/>
                <w:b/>
                <w:bCs/>
                <w:sz w:val="20"/>
                <w:szCs w:val="20"/>
              </w:rPr>
              <w:br/>
              <w:t>Warrants</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Remaining</w:t>
            </w:r>
            <w:r>
              <w:rPr>
                <w:rFonts w:eastAsia="Times New Roman"/>
                <w:b/>
                <w:bCs/>
                <w:sz w:val="20"/>
                <w:szCs w:val="20"/>
              </w:rPr>
              <w:br/>
              <w:t>Contract</w:t>
            </w:r>
            <w:r>
              <w:rPr>
                <w:rFonts w:eastAsia="Times New Roman"/>
                <w:b/>
                <w:bCs/>
                <w:sz w:val="20"/>
                <w:szCs w:val="20"/>
              </w:rPr>
              <w:br/>
              <w:t>Term</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sz w:val="20"/>
                <w:szCs w:val="20"/>
              </w:rPr>
            </w:pPr>
            <w:r>
              <w:rPr>
                <w:rFonts w:eastAsia="Times New Roman"/>
                <w:b/>
                <w:bCs/>
                <w:sz w:val="20"/>
                <w:szCs w:val="20"/>
              </w:rPr>
              <w:t>Aggregate</w:t>
            </w:r>
            <w:r>
              <w:rPr>
                <w:rFonts w:eastAsia="Times New Roman"/>
                <w:b/>
                <w:bCs/>
                <w:sz w:val="20"/>
                <w:szCs w:val="20"/>
              </w:rPr>
              <w:br/>
              <w:t>Intrinsic</w:t>
            </w:r>
            <w:r>
              <w:rPr>
                <w:rFonts w:eastAsia="Times New Roman"/>
                <w:b/>
                <w:bCs/>
                <w:sz w:val="20"/>
                <w:szCs w:val="20"/>
              </w:rPr>
              <w:br/>
              <w:t>Value</w:t>
            </w:r>
          </w:p>
        </w:tc>
        <w:tc>
          <w:tcPr>
            <w:tcW w:w="0" w:type="auto"/>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b/>
                <w:bCs/>
                <w:sz w:val="20"/>
                <w:szCs w:val="20"/>
              </w:rPr>
              <w:t> </w:t>
            </w:r>
          </w:p>
        </w:tc>
      </w:tr>
      <w:tr w:rsidR="00000000">
        <w:trPr>
          <w:divId w:val="1196651354"/>
        </w:trPr>
        <w:tc>
          <w:tcPr>
            <w:tcW w:w="2600" w:type="pct"/>
            <w:shd w:val="clear" w:color="auto" w:fill="CCEEFF"/>
            <w:vAlign w:val="bottom"/>
            <w:hideMark/>
          </w:tcPr>
          <w:p w:rsidR="00000000" w:rsidRDefault="00215B87">
            <w:pPr>
              <w:rPr>
                <w:rFonts w:eastAsia="Times New Roman"/>
                <w:sz w:val="20"/>
                <w:szCs w:val="20"/>
              </w:rPr>
            </w:pPr>
            <w:r>
              <w:rPr>
                <w:rFonts w:eastAsia="Times New Roman"/>
                <w:sz w:val="20"/>
                <w:szCs w:val="20"/>
              </w:rPr>
              <w:t>Exercisable at December 31, 2020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215B87">
            <w:pPr>
              <w:jc w:val="right"/>
              <w:divId w:val="404228323"/>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Granted</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201,500,000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0.0029</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4.62</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divId w:val="1732579751"/>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Expired</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896353146"/>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divId w:val="122409843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907962580"/>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divId w:val="63815279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Increased for adjustment</w:t>
            </w:r>
            <w:r>
              <w:rPr>
                <w:rFonts w:eastAsia="Times New Roman"/>
                <w:sz w:val="20"/>
                <w:szCs w:val="20"/>
                <w:vertAlign w:val="superscript"/>
              </w:rPr>
              <w:t>(1)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12,012,987</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divId w:val="2102334126"/>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566501495"/>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divId w:val="2108963272"/>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(2,987,013</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15B87">
            <w:pPr>
              <w:jc w:val="right"/>
              <w:divId w:val="1368987578"/>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divId w:val="125216042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15B87">
            <w:pPr>
              <w:jc w:val="right"/>
              <w:divId w:val="117912414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vAlign w:val="bottom"/>
            <w:hideMark/>
          </w:tcPr>
          <w:p w:rsidR="00000000" w:rsidRDefault="00215B87">
            <w:pPr>
              <w:rPr>
                <w:rFonts w:eastAsia="Times New Roman"/>
                <w:sz w:val="20"/>
                <w:szCs w:val="20"/>
              </w:rPr>
            </w:pPr>
            <w:r>
              <w:rPr>
                <w:rFonts w:eastAsia="Times New Roman"/>
                <w:sz w:val="20"/>
                <w:szCs w:val="20"/>
              </w:rPr>
              <w:t>Exercisable at December 31, 2021</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226,500,000</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0.0013</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rPr>
                <w:rFonts w:eastAsia="Times New Roman"/>
                <w:sz w:val="20"/>
                <w:szCs w:val="20"/>
              </w:rPr>
            </w:pPr>
            <w:r>
              <w:rPr>
                <w:rFonts w:eastAsia="Times New Roman"/>
                <w:sz w:val="20"/>
                <w:szCs w:val="20"/>
              </w:rPr>
              <w:t>3.78</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divId w:val="821193671"/>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Granted</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1451166115"/>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divId w:val="1252163417"/>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jc w:val="right"/>
              <w:divId w:val="589199214"/>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jc w:val="right"/>
              <w:divId w:val="1570384462"/>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180" w:type="dxa"/>
              <w:bottom w:w="0" w:type="dxa"/>
              <w:right w:w="0" w:type="dxa"/>
            </w:tcMar>
            <w:vAlign w:val="bottom"/>
            <w:hideMark/>
          </w:tcPr>
          <w:p w:rsidR="00000000" w:rsidRDefault="00215B87">
            <w:pPr>
              <w:rPr>
                <w:rFonts w:eastAsia="Times New Roman"/>
                <w:sz w:val="20"/>
                <w:szCs w:val="20"/>
              </w:rPr>
            </w:pPr>
            <w:r>
              <w:rPr>
                <w:rFonts w:eastAsia="Times New Roman"/>
                <w:sz w:val="20"/>
                <w:szCs w:val="20"/>
              </w:rPr>
              <w:t>Expired</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190454527"/>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divId w:val="1000549056"/>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jc w:val="right"/>
              <w:divId w:val="228543528"/>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c>
          <w:tcPr>
            <w:tcW w:w="0" w:type="auto"/>
            <w:vAlign w:val="bottom"/>
            <w:hideMark/>
          </w:tcPr>
          <w:p w:rsidR="00000000" w:rsidRDefault="00215B87">
            <w:pPr>
              <w:rPr>
                <w:rFonts w:eastAsia="Times New Roman"/>
                <w:sz w:val="20"/>
                <w:szCs w:val="20"/>
              </w:rPr>
            </w:pPr>
            <w:r>
              <w:rPr>
                <w:rFonts w:eastAsia="Times New Roman"/>
                <w:sz w:val="20"/>
                <w:szCs w:val="20"/>
              </w:rPr>
              <w:t>$</w:t>
            </w:r>
          </w:p>
        </w:tc>
        <w:tc>
          <w:tcPr>
            <w:tcW w:w="0" w:type="auto"/>
            <w:vAlign w:val="bottom"/>
            <w:hideMark/>
          </w:tcPr>
          <w:p w:rsidR="00000000" w:rsidRDefault="00215B87">
            <w:pPr>
              <w:jc w:val="right"/>
              <w:divId w:val="866332049"/>
              <w:rPr>
                <w:rFonts w:eastAsia="Times New Roman"/>
                <w:sz w:val="20"/>
                <w:szCs w:val="20"/>
              </w:rPr>
            </w:pPr>
            <w:r>
              <w:rPr>
                <w:rFonts w:eastAsia="Times New Roman"/>
                <w:sz w:val="20"/>
                <w:szCs w:val="20"/>
              </w:rPr>
              <w:t>—</w:t>
            </w:r>
          </w:p>
        </w:tc>
        <w:tc>
          <w:tcPr>
            <w:tcW w:w="0" w:type="auto"/>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shd w:val="clear" w:color="auto" w:fill="CCEEFF"/>
            <w:tcMar>
              <w:top w:w="0" w:type="dxa"/>
              <w:left w:w="18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Exercised</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rPr>
                <w:rFonts w:eastAsia="Times New Roman"/>
                <w:sz w:val="20"/>
                <w:szCs w:val="20"/>
              </w:rPr>
            </w:pPr>
            <w:r>
              <w:rPr>
                <w:rFonts w:eastAsia="Times New Roman"/>
                <w:sz w:val="20"/>
                <w:szCs w:val="20"/>
              </w:rPr>
              <w:t>(60,000,000</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15B87">
            <w:pPr>
              <w:jc w:val="right"/>
              <w:divId w:val="89347136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jc w:val="right"/>
              <w:divId w:val="772745070"/>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215B87">
            <w:pPr>
              <w:jc w:val="right"/>
              <w:divId w:val="107701951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Exercisable at March 31, 2022</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166,500,000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0.0023</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jc w:val="right"/>
              <w:rPr>
                <w:rFonts w:eastAsia="Times New Roman"/>
                <w:sz w:val="20"/>
                <w:szCs w:val="20"/>
              </w:rPr>
            </w:pPr>
            <w:r>
              <w:rPr>
                <w:rFonts w:eastAsia="Times New Roman"/>
                <w:sz w:val="20"/>
                <w:szCs w:val="20"/>
              </w:rPr>
              <w:t>3.89</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rsidR="00000000" w:rsidRDefault="00215B87">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rsidR="00000000" w:rsidRDefault="00215B87">
            <w:pPr>
              <w:pStyle w:val="a3"/>
              <w:spacing w:before="0" w:beforeAutospacing="0" w:after="0" w:afterAutospacing="0"/>
              <w:jc w:val="right"/>
              <w:rPr>
                <w:sz w:val="20"/>
                <w:szCs w:val="20"/>
              </w:rPr>
            </w:pPr>
            <w:r>
              <w:rPr>
                <w:sz w:val="20"/>
                <w:szCs w:val="20"/>
              </w:rPr>
              <w:t>1,956,000</w:t>
            </w:r>
          </w:p>
        </w:tc>
        <w:tc>
          <w:tcPr>
            <w:tcW w:w="0" w:type="auto"/>
            <w:tcMar>
              <w:top w:w="0" w:type="dxa"/>
              <w:left w:w="0" w:type="dxa"/>
              <w:bottom w:w="80" w:type="dxa"/>
              <w:right w:w="0" w:type="dxa"/>
            </w:tcMar>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
        <w:gridCol w:w="1907"/>
        <w:gridCol w:w="80"/>
        <w:gridCol w:w="80"/>
        <w:gridCol w:w="80"/>
        <w:gridCol w:w="1824"/>
        <w:gridCol w:w="80"/>
        <w:gridCol w:w="80"/>
        <w:gridCol w:w="81"/>
        <w:gridCol w:w="1825"/>
        <w:gridCol w:w="81"/>
        <w:gridCol w:w="81"/>
        <w:gridCol w:w="101"/>
        <w:gridCol w:w="1825"/>
        <w:gridCol w:w="81"/>
      </w:tblGrid>
      <w:tr w:rsidR="00000000">
        <w:trPr>
          <w:divId w:val="1196651354"/>
        </w:trPr>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b/>
                <w:bCs/>
                <w:sz w:val="20"/>
                <w:szCs w:val="20"/>
              </w:rPr>
              <w:t>Range of Exercise Prices</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b/>
                <w:bCs/>
                <w:sz w:val="20"/>
                <w:szCs w:val="20"/>
              </w:rPr>
              <w:t>Number Outstanding 3/31/2022</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b/>
                <w:bCs/>
                <w:sz w:val="20"/>
                <w:szCs w:val="20"/>
              </w:rPr>
              <w:t>Weighted Average Remaining Contractual Life</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215B87">
            <w:pPr>
              <w:jc w:val="center"/>
              <w:rPr>
                <w:rFonts w:eastAsia="Times New Roman"/>
                <w:b/>
                <w:bCs/>
                <w:sz w:val="20"/>
                <w:szCs w:val="20"/>
              </w:rPr>
            </w:pPr>
            <w:r>
              <w:rPr>
                <w:rFonts w:eastAsia="Times New Roman"/>
                <w:b/>
                <w:bCs/>
                <w:sz w:val="20"/>
                <w:szCs w:val="20"/>
              </w:rPr>
              <w:t>Weighted Average Exercise Price</w:t>
            </w:r>
          </w:p>
        </w:tc>
        <w:tc>
          <w:tcPr>
            <w:tcW w:w="0" w:type="auto"/>
            <w:tcMar>
              <w:top w:w="0" w:type="dxa"/>
              <w:left w:w="0" w:type="dxa"/>
              <w:bottom w:w="30" w:type="dxa"/>
              <w:right w:w="0" w:type="dxa"/>
            </w:tcMar>
            <w:vAlign w:val="bottom"/>
            <w:hideMark/>
          </w:tcPr>
          <w:p w:rsidR="00000000" w:rsidRDefault="00215B87">
            <w:pPr>
              <w:rPr>
                <w:rFonts w:eastAsia="Times New Roman"/>
                <w:b/>
                <w:bCs/>
                <w:sz w:val="20"/>
                <w:szCs w:val="20"/>
              </w:rPr>
            </w:pPr>
            <w:r>
              <w:rPr>
                <w:rFonts w:eastAsia="Times New Roman"/>
                <w:b/>
                <w:bCs/>
                <w:sz w:val="20"/>
                <w:szCs w:val="20"/>
              </w:rPr>
              <w:t> </w:t>
            </w:r>
          </w:p>
        </w:tc>
      </w:tr>
      <w:tr w:rsidR="00000000">
        <w:trPr>
          <w:divId w:val="1196651354"/>
        </w:trPr>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0.002 - 0.0137</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166,500,000</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3.89 years</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215B87">
            <w:pPr>
              <w:jc w:val="right"/>
              <w:rPr>
                <w:rFonts w:eastAsia="Times New Roman"/>
                <w:sz w:val="20"/>
                <w:szCs w:val="20"/>
              </w:rPr>
            </w:pPr>
            <w:r>
              <w:rPr>
                <w:rFonts w:eastAsia="Times New Roman"/>
                <w:sz w:val="20"/>
                <w:szCs w:val="20"/>
              </w:rPr>
              <w:t>0.0117</w:t>
            </w:r>
          </w:p>
        </w:tc>
        <w:tc>
          <w:tcPr>
            <w:tcW w:w="50" w:type="pct"/>
            <w:shd w:val="clear" w:color="auto" w:fill="CCEEFF"/>
            <w:vAlign w:val="bottom"/>
            <w:hideMark/>
          </w:tcPr>
          <w:p w:rsidR="00000000" w:rsidRDefault="00215B87">
            <w:pPr>
              <w:rPr>
                <w:rFonts w:eastAsia="Times New Roman"/>
                <w:sz w:val="20"/>
                <w:szCs w:val="20"/>
              </w:rPr>
            </w:pPr>
            <w:r>
              <w:rPr>
                <w:rFonts w:eastAsia="Times New Roman"/>
                <w:sz w:val="20"/>
                <w:szCs w:val="20"/>
              </w:rPr>
              <w:t> </w:t>
            </w:r>
          </w:p>
        </w:tc>
      </w:tr>
    </w:tbl>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divId w:val="1196651354"/>
          <w:tblCellSpacing w:w="0" w:type="dxa"/>
        </w:trPr>
        <w:tc>
          <w:tcPr>
            <w:tcW w:w="360" w:type="dxa"/>
            <w:hideMark/>
          </w:tcPr>
          <w:p w:rsidR="00000000" w:rsidRDefault="00215B87">
            <w:pPr>
              <w:rPr>
                <w:rFonts w:eastAsia="Times New Roman"/>
                <w:sz w:val="20"/>
                <w:szCs w:val="20"/>
              </w:rPr>
            </w:pPr>
            <w:r>
              <w:rPr>
                <w:rFonts w:eastAsia="Times New Roman"/>
                <w:sz w:val="20"/>
                <w:szCs w:val="20"/>
                <w:vertAlign w:val="superscript"/>
              </w:rPr>
              <w:t>(1)</w:t>
            </w:r>
          </w:p>
        </w:tc>
        <w:tc>
          <w:tcPr>
            <w:tcW w:w="0" w:type="auto"/>
            <w:hideMark/>
          </w:tcPr>
          <w:p w:rsidR="00000000" w:rsidRDefault="00215B87">
            <w:pPr>
              <w:jc w:val="both"/>
              <w:rPr>
                <w:rFonts w:eastAsia="Times New Roman"/>
                <w:sz w:val="20"/>
                <w:szCs w:val="20"/>
              </w:rPr>
            </w:pPr>
            <w:r>
              <w:rPr>
                <w:rFonts w:eastAsia="Times New Roman"/>
                <w:sz w:val="20"/>
                <w:szCs w:val="20"/>
              </w:rPr>
              <w:t>Pursuant to the terms of certain warrant agreements, when the exercise price is reduced for any reason outlined in the agreement, the number of warrant shares is increased so that the aggregated exercise price is equal to the original exercise price.</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aggregate intrinsic value represents the total pretax intrinsic value, based on warrants with an exercise price less than the Company’s stock price as of March 31, 2022, which would have been received by the warrant holder had the warrant holder exerci</w:t>
      </w:r>
      <w:r>
        <w:rPr>
          <w:sz w:val="20"/>
          <w:szCs w:val="20"/>
        </w:rPr>
        <w:t>sed their warrants as of that date.</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NOTE 11 – COMMITMENTS AND CONTINGENCIES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The Company has been in the process of obtaining its 510k for DeltaWave. This requires a myriad of tests to prove to the FDA that the device is safe and effective. The company </w:t>
      </w:r>
      <w:r>
        <w:rPr>
          <w:sz w:val="20"/>
          <w:szCs w:val="20"/>
        </w:rPr>
        <w:t>has diligently carried out these tests through independent testing labs. There have been no issues aside from a negative result on a cytotoxicity test due to incorrect procedures performed by a third-party lab. This roadblock has required the company to pe</w:t>
      </w:r>
      <w:r>
        <w:rPr>
          <w:sz w:val="20"/>
          <w:szCs w:val="20"/>
        </w:rPr>
        <w:t xml:space="preserve">rform a retest. The company has failed the retest due to what is believed to be a faulty analysis by the testing company. The company believes they can narrow down the exact part of the device that is failing the test and quickly resolve this matter. They </w:t>
      </w:r>
      <w:r>
        <w:rPr>
          <w:sz w:val="20"/>
          <w:szCs w:val="20"/>
        </w:rPr>
        <w:t xml:space="preserve">have committed to a new third party lab to redo the test and provide results within the next few weeks.  If the Company were to fail the next test it would re-apply for its 510K resulting in additional time and expense. The Company is reliant upon passing </w:t>
      </w:r>
      <w:r>
        <w:rPr>
          <w:sz w:val="20"/>
          <w:szCs w:val="20"/>
        </w:rPr>
        <w:t>the required test and receiving its 510K in order to begin operations and acknowledges that there is the possibility of this not occurring.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NOTE 12 - SUBSEQUENT EVENTS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In accordance with SFAS 165 (ASC 855-10) management has performed an evaluation of s</w:t>
      </w:r>
      <w:r>
        <w:rPr>
          <w:sz w:val="20"/>
          <w:szCs w:val="20"/>
        </w:rPr>
        <w:t>ubsequent events through the date that the financial statements were available to be issued and has determined that it does not have any material subsequent events to disclose in these financial statements other than the following.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Subsequent to March 31</w:t>
      </w:r>
      <w:r>
        <w:rPr>
          <w:sz w:val="20"/>
          <w:szCs w:val="20"/>
        </w:rPr>
        <w:t>, 2022 Power Up converted $90,275 of principal and interest, into 8,680,288 shares of common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347830389"/>
        <w:rPr>
          <w:sz w:val="20"/>
          <w:szCs w:val="20"/>
        </w:rPr>
      </w:pPr>
      <w:r>
        <w:rPr>
          <w:sz w:val="20"/>
          <w:szCs w:val="20"/>
        </w:rPr>
        <w:t>1</w:t>
      </w:r>
      <w:r>
        <w:rPr>
          <w:sz w:val="20"/>
          <w:szCs w:val="20"/>
        </w:rPr>
        <w:t>1</w:t>
      </w:r>
    </w:p>
    <w:p w:rsidR="00000000" w:rsidRDefault="00215B87">
      <w:pPr>
        <w:pStyle w:val="a3"/>
        <w:spacing w:before="0" w:beforeAutospacing="0" w:after="0" w:afterAutospacing="0"/>
        <w:divId w:val="692194086"/>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ITEM 2. MANAGEMENT’S DISCUSSION AND ANALYSIS OF FINANCIAL CONDITION AND PLAN OF OPERATIONS.</w:t>
      </w:r>
    </w:p>
    <w:p w:rsidR="00000000" w:rsidRDefault="00215B87">
      <w:pPr>
        <w:pStyle w:val="a3"/>
        <w:spacing w:before="0" w:beforeAutospacing="0" w:after="0" w:afterAutospacing="0"/>
        <w:ind w:left="810" w:hanging="810"/>
        <w:divId w:val="1196651354"/>
        <w:rPr>
          <w:sz w:val="20"/>
          <w:szCs w:val="20"/>
        </w:rPr>
      </w:pPr>
      <w:r>
        <w:rPr>
          <w:b/>
          <w:bCs/>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Forward-looking Statements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Except for statements of historical fact, the information presented herein constitutes forward-looking statements. These forward-looking statements generally can be identified by phrases such as “anticipates,” “believes,” “estimates,” “expects,” “forecasts</w:t>
      </w:r>
      <w:r>
        <w:rPr>
          <w:sz w:val="20"/>
          <w:szCs w:val="20"/>
        </w:rPr>
        <w:t>,” “foresees,” “intends,” “plans,” or other words of similar import.  Similarly, statements herein that describe our business strategy, outlook, objectives, plans, intentions or goals also are forward-looking statements.  Such forward-looking statements in</w:t>
      </w:r>
      <w:r>
        <w:rPr>
          <w:sz w:val="20"/>
          <w:szCs w:val="20"/>
        </w:rPr>
        <w:t>volve known and unknown risks, uncertainties and other factors which may cause our actual results, performance or achievements to be materially different from any future results, performance or achievements expressed or implied by such forward-looking stat</w:t>
      </w:r>
      <w:r>
        <w:rPr>
          <w:sz w:val="20"/>
          <w:szCs w:val="20"/>
        </w:rPr>
        <w:t>ements.  Such factors include, but are not limited to, our ability to: successfully commercialize our technology; generate revenues and achieve profitability in an intensely competitive industry; compete in products and prices with substantially larger  an</w:t>
      </w:r>
      <w:r>
        <w:rPr>
          <w:sz w:val="20"/>
          <w:szCs w:val="20"/>
        </w:rPr>
        <w:t xml:space="preserve">d better capitalized competitors; secure, maintain and enforce a strong intellectual property portfolio; attract additional capital sufficient to finance our working capital requirements, as well as any investment of plant, property and equipment; develop </w:t>
      </w:r>
      <w:r>
        <w:rPr>
          <w:sz w:val="20"/>
          <w:szCs w:val="20"/>
        </w:rPr>
        <w:t>a sales and marketing infrastructure; identify and maintain relationships with third party suppliers who can provide us a reliable source of raw materials; acquire, develop, or identify for our own use, a manufacturing capability; attract and retain talent</w:t>
      </w:r>
      <w:r>
        <w:rPr>
          <w:sz w:val="20"/>
          <w:szCs w:val="20"/>
        </w:rPr>
        <w:t>ed individuals; continue operations during periods of uncertain general economic or market conditions, and; other events, factors and risks previously and from time to time disclosed in our filings with the Securities and Exchange Commission, including, sp</w:t>
      </w:r>
      <w:r>
        <w:rPr>
          <w:sz w:val="20"/>
          <w:szCs w:val="20"/>
        </w:rPr>
        <w:t>ecifically, the “Risk Factors” enumerated herein. Although we believe the expectations reflected in our forward-looking statements are reasonable, we cannot guarantee future results, levels of activity, performance or achievements.  You should not place un</w:t>
      </w:r>
      <w:r>
        <w:rPr>
          <w:sz w:val="20"/>
          <w:szCs w:val="20"/>
        </w:rPr>
        <w:t>due reliance on our forward-looking statements, which speak only as of the date of this report.  Except as required by law, we do not undertake to update or revise any forward-looking statement, whether as a result of new information, future events or othe</w:t>
      </w:r>
      <w:r>
        <w:rPr>
          <w:sz w:val="20"/>
          <w:szCs w:val="20"/>
        </w:rPr>
        <w:t>rwise.</w:t>
      </w:r>
    </w:p>
    <w:p w:rsidR="00000000" w:rsidRDefault="00215B87">
      <w:pPr>
        <w:pStyle w:val="a3"/>
        <w:spacing w:before="0" w:beforeAutospacing="0" w:after="0" w:afterAutospacing="0"/>
        <w:jc w:val="both"/>
        <w:divId w:val="1196651354"/>
        <w:rPr>
          <w:sz w:val="20"/>
          <w:szCs w:val="20"/>
        </w:rPr>
      </w:pPr>
      <w:r>
        <w:rPr>
          <w:b/>
          <w:bCs/>
          <w:sz w:val="20"/>
          <w:szCs w:val="20"/>
        </w:rPr>
        <w:t> </w:t>
      </w:r>
    </w:p>
    <w:p w:rsidR="00000000" w:rsidRDefault="00215B87">
      <w:pPr>
        <w:pStyle w:val="a3"/>
        <w:spacing w:before="0" w:beforeAutospacing="0" w:after="0" w:afterAutospacing="0"/>
        <w:jc w:val="both"/>
        <w:divId w:val="1196651354"/>
        <w:rPr>
          <w:sz w:val="20"/>
          <w:szCs w:val="20"/>
        </w:rPr>
      </w:pPr>
      <w:r>
        <w:rPr>
          <w:b/>
          <w:bCs/>
          <w:sz w:val="20"/>
          <w:szCs w:val="20"/>
        </w:rPr>
        <w:t>Overview</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were incorporated in the State of Nevada on June 6, 2007. On August 2, 2010, we changed our name from Bella Viaggio, Inc. to Kat Gold Holdings Corp. Effective January 1, 2015, we completed an exchange agreement to purchase 100% of th</w:t>
      </w:r>
      <w:r>
        <w:rPr>
          <w:sz w:val="20"/>
          <w:szCs w:val="20"/>
        </w:rPr>
        <w:t>e outstanding interests of REMSleep LLC in exchange for 50,000,000 common shares of REMSleep Holdings, Inc.’s stock, at which time REMSleep LLC became our wholly-owned subsidiary and adopted their business of developing and distributing our sleep apnea pro</w:t>
      </w:r>
      <w:r>
        <w:rPr>
          <w:sz w:val="20"/>
          <w:szCs w:val="20"/>
        </w:rPr>
        <w:t>ducts. On January 5, 2015, we changed our name to REMSleep Holdings, Inc. to reflect our new business model.</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Our officers have 35 years of sleep-industry experience, including having been employed at sleep industry companies. Our officers invented our De</w:t>
      </w:r>
      <w:r>
        <w:rPr>
          <w:sz w:val="20"/>
          <w:szCs w:val="20"/>
        </w:rPr>
        <w:t>ltaWave CPAP interface (the “DeltaWave”) as an innovative new device to treat patients with sleep apnea. The patent-pending DeltaWave product is a nasal-pillows type interface that will result in better comfort and, therefore, better compliance since it wa</w:t>
      </w:r>
      <w:r>
        <w:rPr>
          <w:sz w:val="20"/>
          <w:szCs w:val="20"/>
        </w:rPr>
        <w:t>s specifically designed with unique airflow characteristics to enable patients with sleep apnea to breathe normally. A survey that appeared in DME Business found that 89% of patients stated that mask-interface comfort was their primary concern. The primary</w:t>
      </w:r>
      <w:r>
        <w:rPr>
          <w:sz w:val="20"/>
          <w:szCs w:val="20"/>
        </w:rPr>
        <w:t xml:space="preserve"> issue that we have addressed with the DeltaWave is the “work of breathing” component. We believe that our DeltaWave is designed to effectively address the stubborn issues that continue to affect a patient’s ability to comply with treatment, as follows:</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1196651354"/>
          <w:tblCellSpacing w:w="0" w:type="dxa"/>
        </w:trPr>
        <w:tc>
          <w:tcPr>
            <w:tcW w:w="360" w:type="dxa"/>
            <w:hideMark/>
          </w:tcPr>
          <w:p w:rsidR="00000000" w:rsidRDefault="00215B87">
            <w:pPr>
              <w:rPr>
                <w:rFonts w:eastAsia="Times New Roman"/>
                <w:sz w:val="20"/>
                <w:szCs w:val="20"/>
              </w:rPr>
            </w:pPr>
            <w:r>
              <w:rPr>
                <w:rFonts w:eastAsia="Times New Roman"/>
                <w:sz w:val="20"/>
                <w:szCs w:val="20"/>
              </w:rPr>
              <w:t> </w:t>
            </w:r>
          </w:p>
        </w:tc>
        <w:tc>
          <w:tcPr>
            <w:tcW w:w="360" w:type="dxa"/>
            <w:hideMark/>
          </w:tcPr>
          <w:p w:rsidR="00000000" w:rsidRDefault="00215B87">
            <w:pPr>
              <w:rPr>
                <w:rFonts w:eastAsia="Times New Roman"/>
                <w:sz w:val="20"/>
                <w:szCs w:val="20"/>
              </w:rPr>
            </w:pPr>
            <w:r>
              <w:rPr>
                <w:rFonts w:eastAsia="Times New Roman"/>
                <w:sz w:val="20"/>
                <w:szCs w:val="20"/>
              </w:rPr>
              <w:t>●</w:t>
            </w:r>
          </w:p>
        </w:tc>
        <w:tc>
          <w:tcPr>
            <w:tcW w:w="0" w:type="auto"/>
            <w:hideMark/>
          </w:tcPr>
          <w:p w:rsidR="00000000" w:rsidRDefault="00215B87">
            <w:pPr>
              <w:jc w:val="both"/>
              <w:rPr>
                <w:rFonts w:eastAsia="Times New Roman"/>
                <w:sz w:val="20"/>
                <w:szCs w:val="20"/>
              </w:rPr>
            </w:pPr>
            <w:r>
              <w:rPr>
                <w:rFonts w:eastAsia="Times New Roman"/>
                <w:sz w:val="20"/>
                <w:szCs w:val="20"/>
              </w:rPr>
              <w:t>Does not disrupt normal breathing mechanics;</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w:t>
            </w:r>
          </w:p>
        </w:tc>
        <w:tc>
          <w:tcPr>
            <w:tcW w:w="0" w:type="auto"/>
            <w:hideMark/>
          </w:tcPr>
          <w:p w:rsidR="00000000" w:rsidRDefault="00215B87">
            <w:pPr>
              <w:jc w:val="both"/>
              <w:rPr>
                <w:rFonts w:eastAsia="Times New Roman"/>
                <w:sz w:val="20"/>
                <w:szCs w:val="20"/>
              </w:rPr>
            </w:pPr>
            <w:r>
              <w:rPr>
                <w:rFonts w:eastAsia="Times New Roman"/>
                <w:sz w:val="20"/>
                <w:szCs w:val="20"/>
              </w:rPr>
              <w:t>Is not claustrophobic;</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w:t>
            </w:r>
          </w:p>
        </w:tc>
        <w:tc>
          <w:tcPr>
            <w:tcW w:w="0" w:type="auto"/>
            <w:hideMark/>
          </w:tcPr>
          <w:p w:rsidR="00000000" w:rsidRDefault="00215B87">
            <w:pPr>
              <w:jc w:val="both"/>
              <w:rPr>
                <w:rFonts w:eastAsia="Times New Roman"/>
                <w:sz w:val="20"/>
                <w:szCs w:val="20"/>
              </w:rPr>
            </w:pPr>
            <w:r>
              <w:rPr>
                <w:rFonts w:eastAsia="Times New Roman"/>
                <w:sz w:val="20"/>
                <w:szCs w:val="20"/>
              </w:rPr>
              <w:t>Causes zero work of breathing (WOB);</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w:t>
            </w:r>
          </w:p>
        </w:tc>
        <w:tc>
          <w:tcPr>
            <w:tcW w:w="0" w:type="auto"/>
            <w:hideMark/>
          </w:tcPr>
          <w:p w:rsidR="00000000" w:rsidRDefault="00215B87">
            <w:pPr>
              <w:jc w:val="both"/>
              <w:rPr>
                <w:rFonts w:eastAsia="Times New Roman"/>
                <w:sz w:val="20"/>
                <w:szCs w:val="20"/>
              </w:rPr>
            </w:pPr>
            <w:r>
              <w:rPr>
                <w:rFonts w:eastAsia="Times New Roman"/>
                <w:sz w:val="20"/>
                <w:szCs w:val="20"/>
              </w:rPr>
              <w:t>Minimizes or eliminates drying of the sinuses;</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w:t>
            </w:r>
          </w:p>
        </w:tc>
        <w:tc>
          <w:tcPr>
            <w:tcW w:w="0" w:type="auto"/>
            <w:hideMark/>
          </w:tcPr>
          <w:p w:rsidR="00000000" w:rsidRDefault="00215B87">
            <w:pPr>
              <w:jc w:val="both"/>
              <w:rPr>
                <w:rFonts w:eastAsia="Times New Roman"/>
                <w:sz w:val="20"/>
                <w:szCs w:val="20"/>
              </w:rPr>
            </w:pPr>
            <w:r>
              <w:rPr>
                <w:rFonts w:eastAsia="Times New Roman"/>
                <w:sz w:val="20"/>
                <w:szCs w:val="20"/>
              </w:rPr>
              <w:t>Uses less driving pressure; and</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r>
      <w:tr w:rsidR="00000000">
        <w:trPr>
          <w:divId w:val="1196651354"/>
          <w:tblCellSpacing w:w="0" w:type="dxa"/>
        </w:trPr>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w:t>
            </w:r>
          </w:p>
        </w:tc>
        <w:tc>
          <w:tcPr>
            <w:tcW w:w="0" w:type="auto"/>
            <w:hideMark/>
          </w:tcPr>
          <w:p w:rsidR="00000000" w:rsidRDefault="00215B87">
            <w:pPr>
              <w:jc w:val="both"/>
              <w:rPr>
                <w:rFonts w:eastAsia="Times New Roman"/>
                <w:sz w:val="20"/>
                <w:szCs w:val="20"/>
              </w:rPr>
            </w:pPr>
            <w:r>
              <w:rPr>
                <w:rFonts w:eastAsia="Times New Roman"/>
                <w:sz w:val="20"/>
                <w:szCs w:val="20"/>
              </w:rPr>
              <w:t>Allows users to feel safe and secure while sleeping.</w:t>
            </w:r>
          </w:p>
        </w:tc>
      </w:tr>
    </w:tbl>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Pending adequate financing, we plan to conduct clinical trials to test product effectiveness.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On June 28, 2016, we applied for a patent for a new, innovat</w:t>
      </w:r>
      <w:r>
        <w:rPr>
          <w:sz w:val="20"/>
          <w:szCs w:val="20"/>
        </w:rPr>
        <w:t>ive sleep apnea product that serves as an interface for the delivery of CPAP therapy and other respiratory needs. Our goal is to develop sleep products that achieve optimum compliance and comfort for CPAP patients.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Our website is located at: </w:t>
      </w:r>
      <w:r>
        <w:rPr>
          <w:sz w:val="20"/>
          <w:szCs w:val="20"/>
          <w:u w:val="single"/>
        </w:rPr>
        <w:t>http://www.r</w:t>
      </w:r>
      <w:r>
        <w:rPr>
          <w:sz w:val="20"/>
          <w:szCs w:val="20"/>
          <w:u w:val="single"/>
        </w:rPr>
        <w:t>emsleeptech.com</w:t>
      </w:r>
      <w:r>
        <w:rPr>
          <w:sz w:val="20"/>
          <w:szCs w:val="20"/>
        </w:rPr>
        <w: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22231778"/>
        <w:rPr>
          <w:sz w:val="20"/>
          <w:szCs w:val="20"/>
        </w:rPr>
      </w:pPr>
      <w:r>
        <w:rPr>
          <w:sz w:val="20"/>
          <w:szCs w:val="20"/>
        </w:rPr>
        <w:t>1</w:t>
      </w:r>
      <w:r>
        <w:rPr>
          <w:sz w:val="20"/>
          <w:szCs w:val="20"/>
        </w:rPr>
        <w:t>2</w:t>
      </w:r>
    </w:p>
    <w:p w:rsidR="00000000" w:rsidRDefault="00215B87">
      <w:pPr>
        <w:pStyle w:val="a3"/>
        <w:spacing w:before="0" w:beforeAutospacing="0" w:after="0" w:afterAutospacing="0"/>
        <w:divId w:val="12958641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Results of Operations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b/>
          <w:bCs/>
          <w:i/>
          <w:iCs/>
          <w:sz w:val="20"/>
          <w:szCs w:val="20"/>
          <w:u w:val="single"/>
        </w:rPr>
        <w:t>The three months ended March 31, 2022 compared to the three months ended March 31, 2021</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have not generated any revenue to date.</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Professional fees were $26,000 compared to $24,598 for the three months ended March 31, 2022 and 2021, respectively, an increase of $1,402, or 5.7%. Professional fees consist mostly of accounting, audit and legal fees. The increase is attributed to an incr</w:t>
      </w:r>
      <w:r>
        <w:rPr>
          <w:sz w:val="20"/>
          <w:szCs w:val="20"/>
        </w:rPr>
        <w:t>ease in accounting and audit fees.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Compensation expense was $21,000 and $21,000 for the three months ended March 31, 2022 and 2021, respectively.</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Development expense related to our DeltaWave CPAP system was $25,667 and $0 for the three months ended Mar</w:t>
      </w:r>
      <w:r>
        <w:rPr>
          <w:sz w:val="20"/>
          <w:szCs w:val="20"/>
        </w:rPr>
        <w:t>ch 31, 2022 and 2021, respectively, an increase of $25,667. Development expense increased over the prior period as we work to bring our product to market.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General and administrative expense (“G&amp;A”) was $81,891 and $48,666 for the three months ended March</w:t>
      </w:r>
      <w:r>
        <w:rPr>
          <w:sz w:val="20"/>
          <w:szCs w:val="20"/>
        </w:rPr>
        <w:t xml:space="preserve"> 31, 2022 and 2021, respectively, an increase of $33,225, or 68.3%. During the current period we incurred additional expense (~$16,500) related to the process of obtaining our 510k for DeltaWave. We also incurred additional expense involved with moving our</w:t>
      </w:r>
      <w:r>
        <w:rPr>
          <w:sz w:val="20"/>
          <w:szCs w:val="20"/>
        </w:rPr>
        <w:t xml:space="preserve"> corporate headquarters.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Total other expense for the three months ended March 31, 2022, was $161,741. Other expense includes a gain in the change of fair value of $11,907 and interest expense of $173,648 (includes $159,383 amortization of debt discount).</w:t>
      </w:r>
      <w:r>
        <w:rPr>
          <w:sz w:val="20"/>
          <w:szCs w:val="20"/>
        </w:rPr>
        <w:t xml:space="preserve"> Total other expense for the three months ended March 31, 2021, was $377,202. Other expense includes a gain in the change of fair value of $395,148, a loss on the issuance of convertible debt of $442,979, a penalty for default on convertible debt of $162,7</w:t>
      </w:r>
      <w:r>
        <w:rPr>
          <w:sz w:val="20"/>
          <w:szCs w:val="20"/>
        </w:rPr>
        <w:t>98 and interest expense of $166,573 (includes $138,622 amortization of debt discount).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Net Loss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For the three months ended March 31, 2022, we had a net loss of $316,299 as compared to a loss of $471,466 for the three months ended March 31, 2021 Our net</w:t>
      </w:r>
      <w:r>
        <w:rPr>
          <w:sz w:val="20"/>
          <w:szCs w:val="20"/>
        </w:rPr>
        <w:t xml:space="preserve"> loss decreased due to the decrease in other expense during the period.</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Liquidity and Capital Resources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Cash flow from operations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Cash used in operating activities for the three months ended March 31, 2022 was $199,085 as compared to $63,182 of cash </w:t>
      </w:r>
      <w:r>
        <w:rPr>
          <w:sz w:val="20"/>
          <w:szCs w:val="20"/>
        </w:rPr>
        <w:t>used in operating activities for the three months ended March 31, 2021. During the current period the Company used more cash for activities related to bringing its product to market.</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Cash Flows from Investing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Cash used in investing activities for the purchase of equipment and tooling for the three months ended March 31, 2022 was $24,095 as compared to $17,705 of cash used in investing activities for the three months ended March 31, 2021.</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Cash Flows from Finan</w:t>
      </w:r>
      <w:r>
        <w:rPr>
          <w:i/>
          <w:iCs/>
          <w:sz w:val="20"/>
          <w:szCs w:val="20"/>
          <w:u w:val="single"/>
        </w:rPr>
        <w:t>cing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For the three months ended March 31, 2022, we received $855,000 from the sale of common stock. For the three months ended March 31, 2021 we received $126,400 from convertible debt loans and repaid $867 on other loans.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As of March 31, 2022, we have</w:t>
      </w:r>
      <w:r>
        <w:rPr>
          <w:sz w:val="20"/>
          <w:szCs w:val="20"/>
        </w:rPr>
        <w:t xml:space="preserve"> one remaining convertible note payable for $86,350. This note was converted in full on April 15, 2022.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70544734"/>
        <w:rPr>
          <w:sz w:val="20"/>
          <w:szCs w:val="20"/>
        </w:rPr>
      </w:pPr>
      <w:r>
        <w:rPr>
          <w:sz w:val="20"/>
          <w:szCs w:val="20"/>
        </w:rPr>
        <w:t>1</w:t>
      </w:r>
      <w:r>
        <w:rPr>
          <w:sz w:val="20"/>
          <w:szCs w:val="20"/>
        </w:rPr>
        <w:t>3</w:t>
      </w:r>
    </w:p>
    <w:p w:rsidR="00000000" w:rsidRDefault="00215B87">
      <w:pPr>
        <w:pStyle w:val="a3"/>
        <w:spacing w:before="0" w:beforeAutospacing="0" w:after="0" w:afterAutospacing="0"/>
        <w:divId w:val="1342779017"/>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Going Concern</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As of March 31, 2022, there is substantial doubt regarding our ability to continue as a going concern as we have not generated</w:t>
      </w:r>
      <w:r>
        <w:rPr>
          <w:sz w:val="20"/>
          <w:szCs w:val="20"/>
        </w:rPr>
        <w:t xml:space="preserve"> sufficient cash flow to fund our proposed business.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have suffered recurring losses from operations since our inception. In addition, we have yet to generate an internal cash flow from our business operations or successfully raised the financing requi</w:t>
      </w:r>
      <w:r>
        <w:rPr>
          <w:sz w:val="20"/>
          <w:szCs w:val="20"/>
        </w:rPr>
        <w:t>red to develop our proposed business. As a result of these and other factors, our independent auditor has expressed substantial doubt about our ability to continue as a going concern. Our future success and viability, therefore, are dependent upon our abil</w:t>
      </w:r>
      <w:r>
        <w:rPr>
          <w:sz w:val="20"/>
          <w:szCs w:val="20"/>
        </w:rPr>
        <w:t>ity to generate capital financing. The failure to generate sufficient revenues or raise additional capital may have a material and adverse effect upon us and our shareholders.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Management’s plans with regard to these matters encompass the following action</w:t>
      </w:r>
      <w:r>
        <w:rPr>
          <w:sz w:val="20"/>
          <w:szCs w:val="20"/>
        </w:rPr>
        <w:t>s: (i) obtaining funding from new investors to alleviate our working capital deficiency, and (ii) implementing a plan to generate sales. Our continued existence is dependent upon our ability to resolve our liquidity problems and increase profitability in o</w:t>
      </w:r>
      <w:r>
        <w:rPr>
          <w:sz w:val="20"/>
          <w:szCs w:val="20"/>
        </w:rPr>
        <w:t>ur current business operations. However, the outcome of management’s plans cannot be ascertained with any degree of certainty. Our financial statements do not include any adjustments that might result from the outcome of these risks and uncertainties.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w:t>
      </w:r>
      <w:r>
        <w:rPr>
          <w:sz w:val="20"/>
          <w:szCs w:val="20"/>
        </w:rPr>
        <w:t xml:space="preserve">e industry in which we operate depends heavily upon our ability to obtain raw material and manufacture our product as well as the overall level of consumer and business spending. A sustained deterioration in general economic conditions (including distress </w:t>
      </w:r>
      <w:r>
        <w:rPr>
          <w:sz w:val="20"/>
          <w:szCs w:val="20"/>
        </w:rPr>
        <w:t>in financial markets, turmoil in specific economies around the world, public health crises, and additional government intervention), particularly in the United States, may have a negative financial impact to our Company. Adverse conditions as a result of t</w:t>
      </w:r>
      <w:r>
        <w:rPr>
          <w:sz w:val="20"/>
          <w:szCs w:val="20"/>
        </w:rPr>
        <w:t>he global COVID-19 outbreak, will and may continue to impact our manufacturing processes and ultimately our ability to sell our product.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Off Balance Sheet Arrangements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have no off-balance sheet arrangements that have or are reasonably likely to have</w:t>
      </w:r>
      <w:r>
        <w:rPr>
          <w:sz w:val="20"/>
          <w:szCs w:val="20"/>
        </w:rPr>
        <w:t xml:space="preserve"> a current or future effect on our financial condition, changes in financial condition, revenues or expenses, results of operations, liquidity, capital expenditures or capital resources that are material to investors.</w:t>
      </w:r>
    </w:p>
    <w:p w:rsidR="00000000" w:rsidRDefault="00215B87">
      <w:pPr>
        <w:pStyle w:val="a3"/>
        <w:spacing w:before="0" w:beforeAutospacing="0" w:after="0" w:afterAutospacing="0"/>
        <w:jc w:val="both"/>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b/>
          <w:bCs/>
          <w:sz w:val="20"/>
          <w:szCs w:val="20"/>
        </w:rPr>
        <w:t>Critical Accounting Policies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The preparation of financial statements in conformity with accounting principles generally accepted in the United States of America requires management to make estimates and assumptions that affect the reported amounts of ass</w:t>
      </w:r>
      <w:r>
        <w:rPr>
          <w:sz w:val="20"/>
          <w:szCs w:val="20"/>
        </w:rPr>
        <w:t>ets and liabilities and the disclosure of contingent assets and liabilities of the date of the financial statements and the reported amounts of revenues and expenses during the reporting period.  Note 2 to the Financial Statements describes the significant</w:t>
      </w:r>
      <w:r>
        <w:rPr>
          <w:sz w:val="20"/>
          <w:szCs w:val="20"/>
        </w:rPr>
        <w:t xml:space="preserve"> accounting policies and methods used in the preparation of the Financial Statements. Estimates are used for, but not limited to, contingencies and taxes.  Actual results could differ materially from those estimates. The following critical accounting polic</w:t>
      </w:r>
      <w:r>
        <w:rPr>
          <w:sz w:val="20"/>
          <w:szCs w:val="20"/>
        </w:rPr>
        <w:t>ies are impacted significantly by judgments, assumptions, and estimates used in the preparation of the Financial Statements.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are subject to various loss contingencies arising in the ordinary course of business.  We consider the likelihood of loss or i</w:t>
      </w:r>
      <w:r>
        <w:rPr>
          <w:sz w:val="20"/>
          <w:szCs w:val="20"/>
        </w:rPr>
        <w:t>mpairment of an asset or the incurrence of a liability, as well as our ability to reasonably estimate the amount of loss in determining loss contingencies.  An estimated loss contingency is accrued when management concludes that it is probable that an asse</w:t>
      </w:r>
      <w:r>
        <w:rPr>
          <w:sz w:val="20"/>
          <w:szCs w:val="20"/>
        </w:rPr>
        <w:t>t has been impaired, or a liability has been incurred and the amount of the loss can be reasonably estimated.  We regularly evaluate current information available to us to determine whether such accruals should be adjusted.</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recognize deferred tax asse</w:t>
      </w:r>
      <w:r>
        <w:rPr>
          <w:sz w:val="20"/>
          <w:szCs w:val="20"/>
        </w:rPr>
        <w:t>ts (future tax benefits) and liabilities for the expected future tax consequences of temporary differences between the book carrying amounts and the tax basis of assets and liabilities.  The deferred tax assets and liabilities represent the expected future</w:t>
      </w:r>
      <w:r>
        <w:rPr>
          <w:sz w:val="20"/>
          <w:szCs w:val="20"/>
        </w:rPr>
        <w:t xml:space="preserve"> tax return consequences of those differences, which are expected to be either deductible or taxable when the assets and liabilities are recovered or settled.  Future tax benefits have been fully offset by a 100% valuation allowance as management is unable</w:t>
      </w:r>
      <w:r>
        <w:rPr>
          <w:sz w:val="20"/>
          <w:szCs w:val="20"/>
        </w:rPr>
        <w:t xml:space="preserve"> to determine that it is more likely than not that this deferred tax asset will be realized.</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700467769"/>
        <w:rPr>
          <w:sz w:val="20"/>
          <w:szCs w:val="20"/>
        </w:rPr>
      </w:pPr>
      <w:r>
        <w:rPr>
          <w:sz w:val="20"/>
          <w:szCs w:val="20"/>
        </w:rPr>
        <w:t>1</w:t>
      </w:r>
      <w:r>
        <w:rPr>
          <w:sz w:val="20"/>
          <w:szCs w:val="20"/>
        </w:rPr>
        <w:t>4</w:t>
      </w:r>
    </w:p>
    <w:p w:rsidR="00000000" w:rsidRDefault="00215B87">
      <w:pPr>
        <w:pStyle w:val="a3"/>
        <w:spacing w:before="0" w:beforeAutospacing="0" w:after="0" w:afterAutospacing="0"/>
        <w:divId w:val="1516306785"/>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Recent Accounting Pronouncements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We have reviewed other recently issued accounting pronouncements and plan to adopt those that are applicable to us. We </w:t>
      </w:r>
      <w:r>
        <w:rPr>
          <w:sz w:val="20"/>
          <w:szCs w:val="20"/>
        </w:rPr>
        <w:t>do not expect the adoption of any other pronouncements to have an impact on our results of operations or financial position.</w:t>
      </w:r>
    </w:p>
    <w:p w:rsidR="00000000" w:rsidRDefault="00215B87">
      <w:pPr>
        <w:pStyle w:val="a3"/>
        <w:spacing w:before="0" w:beforeAutospacing="0" w:after="0" w:afterAutospacing="0"/>
        <w:jc w:val="both"/>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3. QUANTITATIVE AND QUALITATIVE DISCLOSURES ABOUT MARKET RISK.</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are a smaller reporting company as defined by Rule 12b-2</w:t>
      </w:r>
      <w:r>
        <w:rPr>
          <w:sz w:val="20"/>
          <w:szCs w:val="20"/>
        </w:rPr>
        <w:t xml:space="preserve"> of the Exchange Act and, as such, are not required to provide the information under this Item.</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4. CONTROLS AND PROCEDURES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i/>
          <w:iCs/>
          <w:sz w:val="20"/>
          <w:szCs w:val="20"/>
          <w:u w:val="single"/>
        </w:rPr>
        <w:t>Disclosure Controls and Procedures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Each of our principal executive and principal financial officer has evaluated the effec</w:t>
      </w:r>
      <w:r>
        <w:rPr>
          <w:sz w:val="20"/>
          <w:szCs w:val="20"/>
        </w:rPr>
        <w:t>tiveness of our disclosure controls and procedures, as defined in Rules 13a - 15(e) and 15d - 15(e) under the Securities Exchange Act of 1934, as amended (the “Exchange Act”), as of the end of the period covered by this quarterly report. Based on their eva</w:t>
      </w:r>
      <w:r>
        <w:rPr>
          <w:sz w:val="20"/>
          <w:szCs w:val="20"/>
        </w:rPr>
        <w:t>luation, each such person concluded that our disclosure controls and procedures were not effective as of March 31, 2022 due to a lack of segregation of duties.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In designing and evaluating disclosure controls </w:t>
      </w:r>
      <w:r>
        <w:rPr>
          <w:sz w:val="20"/>
          <w:szCs w:val="20"/>
        </w:rPr>
        <w:t>and procedures, management recognizes that any controls and procedures, no matter how well designed and operated, can provide only reasonable, not absolute assurance of achieving the desired objectives. Also, the design of a control system must reflect the</w:t>
      </w:r>
      <w:r>
        <w:rPr>
          <w:sz w:val="20"/>
          <w:szCs w:val="20"/>
        </w:rPr>
        <w:t xml:space="preserve"> fact that there are resource constraints and the benefits of controls must be considered relative to their costs.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i/>
          <w:iCs/>
          <w:sz w:val="20"/>
          <w:szCs w:val="20"/>
          <w:u w:val="single"/>
        </w:rPr>
        <w:t>Changes in Internal Control over Financial Reporting.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Our management has evaluated whether any change in our internal control over financ</w:t>
      </w:r>
      <w:r>
        <w:rPr>
          <w:sz w:val="20"/>
          <w:szCs w:val="20"/>
        </w:rPr>
        <w:t>ial reporting occurred during the last fiscal quarter. Based on that evaluation, management concluded that there has been no change in our internal control over financial reporting during the relevant period that has materially affected, or is reasonably l</w:t>
      </w:r>
      <w:r>
        <w:rPr>
          <w:sz w:val="20"/>
          <w:szCs w:val="20"/>
        </w:rPr>
        <w:t>ikely to materially affect, our internal control over financial reporting.</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553076421"/>
        <w:rPr>
          <w:sz w:val="20"/>
          <w:szCs w:val="20"/>
        </w:rPr>
      </w:pPr>
      <w:r>
        <w:rPr>
          <w:sz w:val="20"/>
          <w:szCs w:val="20"/>
        </w:rPr>
        <w:t>1</w:t>
      </w:r>
      <w:r>
        <w:rPr>
          <w:sz w:val="20"/>
          <w:szCs w:val="20"/>
        </w:rPr>
        <w:t>5</w:t>
      </w:r>
    </w:p>
    <w:p w:rsidR="00000000" w:rsidRDefault="00215B87">
      <w:pPr>
        <w:pStyle w:val="a3"/>
        <w:spacing w:before="0" w:beforeAutospacing="0" w:after="0" w:afterAutospacing="0"/>
        <w:divId w:val="1898123697"/>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PART II - OTHER INFORMATION</w:t>
      </w:r>
    </w:p>
    <w:p w:rsidR="00000000" w:rsidRDefault="00215B87">
      <w:pPr>
        <w:pStyle w:val="a3"/>
        <w:spacing w:before="0" w:beforeAutospacing="0" w:after="0" w:afterAutospacing="0"/>
        <w:jc w:val="center"/>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1. LEGAL PROCEEDINGS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sz w:val="20"/>
          <w:szCs w:val="20"/>
        </w:rPr>
        <w:t>None</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1A. RISK FACTORS</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We are a smaller reporting company as defined by Rule 12b-2 of the Exchange Act and</w:t>
      </w:r>
      <w:r>
        <w:rPr>
          <w:sz w:val="20"/>
          <w:szCs w:val="20"/>
        </w:rPr>
        <w:t>, as such, are not required to provide the information under this Item.</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2. UNREGISTERED SALES OF EQUITY SECURITIES AND USE OF PROCEEDS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During the three months ended March 31, 2022, Granite Global Value converted $152,880 of principal and interest </w:t>
      </w:r>
      <w:r>
        <w:rPr>
          <w:sz w:val="20"/>
          <w:szCs w:val="20"/>
        </w:rPr>
        <w:t>into 16,146,666 shares of common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ended March 31, 2022, Power Up Lending Group LTD converted $184,575 of principal and interest into 18,652,708 shares of common stock.</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During the three months ended </w:t>
      </w:r>
      <w:r>
        <w:rPr>
          <w:sz w:val="20"/>
          <w:szCs w:val="20"/>
        </w:rPr>
        <w:t>March 31, 2022, the Company issued 70,128,204 shares of common stock for the conversion of warrants.</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During the three months ended March 31, 2022, the Company sold 114,000,000 shares of common stock for total cash proceeds of $855,000. The shares were so</w:t>
      </w:r>
      <w:r>
        <w:rPr>
          <w:sz w:val="20"/>
          <w:szCs w:val="20"/>
        </w:rPr>
        <w:t>ld pursuant to its Tier 2 of Regulation A Offering Statement.</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For each of the above-referenced issuances, the Company relied upon the exemption from the registration requirements of the Securities Act of 1933, as amended, provided by Section 4(a)(2) prom</w:t>
      </w:r>
      <w:r>
        <w:rPr>
          <w:sz w:val="20"/>
          <w:szCs w:val="20"/>
        </w:rPr>
        <w:t xml:space="preserve">ulgated thereunder due to the fact that each was an isolated issuance to an accredited investor and did not involve a public offering of securities. </w:t>
      </w:r>
    </w:p>
    <w:p w:rsidR="00000000" w:rsidRDefault="00215B87">
      <w:pPr>
        <w:pStyle w:val="a3"/>
        <w:spacing w:before="0" w:beforeAutospacing="0" w:after="0" w:afterAutospacing="0"/>
        <w:jc w:val="both"/>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3. DEFAULTS UPON SENIOR SECURITIES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sz w:val="20"/>
          <w:szCs w:val="20"/>
        </w:rPr>
        <w:t>None</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4. MINE SAFETY DISCLOSURES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sz w:val="20"/>
          <w:szCs w:val="20"/>
        </w:rPr>
        <w:t>Not applicable</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w:t>
      </w:r>
      <w:r>
        <w:rPr>
          <w:b/>
          <w:bCs/>
          <w:sz w:val="20"/>
          <w:szCs w:val="20"/>
        </w:rPr>
        <w:t xml:space="preserve"> 5. OTHER INFORMATION</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sz w:val="20"/>
          <w:szCs w:val="20"/>
        </w:rPr>
        <w:t>None</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jc w:val="center"/>
        <w:divId w:val="1072629125"/>
        <w:rPr>
          <w:sz w:val="20"/>
          <w:szCs w:val="20"/>
        </w:rPr>
      </w:pPr>
      <w:r>
        <w:rPr>
          <w:sz w:val="20"/>
          <w:szCs w:val="20"/>
        </w:rPr>
        <w:t>1</w:t>
      </w:r>
      <w:r>
        <w:rPr>
          <w:sz w:val="20"/>
          <w:szCs w:val="20"/>
        </w:rPr>
        <w:t>6</w:t>
      </w:r>
    </w:p>
    <w:p w:rsidR="00000000" w:rsidRDefault="00215B87">
      <w:pPr>
        <w:pStyle w:val="a3"/>
        <w:spacing w:before="0" w:beforeAutospacing="0" w:after="0" w:afterAutospacing="0"/>
        <w:divId w:val="1389308097"/>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ITEM 6. EXHIBITS</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divId w:val="1196651354"/>
        <w:rPr>
          <w:sz w:val="20"/>
          <w:szCs w:val="20"/>
        </w:rPr>
      </w:pPr>
      <w:r>
        <w:rPr>
          <w:sz w:val="20"/>
          <w:szCs w:val="20"/>
        </w:rPr>
        <w:t>(a) Documents furnished as exhibits hereto:</w:t>
      </w:r>
    </w:p>
    <w:p w:rsidR="00000000" w:rsidRDefault="00215B87">
      <w:pPr>
        <w:pStyle w:val="a3"/>
        <w:spacing w:before="0" w:beforeAutospacing="0" w:after="0" w:afterAutospacing="0"/>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rPr>
          <w:divId w:val="1196651354"/>
        </w:trPr>
        <w:tc>
          <w:tcPr>
            <w:tcW w:w="450" w:type="pct"/>
            <w:tcBorders>
              <w:bottom w:val="single" w:sz="12" w:space="0" w:color="000000"/>
            </w:tcBorders>
            <w:hideMark/>
          </w:tcPr>
          <w:p w:rsidR="00000000" w:rsidRDefault="00215B87">
            <w:pPr>
              <w:rPr>
                <w:rFonts w:eastAsia="Times New Roman"/>
                <w:sz w:val="20"/>
                <w:szCs w:val="20"/>
              </w:rPr>
            </w:pPr>
            <w:r>
              <w:rPr>
                <w:rFonts w:eastAsia="Times New Roman"/>
                <w:b/>
                <w:bCs/>
                <w:sz w:val="20"/>
                <w:szCs w:val="20"/>
              </w:rPr>
              <w:t>Exhibit No.</w:t>
            </w:r>
          </w:p>
        </w:tc>
        <w:tc>
          <w:tcPr>
            <w:tcW w:w="50" w:type="pct"/>
            <w:hideMark/>
          </w:tcPr>
          <w:p w:rsidR="00000000" w:rsidRDefault="00215B87">
            <w:pPr>
              <w:rPr>
                <w:rFonts w:eastAsia="Times New Roman"/>
                <w:sz w:val="20"/>
                <w:szCs w:val="20"/>
              </w:rPr>
            </w:pPr>
            <w:r>
              <w:rPr>
                <w:rFonts w:eastAsia="Times New Roman"/>
                <w:sz w:val="20"/>
                <w:szCs w:val="20"/>
              </w:rPr>
              <w:t> </w:t>
            </w:r>
          </w:p>
        </w:tc>
        <w:tc>
          <w:tcPr>
            <w:tcW w:w="4500" w:type="pct"/>
            <w:tcBorders>
              <w:bottom w:val="single" w:sz="12" w:space="0" w:color="000000"/>
            </w:tcBorders>
            <w:hideMark/>
          </w:tcPr>
          <w:p w:rsidR="00000000" w:rsidRDefault="00215B87">
            <w:pPr>
              <w:rPr>
                <w:rFonts w:eastAsia="Times New Roman"/>
                <w:sz w:val="20"/>
                <w:szCs w:val="20"/>
              </w:rPr>
            </w:pPr>
            <w:r>
              <w:rPr>
                <w:rFonts w:eastAsia="Times New Roman"/>
                <w:b/>
                <w:bCs/>
                <w:sz w:val="20"/>
                <w:szCs w:val="20"/>
              </w:rPr>
              <w:t>Description</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15B87">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 2002</w:t>
              </w:r>
            </w:hyperlink>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32.1</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hyperlink r:id="rId5" w:history="1">
              <w:r>
                <w:rPr>
                  <w:rStyle w:val="a4"/>
                  <w:rFonts w:eastAsia="Times New Roman"/>
                  <w:sz w:val="20"/>
                  <w:szCs w:val="20"/>
                </w:rPr>
                <w:t>Certification pursuant to Section 906 of the Sarbanes-Oxley Act of 20</w:t>
              </w:r>
              <w:r>
                <w:rPr>
                  <w:rStyle w:val="a4"/>
                  <w:rFonts w:eastAsia="Times New Roman"/>
                  <w:sz w:val="20"/>
                  <w:szCs w:val="20"/>
                </w:rPr>
                <w:t>02</w:t>
              </w:r>
            </w:hyperlink>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Inline XBRL Instance Document</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101.SCH</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Inline XBRL Taxonomy Extension Schema Document</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Inline XBRL Taxonomy Calculation Linkbase Document</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101.DEF</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Inline XBRL Taxonomy Extension Definition Linkbase Document</w:t>
            </w:r>
          </w:p>
        </w:tc>
      </w:tr>
      <w:tr w:rsidR="00000000">
        <w:trPr>
          <w:divId w:val="1196651354"/>
        </w:trPr>
        <w:tc>
          <w:tcPr>
            <w:tcW w:w="0" w:type="auto"/>
            <w:shd w:val="clear" w:color="auto" w:fill="CCEEFF"/>
            <w:hideMark/>
          </w:tcPr>
          <w:p w:rsidR="00000000" w:rsidRDefault="00215B87">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215B87">
            <w:pPr>
              <w:jc w:val="both"/>
              <w:rPr>
                <w:rFonts w:eastAsia="Times New Roman"/>
                <w:sz w:val="20"/>
                <w:szCs w:val="20"/>
              </w:rPr>
            </w:pPr>
            <w:r>
              <w:rPr>
                <w:rFonts w:eastAsia="Times New Roman"/>
                <w:sz w:val="20"/>
                <w:szCs w:val="20"/>
              </w:rPr>
              <w:t>Inline XBRL Taxonomy Label Linkbase Document</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101.PRE</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Inline XBRL Taxonomy Presentation Linkbase Document</w:t>
            </w:r>
          </w:p>
        </w:tc>
      </w:tr>
      <w:tr w:rsidR="00000000">
        <w:trPr>
          <w:divId w:val="1196651354"/>
        </w:trPr>
        <w:tc>
          <w:tcPr>
            <w:tcW w:w="0" w:type="auto"/>
            <w:shd w:val="clear" w:color="auto" w:fill="CAEEFE"/>
            <w:hideMark/>
          </w:tcPr>
          <w:p w:rsidR="00000000" w:rsidRDefault="00215B87">
            <w:pPr>
              <w:rPr>
                <w:rFonts w:eastAsia="Times New Roman"/>
                <w:sz w:val="20"/>
                <w:szCs w:val="20"/>
              </w:rPr>
            </w:pPr>
            <w:r>
              <w:rPr>
                <w:rFonts w:eastAsia="Times New Roman"/>
                <w:sz w:val="20"/>
                <w:szCs w:val="20"/>
              </w:rPr>
              <w:t>104</w:t>
            </w:r>
          </w:p>
        </w:tc>
        <w:tc>
          <w:tcPr>
            <w:tcW w:w="0" w:type="auto"/>
            <w:shd w:val="clear" w:color="auto" w:fill="CAEEFE"/>
            <w:hideMark/>
          </w:tcPr>
          <w:p w:rsidR="00000000" w:rsidRDefault="00215B87">
            <w:pPr>
              <w:jc w:val="both"/>
              <w:rPr>
                <w:rFonts w:eastAsia="Times New Roman"/>
                <w:sz w:val="20"/>
                <w:szCs w:val="20"/>
              </w:rPr>
            </w:pPr>
            <w:r>
              <w:rPr>
                <w:rFonts w:eastAsia="Times New Roman"/>
                <w:sz w:val="20"/>
                <w:szCs w:val="20"/>
              </w:rPr>
              <w:t> </w:t>
            </w:r>
          </w:p>
        </w:tc>
        <w:tc>
          <w:tcPr>
            <w:tcW w:w="0" w:type="auto"/>
            <w:shd w:val="clear" w:color="auto" w:fill="CAEEFE"/>
            <w:hideMark/>
          </w:tcPr>
          <w:p w:rsidR="00000000" w:rsidRDefault="00215B87">
            <w:pPr>
              <w:jc w:val="both"/>
              <w:rPr>
                <w:rFonts w:eastAsia="Times New Roman"/>
                <w:sz w:val="20"/>
                <w:szCs w:val="20"/>
              </w:rPr>
            </w:pPr>
            <w:r>
              <w:rPr>
                <w:rFonts w:eastAsia="Times New Roman"/>
                <w:sz w:val="20"/>
                <w:szCs w:val="20"/>
              </w:rPr>
              <w:t>Cover Page Interactive Data File (formatted as Inline XBRL and contain</w:t>
            </w:r>
            <w:r>
              <w:rPr>
                <w:rFonts w:eastAsia="Times New Roman"/>
                <w:sz w:val="20"/>
                <w:szCs w:val="20"/>
              </w:rPr>
              <w:t>ed in exhibit 101).</w:t>
            </w:r>
          </w:p>
        </w:tc>
      </w:tr>
    </w:tbl>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jc w:val="center"/>
        <w:divId w:val="1384333729"/>
        <w:rPr>
          <w:sz w:val="20"/>
          <w:szCs w:val="20"/>
        </w:rPr>
      </w:pPr>
      <w:r>
        <w:rPr>
          <w:sz w:val="20"/>
          <w:szCs w:val="20"/>
        </w:rPr>
        <w:t>1</w:t>
      </w:r>
      <w:r>
        <w:rPr>
          <w:sz w:val="20"/>
          <w:szCs w:val="20"/>
        </w:rPr>
        <w:t>7</w:t>
      </w:r>
    </w:p>
    <w:p w:rsidR="00000000" w:rsidRDefault="00215B87">
      <w:pPr>
        <w:pStyle w:val="a3"/>
        <w:spacing w:before="0" w:beforeAutospacing="0" w:after="0" w:afterAutospacing="0"/>
        <w:divId w:val="1661272638"/>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b/>
          <w:bCs/>
          <w:sz w:val="20"/>
          <w:szCs w:val="20"/>
        </w:rPr>
        <w:t> </w:t>
      </w:r>
    </w:p>
    <w:p w:rsidR="00000000" w:rsidRDefault="00215B87">
      <w:pPr>
        <w:pStyle w:val="a3"/>
        <w:spacing w:before="0" w:beforeAutospacing="0" w:after="0" w:afterAutospacing="0"/>
        <w:jc w:val="center"/>
        <w:divId w:val="1196651354"/>
        <w:rPr>
          <w:sz w:val="20"/>
          <w:szCs w:val="20"/>
        </w:rPr>
      </w:pPr>
      <w:r>
        <w:rPr>
          <w:b/>
          <w:bCs/>
          <w:sz w:val="20"/>
          <w:szCs w:val="20"/>
        </w:rPr>
        <w:t>SIGNATURES</w:t>
      </w:r>
    </w:p>
    <w:p w:rsidR="00000000" w:rsidRDefault="00215B87">
      <w:pPr>
        <w:pStyle w:val="a3"/>
        <w:spacing w:before="0" w:beforeAutospacing="0" w:after="0" w:afterAutospacing="0"/>
        <w:jc w:val="center"/>
        <w:divId w:val="1196651354"/>
        <w:rPr>
          <w:sz w:val="20"/>
          <w:szCs w:val="20"/>
        </w:rPr>
      </w:pPr>
      <w:r>
        <w:rPr>
          <w:b/>
          <w:bCs/>
          <w:sz w:val="20"/>
          <w:szCs w:val="20"/>
        </w:rPr>
        <w:t> </w:t>
      </w:r>
    </w:p>
    <w:p w:rsidR="00000000" w:rsidRDefault="00215B87">
      <w:pPr>
        <w:pStyle w:val="a3"/>
        <w:spacing w:before="0" w:beforeAutospacing="0" w:after="0" w:afterAutospacing="0"/>
        <w:jc w:val="both"/>
        <w:divId w:val="1196651354"/>
        <w:rPr>
          <w:sz w:val="20"/>
          <w:szCs w:val="20"/>
        </w:rPr>
      </w:pPr>
      <w:r>
        <w:rPr>
          <w:sz w:val="20"/>
          <w:szCs w:val="20"/>
        </w:rPr>
        <w:t xml:space="preserve">Pursuant to the requirements of the Securities </w:t>
      </w:r>
      <w:r>
        <w:rPr>
          <w:sz w:val="20"/>
          <w:szCs w:val="20"/>
        </w:rPr>
        <w:t>Exchange Act of 1934, the registrant has duly caused this report to be signed on its behalf by the undersigned thereunto duly authorized.</w:t>
      </w:r>
    </w:p>
    <w:p w:rsidR="00000000" w:rsidRDefault="00215B87">
      <w:pPr>
        <w:pStyle w:val="a3"/>
        <w:spacing w:before="0" w:beforeAutospacing="0" w:after="0" w:afterAutospacing="0"/>
        <w:jc w:val="both"/>
        <w:divId w:val="1196651354"/>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rPr>
          <w:divId w:val="1196651354"/>
        </w:trPr>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gridSpan w:val="2"/>
            <w:hideMark/>
          </w:tcPr>
          <w:p w:rsidR="00000000" w:rsidRDefault="00215B87">
            <w:pPr>
              <w:rPr>
                <w:rFonts w:eastAsia="Times New Roman"/>
                <w:sz w:val="20"/>
                <w:szCs w:val="20"/>
              </w:rPr>
            </w:pPr>
            <w:r>
              <w:rPr>
                <w:rFonts w:eastAsia="Times New Roman"/>
                <w:b/>
                <w:bCs/>
                <w:sz w:val="20"/>
                <w:szCs w:val="20"/>
              </w:rPr>
              <w:t>REMSLEEP HOLDINGS, INC.</w:t>
            </w:r>
          </w:p>
        </w:tc>
      </w:tr>
      <w:tr w:rsidR="00000000">
        <w:trPr>
          <w:divId w:val="1196651354"/>
        </w:trPr>
        <w:tc>
          <w:tcPr>
            <w:tcW w:w="3000" w:type="pct"/>
            <w:hideMark/>
          </w:tcPr>
          <w:p w:rsidR="00000000" w:rsidRDefault="00215B87">
            <w:pPr>
              <w:jc w:val="both"/>
              <w:rPr>
                <w:rFonts w:eastAsia="Times New Roman"/>
                <w:sz w:val="20"/>
                <w:szCs w:val="20"/>
              </w:rPr>
            </w:pPr>
            <w:r>
              <w:rPr>
                <w:rFonts w:eastAsia="Times New Roman"/>
                <w:sz w:val="20"/>
                <w:szCs w:val="20"/>
              </w:rPr>
              <w:t> </w:t>
            </w:r>
          </w:p>
        </w:tc>
        <w:tc>
          <w:tcPr>
            <w:tcW w:w="200" w:type="pct"/>
            <w:hideMark/>
          </w:tcPr>
          <w:p w:rsidR="00000000" w:rsidRDefault="00215B87">
            <w:pPr>
              <w:rPr>
                <w:rFonts w:eastAsia="Times New Roman"/>
                <w:sz w:val="20"/>
                <w:szCs w:val="20"/>
              </w:rPr>
            </w:pPr>
            <w:r>
              <w:rPr>
                <w:rFonts w:eastAsia="Times New Roman"/>
                <w:sz w:val="20"/>
                <w:szCs w:val="20"/>
              </w:rPr>
              <w:t> </w:t>
            </w:r>
          </w:p>
        </w:tc>
        <w:tc>
          <w:tcPr>
            <w:tcW w:w="1800" w:type="pct"/>
            <w:hideMark/>
          </w:tcPr>
          <w:p w:rsidR="00000000" w:rsidRDefault="00215B87">
            <w:pPr>
              <w:rPr>
                <w:rFonts w:eastAsia="Times New Roman"/>
                <w:sz w:val="20"/>
                <w:szCs w:val="20"/>
              </w:rPr>
            </w:pPr>
            <w:r>
              <w:rPr>
                <w:rFonts w:eastAsia="Times New Roman"/>
                <w:sz w:val="20"/>
                <w:szCs w:val="20"/>
              </w:rPr>
              <w:t> </w:t>
            </w:r>
          </w:p>
        </w:tc>
      </w:tr>
      <w:tr w:rsidR="00000000">
        <w:trPr>
          <w:divId w:val="1196651354"/>
        </w:trPr>
        <w:tc>
          <w:tcPr>
            <w:tcW w:w="0" w:type="auto"/>
            <w:hideMark/>
          </w:tcPr>
          <w:p w:rsidR="00000000" w:rsidRDefault="00215B87">
            <w:pPr>
              <w:rPr>
                <w:rFonts w:eastAsia="Times New Roman"/>
                <w:sz w:val="20"/>
                <w:szCs w:val="20"/>
              </w:rPr>
            </w:pPr>
            <w:r>
              <w:rPr>
                <w:rFonts w:eastAsia="Times New Roman"/>
                <w:sz w:val="20"/>
                <w:szCs w:val="20"/>
              </w:rPr>
              <w:t>Date: May 12, 2022</w:t>
            </w:r>
          </w:p>
        </w:tc>
        <w:tc>
          <w:tcPr>
            <w:tcW w:w="0" w:type="auto"/>
            <w:hideMark/>
          </w:tcPr>
          <w:p w:rsidR="00000000" w:rsidRDefault="00215B87">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215B87">
            <w:pPr>
              <w:jc w:val="both"/>
              <w:rPr>
                <w:rFonts w:eastAsia="Times New Roman"/>
                <w:sz w:val="20"/>
                <w:szCs w:val="20"/>
              </w:rPr>
            </w:pPr>
            <w:r>
              <w:rPr>
                <w:rFonts w:eastAsia="Times New Roman"/>
                <w:i/>
                <w:iCs/>
                <w:sz w:val="20"/>
                <w:szCs w:val="20"/>
              </w:rPr>
              <w:t>/s/ Thomas J. Wood</w:t>
            </w:r>
          </w:p>
        </w:tc>
      </w:tr>
      <w:tr w:rsidR="00000000">
        <w:trPr>
          <w:divId w:val="1196651354"/>
        </w:trPr>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jc w:val="both"/>
              <w:rPr>
                <w:rFonts w:eastAsia="Times New Roman"/>
                <w:sz w:val="20"/>
                <w:szCs w:val="20"/>
              </w:rPr>
            </w:pPr>
            <w:r>
              <w:rPr>
                <w:rFonts w:eastAsia="Times New Roman"/>
                <w:sz w:val="20"/>
                <w:szCs w:val="20"/>
              </w:rPr>
              <w:t>Thomas J. Wood</w:t>
            </w:r>
          </w:p>
        </w:tc>
      </w:tr>
      <w:tr w:rsidR="00000000">
        <w:trPr>
          <w:divId w:val="1196651354"/>
        </w:trPr>
        <w:tc>
          <w:tcPr>
            <w:tcW w:w="0" w:type="auto"/>
            <w:hideMark/>
          </w:tcPr>
          <w:p w:rsidR="00000000" w:rsidRDefault="00215B87">
            <w:pPr>
              <w:jc w:val="both"/>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 </w:t>
            </w:r>
          </w:p>
        </w:tc>
        <w:tc>
          <w:tcPr>
            <w:tcW w:w="0" w:type="auto"/>
            <w:hideMark/>
          </w:tcPr>
          <w:p w:rsidR="00000000" w:rsidRDefault="00215B87">
            <w:pPr>
              <w:rPr>
                <w:rFonts w:eastAsia="Times New Roman"/>
                <w:sz w:val="20"/>
                <w:szCs w:val="20"/>
              </w:rPr>
            </w:pPr>
            <w:r>
              <w:rPr>
                <w:rFonts w:eastAsia="Times New Roman"/>
                <w:sz w:val="20"/>
                <w:szCs w:val="20"/>
              </w:rPr>
              <w:t>Chief Executive Officer and Director</w:t>
            </w:r>
            <w:r>
              <w:rPr>
                <w:rFonts w:eastAsia="Times New Roman"/>
                <w:sz w:val="20"/>
                <w:szCs w:val="20"/>
              </w:rPr>
              <w:br/>
              <w:t>(Principal Executive Officer)</w:t>
            </w:r>
            <w:r>
              <w:rPr>
                <w:rFonts w:eastAsia="Times New Roman"/>
                <w:sz w:val="20"/>
                <w:szCs w:val="20"/>
              </w:rPr>
              <w:br/>
              <w:t>(Principal Financial and Accounting Officer)</w:t>
            </w:r>
          </w:p>
        </w:tc>
      </w:tr>
    </w:tbl>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jc w:val="center"/>
        <w:divId w:val="1196651354"/>
        <w:rPr>
          <w:sz w:val="20"/>
          <w:szCs w:val="20"/>
        </w:rPr>
      </w:pPr>
      <w:r>
        <w:rPr>
          <w:sz w:val="20"/>
          <w:szCs w:val="20"/>
        </w:rPr>
        <w:t>18</w:t>
      </w:r>
    </w:p>
    <w:p w:rsidR="00000000" w:rsidRDefault="00215B87">
      <w:pPr>
        <w:divId w:val="1177963769"/>
        <w:rPr>
          <w:rFonts w:eastAsia="Times New Roman"/>
          <w:sz w:val="2"/>
          <w:szCs w:val="2"/>
        </w:rPr>
      </w:pPr>
      <w:r>
        <w:rPr>
          <w:rFonts w:eastAsia="Times New Roman"/>
          <w:sz w:val="2"/>
          <w:szCs w:val="2"/>
        </w:rPr>
        <w:t> </w:t>
      </w:r>
    </w:p>
    <w:p w:rsidR="00000000" w:rsidRDefault="00215B87">
      <w:pPr>
        <w:pStyle w:val="a3"/>
        <w:spacing w:before="0" w:beforeAutospacing="0" w:after="0" w:afterAutospacing="0"/>
        <w:jc w:val="center"/>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000000" w:rsidRDefault="00215B87">
      <w:pPr>
        <w:pStyle w:val="a3"/>
        <w:spacing w:before="0" w:beforeAutospacing="0" w:after="0" w:afterAutospacing="0"/>
        <w:divId w:val="1196651354"/>
        <w:rPr>
          <w:sz w:val="20"/>
          <w:szCs w:val="20"/>
        </w:rPr>
      </w:pPr>
      <w:r>
        <w:rPr>
          <w:sz w:val="20"/>
          <w:szCs w:val="20"/>
        </w:rPr>
        <w:t> </w:t>
      </w:r>
    </w:p>
    <w:p w:rsidR="00215B87" w:rsidRDefault="00215B87">
      <w:pPr>
        <w:divId w:val="1705327348"/>
        <w:rPr>
          <w:rFonts w:eastAsia="Times New Roman"/>
          <w:vanish/>
          <w:sz w:val="20"/>
          <w:szCs w:val="20"/>
        </w:rPr>
      </w:pPr>
      <w:r>
        <w:rPr>
          <w:rFonts w:eastAsia="Times New Roman"/>
          <w:vanish/>
          <w:sz w:val="20"/>
          <w:szCs w:val="20"/>
        </w:rPr>
        <w:t xml:space="preserve">367-3855 813 </w:t>
      </w:r>
      <w:r>
        <w:rPr>
          <w:rFonts w:eastAsia="Times New Roman"/>
          <w:vanish/>
          <w:sz w:val="20"/>
          <w:szCs w:val="20"/>
        </w:rPr>
        <w:t>Pursuant to the terms of certain warrant agreements, when the exercise price is reduced for any reason outlined in the agreement, the number of warrant shares is increased so that the aggregated exercise price is equal to the original exercise price</w:t>
      </w:r>
      <w:r>
        <w:rPr>
          <w:rFonts w:eastAsia="Times New Roman"/>
          <w:vanish/>
          <w:sz w:val="20"/>
          <w:szCs w:val="20"/>
        </w:rPr>
        <w:t>.</w:t>
      </w:r>
      <w:r>
        <w:rPr>
          <w:rFonts w:eastAsia="Times New Roman"/>
          <w:vanish/>
          <w:sz w:val="20"/>
          <w:szCs w:val="20"/>
        </w:rPr>
        <w:t xml:space="preserve"> false</w:t>
      </w:r>
      <w:r>
        <w:rPr>
          <w:rFonts w:eastAsia="Times New Roman"/>
          <w:vanish/>
          <w:sz w:val="20"/>
          <w:szCs w:val="20"/>
        </w:rPr>
        <w:t xml:space="preserve"> --12-31 Q1 0001412126 0001412126 2022-01-01 2022-03-31 0001412126 2022-05-11 0001412126 2022-03-31 0001412126 2021-12-31 0001412126 us-gaap:SeriesAPreferredStockMember 2022-03-31 0001412126 us-gaap:SeriesAPreferredStockMember 2021-12-31 0001412126 us-gaap</w:t>
      </w:r>
      <w:r>
        <w:rPr>
          <w:rFonts w:eastAsia="Times New Roman"/>
          <w:vanish/>
          <w:sz w:val="20"/>
          <w:szCs w:val="20"/>
        </w:rPr>
        <w:t>:CommonClassBMember 2022-03-31 0001412126 us-gaap:CommonClassBMember 2021-12-31 0001412126 us-gaap:SeriesCPreferredStockMember 2022-03-31 0001412126 us-gaap:SeriesCPreferredStockMember 2021-12-31 0001412126 2021-01-01 2021-03-31 0001412126 us-gaap:SeriesAP</w:t>
      </w:r>
      <w:r>
        <w:rPr>
          <w:rFonts w:eastAsia="Times New Roman"/>
          <w:vanish/>
          <w:sz w:val="20"/>
          <w:szCs w:val="20"/>
        </w:rPr>
        <w:t>referredStockMember us-gaap:PreferredStockMember 2021-12-31 0001412126 us-gaap:SeriesBPreferredStockMember us-gaap:PreferredStockMember 2021-12-31 0001412126 us-gaap:CommonStockMember 2021-12-31 0001412126 rmsl:DiscountToCommonStockMember 2021-12-31 000141</w:t>
      </w:r>
      <w:r>
        <w:rPr>
          <w:rFonts w:eastAsia="Times New Roman"/>
          <w:vanish/>
          <w:sz w:val="20"/>
          <w:szCs w:val="20"/>
        </w:rPr>
        <w:t>2126 us-gaap:AdditionalPaidInCapitalMember 2021-12-31 0001412126 us-gaap:RetainedEarningsMember 2021-12-31 0001412126 us-gaap:SeriesAPreferredStockMember us-gaap:PreferredStockMember 2022-01-01 2022-03-31 0001412126 us-gaap:SeriesBPreferredStockMember us-g</w:t>
      </w:r>
      <w:r>
        <w:rPr>
          <w:rFonts w:eastAsia="Times New Roman"/>
          <w:vanish/>
          <w:sz w:val="20"/>
          <w:szCs w:val="20"/>
        </w:rPr>
        <w:t>aap:PreferredStockMember 2022-01-01 2022-03-31 0001412126 us-gaap:CommonStockMember 2022-01-01 2022-03-31 0001412126 rmsl:DiscountToCommonStockMember 2022-01-01 2022-03-31 0001412126 us-gaap:AdditionalPaidInCapitalMember 2022-01-01 2022-03-31 0001412126 us</w:t>
      </w:r>
      <w:r>
        <w:rPr>
          <w:rFonts w:eastAsia="Times New Roman"/>
          <w:vanish/>
          <w:sz w:val="20"/>
          <w:szCs w:val="20"/>
        </w:rPr>
        <w:t>-gaap:RetainedEarningsMember 2022-01-01 2022-03-31 0001412126 us-gaap:SeriesAPreferredStockMember us-gaap:PreferredStockMember 2022-03-31 0001412126 us-gaap:SeriesBPreferredStockMember us-gaap:PreferredStockMember 2022-03-31 0001412126 us-gaap:CommonStockM</w:t>
      </w:r>
      <w:r>
        <w:rPr>
          <w:rFonts w:eastAsia="Times New Roman"/>
          <w:vanish/>
          <w:sz w:val="20"/>
          <w:szCs w:val="20"/>
        </w:rPr>
        <w:t>ember 2022-03-31 0001412126 rmsl:DiscountToCommonStockMember 2022-03-31 0001412126 us-gaap:AdditionalPaidInCapitalMember 2022-03-31 0001412126 us-gaap:RetainedEarningsMember 2022-03-31 0001412126 us-gaap:SeriesAPreferredStockMember us-gaap:PreferredStockMe</w:t>
      </w:r>
      <w:r>
        <w:rPr>
          <w:rFonts w:eastAsia="Times New Roman"/>
          <w:vanish/>
          <w:sz w:val="20"/>
          <w:szCs w:val="20"/>
        </w:rPr>
        <w:t>mber 2020-12-31 0001412126 us-gaap:SeriesBPreferredStockMember us-gaap:PreferredStockMember 2020-12-31 0001412126 us-gaap:CommonStockMember 2020-12-31 0001412126 us-gaap:AdditionalPaidInCapitalMember 2020-12-31 0001412126 us-gaap:RetainedEarningsMember 202</w:t>
      </w:r>
      <w:r>
        <w:rPr>
          <w:rFonts w:eastAsia="Times New Roman"/>
          <w:vanish/>
          <w:sz w:val="20"/>
          <w:szCs w:val="20"/>
        </w:rPr>
        <w:t>0-12-31 0001412126 2020-12-31 0001412126 us-gaap:SeriesAPreferredStockMember us-gaap:PreferredStockMember 2021-01-01 2021-03-31 0001412126 us-gaap:SeriesBPreferredStockMember us-gaap:PreferredStockMember 2021-01-01 2021-03-31 0001412126 us-gaap:CommonStock</w:t>
      </w:r>
      <w:r>
        <w:rPr>
          <w:rFonts w:eastAsia="Times New Roman"/>
          <w:vanish/>
          <w:sz w:val="20"/>
          <w:szCs w:val="20"/>
        </w:rPr>
        <w:t>Member 2021-01-01 2021-03-31 0001412126 us-gaap:AdditionalPaidInCapitalMember 2021-01-01 2021-03-31 0001412126 us-gaap:RetainedEarningsMember 2021-01-01 2021-03-31 0001412126 us-gaap:SeriesAPreferredStockMember us-gaap:PreferredStockMember 2021-03-31 00014</w:t>
      </w:r>
      <w:r>
        <w:rPr>
          <w:rFonts w:eastAsia="Times New Roman"/>
          <w:vanish/>
          <w:sz w:val="20"/>
          <w:szCs w:val="20"/>
        </w:rPr>
        <w:t>12126 us-gaap:SeriesBPreferredStockMember us-gaap:PreferredStockMember 2021-03-31 0001412126 us-gaap:CommonStockMember 2021-03-31 0001412126 us-gaap:AdditionalPaidInCapitalMember 2021-03-31 0001412126 us-gaap:RetainedEarningsMember 2021-03-31 0001412126 20</w:t>
      </w:r>
      <w:r>
        <w:rPr>
          <w:rFonts w:eastAsia="Times New Roman"/>
          <w:vanish/>
          <w:sz w:val="20"/>
          <w:szCs w:val="20"/>
        </w:rPr>
        <w:t>21-03-31 0001412126 us-gaap:SeriesBPreferredStockMember 2022-03-31 0001412126 us-gaap:SeriesAPreferredStockMember 2021-03-31 0001412126 us-gaap:SeriesBPreferredStockMember 2021-03-31 0001412126 us-gaap:FairValueInputsLevel1Member 2022-03-31 0001412126 us-g</w:t>
      </w:r>
      <w:r>
        <w:rPr>
          <w:rFonts w:eastAsia="Times New Roman"/>
          <w:vanish/>
          <w:sz w:val="20"/>
          <w:szCs w:val="20"/>
        </w:rPr>
        <w:t>aap:FairValueInputsLevel2Member 2022-03-31 0001412126 us-gaap:FairValueInputsLevel3Member 2022-03-31 0001412126 us-gaap:FairValueInputsLevel1Member 2021-12-31 0001412126 us-gaap:FairValueInputsLevel2Member 2021-12-31 0001412126 us-gaap:FairValueInputsLevel</w:t>
      </w:r>
      <w:r>
        <w:rPr>
          <w:rFonts w:eastAsia="Times New Roman"/>
          <w:vanish/>
          <w:sz w:val="20"/>
          <w:szCs w:val="20"/>
        </w:rPr>
        <w:t>3Member 2021-12-31</w:t>
      </w:r>
      <w:r>
        <w:rPr>
          <w:rFonts w:eastAsia="Times New Roman"/>
          <w:vanish/>
          <w:sz w:val="20"/>
          <w:szCs w:val="20"/>
        </w:rPr>
        <w:t xml:space="preserve"> </w:t>
      </w:r>
      <w:r>
        <w:rPr>
          <w:rFonts w:eastAsia="Times New Roman"/>
          <w:vanish/>
          <w:sz w:val="20"/>
          <w:szCs w:val="20"/>
        </w:rPr>
        <w:t>0001412126 pf0:MinimumMember 2022-01-01 2022-03-31 0001412126 pf0:MaximumMember 2022-01-01 2022-03-31 0001412126 rmsl:MrWessonMember us-gaap:LoansPayableMember 2012-10-24 0001412126 rmsl:MrWessonMember us-gaap:LoansPayableMember 2013-06-</w:t>
      </w:r>
      <w:r>
        <w:rPr>
          <w:rFonts w:eastAsia="Times New Roman"/>
          <w:vanish/>
          <w:sz w:val="20"/>
          <w:szCs w:val="20"/>
        </w:rPr>
        <w:t>12 0001412126 us-gaap:LoansPayableMember 2022-03-31 0001412126 us-gaap:LoansPayableMember 2018-04-01 2018-04-26 0001412126 us-gaap:LoansPayableMember 2021-12-31 0001412126 rmsl:GraniteGlobalInvestmentsLtdFourMember 2021-01-01 2021-12-31 0001412126 rmsl:Gra</w:t>
      </w:r>
      <w:r>
        <w:rPr>
          <w:rFonts w:eastAsia="Times New Roman"/>
          <w:vanish/>
          <w:sz w:val="20"/>
          <w:szCs w:val="20"/>
        </w:rPr>
        <w:t>niteGlobalInvestmentsLtdFourMember 2021-12-31 0001412126 rmsl:GraniteGlobalInvestmentsLtdFourMember 2022-03-31 0001412126 rmsl:GraniteGlobalInvestmentsLtdFourMember 2022-01-01 2022-03-31 0001412126 rmsl:GraniteGlobalInvestmentsLtdSixMember 2021-01-01 2021-</w:t>
      </w:r>
      <w:r>
        <w:rPr>
          <w:rFonts w:eastAsia="Times New Roman"/>
          <w:vanish/>
          <w:sz w:val="20"/>
          <w:szCs w:val="20"/>
        </w:rPr>
        <w:t>12-31 0001412126 rmsl:GraniteGlobalInvestmentsLtdSixMember 2021-12-31 0001412126 rmsl:GraniteGlobalInvestmentsLtdSixMember 2022-03-31 0001412126 rmsl:GraniteGlobalInvestmentsLtdSixMember 2022-01-01 2022-03-31 0001412126 rmsl:PowerUpLendingGroupLTDTwoMember</w:t>
      </w:r>
      <w:r>
        <w:rPr>
          <w:rFonts w:eastAsia="Times New Roman"/>
          <w:vanish/>
          <w:sz w:val="20"/>
          <w:szCs w:val="20"/>
        </w:rPr>
        <w:t xml:space="preserve"> 2021-01-01 2021-12-31 0001412126 rmsl:PowerUpLendingGroupLTDTwoMember 2021-12-31 0001412126 rmsl:PowerUpLendingGroupLTDTwoMember 2022-03-31 0001412126 rmsl:PowerUpLendingGroupLTDTwoMember 2022-01-01 2022-03-31 0001412126 rmsl:PowerUpLendingGroupLTDThreeMe</w:t>
      </w:r>
      <w:r>
        <w:rPr>
          <w:rFonts w:eastAsia="Times New Roman"/>
          <w:vanish/>
          <w:sz w:val="20"/>
          <w:szCs w:val="20"/>
        </w:rPr>
        <w:t>mber 2021-01-01 2021-12-31 0001412126 rmsl:PowerUpLendingGroupLTDThreeMember 2021-12-31 0001412126 rmsl:PowerUpLendingGroupLTDThreeMember 2022-03-31 0001412126 rmsl:PowerUpLendingGroupLTDThreeMember 2022-01-01 2022-03-31 0001412126 rmsl:PowerUpLendingGroup</w:t>
      </w:r>
      <w:r>
        <w:rPr>
          <w:rFonts w:eastAsia="Times New Roman"/>
          <w:vanish/>
          <w:sz w:val="20"/>
          <w:szCs w:val="20"/>
        </w:rPr>
        <w:t>LTDFourMember 2021-01-01 2021-12-31 0001412126 rmsl:PowerUpLendingGroupLTDFourMember 2021-12-31 0001412126 rmsl:PowerUpLendingGroupLTDFourMember 2022-03-31 0001412126 rmsl:PowerUpLendingGroupLTDFourMember 2022-01-01 2022-03-31 0001412126 rmsl:PowerUpLendin</w:t>
      </w:r>
      <w:r>
        <w:rPr>
          <w:rFonts w:eastAsia="Times New Roman"/>
          <w:vanish/>
          <w:sz w:val="20"/>
          <w:szCs w:val="20"/>
        </w:rPr>
        <w:t>gGroupLTDFiveMember 2021-01-01 2021-12-31 0001412126 rmsl:PowerUpLendingGroupLTDFiveMember 2021-12-31 0001412126 rmsl:PowerUpLendingGroupLTDFiveMember 2022-03-31 0001412126 rmsl:PowerUpLendingGroupLTDFiveMember 2022-01-01 2022-03-31 0001412126 2021-01-01 2</w:t>
      </w:r>
      <w:r>
        <w:rPr>
          <w:rFonts w:eastAsia="Times New Roman"/>
          <w:vanish/>
          <w:sz w:val="20"/>
          <w:szCs w:val="20"/>
        </w:rPr>
        <w:t>021-12-31 0001412126 pf0:MinimumMember 2022-03-31 0001412126 rmsl:InitialValuationMember pf0:MinimumMember 2022-03-31 0001412126 rmsl:InitialValuationMember pf0:MinimumMember 2022-01-01 2022-03-31 0001412126 pf0:MinimumMember 2021-03-31 0001412126 pf0:Maxi</w:t>
      </w:r>
      <w:r>
        <w:rPr>
          <w:rFonts w:eastAsia="Times New Roman"/>
          <w:vanish/>
          <w:sz w:val="20"/>
          <w:szCs w:val="20"/>
        </w:rPr>
        <w:t>mumMember 2021-03-31 0001412126 pf0:MinimumMember 2021-01-01 2021-03-31 0001412126 pf0:MaximumMember 2021-01-01 2021-03-31 0001412126 2019-01-01 2019-01-01 0001412126 rmsl:MrWoodMember 2022-01-01 2022-03-31 0001412126 rmsl:MrWoodMember 2022-03-31 000141212</w:t>
      </w:r>
      <w:r>
        <w:rPr>
          <w:rFonts w:eastAsia="Times New Roman"/>
          <w:vanish/>
          <w:sz w:val="20"/>
          <w:szCs w:val="20"/>
        </w:rPr>
        <w:t>6 rmsl:MrWoodMember 2021-12-31 0001412126 rmsl:MrWoodMember 2021-01-01 2021-03-31 0001412126 rmsl:MrBirdMember 2022-01-01 2022-03-31 0001412126 rmsl:MrBirdMember 2022-03-31 0001412126 rmsl:MrBirdMember 2021-12-31 0001412126 rmsl:MrBirdMember 2021-01-01 202</w:t>
      </w:r>
      <w:r>
        <w:rPr>
          <w:rFonts w:eastAsia="Times New Roman"/>
          <w:vanish/>
          <w:sz w:val="20"/>
          <w:szCs w:val="20"/>
        </w:rPr>
        <w:t>1-03-31 0001412126 rmsl:MrLaneMember 2022-01-01 2022-03-31 0001412126 rmsl:MrLaneMember 2021-01-01 2021-03-31 0001412126 us-gaap:ProductMember pf0:ChiefExecutiveOfficerMember 2022-03-31 0001412126 us-gaap:ProductMember pf0:ChiefExecutiveOfficerMember 2021-</w:t>
      </w:r>
      <w:r>
        <w:rPr>
          <w:rFonts w:eastAsia="Times New Roman"/>
          <w:vanish/>
          <w:sz w:val="20"/>
          <w:szCs w:val="20"/>
        </w:rPr>
        <w:t>03-31 0001412126 us-gaap:TechnologyServiceMember pf0:ChiefExecutiveOfficerMember 2022-03-31 0001412126 us-gaap:TechnologyServiceMember pf0:ChiefExecutiveOfficerMember 2021-03-31 0001412126 rmsl:GraniteGlobalValueMember 2022-01-01 2022-03-31 0001412126 rmsl</w:t>
      </w:r>
      <w:r>
        <w:rPr>
          <w:rFonts w:eastAsia="Times New Roman"/>
          <w:vanish/>
          <w:sz w:val="20"/>
          <w:szCs w:val="20"/>
        </w:rPr>
        <w:t>:PowerUpOneMember 2022-01-01 2022-03-31 0001412126 us-gaap:SeriesAPreferredStockMember 2022-01-01 2022-03-31 0001412126 us-gaap:SeriesBPreferredStockMember 2022-01-01 2022-03-31 0001412126 us-gaap:SeriesCPreferredStockMember 2022-01-01 2022-03-31 000141212</w:t>
      </w:r>
      <w:r>
        <w:rPr>
          <w:rFonts w:eastAsia="Times New Roman"/>
          <w:vanish/>
          <w:sz w:val="20"/>
          <w:szCs w:val="20"/>
        </w:rPr>
        <w:t xml:space="preserve">6 pf0:MaximumMember 2022-03-31 0001412126 rmsl:PowerUpMember 2022-01-01 2022-03-31 0001412126 rmsl:PowerUpMember 2022-03-31 xbrli:shares iso4217:USD iso4217:USD xbrli:shares xbrli:pure </w:t>
      </w:r>
    </w:p>
    <w:sectPr w:rsidR="00215B8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5B87"/>
    <w:rsid w:val="00215B87"/>
  </w:rsids>
  <m:mathPr>
    <m:mathFont m:val="Cambria Math"/>
    <m:brkBin m:val="before"/>
    <m:brkBinSub m:val="--"/>
    <m:smallFrac m:val="0"/>
    <m:dispDef/>
    <m:lMargin m:val="0"/>
    <m:rMargin m:val="0"/>
    <m:defJc m:val="centerGroup"/>
    <m:wrapIndent m:val="1440"/>
    <m:intLim m:val="subSup"/>
    <m:naryLim m:val="undOvr"/>
  </m:mathPr>
  <w:attachedSchema w:val="http://compsciresources.com"/>
  <w:attachedSchema w:val="http://xbrl.sec.gov/dei/2022"/>
  <w:attachedSchema w:val="http://www.xbrl.org/dtr/type/2020-01-21"/>
  <w:attachedSchema w:val="http://www.xbrl.org/2003/iso4217"/>
  <w:attachedSchema w:val="http://www.xbrl.org/2013/inlineXBRL"/>
  <w:attachedSchema w:val="http://www.xbrl.org/inlineXBRL/transformation/2020-02-12"/>
  <w:attachedSchema w:val="http://www.sec.gov/inlineXBRL/transformation/2015-08-31"/>
  <w:attachedSchema w:val="http://www.xbrl.org/2003/linkbase"/>
  <w:attachedSchema w:val="http://fasb.org/srt/2022"/>
  <w:attachedSchema w:val="http://rmsl.com/20220331"/>
  <w:attachedSchema w:val="http://fasb.org/us-gaap/2022"/>
  <w:attachedSchema w:val="http://fasb.org/us-types/2022"/>
  <w:attachedSchema w:val="http://xbrl.org/2006/xbrldi"/>
  <w:attachedSchema w:val="http://www.xbrl.org/2003/instance"/>
  <w:attachedSchema w:val="http://www.xbrl.org/2003/XLink"/>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51354">
      <w:marLeft w:val="0"/>
      <w:marRight w:val="0"/>
      <w:marTop w:val="0"/>
      <w:marBottom w:val="0"/>
      <w:divBdr>
        <w:top w:val="none" w:sz="0" w:space="0" w:color="auto"/>
        <w:left w:val="none" w:sz="0" w:space="0" w:color="auto"/>
        <w:bottom w:val="none" w:sz="0" w:space="0" w:color="auto"/>
        <w:right w:val="none" w:sz="0" w:space="0" w:color="auto"/>
      </w:divBdr>
      <w:divsChild>
        <w:div w:id="1220215271">
          <w:marLeft w:val="0"/>
          <w:marRight w:val="0"/>
          <w:marTop w:val="0"/>
          <w:marBottom w:val="0"/>
          <w:divBdr>
            <w:top w:val="none" w:sz="0" w:space="0" w:color="auto"/>
            <w:left w:val="none" w:sz="0" w:space="0" w:color="auto"/>
            <w:bottom w:val="none" w:sz="0" w:space="0" w:color="auto"/>
            <w:right w:val="none" w:sz="0" w:space="0" w:color="auto"/>
          </w:divBdr>
          <w:divsChild>
            <w:div w:id="384185373">
              <w:marLeft w:val="0"/>
              <w:marRight w:val="0"/>
              <w:marTop w:val="0"/>
              <w:marBottom w:val="0"/>
              <w:divBdr>
                <w:top w:val="single" w:sz="18" w:space="0" w:color="000000"/>
                <w:left w:val="none" w:sz="0" w:space="0" w:color="auto"/>
                <w:bottom w:val="single" w:sz="8" w:space="0" w:color="000000"/>
                <w:right w:val="none" w:sz="0" w:space="0" w:color="auto"/>
              </w:divBdr>
            </w:div>
          </w:divsChild>
        </w:div>
        <w:div w:id="1663659563">
          <w:marLeft w:val="0"/>
          <w:marRight w:val="0"/>
          <w:marTop w:val="0"/>
          <w:marBottom w:val="0"/>
          <w:divBdr>
            <w:top w:val="none" w:sz="0" w:space="0" w:color="auto"/>
            <w:left w:val="none" w:sz="0" w:space="0" w:color="auto"/>
            <w:bottom w:val="none" w:sz="0" w:space="0" w:color="auto"/>
            <w:right w:val="none" w:sz="0" w:space="0" w:color="auto"/>
          </w:divBdr>
          <w:divsChild>
            <w:div w:id="992223117">
              <w:marLeft w:val="0"/>
              <w:marRight w:val="0"/>
              <w:marTop w:val="0"/>
              <w:marBottom w:val="0"/>
              <w:divBdr>
                <w:top w:val="single" w:sz="8" w:space="0" w:color="000000"/>
                <w:left w:val="none" w:sz="0" w:space="0" w:color="auto"/>
                <w:bottom w:val="single" w:sz="18" w:space="0" w:color="000000"/>
                <w:right w:val="none" w:sz="0" w:space="0" w:color="auto"/>
              </w:divBdr>
            </w:div>
          </w:divsChild>
        </w:div>
        <w:div w:id="522090320">
          <w:marLeft w:val="0"/>
          <w:marRight w:val="0"/>
          <w:marTop w:val="240"/>
          <w:marBottom w:val="120"/>
          <w:divBdr>
            <w:top w:val="none" w:sz="0" w:space="0" w:color="auto"/>
            <w:left w:val="none" w:sz="0" w:space="0" w:color="auto"/>
            <w:bottom w:val="single" w:sz="12" w:space="0" w:color="000000"/>
            <w:right w:val="none" w:sz="0" w:space="0" w:color="auto"/>
          </w:divBdr>
        </w:div>
        <w:div w:id="1461222519">
          <w:marLeft w:val="0"/>
          <w:marRight w:val="0"/>
          <w:marTop w:val="120"/>
          <w:marBottom w:val="240"/>
          <w:divBdr>
            <w:top w:val="none" w:sz="0" w:space="0" w:color="auto"/>
            <w:left w:val="none" w:sz="0" w:space="0" w:color="auto"/>
            <w:bottom w:val="none" w:sz="0" w:space="0" w:color="auto"/>
            <w:right w:val="none" w:sz="0" w:space="0" w:color="auto"/>
          </w:divBdr>
        </w:div>
        <w:div w:id="1853687666">
          <w:marLeft w:val="0"/>
          <w:marRight w:val="0"/>
          <w:marTop w:val="240"/>
          <w:marBottom w:val="120"/>
          <w:divBdr>
            <w:top w:val="none" w:sz="0" w:space="0" w:color="auto"/>
            <w:left w:val="none" w:sz="0" w:space="0" w:color="auto"/>
            <w:bottom w:val="single" w:sz="12" w:space="0" w:color="000000"/>
            <w:right w:val="none" w:sz="0" w:space="0" w:color="auto"/>
          </w:divBdr>
        </w:div>
        <w:div w:id="833833560">
          <w:marLeft w:val="0"/>
          <w:marRight w:val="0"/>
          <w:marTop w:val="120"/>
          <w:marBottom w:val="240"/>
          <w:divBdr>
            <w:top w:val="none" w:sz="0" w:space="0" w:color="auto"/>
            <w:left w:val="none" w:sz="0" w:space="0" w:color="auto"/>
            <w:bottom w:val="none" w:sz="0" w:space="0" w:color="auto"/>
            <w:right w:val="none" w:sz="0" w:space="0" w:color="auto"/>
          </w:divBdr>
        </w:div>
        <w:div w:id="503783365">
          <w:marLeft w:val="0"/>
          <w:marRight w:val="0"/>
          <w:marTop w:val="240"/>
          <w:marBottom w:val="120"/>
          <w:divBdr>
            <w:top w:val="none" w:sz="0" w:space="0" w:color="auto"/>
            <w:left w:val="none" w:sz="0" w:space="0" w:color="auto"/>
            <w:bottom w:val="single" w:sz="12" w:space="0" w:color="000000"/>
            <w:right w:val="none" w:sz="0" w:space="0" w:color="auto"/>
          </w:divBdr>
        </w:div>
        <w:div w:id="1538084130">
          <w:marLeft w:val="0"/>
          <w:marRight w:val="0"/>
          <w:marTop w:val="120"/>
          <w:marBottom w:val="240"/>
          <w:divBdr>
            <w:top w:val="none" w:sz="0" w:space="0" w:color="auto"/>
            <w:left w:val="none" w:sz="0" w:space="0" w:color="auto"/>
            <w:bottom w:val="none" w:sz="0" w:space="0" w:color="auto"/>
            <w:right w:val="none" w:sz="0" w:space="0" w:color="auto"/>
          </w:divBdr>
        </w:div>
        <w:div w:id="903445621">
          <w:marLeft w:val="0"/>
          <w:marRight w:val="0"/>
          <w:marTop w:val="0"/>
          <w:marBottom w:val="0"/>
          <w:divBdr>
            <w:top w:val="none" w:sz="0" w:space="0" w:color="auto"/>
            <w:left w:val="none" w:sz="0" w:space="0" w:color="auto"/>
            <w:bottom w:val="none" w:sz="0" w:space="0" w:color="auto"/>
            <w:right w:val="none" w:sz="0" w:space="0" w:color="auto"/>
          </w:divBdr>
        </w:div>
        <w:div w:id="1306549493">
          <w:marLeft w:val="0"/>
          <w:marRight w:val="0"/>
          <w:marTop w:val="0"/>
          <w:marBottom w:val="0"/>
          <w:divBdr>
            <w:top w:val="none" w:sz="0" w:space="0" w:color="auto"/>
            <w:left w:val="none" w:sz="0" w:space="0" w:color="auto"/>
            <w:bottom w:val="none" w:sz="0" w:space="0" w:color="auto"/>
            <w:right w:val="none" w:sz="0" w:space="0" w:color="auto"/>
          </w:divBdr>
        </w:div>
        <w:div w:id="1404258914">
          <w:marLeft w:val="0"/>
          <w:marRight w:val="0"/>
          <w:marTop w:val="0"/>
          <w:marBottom w:val="0"/>
          <w:divBdr>
            <w:top w:val="none" w:sz="0" w:space="0" w:color="auto"/>
            <w:left w:val="none" w:sz="0" w:space="0" w:color="auto"/>
            <w:bottom w:val="none" w:sz="0" w:space="0" w:color="auto"/>
            <w:right w:val="none" w:sz="0" w:space="0" w:color="auto"/>
          </w:divBdr>
        </w:div>
        <w:div w:id="491485478">
          <w:marLeft w:val="0"/>
          <w:marRight w:val="0"/>
          <w:marTop w:val="0"/>
          <w:marBottom w:val="0"/>
          <w:divBdr>
            <w:top w:val="none" w:sz="0" w:space="0" w:color="auto"/>
            <w:left w:val="none" w:sz="0" w:space="0" w:color="auto"/>
            <w:bottom w:val="none" w:sz="0" w:space="0" w:color="auto"/>
            <w:right w:val="none" w:sz="0" w:space="0" w:color="auto"/>
          </w:divBdr>
        </w:div>
        <w:div w:id="1123109637">
          <w:marLeft w:val="0"/>
          <w:marRight w:val="0"/>
          <w:marTop w:val="0"/>
          <w:marBottom w:val="0"/>
          <w:divBdr>
            <w:top w:val="none" w:sz="0" w:space="0" w:color="auto"/>
            <w:left w:val="none" w:sz="0" w:space="0" w:color="auto"/>
            <w:bottom w:val="none" w:sz="0" w:space="0" w:color="auto"/>
            <w:right w:val="none" w:sz="0" w:space="0" w:color="auto"/>
          </w:divBdr>
        </w:div>
        <w:div w:id="541986638">
          <w:marLeft w:val="0"/>
          <w:marRight w:val="0"/>
          <w:marTop w:val="240"/>
          <w:marBottom w:val="120"/>
          <w:divBdr>
            <w:top w:val="none" w:sz="0" w:space="0" w:color="auto"/>
            <w:left w:val="none" w:sz="0" w:space="0" w:color="auto"/>
            <w:bottom w:val="single" w:sz="12" w:space="0" w:color="000000"/>
            <w:right w:val="none" w:sz="0" w:space="0" w:color="auto"/>
          </w:divBdr>
        </w:div>
        <w:div w:id="489519270">
          <w:marLeft w:val="0"/>
          <w:marRight w:val="0"/>
          <w:marTop w:val="120"/>
          <w:marBottom w:val="240"/>
          <w:divBdr>
            <w:top w:val="none" w:sz="0" w:space="0" w:color="auto"/>
            <w:left w:val="none" w:sz="0" w:space="0" w:color="auto"/>
            <w:bottom w:val="none" w:sz="0" w:space="0" w:color="auto"/>
            <w:right w:val="none" w:sz="0" w:space="0" w:color="auto"/>
          </w:divBdr>
        </w:div>
        <w:div w:id="742337865">
          <w:marLeft w:val="0"/>
          <w:marRight w:val="0"/>
          <w:marTop w:val="0"/>
          <w:marBottom w:val="0"/>
          <w:divBdr>
            <w:top w:val="none" w:sz="0" w:space="0" w:color="auto"/>
            <w:left w:val="none" w:sz="0" w:space="0" w:color="auto"/>
            <w:bottom w:val="none" w:sz="0" w:space="0" w:color="auto"/>
            <w:right w:val="none" w:sz="0" w:space="0" w:color="auto"/>
          </w:divBdr>
        </w:div>
        <w:div w:id="1858037419">
          <w:marLeft w:val="0"/>
          <w:marRight w:val="0"/>
          <w:marTop w:val="0"/>
          <w:marBottom w:val="0"/>
          <w:divBdr>
            <w:top w:val="none" w:sz="0" w:space="0" w:color="auto"/>
            <w:left w:val="none" w:sz="0" w:space="0" w:color="auto"/>
            <w:bottom w:val="none" w:sz="0" w:space="0" w:color="auto"/>
            <w:right w:val="none" w:sz="0" w:space="0" w:color="auto"/>
          </w:divBdr>
        </w:div>
        <w:div w:id="1279214595">
          <w:marLeft w:val="0"/>
          <w:marRight w:val="0"/>
          <w:marTop w:val="0"/>
          <w:marBottom w:val="0"/>
          <w:divBdr>
            <w:top w:val="none" w:sz="0" w:space="0" w:color="auto"/>
            <w:left w:val="none" w:sz="0" w:space="0" w:color="auto"/>
            <w:bottom w:val="none" w:sz="0" w:space="0" w:color="auto"/>
            <w:right w:val="none" w:sz="0" w:space="0" w:color="auto"/>
          </w:divBdr>
        </w:div>
        <w:div w:id="943266005">
          <w:marLeft w:val="0"/>
          <w:marRight w:val="0"/>
          <w:marTop w:val="0"/>
          <w:marBottom w:val="0"/>
          <w:divBdr>
            <w:top w:val="none" w:sz="0" w:space="0" w:color="auto"/>
            <w:left w:val="none" w:sz="0" w:space="0" w:color="auto"/>
            <w:bottom w:val="none" w:sz="0" w:space="0" w:color="auto"/>
            <w:right w:val="none" w:sz="0" w:space="0" w:color="auto"/>
          </w:divBdr>
        </w:div>
        <w:div w:id="530604486">
          <w:marLeft w:val="0"/>
          <w:marRight w:val="0"/>
          <w:marTop w:val="0"/>
          <w:marBottom w:val="0"/>
          <w:divBdr>
            <w:top w:val="none" w:sz="0" w:space="0" w:color="auto"/>
            <w:left w:val="none" w:sz="0" w:space="0" w:color="auto"/>
            <w:bottom w:val="none" w:sz="0" w:space="0" w:color="auto"/>
            <w:right w:val="none" w:sz="0" w:space="0" w:color="auto"/>
          </w:divBdr>
        </w:div>
        <w:div w:id="1229800939">
          <w:marLeft w:val="0"/>
          <w:marRight w:val="0"/>
          <w:marTop w:val="240"/>
          <w:marBottom w:val="120"/>
          <w:divBdr>
            <w:top w:val="none" w:sz="0" w:space="0" w:color="auto"/>
            <w:left w:val="none" w:sz="0" w:space="0" w:color="auto"/>
            <w:bottom w:val="single" w:sz="12" w:space="0" w:color="000000"/>
            <w:right w:val="none" w:sz="0" w:space="0" w:color="auto"/>
          </w:divBdr>
        </w:div>
        <w:div w:id="1974365187">
          <w:marLeft w:val="0"/>
          <w:marRight w:val="0"/>
          <w:marTop w:val="120"/>
          <w:marBottom w:val="240"/>
          <w:divBdr>
            <w:top w:val="none" w:sz="0" w:space="0" w:color="auto"/>
            <w:left w:val="none" w:sz="0" w:space="0" w:color="auto"/>
            <w:bottom w:val="none" w:sz="0" w:space="0" w:color="auto"/>
            <w:right w:val="none" w:sz="0" w:space="0" w:color="auto"/>
          </w:divBdr>
        </w:div>
        <w:div w:id="1776364737">
          <w:marLeft w:val="0"/>
          <w:marRight w:val="0"/>
          <w:marTop w:val="0"/>
          <w:marBottom w:val="0"/>
          <w:divBdr>
            <w:top w:val="none" w:sz="0" w:space="0" w:color="auto"/>
            <w:left w:val="none" w:sz="0" w:space="0" w:color="auto"/>
            <w:bottom w:val="none" w:sz="0" w:space="0" w:color="auto"/>
            <w:right w:val="none" w:sz="0" w:space="0" w:color="auto"/>
          </w:divBdr>
        </w:div>
        <w:div w:id="1890529703">
          <w:marLeft w:val="0"/>
          <w:marRight w:val="0"/>
          <w:marTop w:val="0"/>
          <w:marBottom w:val="0"/>
          <w:divBdr>
            <w:top w:val="none" w:sz="0" w:space="0" w:color="auto"/>
            <w:left w:val="none" w:sz="0" w:space="0" w:color="auto"/>
            <w:bottom w:val="none" w:sz="0" w:space="0" w:color="auto"/>
            <w:right w:val="none" w:sz="0" w:space="0" w:color="auto"/>
          </w:divBdr>
        </w:div>
        <w:div w:id="1468743329">
          <w:marLeft w:val="0"/>
          <w:marRight w:val="0"/>
          <w:marTop w:val="0"/>
          <w:marBottom w:val="0"/>
          <w:divBdr>
            <w:top w:val="none" w:sz="0" w:space="0" w:color="auto"/>
            <w:left w:val="none" w:sz="0" w:space="0" w:color="auto"/>
            <w:bottom w:val="none" w:sz="0" w:space="0" w:color="auto"/>
            <w:right w:val="none" w:sz="0" w:space="0" w:color="auto"/>
          </w:divBdr>
        </w:div>
        <w:div w:id="1324696184">
          <w:marLeft w:val="0"/>
          <w:marRight w:val="0"/>
          <w:marTop w:val="0"/>
          <w:marBottom w:val="0"/>
          <w:divBdr>
            <w:top w:val="none" w:sz="0" w:space="0" w:color="auto"/>
            <w:left w:val="none" w:sz="0" w:space="0" w:color="auto"/>
            <w:bottom w:val="none" w:sz="0" w:space="0" w:color="auto"/>
            <w:right w:val="none" w:sz="0" w:space="0" w:color="auto"/>
          </w:divBdr>
        </w:div>
        <w:div w:id="363286390">
          <w:marLeft w:val="0"/>
          <w:marRight w:val="0"/>
          <w:marTop w:val="0"/>
          <w:marBottom w:val="0"/>
          <w:divBdr>
            <w:top w:val="none" w:sz="0" w:space="0" w:color="auto"/>
            <w:left w:val="none" w:sz="0" w:space="0" w:color="auto"/>
            <w:bottom w:val="none" w:sz="0" w:space="0" w:color="auto"/>
            <w:right w:val="none" w:sz="0" w:space="0" w:color="auto"/>
          </w:divBdr>
        </w:div>
        <w:div w:id="310982922">
          <w:marLeft w:val="0"/>
          <w:marRight w:val="0"/>
          <w:marTop w:val="0"/>
          <w:marBottom w:val="0"/>
          <w:divBdr>
            <w:top w:val="none" w:sz="0" w:space="0" w:color="auto"/>
            <w:left w:val="none" w:sz="0" w:space="0" w:color="auto"/>
            <w:bottom w:val="none" w:sz="0" w:space="0" w:color="auto"/>
            <w:right w:val="none" w:sz="0" w:space="0" w:color="auto"/>
          </w:divBdr>
        </w:div>
        <w:div w:id="1597446756">
          <w:marLeft w:val="0"/>
          <w:marRight w:val="0"/>
          <w:marTop w:val="0"/>
          <w:marBottom w:val="0"/>
          <w:divBdr>
            <w:top w:val="none" w:sz="0" w:space="0" w:color="auto"/>
            <w:left w:val="none" w:sz="0" w:space="0" w:color="auto"/>
            <w:bottom w:val="none" w:sz="0" w:space="0" w:color="auto"/>
            <w:right w:val="none" w:sz="0" w:space="0" w:color="auto"/>
          </w:divBdr>
        </w:div>
        <w:div w:id="157305485">
          <w:marLeft w:val="0"/>
          <w:marRight w:val="0"/>
          <w:marTop w:val="0"/>
          <w:marBottom w:val="0"/>
          <w:divBdr>
            <w:top w:val="none" w:sz="0" w:space="0" w:color="auto"/>
            <w:left w:val="none" w:sz="0" w:space="0" w:color="auto"/>
            <w:bottom w:val="none" w:sz="0" w:space="0" w:color="auto"/>
            <w:right w:val="none" w:sz="0" w:space="0" w:color="auto"/>
          </w:divBdr>
        </w:div>
        <w:div w:id="826940237">
          <w:marLeft w:val="0"/>
          <w:marRight w:val="0"/>
          <w:marTop w:val="0"/>
          <w:marBottom w:val="0"/>
          <w:divBdr>
            <w:top w:val="none" w:sz="0" w:space="0" w:color="auto"/>
            <w:left w:val="none" w:sz="0" w:space="0" w:color="auto"/>
            <w:bottom w:val="none" w:sz="0" w:space="0" w:color="auto"/>
            <w:right w:val="none" w:sz="0" w:space="0" w:color="auto"/>
          </w:divBdr>
        </w:div>
        <w:div w:id="1587034403">
          <w:marLeft w:val="0"/>
          <w:marRight w:val="0"/>
          <w:marTop w:val="0"/>
          <w:marBottom w:val="0"/>
          <w:divBdr>
            <w:top w:val="none" w:sz="0" w:space="0" w:color="auto"/>
            <w:left w:val="none" w:sz="0" w:space="0" w:color="auto"/>
            <w:bottom w:val="none" w:sz="0" w:space="0" w:color="auto"/>
            <w:right w:val="none" w:sz="0" w:space="0" w:color="auto"/>
          </w:divBdr>
        </w:div>
        <w:div w:id="392239151">
          <w:marLeft w:val="0"/>
          <w:marRight w:val="0"/>
          <w:marTop w:val="0"/>
          <w:marBottom w:val="0"/>
          <w:divBdr>
            <w:top w:val="none" w:sz="0" w:space="0" w:color="auto"/>
            <w:left w:val="none" w:sz="0" w:space="0" w:color="auto"/>
            <w:bottom w:val="none" w:sz="0" w:space="0" w:color="auto"/>
            <w:right w:val="none" w:sz="0" w:space="0" w:color="auto"/>
          </w:divBdr>
        </w:div>
        <w:div w:id="1207913294">
          <w:marLeft w:val="0"/>
          <w:marRight w:val="0"/>
          <w:marTop w:val="0"/>
          <w:marBottom w:val="0"/>
          <w:divBdr>
            <w:top w:val="none" w:sz="0" w:space="0" w:color="auto"/>
            <w:left w:val="none" w:sz="0" w:space="0" w:color="auto"/>
            <w:bottom w:val="none" w:sz="0" w:space="0" w:color="auto"/>
            <w:right w:val="none" w:sz="0" w:space="0" w:color="auto"/>
          </w:divBdr>
        </w:div>
        <w:div w:id="32073265">
          <w:marLeft w:val="0"/>
          <w:marRight w:val="0"/>
          <w:marTop w:val="0"/>
          <w:marBottom w:val="0"/>
          <w:divBdr>
            <w:top w:val="none" w:sz="0" w:space="0" w:color="auto"/>
            <w:left w:val="none" w:sz="0" w:space="0" w:color="auto"/>
            <w:bottom w:val="none" w:sz="0" w:space="0" w:color="auto"/>
            <w:right w:val="none" w:sz="0" w:space="0" w:color="auto"/>
          </w:divBdr>
        </w:div>
        <w:div w:id="88548327">
          <w:marLeft w:val="0"/>
          <w:marRight w:val="0"/>
          <w:marTop w:val="0"/>
          <w:marBottom w:val="0"/>
          <w:divBdr>
            <w:top w:val="none" w:sz="0" w:space="0" w:color="auto"/>
            <w:left w:val="none" w:sz="0" w:space="0" w:color="auto"/>
            <w:bottom w:val="none" w:sz="0" w:space="0" w:color="auto"/>
            <w:right w:val="none" w:sz="0" w:space="0" w:color="auto"/>
          </w:divBdr>
        </w:div>
        <w:div w:id="2037806727">
          <w:marLeft w:val="0"/>
          <w:marRight w:val="0"/>
          <w:marTop w:val="0"/>
          <w:marBottom w:val="0"/>
          <w:divBdr>
            <w:top w:val="none" w:sz="0" w:space="0" w:color="auto"/>
            <w:left w:val="none" w:sz="0" w:space="0" w:color="auto"/>
            <w:bottom w:val="none" w:sz="0" w:space="0" w:color="auto"/>
            <w:right w:val="none" w:sz="0" w:space="0" w:color="auto"/>
          </w:divBdr>
        </w:div>
        <w:div w:id="1399936232">
          <w:marLeft w:val="0"/>
          <w:marRight w:val="0"/>
          <w:marTop w:val="0"/>
          <w:marBottom w:val="0"/>
          <w:divBdr>
            <w:top w:val="none" w:sz="0" w:space="0" w:color="auto"/>
            <w:left w:val="none" w:sz="0" w:space="0" w:color="auto"/>
            <w:bottom w:val="none" w:sz="0" w:space="0" w:color="auto"/>
            <w:right w:val="none" w:sz="0" w:space="0" w:color="auto"/>
          </w:divBdr>
        </w:div>
        <w:div w:id="1917323133">
          <w:marLeft w:val="0"/>
          <w:marRight w:val="0"/>
          <w:marTop w:val="0"/>
          <w:marBottom w:val="0"/>
          <w:divBdr>
            <w:top w:val="none" w:sz="0" w:space="0" w:color="auto"/>
            <w:left w:val="none" w:sz="0" w:space="0" w:color="auto"/>
            <w:bottom w:val="none" w:sz="0" w:space="0" w:color="auto"/>
            <w:right w:val="none" w:sz="0" w:space="0" w:color="auto"/>
          </w:divBdr>
        </w:div>
        <w:div w:id="1198548016">
          <w:marLeft w:val="0"/>
          <w:marRight w:val="0"/>
          <w:marTop w:val="0"/>
          <w:marBottom w:val="0"/>
          <w:divBdr>
            <w:top w:val="none" w:sz="0" w:space="0" w:color="auto"/>
            <w:left w:val="none" w:sz="0" w:space="0" w:color="auto"/>
            <w:bottom w:val="none" w:sz="0" w:space="0" w:color="auto"/>
            <w:right w:val="none" w:sz="0" w:space="0" w:color="auto"/>
          </w:divBdr>
        </w:div>
        <w:div w:id="2140026029">
          <w:marLeft w:val="0"/>
          <w:marRight w:val="0"/>
          <w:marTop w:val="0"/>
          <w:marBottom w:val="0"/>
          <w:divBdr>
            <w:top w:val="none" w:sz="0" w:space="0" w:color="auto"/>
            <w:left w:val="none" w:sz="0" w:space="0" w:color="auto"/>
            <w:bottom w:val="none" w:sz="0" w:space="0" w:color="auto"/>
            <w:right w:val="none" w:sz="0" w:space="0" w:color="auto"/>
          </w:divBdr>
        </w:div>
        <w:div w:id="1673994119">
          <w:marLeft w:val="0"/>
          <w:marRight w:val="0"/>
          <w:marTop w:val="0"/>
          <w:marBottom w:val="0"/>
          <w:divBdr>
            <w:top w:val="none" w:sz="0" w:space="0" w:color="auto"/>
            <w:left w:val="none" w:sz="0" w:space="0" w:color="auto"/>
            <w:bottom w:val="none" w:sz="0" w:space="0" w:color="auto"/>
            <w:right w:val="none" w:sz="0" w:space="0" w:color="auto"/>
          </w:divBdr>
        </w:div>
        <w:div w:id="288706030">
          <w:marLeft w:val="0"/>
          <w:marRight w:val="0"/>
          <w:marTop w:val="0"/>
          <w:marBottom w:val="0"/>
          <w:divBdr>
            <w:top w:val="none" w:sz="0" w:space="0" w:color="auto"/>
            <w:left w:val="none" w:sz="0" w:space="0" w:color="auto"/>
            <w:bottom w:val="none" w:sz="0" w:space="0" w:color="auto"/>
            <w:right w:val="none" w:sz="0" w:space="0" w:color="auto"/>
          </w:divBdr>
        </w:div>
        <w:div w:id="868221772">
          <w:marLeft w:val="0"/>
          <w:marRight w:val="0"/>
          <w:marTop w:val="0"/>
          <w:marBottom w:val="0"/>
          <w:divBdr>
            <w:top w:val="none" w:sz="0" w:space="0" w:color="auto"/>
            <w:left w:val="none" w:sz="0" w:space="0" w:color="auto"/>
            <w:bottom w:val="none" w:sz="0" w:space="0" w:color="auto"/>
            <w:right w:val="none" w:sz="0" w:space="0" w:color="auto"/>
          </w:divBdr>
        </w:div>
        <w:div w:id="37054008">
          <w:marLeft w:val="0"/>
          <w:marRight w:val="0"/>
          <w:marTop w:val="0"/>
          <w:marBottom w:val="0"/>
          <w:divBdr>
            <w:top w:val="none" w:sz="0" w:space="0" w:color="auto"/>
            <w:left w:val="none" w:sz="0" w:space="0" w:color="auto"/>
            <w:bottom w:val="none" w:sz="0" w:space="0" w:color="auto"/>
            <w:right w:val="none" w:sz="0" w:space="0" w:color="auto"/>
          </w:divBdr>
        </w:div>
        <w:div w:id="471605474">
          <w:marLeft w:val="0"/>
          <w:marRight w:val="0"/>
          <w:marTop w:val="0"/>
          <w:marBottom w:val="0"/>
          <w:divBdr>
            <w:top w:val="none" w:sz="0" w:space="0" w:color="auto"/>
            <w:left w:val="none" w:sz="0" w:space="0" w:color="auto"/>
            <w:bottom w:val="none" w:sz="0" w:space="0" w:color="auto"/>
            <w:right w:val="none" w:sz="0" w:space="0" w:color="auto"/>
          </w:divBdr>
        </w:div>
        <w:div w:id="389424988">
          <w:marLeft w:val="0"/>
          <w:marRight w:val="0"/>
          <w:marTop w:val="0"/>
          <w:marBottom w:val="0"/>
          <w:divBdr>
            <w:top w:val="none" w:sz="0" w:space="0" w:color="auto"/>
            <w:left w:val="none" w:sz="0" w:space="0" w:color="auto"/>
            <w:bottom w:val="none" w:sz="0" w:space="0" w:color="auto"/>
            <w:right w:val="none" w:sz="0" w:space="0" w:color="auto"/>
          </w:divBdr>
        </w:div>
        <w:div w:id="196281972">
          <w:marLeft w:val="0"/>
          <w:marRight w:val="0"/>
          <w:marTop w:val="0"/>
          <w:marBottom w:val="0"/>
          <w:divBdr>
            <w:top w:val="none" w:sz="0" w:space="0" w:color="auto"/>
            <w:left w:val="none" w:sz="0" w:space="0" w:color="auto"/>
            <w:bottom w:val="none" w:sz="0" w:space="0" w:color="auto"/>
            <w:right w:val="none" w:sz="0" w:space="0" w:color="auto"/>
          </w:divBdr>
        </w:div>
        <w:div w:id="182595166">
          <w:marLeft w:val="0"/>
          <w:marRight w:val="0"/>
          <w:marTop w:val="0"/>
          <w:marBottom w:val="0"/>
          <w:divBdr>
            <w:top w:val="none" w:sz="0" w:space="0" w:color="auto"/>
            <w:left w:val="none" w:sz="0" w:space="0" w:color="auto"/>
            <w:bottom w:val="none" w:sz="0" w:space="0" w:color="auto"/>
            <w:right w:val="none" w:sz="0" w:space="0" w:color="auto"/>
          </w:divBdr>
        </w:div>
        <w:div w:id="1461460616">
          <w:marLeft w:val="0"/>
          <w:marRight w:val="0"/>
          <w:marTop w:val="0"/>
          <w:marBottom w:val="0"/>
          <w:divBdr>
            <w:top w:val="none" w:sz="0" w:space="0" w:color="auto"/>
            <w:left w:val="none" w:sz="0" w:space="0" w:color="auto"/>
            <w:bottom w:val="none" w:sz="0" w:space="0" w:color="auto"/>
            <w:right w:val="none" w:sz="0" w:space="0" w:color="auto"/>
          </w:divBdr>
        </w:div>
        <w:div w:id="1278025648">
          <w:marLeft w:val="0"/>
          <w:marRight w:val="0"/>
          <w:marTop w:val="0"/>
          <w:marBottom w:val="0"/>
          <w:divBdr>
            <w:top w:val="none" w:sz="0" w:space="0" w:color="auto"/>
            <w:left w:val="none" w:sz="0" w:space="0" w:color="auto"/>
            <w:bottom w:val="none" w:sz="0" w:space="0" w:color="auto"/>
            <w:right w:val="none" w:sz="0" w:space="0" w:color="auto"/>
          </w:divBdr>
        </w:div>
        <w:div w:id="661931268">
          <w:marLeft w:val="0"/>
          <w:marRight w:val="0"/>
          <w:marTop w:val="0"/>
          <w:marBottom w:val="0"/>
          <w:divBdr>
            <w:top w:val="none" w:sz="0" w:space="0" w:color="auto"/>
            <w:left w:val="none" w:sz="0" w:space="0" w:color="auto"/>
            <w:bottom w:val="none" w:sz="0" w:space="0" w:color="auto"/>
            <w:right w:val="none" w:sz="0" w:space="0" w:color="auto"/>
          </w:divBdr>
        </w:div>
        <w:div w:id="1139033541">
          <w:marLeft w:val="0"/>
          <w:marRight w:val="0"/>
          <w:marTop w:val="0"/>
          <w:marBottom w:val="0"/>
          <w:divBdr>
            <w:top w:val="none" w:sz="0" w:space="0" w:color="auto"/>
            <w:left w:val="none" w:sz="0" w:space="0" w:color="auto"/>
            <w:bottom w:val="none" w:sz="0" w:space="0" w:color="auto"/>
            <w:right w:val="none" w:sz="0" w:space="0" w:color="auto"/>
          </w:divBdr>
        </w:div>
        <w:div w:id="860976850">
          <w:marLeft w:val="0"/>
          <w:marRight w:val="0"/>
          <w:marTop w:val="240"/>
          <w:marBottom w:val="120"/>
          <w:divBdr>
            <w:top w:val="none" w:sz="0" w:space="0" w:color="auto"/>
            <w:left w:val="none" w:sz="0" w:space="0" w:color="auto"/>
            <w:bottom w:val="single" w:sz="12" w:space="0" w:color="000000"/>
            <w:right w:val="none" w:sz="0" w:space="0" w:color="auto"/>
          </w:divBdr>
        </w:div>
        <w:div w:id="188644980">
          <w:marLeft w:val="0"/>
          <w:marRight w:val="0"/>
          <w:marTop w:val="120"/>
          <w:marBottom w:val="240"/>
          <w:divBdr>
            <w:top w:val="none" w:sz="0" w:space="0" w:color="auto"/>
            <w:left w:val="none" w:sz="0" w:space="0" w:color="auto"/>
            <w:bottom w:val="none" w:sz="0" w:space="0" w:color="auto"/>
            <w:right w:val="none" w:sz="0" w:space="0" w:color="auto"/>
          </w:divBdr>
        </w:div>
        <w:div w:id="1126704668">
          <w:marLeft w:val="0"/>
          <w:marRight w:val="0"/>
          <w:marTop w:val="0"/>
          <w:marBottom w:val="0"/>
          <w:divBdr>
            <w:top w:val="none" w:sz="0" w:space="0" w:color="auto"/>
            <w:left w:val="none" w:sz="0" w:space="0" w:color="auto"/>
            <w:bottom w:val="none" w:sz="0" w:space="0" w:color="auto"/>
            <w:right w:val="none" w:sz="0" w:space="0" w:color="auto"/>
          </w:divBdr>
        </w:div>
        <w:div w:id="369303707">
          <w:marLeft w:val="0"/>
          <w:marRight w:val="0"/>
          <w:marTop w:val="0"/>
          <w:marBottom w:val="0"/>
          <w:divBdr>
            <w:top w:val="none" w:sz="0" w:space="0" w:color="auto"/>
            <w:left w:val="none" w:sz="0" w:space="0" w:color="auto"/>
            <w:bottom w:val="none" w:sz="0" w:space="0" w:color="auto"/>
            <w:right w:val="none" w:sz="0" w:space="0" w:color="auto"/>
          </w:divBdr>
        </w:div>
        <w:div w:id="1836916364">
          <w:marLeft w:val="0"/>
          <w:marRight w:val="0"/>
          <w:marTop w:val="0"/>
          <w:marBottom w:val="0"/>
          <w:divBdr>
            <w:top w:val="none" w:sz="0" w:space="0" w:color="auto"/>
            <w:left w:val="none" w:sz="0" w:space="0" w:color="auto"/>
            <w:bottom w:val="none" w:sz="0" w:space="0" w:color="auto"/>
            <w:right w:val="none" w:sz="0" w:space="0" w:color="auto"/>
          </w:divBdr>
        </w:div>
        <w:div w:id="1917935122">
          <w:marLeft w:val="0"/>
          <w:marRight w:val="0"/>
          <w:marTop w:val="0"/>
          <w:marBottom w:val="0"/>
          <w:divBdr>
            <w:top w:val="none" w:sz="0" w:space="0" w:color="auto"/>
            <w:left w:val="none" w:sz="0" w:space="0" w:color="auto"/>
            <w:bottom w:val="none" w:sz="0" w:space="0" w:color="auto"/>
            <w:right w:val="none" w:sz="0" w:space="0" w:color="auto"/>
          </w:divBdr>
        </w:div>
        <w:div w:id="2097626372">
          <w:marLeft w:val="0"/>
          <w:marRight w:val="0"/>
          <w:marTop w:val="0"/>
          <w:marBottom w:val="0"/>
          <w:divBdr>
            <w:top w:val="none" w:sz="0" w:space="0" w:color="auto"/>
            <w:left w:val="none" w:sz="0" w:space="0" w:color="auto"/>
            <w:bottom w:val="none" w:sz="0" w:space="0" w:color="auto"/>
            <w:right w:val="none" w:sz="0" w:space="0" w:color="auto"/>
          </w:divBdr>
        </w:div>
        <w:div w:id="1639189545">
          <w:marLeft w:val="0"/>
          <w:marRight w:val="0"/>
          <w:marTop w:val="0"/>
          <w:marBottom w:val="0"/>
          <w:divBdr>
            <w:top w:val="none" w:sz="0" w:space="0" w:color="auto"/>
            <w:left w:val="none" w:sz="0" w:space="0" w:color="auto"/>
            <w:bottom w:val="none" w:sz="0" w:space="0" w:color="auto"/>
            <w:right w:val="none" w:sz="0" w:space="0" w:color="auto"/>
          </w:divBdr>
        </w:div>
        <w:div w:id="163864973">
          <w:marLeft w:val="0"/>
          <w:marRight w:val="0"/>
          <w:marTop w:val="0"/>
          <w:marBottom w:val="0"/>
          <w:divBdr>
            <w:top w:val="none" w:sz="0" w:space="0" w:color="auto"/>
            <w:left w:val="none" w:sz="0" w:space="0" w:color="auto"/>
            <w:bottom w:val="none" w:sz="0" w:space="0" w:color="auto"/>
            <w:right w:val="none" w:sz="0" w:space="0" w:color="auto"/>
          </w:divBdr>
        </w:div>
        <w:div w:id="274560531">
          <w:marLeft w:val="0"/>
          <w:marRight w:val="0"/>
          <w:marTop w:val="0"/>
          <w:marBottom w:val="0"/>
          <w:divBdr>
            <w:top w:val="none" w:sz="0" w:space="0" w:color="auto"/>
            <w:left w:val="none" w:sz="0" w:space="0" w:color="auto"/>
            <w:bottom w:val="none" w:sz="0" w:space="0" w:color="auto"/>
            <w:right w:val="none" w:sz="0" w:space="0" w:color="auto"/>
          </w:divBdr>
        </w:div>
        <w:div w:id="1715350417">
          <w:marLeft w:val="0"/>
          <w:marRight w:val="0"/>
          <w:marTop w:val="0"/>
          <w:marBottom w:val="0"/>
          <w:divBdr>
            <w:top w:val="none" w:sz="0" w:space="0" w:color="auto"/>
            <w:left w:val="none" w:sz="0" w:space="0" w:color="auto"/>
            <w:bottom w:val="none" w:sz="0" w:space="0" w:color="auto"/>
            <w:right w:val="none" w:sz="0" w:space="0" w:color="auto"/>
          </w:divBdr>
        </w:div>
        <w:div w:id="1558785593">
          <w:marLeft w:val="0"/>
          <w:marRight w:val="0"/>
          <w:marTop w:val="240"/>
          <w:marBottom w:val="120"/>
          <w:divBdr>
            <w:top w:val="none" w:sz="0" w:space="0" w:color="auto"/>
            <w:left w:val="none" w:sz="0" w:space="0" w:color="auto"/>
            <w:bottom w:val="single" w:sz="12" w:space="0" w:color="000000"/>
            <w:right w:val="none" w:sz="0" w:space="0" w:color="auto"/>
          </w:divBdr>
        </w:div>
        <w:div w:id="1216546910">
          <w:marLeft w:val="0"/>
          <w:marRight w:val="0"/>
          <w:marTop w:val="120"/>
          <w:marBottom w:val="240"/>
          <w:divBdr>
            <w:top w:val="none" w:sz="0" w:space="0" w:color="auto"/>
            <w:left w:val="none" w:sz="0" w:space="0" w:color="auto"/>
            <w:bottom w:val="none" w:sz="0" w:space="0" w:color="auto"/>
            <w:right w:val="none" w:sz="0" w:space="0" w:color="auto"/>
          </w:divBdr>
        </w:div>
        <w:div w:id="1986817583">
          <w:marLeft w:val="0"/>
          <w:marRight w:val="0"/>
          <w:marTop w:val="240"/>
          <w:marBottom w:val="120"/>
          <w:divBdr>
            <w:top w:val="none" w:sz="0" w:space="0" w:color="auto"/>
            <w:left w:val="none" w:sz="0" w:space="0" w:color="auto"/>
            <w:bottom w:val="single" w:sz="12" w:space="0" w:color="000000"/>
            <w:right w:val="none" w:sz="0" w:space="0" w:color="auto"/>
          </w:divBdr>
        </w:div>
        <w:div w:id="1006442790">
          <w:marLeft w:val="0"/>
          <w:marRight w:val="0"/>
          <w:marTop w:val="120"/>
          <w:marBottom w:val="240"/>
          <w:divBdr>
            <w:top w:val="none" w:sz="0" w:space="0" w:color="auto"/>
            <w:left w:val="none" w:sz="0" w:space="0" w:color="auto"/>
            <w:bottom w:val="none" w:sz="0" w:space="0" w:color="auto"/>
            <w:right w:val="none" w:sz="0" w:space="0" w:color="auto"/>
          </w:divBdr>
        </w:div>
        <w:div w:id="1156651567">
          <w:marLeft w:val="0"/>
          <w:marRight w:val="0"/>
          <w:marTop w:val="0"/>
          <w:marBottom w:val="0"/>
          <w:divBdr>
            <w:top w:val="none" w:sz="0" w:space="0" w:color="auto"/>
            <w:left w:val="none" w:sz="0" w:space="0" w:color="auto"/>
            <w:bottom w:val="none" w:sz="0" w:space="0" w:color="auto"/>
            <w:right w:val="none" w:sz="0" w:space="0" w:color="auto"/>
          </w:divBdr>
        </w:div>
        <w:div w:id="246697181">
          <w:marLeft w:val="0"/>
          <w:marRight w:val="0"/>
          <w:marTop w:val="0"/>
          <w:marBottom w:val="0"/>
          <w:divBdr>
            <w:top w:val="none" w:sz="0" w:space="0" w:color="auto"/>
            <w:left w:val="none" w:sz="0" w:space="0" w:color="auto"/>
            <w:bottom w:val="none" w:sz="0" w:space="0" w:color="auto"/>
            <w:right w:val="none" w:sz="0" w:space="0" w:color="auto"/>
          </w:divBdr>
        </w:div>
        <w:div w:id="1618247527">
          <w:marLeft w:val="0"/>
          <w:marRight w:val="0"/>
          <w:marTop w:val="0"/>
          <w:marBottom w:val="0"/>
          <w:divBdr>
            <w:top w:val="none" w:sz="0" w:space="0" w:color="auto"/>
            <w:left w:val="none" w:sz="0" w:space="0" w:color="auto"/>
            <w:bottom w:val="none" w:sz="0" w:space="0" w:color="auto"/>
            <w:right w:val="none" w:sz="0" w:space="0" w:color="auto"/>
          </w:divBdr>
        </w:div>
        <w:div w:id="1255745834">
          <w:marLeft w:val="0"/>
          <w:marRight w:val="0"/>
          <w:marTop w:val="0"/>
          <w:marBottom w:val="0"/>
          <w:divBdr>
            <w:top w:val="none" w:sz="0" w:space="0" w:color="auto"/>
            <w:left w:val="none" w:sz="0" w:space="0" w:color="auto"/>
            <w:bottom w:val="none" w:sz="0" w:space="0" w:color="auto"/>
            <w:right w:val="none" w:sz="0" w:space="0" w:color="auto"/>
          </w:divBdr>
        </w:div>
        <w:div w:id="1393383894">
          <w:marLeft w:val="0"/>
          <w:marRight w:val="0"/>
          <w:marTop w:val="0"/>
          <w:marBottom w:val="0"/>
          <w:divBdr>
            <w:top w:val="none" w:sz="0" w:space="0" w:color="auto"/>
            <w:left w:val="none" w:sz="0" w:space="0" w:color="auto"/>
            <w:bottom w:val="none" w:sz="0" w:space="0" w:color="auto"/>
            <w:right w:val="none" w:sz="0" w:space="0" w:color="auto"/>
          </w:divBdr>
        </w:div>
        <w:div w:id="201212840">
          <w:marLeft w:val="0"/>
          <w:marRight w:val="0"/>
          <w:marTop w:val="0"/>
          <w:marBottom w:val="0"/>
          <w:divBdr>
            <w:top w:val="none" w:sz="0" w:space="0" w:color="auto"/>
            <w:left w:val="none" w:sz="0" w:space="0" w:color="auto"/>
            <w:bottom w:val="none" w:sz="0" w:space="0" w:color="auto"/>
            <w:right w:val="none" w:sz="0" w:space="0" w:color="auto"/>
          </w:divBdr>
        </w:div>
        <w:div w:id="698044373">
          <w:marLeft w:val="0"/>
          <w:marRight w:val="0"/>
          <w:marTop w:val="0"/>
          <w:marBottom w:val="0"/>
          <w:divBdr>
            <w:top w:val="none" w:sz="0" w:space="0" w:color="auto"/>
            <w:left w:val="none" w:sz="0" w:space="0" w:color="auto"/>
            <w:bottom w:val="none" w:sz="0" w:space="0" w:color="auto"/>
            <w:right w:val="none" w:sz="0" w:space="0" w:color="auto"/>
          </w:divBdr>
        </w:div>
        <w:div w:id="925116414">
          <w:marLeft w:val="0"/>
          <w:marRight w:val="0"/>
          <w:marTop w:val="0"/>
          <w:marBottom w:val="0"/>
          <w:divBdr>
            <w:top w:val="none" w:sz="0" w:space="0" w:color="auto"/>
            <w:left w:val="none" w:sz="0" w:space="0" w:color="auto"/>
            <w:bottom w:val="none" w:sz="0" w:space="0" w:color="auto"/>
            <w:right w:val="none" w:sz="0" w:space="0" w:color="auto"/>
          </w:divBdr>
        </w:div>
        <w:div w:id="450126983">
          <w:marLeft w:val="0"/>
          <w:marRight w:val="0"/>
          <w:marTop w:val="240"/>
          <w:marBottom w:val="120"/>
          <w:divBdr>
            <w:top w:val="none" w:sz="0" w:space="0" w:color="auto"/>
            <w:left w:val="none" w:sz="0" w:space="0" w:color="auto"/>
            <w:bottom w:val="single" w:sz="12" w:space="0" w:color="000000"/>
            <w:right w:val="none" w:sz="0" w:space="0" w:color="auto"/>
          </w:divBdr>
        </w:div>
        <w:div w:id="878594268">
          <w:marLeft w:val="0"/>
          <w:marRight w:val="0"/>
          <w:marTop w:val="120"/>
          <w:marBottom w:val="240"/>
          <w:divBdr>
            <w:top w:val="none" w:sz="0" w:space="0" w:color="auto"/>
            <w:left w:val="none" w:sz="0" w:space="0" w:color="auto"/>
            <w:bottom w:val="none" w:sz="0" w:space="0" w:color="auto"/>
            <w:right w:val="none" w:sz="0" w:space="0" w:color="auto"/>
          </w:divBdr>
        </w:div>
        <w:div w:id="2121996133">
          <w:marLeft w:val="0"/>
          <w:marRight w:val="0"/>
          <w:marTop w:val="0"/>
          <w:marBottom w:val="0"/>
          <w:divBdr>
            <w:top w:val="none" w:sz="0" w:space="0" w:color="auto"/>
            <w:left w:val="none" w:sz="0" w:space="0" w:color="auto"/>
            <w:bottom w:val="none" w:sz="0" w:space="0" w:color="auto"/>
            <w:right w:val="none" w:sz="0" w:space="0" w:color="auto"/>
          </w:divBdr>
        </w:div>
        <w:div w:id="43678176">
          <w:marLeft w:val="0"/>
          <w:marRight w:val="0"/>
          <w:marTop w:val="0"/>
          <w:marBottom w:val="0"/>
          <w:divBdr>
            <w:top w:val="none" w:sz="0" w:space="0" w:color="auto"/>
            <w:left w:val="none" w:sz="0" w:space="0" w:color="auto"/>
            <w:bottom w:val="none" w:sz="0" w:space="0" w:color="auto"/>
            <w:right w:val="none" w:sz="0" w:space="0" w:color="auto"/>
          </w:divBdr>
        </w:div>
        <w:div w:id="911429734">
          <w:marLeft w:val="0"/>
          <w:marRight w:val="0"/>
          <w:marTop w:val="0"/>
          <w:marBottom w:val="0"/>
          <w:divBdr>
            <w:top w:val="none" w:sz="0" w:space="0" w:color="auto"/>
            <w:left w:val="none" w:sz="0" w:space="0" w:color="auto"/>
            <w:bottom w:val="none" w:sz="0" w:space="0" w:color="auto"/>
            <w:right w:val="none" w:sz="0" w:space="0" w:color="auto"/>
          </w:divBdr>
        </w:div>
        <w:div w:id="34963047">
          <w:marLeft w:val="0"/>
          <w:marRight w:val="0"/>
          <w:marTop w:val="0"/>
          <w:marBottom w:val="0"/>
          <w:divBdr>
            <w:top w:val="none" w:sz="0" w:space="0" w:color="auto"/>
            <w:left w:val="none" w:sz="0" w:space="0" w:color="auto"/>
            <w:bottom w:val="none" w:sz="0" w:space="0" w:color="auto"/>
            <w:right w:val="none" w:sz="0" w:space="0" w:color="auto"/>
          </w:divBdr>
        </w:div>
        <w:div w:id="1484615720">
          <w:marLeft w:val="0"/>
          <w:marRight w:val="0"/>
          <w:marTop w:val="0"/>
          <w:marBottom w:val="0"/>
          <w:divBdr>
            <w:top w:val="none" w:sz="0" w:space="0" w:color="auto"/>
            <w:left w:val="none" w:sz="0" w:space="0" w:color="auto"/>
            <w:bottom w:val="none" w:sz="0" w:space="0" w:color="auto"/>
            <w:right w:val="none" w:sz="0" w:space="0" w:color="auto"/>
          </w:divBdr>
        </w:div>
        <w:div w:id="1777364911">
          <w:marLeft w:val="0"/>
          <w:marRight w:val="0"/>
          <w:marTop w:val="0"/>
          <w:marBottom w:val="0"/>
          <w:divBdr>
            <w:top w:val="none" w:sz="0" w:space="0" w:color="auto"/>
            <w:left w:val="none" w:sz="0" w:space="0" w:color="auto"/>
            <w:bottom w:val="none" w:sz="0" w:space="0" w:color="auto"/>
            <w:right w:val="none" w:sz="0" w:space="0" w:color="auto"/>
          </w:divBdr>
        </w:div>
        <w:div w:id="683551893">
          <w:marLeft w:val="0"/>
          <w:marRight w:val="0"/>
          <w:marTop w:val="0"/>
          <w:marBottom w:val="0"/>
          <w:divBdr>
            <w:top w:val="none" w:sz="0" w:space="0" w:color="auto"/>
            <w:left w:val="none" w:sz="0" w:space="0" w:color="auto"/>
            <w:bottom w:val="none" w:sz="0" w:space="0" w:color="auto"/>
            <w:right w:val="none" w:sz="0" w:space="0" w:color="auto"/>
          </w:divBdr>
        </w:div>
        <w:div w:id="1387021523">
          <w:marLeft w:val="0"/>
          <w:marRight w:val="0"/>
          <w:marTop w:val="0"/>
          <w:marBottom w:val="0"/>
          <w:divBdr>
            <w:top w:val="none" w:sz="0" w:space="0" w:color="auto"/>
            <w:left w:val="none" w:sz="0" w:space="0" w:color="auto"/>
            <w:bottom w:val="none" w:sz="0" w:space="0" w:color="auto"/>
            <w:right w:val="none" w:sz="0" w:space="0" w:color="auto"/>
          </w:divBdr>
        </w:div>
        <w:div w:id="1837067578">
          <w:marLeft w:val="0"/>
          <w:marRight w:val="0"/>
          <w:marTop w:val="0"/>
          <w:marBottom w:val="0"/>
          <w:divBdr>
            <w:top w:val="none" w:sz="0" w:space="0" w:color="auto"/>
            <w:left w:val="none" w:sz="0" w:space="0" w:color="auto"/>
            <w:bottom w:val="none" w:sz="0" w:space="0" w:color="auto"/>
            <w:right w:val="none" w:sz="0" w:space="0" w:color="auto"/>
          </w:divBdr>
        </w:div>
        <w:div w:id="1863323186">
          <w:marLeft w:val="0"/>
          <w:marRight w:val="0"/>
          <w:marTop w:val="0"/>
          <w:marBottom w:val="0"/>
          <w:divBdr>
            <w:top w:val="none" w:sz="0" w:space="0" w:color="auto"/>
            <w:left w:val="none" w:sz="0" w:space="0" w:color="auto"/>
            <w:bottom w:val="none" w:sz="0" w:space="0" w:color="auto"/>
            <w:right w:val="none" w:sz="0" w:space="0" w:color="auto"/>
          </w:divBdr>
        </w:div>
        <w:div w:id="361369545">
          <w:marLeft w:val="0"/>
          <w:marRight w:val="0"/>
          <w:marTop w:val="0"/>
          <w:marBottom w:val="0"/>
          <w:divBdr>
            <w:top w:val="none" w:sz="0" w:space="0" w:color="auto"/>
            <w:left w:val="none" w:sz="0" w:space="0" w:color="auto"/>
            <w:bottom w:val="none" w:sz="0" w:space="0" w:color="auto"/>
            <w:right w:val="none" w:sz="0" w:space="0" w:color="auto"/>
          </w:divBdr>
        </w:div>
        <w:div w:id="684288107">
          <w:marLeft w:val="0"/>
          <w:marRight w:val="0"/>
          <w:marTop w:val="0"/>
          <w:marBottom w:val="0"/>
          <w:divBdr>
            <w:top w:val="none" w:sz="0" w:space="0" w:color="auto"/>
            <w:left w:val="none" w:sz="0" w:space="0" w:color="auto"/>
            <w:bottom w:val="none" w:sz="0" w:space="0" w:color="auto"/>
            <w:right w:val="none" w:sz="0" w:space="0" w:color="auto"/>
          </w:divBdr>
        </w:div>
        <w:div w:id="1845591139">
          <w:marLeft w:val="0"/>
          <w:marRight w:val="0"/>
          <w:marTop w:val="0"/>
          <w:marBottom w:val="0"/>
          <w:divBdr>
            <w:top w:val="none" w:sz="0" w:space="0" w:color="auto"/>
            <w:left w:val="none" w:sz="0" w:space="0" w:color="auto"/>
            <w:bottom w:val="none" w:sz="0" w:space="0" w:color="auto"/>
            <w:right w:val="none" w:sz="0" w:space="0" w:color="auto"/>
          </w:divBdr>
        </w:div>
        <w:div w:id="172501128">
          <w:marLeft w:val="0"/>
          <w:marRight w:val="0"/>
          <w:marTop w:val="240"/>
          <w:marBottom w:val="120"/>
          <w:divBdr>
            <w:top w:val="none" w:sz="0" w:space="0" w:color="auto"/>
            <w:left w:val="none" w:sz="0" w:space="0" w:color="auto"/>
            <w:bottom w:val="single" w:sz="12" w:space="0" w:color="000000"/>
            <w:right w:val="none" w:sz="0" w:space="0" w:color="auto"/>
          </w:divBdr>
        </w:div>
        <w:div w:id="1911958264">
          <w:marLeft w:val="0"/>
          <w:marRight w:val="0"/>
          <w:marTop w:val="120"/>
          <w:marBottom w:val="240"/>
          <w:divBdr>
            <w:top w:val="none" w:sz="0" w:space="0" w:color="auto"/>
            <w:left w:val="none" w:sz="0" w:space="0" w:color="auto"/>
            <w:bottom w:val="none" w:sz="0" w:space="0" w:color="auto"/>
            <w:right w:val="none" w:sz="0" w:space="0" w:color="auto"/>
          </w:divBdr>
        </w:div>
        <w:div w:id="110245812">
          <w:marLeft w:val="0"/>
          <w:marRight w:val="0"/>
          <w:marTop w:val="0"/>
          <w:marBottom w:val="0"/>
          <w:divBdr>
            <w:top w:val="none" w:sz="0" w:space="0" w:color="auto"/>
            <w:left w:val="none" w:sz="0" w:space="0" w:color="auto"/>
            <w:bottom w:val="none" w:sz="0" w:space="0" w:color="auto"/>
            <w:right w:val="none" w:sz="0" w:space="0" w:color="auto"/>
          </w:divBdr>
        </w:div>
        <w:div w:id="275842116">
          <w:marLeft w:val="0"/>
          <w:marRight w:val="0"/>
          <w:marTop w:val="0"/>
          <w:marBottom w:val="0"/>
          <w:divBdr>
            <w:top w:val="none" w:sz="0" w:space="0" w:color="auto"/>
            <w:left w:val="none" w:sz="0" w:space="0" w:color="auto"/>
            <w:bottom w:val="none" w:sz="0" w:space="0" w:color="auto"/>
            <w:right w:val="none" w:sz="0" w:space="0" w:color="auto"/>
          </w:divBdr>
        </w:div>
        <w:div w:id="1259871791">
          <w:marLeft w:val="0"/>
          <w:marRight w:val="0"/>
          <w:marTop w:val="240"/>
          <w:marBottom w:val="120"/>
          <w:divBdr>
            <w:top w:val="none" w:sz="0" w:space="0" w:color="auto"/>
            <w:left w:val="none" w:sz="0" w:space="0" w:color="auto"/>
            <w:bottom w:val="single" w:sz="12" w:space="0" w:color="000000"/>
            <w:right w:val="none" w:sz="0" w:space="0" w:color="auto"/>
          </w:divBdr>
        </w:div>
        <w:div w:id="2055152381">
          <w:marLeft w:val="0"/>
          <w:marRight w:val="0"/>
          <w:marTop w:val="120"/>
          <w:marBottom w:val="240"/>
          <w:divBdr>
            <w:top w:val="none" w:sz="0" w:space="0" w:color="auto"/>
            <w:left w:val="none" w:sz="0" w:space="0" w:color="auto"/>
            <w:bottom w:val="none" w:sz="0" w:space="0" w:color="auto"/>
            <w:right w:val="none" w:sz="0" w:space="0" w:color="auto"/>
          </w:divBdr>
        </w:div>
        <w:div w:id="1653679527">
          <w:marLeft w:val="0"/>
          <w:marRight w:val="0"/>
          <w:marTop w:val="240"/>
          <w:marBottom w:val="120"/>
          <w:divBdr>
            <w:top w:val="none" w:sz="0" w:space="0" w:color="auto"/>
            <w:left w:val="none" w:sz="0" w:space="0" w:color="auto"/>
            <w:bottom w:val="single" w:sz="12" w:space="0" w:color="000000"/>
            <w:right w:val="none" w:sz="0" w:space="0" w:color="auto"/>
          </w:divBdr>
        </w:div>
        <w:div w:id="213009917">
          <w:marLeft w:val="0"/>
          <w:marRight w:val="0"/>
          <w:marTop w:val="120"/>
          <w:marBottom w:val="240"/>
          <w:divBdr>
            <w:top w:val="none" w:sz="0" w:space="0" w:color="auto"/>
            <w:left w:val="none" w:sz="0" w:space="0" w:color="auto"/>
            <w:bottom w:val="none" w:sz="0" w:space="0" w:color="auto"/>
            <w:right w:val="none" w:sz="0" w:space="0" w:color="auto"/>
          </w:divBdr>
        </w:div>
        <w:div w:id="404228323">
          <w:marLeft w:val="0"/>
          <w:marRight w:val="0"/>
          <w:marTop w:val="0"/>
          <w:marBottom w:val="0"/>
          <w:divBdr>
            <w:top w:val="none" w:sz="0" w:space="0" w:color="auto"/>
            <w:left w:val="none" w:sz="0" w:space="0" w:color="auto"/>
            <w:bottom w:val="none" w:sz="0" w:space="0" w:color="auto"/>
            <w:right w:val="none" w:sz="0" w:space="0" w:color="auto"/>
          </w:divBdr>
        </w:div>
        <w:div w:id="1732579751">
          <w:marLeft w:val="0"/>
          <w:marRight w:val="0"/>
          <w:marTop w:val="0"/>
          <w:marBottom w:val="0"/>
          <w:divBdr>
            <w:top w:val="none" w:sz="0" w:space="0" w:color="auto"/>
            <w:left w:val="none" w:sz="0" w:space="0" w:color="auto"/>
            <w:bottom w:val="none" w:sz="0" w:space="0" w:color="auto"/>
            <w:right w:val="none" w:sz="0" w:space="0" w:color="auto"/>
          </w:divBdr>
        </w:div>
        <w:div w:id="896353146">
          <w:marLeft w:val="0"/>
          <w:marRight w:val="0"/>
          <w:marTop w:val="0"/>
          <w:marBottom w:val="0"/>
          <w:divBdr>
            <w:top w:val="none" w:sz="0" w:space="0" w:color="auto"/>
            <w:left w:val="none" w:sz="0" w:space="0" w:color="auto"/>
            <w:bottom w:val="none" w:sz="0" w:space="0" w:color="auto"/>
            <w:right w:val="none" w:sz="0" w:space="0" w:color="auto"/>
          </w:divBdr>
        </w:div>
        <w:div w:id="1224098435">
          <w:marLeft w:val="0"/>
          <w:marRight w:val="0"/>
          <w:marTop w:val="0"/>
          <w:marBottom w:val="0"/>
          <w:divBdr>
            <w:top w:val="none" w:sz="0" w:space="0" w:color="auto"/>
            <w:left w:val="none" w:sz="0" w:space="0" w:color="auto"/>
            <w:bottom w:val="none" w:sz="0" w:space="0" w:color="auto"/>
            <w:right w:val="none" w:sz="0" w:space="0" w:color="auto"/>
          </w:divBdr>
        </w:div>
        <w:div w:id="907962580">
          <w:marLeft w:val="0"/>
          <w:marRight w:val="0"/>
          <w:marTop w:val="0"/>
          <w:marBottom w:val="0"/>
          <w:divBdr>
            <w:top w:val="none" w:sz="0" w:space="0" w:color="auto"/>
            <w:left w:val="none" w:sz="0" w:space="0" w:color="auto"/>
            <w:bottom w:val="none" w:sz="0" w:space="0" w:color="auto"/>
            <w:right w:val="none" w:sz="0" w:space="0" w:color="auto"/>
          </w:divBdr>
        </w:div>
        <w:div w:id="638152792">
          <w:marLeft w:val="0"/>
          <w:marRight w:val="0"/>
          <w:marTop w:val="0"/>
          <w:marBottom w:val="0"/>
          <w:divBdr>
            <w:top w:val="none" w:sz="0" w:space="0" w:color="auto"/>
            <w:left w:val="none" w:sz="0" w:space="0" w:color="auto"/>
            <w:bottom w:val="none" w:sz="0" w:space="0" w:color="auto"/>
            <w:right w:val="none" w:sz="0" w:space="0" w:color="auto"/>
          </w:divBdr>
        </w:div>
        <w:div w:id="2102334126">
          <w:marLeft w:val="0"/>
          <w:marRight w:val="0"/>
          <w:marTop w:val="0"/>
          <w:marBottom w:val="0"/>
          <w:divBdr>
            <w:top w:val="none" w:sz="0" w:space="0" w:color="auto"/>
            <w:left w:val="none" w:sz="0" w:space="0" w:color="auto"/>
            <w:bottom w:val="none" w:sz="0" w:space="0" w:color="auto"/>
            <w:right w:val="none" w:sz="0" w:space="0" w:color="auto"/>
          </w:divBdr>
        </w:div>
        <w:div w:id="566501495">
          <w:marLeft w:val="0"/>
          <w:marRight w:val="0"/>
          <w:marTop w:val="0"/>
          <w:marBottom w:val="0"/>
          <w:divBdr>
            <w:top w:val="none" w:sz="0" w:space="0" w:color="auto"/>
            <w:left w:val="none" w:sz="0" w:space="0" w:color="auto"/>
            <w:bottom w:val="none" w:sz="0" w:space="0" w:color="auto"/>
            <w:right w:val="none" w:sz="0" w:space="0" w:color="auto"/>
          </w:divBdr>
        </w:div>
        <w:div w:id="2108963272">
          <w:marLeft w:val="0"/>
          <w:marRight w:val="0"/>
          <w:marTop w:val="0"/>
          <w:marBottom w:val="0"/>
          <w:divBdr>
            <w:top w:val="none" w:sz="0" w:space="0" w:color="auto"/>
            <w:left w:val="none" w:sz="0" w:space="0" w:color="auto"/>
            <w:bottom w:val="none" w:sz="0" w:space="0" w:color="auto"/>
            <w:right w:val="none" w:sz="0" w:space="0" w:color="auto"/>
          </w:divBdr>
        </w:div>
        <w:div w:id="1368987578">
          <w:marLeft w:val="0"/>
          <w:marRight w:val="0"/>
          <w:marTop w:val="0"/>
          <w:marBottom w:val="0"/>
          <w:divBdr>
            <w:top w:val="none" w:sz="0" w:space="0" w:color="auto"/>
            <w:left w:val="none" w:sz="0" w:space="0" w:color="auto"/>
            <w:bottom w:val="none" w:sz="0" w:space="0" w:color="auto"/>
            <w:right w:val="none" w:sz="0" w:space="0" w:color="auto"/>
          </w:divBdr>
        </w:div>
        <w:div w:id="1252160425">
          <w:marLeft w:val="0"/>
          <w:marRight w:val="0"/>
          <w:marTop w:val="0"/>
          <w:marBottom w:val="0"/>
          <w:divBdr>
            <w:top w:val="none" w:sz="0" w:space="0" w:color="auto"/>
            <w:left w:val="none" w:sz="0" w:space="0" w:color="auto"/>
            <w:bottom w:val="none" w:sz="0" w:space="0" w:color="auto"/>
            <w:right w:val="none" w:sz="0" w:space="0" w:color="auto"/>
          </w:divBdr>
        </w:div>
        <w:div w:id="1179124143">
          <w:marLeft w:val="0"/>
          <w:marRight w:val="0"/>
          <w:marTop w:val="0"/>
          <w:marBottom w:val="0"/>
          <w:divBdr>
            <w:top w:val="none" w:sz="0" w:space="0" w:color="auto"/>
            <w:left w:val="none" w:sz="0" w:space="0" w:color="auto"/>
            <w:bottom w:val="none" w:sz="0" w:space="0" w:color="auto"/>
            <w:right w:val="none" w:sz="0" w:space="0" w:color="auto"/>
          </w:divBdr>
        </w:div>
        <w:div w:id="821193671">
          <w:marLeft w:val="0"/>
          <w:marRight w:val="0"/>
          <w:marTop w:val="0"/>
          <w:marBottom w:val="0"/>
          <w:divBdr>
            <w:top w:val="none" w:sz="0" w:space="0" w:color="auto"/>
            <w:left w:val="none" w:sz="0" w:space="0" w:color="auto"/>
            <w:bottom w:val="none" w:sz="0" w:space="0" w:color="auto"/>
            <w:right w:val="none" w:sz="0" w:space="0" w:color="auto"/>
          </w:divBdr>
        </w:div>
        <w:div w:id="1451166115">
          <w:marLeft w:val="0"/>
          <w:marRight w:val="0"/>
          <w:marTop w:val="0"/>
          <w:marBottom w:val="0"/>
          <w:divBdr>
            <w:top w:val="none" w:sz="0" w:space="0" w:color="auto"/>
            <w:left w:val="none" w:sz="0" w:space="0" w:color="auto"/>
            <w:bottom w:val="none" w:sz="0" w:space="0" w:color="auto"/>
            <w:right w:val="none" w:sz="0" w:space="0" w:color="auto"/>
          </w:divBdr>
        </w:div>
        <w:div w:id="1252163417">
          <w:marLeft w:val="0"/>
          <w:marRight w:val="0"/>
          <w:marTop w:val="0"/>
          <w:marBottom w:val="0"/>
          <w:divBdr>
            <w:top w:val="none" w:sz="0" w:space="0" w:color="auto"/>
            <w:left w:val="none" w:sz="0" w:space="0" w:color="auto"/>
            <w:bottom w:val="none" w:sz="0" w:space="0" w:color="auto"/>
            <w:right w:val="none" w:sz="0" w:space="0" w:color="auto"/>
          </w:divBdr>
        </w:div>
        <w:div w:id="589199214">
          <w:marLeft w:val="0"/>
          <w:marRight w:val="0"/>
          <w:marTop w:val="0"/>
          <w:marBottom w:val="0"/>
          <w:divBdr>
            <w:top w:val="none" w:sz="0" w:space="0" w:color="auto"/>
            <w:left w:val="none" w:sz="0" w:space="0" w:color="auto"/>
            <w:bottom w:val="none" w:sz="0" w:space="0" w:color="auto"/>
            <w:right w:val="none" w:sz="0" w:space="0" w:color="auto"/>
          </w:divBdr>
        </w:div>
        <w:div w:id="1570384462">
          <w:marLeft w:val="0"/>
          <w:marRight w:val="0"/>
          <w:marTop w:val="0"/>
          <w:marBottom w:val="0"/>
          <w:divBdr>
            <w:top w:val="none" w:sz="0" w:space="0" w:color="auto"/>
            <w:left w:val="none" w:sz="0" w:space="0" w:color="auto"/>
            <w:bottom w:val="none" w:sz="0" w:space="0" w:color="auto"/>
            <w:right w:val="none" w:sz="0" w:space="0" w:color="auto"/>
          </w:divBdr>
        </w:div>
        <w:div w:id="190454527">
          <w:marLeft w:val="0"/>
          <w:marRight w:val="0"/>
          <w:marTop w:val="0"/>
          <w:marBottom w:val="0"/>
          <w:divBdr>
            <w:top w:val="none" w:sz="0" w:space="0" w:color="auto"/>
            <w:left w:val="none" w:sz="0" w:space="0" w:color="auto"/>
            <w:bottom w:val="none" w:sz="0" w:space="0" w:color="auto"/>
            <w:right w:val="none" w:sz="0" w:space="0" w:color="auto"/>
          </w:divBdr>
        </w:div>
        <w:div w:id="1000549056">
          <w:marLeft w:val="0"/>
          <w:marRight w:val="0"/>
          <w:marTop w:val="0"/>
          <w:marBottom w:val="0"/>
          <w:divBdr>
            <w:top w:val="none" w:sz="0" w:space="0" w:color="auto"/>
            <w:left w:val="none" w:sz="0" w:space="0" w:color="auto"/>
            <w:bottom w:val="none" w:sz="0" w:space="0" w:color="auto"/>
            <w:right w:val="none" w:sz="0" w:space="0" w:color="auto"/>
          </w:divBdr>
        </w:div>
        <w:div w:id="228543528">
          <w:marLeft w:val="0"/>
          <w:marRight w:val="0"/>
          <w:marTop w:val="0"/>
          <w:marBottom w:val="0"/>
          <w:divBdr>
            <w:top w:val="none" w:sz="0" w:space="0" w:color="auto"/>
            <w:left w:val="none" w:sz="0" w:space="0" w:color="auto"/>
            <w:bottom w:val="none" w:sz="0" w:space="0" w:color="auto"/>
            <w:right w:val="none" w:sz="0" w:space="0" w:color="auto"/>
          </w:divBdr>
        </w:div>
        <w:div w:id="866332049">
          <w:marLeft w:val="0"/>
          <w:marRight w:val="0"/>
          <w:marTop w:val="0"/>
          <w:marBottom w:val="0"/>
          <w:divBdr>
            <w:top w:val="none" w:sz="0" w:space="0" w:color="auto"/>
            <w:left w:val="none" w:sz="0" w:space="0" w:color="auto"/>
            <w:bottom w:val="none" w:sz="0" w:space="0" w:color="auto"/>
            <w:right w:val="none" w:sz="0" w:space="0" w:color="auto"/>
          </w:divBdr>
        </w:div>
        <w:div w:id="893471363">
          <w:marLeft w:val="0"/>
          <w:marRight w:val="0"/>
          <w:marTop w:val="0"/>
          <w:marBottom w:val="0"/>
          <w:divBdr>
            <w:top w:val="none" w:sz="0" w:space="0" w:color="auto"/>
            <w:left w:val="none" w:sz="0" w:space="0" w:color="auto"/>
            <w:bottom w:val="none" w:sz="0" w:space="0" w:color="auto"/>
            <w:right w:val="none" w:sz="0" w:space="0" w:color="auto"/>
          </w:divBdr>
        </w:div>
        <w:div w:id="772745070">
          <w:marLeft w:val="0"/>
          <w:marRight w:val="0"/>
          <w:marTop w:val="0"/>
          <w:marBottom w:val="0"/>
          <w:divBdr>
            <w:top w:val="none" w:sz="0" w:space="0" w:color="auto"/>
            <w:left w:val="none" w:sz="0" w:space="0" w:color="auto"/>
            <w:bottom w:val="none" w:sz="0" w:space="0" w:color="auto"/>
            <w:right w:val="none" w:sz="0" w:space="0" w:color="auto"/>
          </w:divBdr>
        </w:div>
        <w:div w:id="1077019517">
          <w:marLeft w:val="0"/>
          <w:marRight w:val="0"/>
          <w:marTop w:val="0"/>
          <w:marBottom w:val="0"/>
          <w:divBdr>
            <w:top w:val="none" w:sz="0" w:space="0" w:color="auto"/>
            <w:left w:val="none" w:sz="0" w:space="0" w:color="auto"/>
            <w:bottom w:val="none" w:sz="0" w:space="0" w:color="auto"/>
            <w:right w:val="none" w:sz="0" w:space="0" w:color="auto"/>
          </w:divBdr>
        </w:div>
        <w:div w:id="1347830389">
          <w:marLeft w:val="0"/>
          <w:marRight w:val="0"/>
          <w:marTop w:val="240"/>
          <w:marBottom w:val="120"/>
          <w:divBdr>
            <w:top w:val="none" w:sz="0" w:space="0" w:color="auto"/>
            <w:left w:val="none" w:sz="0" w:space="0" w:color="auto"/>
            <w:bottom w:val="single" w:sz="12" w:space="0" w:color="000000"/>
            <w:right w:val="none" w:sz="0" w:space="0" w:color="auto"/>
          </w:divBdr>
        </w:div>
        <w:div w:id="692194086">
          <w:marLeft w:val="0"/>
          <w:marRight w:val="0"/>
          <w:marTop w:val="120"/>
          <w:marBottom w:val="240"/>
          <w:divBdr>
            <w:top w:val="none" w:sz="0" w:space="0" w:color="auto"/>
            <w:left w:val="none" w:sz="0" w:space="0" w:color="auto"/>
            <w:bottom w:val="none" w:sz="0" w:space="0" w:color="auto"/>
            <w:right w:val="none" w:sz="0" w:space="0" w:color="auto"/>
          </w:divBdr>
        </w:div>
        <w:div w:id="122231778">
          <w:marLeft w:val="0"/>
          <w:marRight w:val="0"/>
          <w:marTop w:val="240"/>
          <w:marBottom w:val="120"/>
          <w:divBdr>
            <w:top w:val="none" w:sz="0" w:space="0" w:color="auto"/>
            <w:left w:val="none" w:sz="0" w:space="0" w:color="auto"/>
            <w:bottom w:val="single" w:sz="12" w:space="0" w:color="000000"/>
            <w:right w:val="none" w:sz="0" w:space="0" w:color="auto"/>
          </w:divBdr>
        </w:div>
        <w:div w:id="1295864154">
          <w:marLeft w:val="0"/>
          <w:marRight w:val="0"/>
          <w:marTop w:val="120"/>
          <w:marBottom w:val="240"/>
          <w:divBdr>
            <w:top w:val="none" w:sz="0" w:space="0" w:color="auto"/>
            <w:left w:val="none" w:sz="0" w:space="0" w:color="auto"/>
            <w:bottom w:val="none" w:sz="0" w:space="0" w:color="auto"/>
            <w:right w:val="none" w:sz="0" w:space="0" w:color="auto"/>
          </w:divBdr>
        </w:div>
        <w:div w:id="70544734">
          <w:marLeft w:val="0"/>
          <w:marRight w:val="0"/>
          <w:marTop w:val="240"/>
          <w:marBottom w:val="120"/>
          <w:divBdr>
            <w:top w:val="none" w:sz="0" w:space="0" w:color="auto"/>
            <w:left w:val="none" w:sz="0" w:space="0" w:color="auto"/>
            <w:bottom w:val="single" w:sz="12" w:space="0" w:color="000000"/>
            <w:right w:val="none" w:sz="0" w:space="0" w:color="auto"/>
          </w:divBdr>
        </w:div>
        <w:div w:id="1342779017">
          <w:marLeft w:val="0"/>
          <w:marRight w:val="0"/>
          <w:marTop w:val="120"/>
          <w:marBottom w:val="240"/>
          <w:divBdr>
            <w:top w:val="none" w:sz="0" w:space="0" w:color="auto"/>
            <w:left w:val="none" w:sz="0" w:space="0" w:color="auto"/>
            <w:bottom w:val="none" w:sz="0" w:space="0" w:color="auto"/>
            <w:right w:val="none" w:sz="0" w:space="0" w:color="auto"/>
          </w:divBdr>
        </w:div>
        <w:div w:id="1700467769">
          <w:marLeft w:val="0"/>
          <w:marRight w:val="0"/>
          <w:marTop w:val="240"/>
          <w:marBottom w:val="120"/>
          <w:divBdr>
            <w:top w:val="none" w:sz="0" w:space="0" w:color="auto"/>
            <w:left w:val="none" w:sz="0" w:space="0" w:color="auto"/>
            <w:bottom w:val="single" w:sz="12" w:space="0" w:color="000000"/>
            <w:right w:val="none" w:sz="0" w:space="0" w:color="auto"/>
          </w:divBdr>
        </w:div>
        <w:div w:id="1516306785">
          <w:marLeft w:val="0"/>
          <w:marRight w:val="0"/>
          <w:marTop w:val="120"/>
          <w:marBottom w:val="240"/>
          <w:divBdr>
            <w:top w:val="none" w:sz="0" w:space="0" w:color="auto"/>
            <w:left w:val="none" w:sz="0" w:space="0" w:color="auto"/>
            <w:bottom w:val="none" w:sz="0" w:space="0" w:color="auto"/>
            <w:right w:val="none" w:sz="0" w:space="0" w:color="auto"/>
          </w:divBdr>
        </w:div>
        <w:div w:id="1553076421">
          <w:marLeft w:val="0"/>
          <w:marRight w:val="0"/>
          <w:marTop w:val="240"/>
          <w:marBottom w:val="120"/>
          <w:divBdr>
            <w:top w:val="none" w:sz="0" w:space="0" w:color="auto"/>
            <w:left w:val="none" w:sz="0" w:space="0" w:color="auto"/>
            <w:bottom w:val="single" w:sz="12" w:space="0" w:color="000000"/>
            <w:right w:val="none" w:sz="0" w:space="0" w:color="auto"/>
          </w:divBdr>
        </w:div>
        <w:div w:id="1898123697">
          <w:marLeft w:val="0"/>
          <w:marRight w:val="0"/>
          <w:marTop w:val="120"/>
          <w:marBottom w:val="240"/>
          <w:divBdr>
            <w:top w:val="none" w:sz="0" w:space="0" w:color="auto"/>
            <w:left w:val="none" w:sz="0" w:space="0" w:color="auto"/>
            <w:bottom w:val="none" w:sz="0" w:space="0" w:color="auto"/>
            <w:right w:val="none" w:sz="0" w:space="0" w:color="auto"/>
          </w:divBdr>
        </w:div>
        <w:div w:id="1072629125">
          <w:marLeft w:val="0"/>
          <w:marRight w:val="0"/>
          <w:marTop w:val="240"/>
          <w:marBottom w:val="120"/>
          <w:divBdr>
            <w:top w:val="none" w:sz="0" w:space="0" w:color="auto"/>
            <w:left w:val="none" w:sz="0" w:space="0" w:color="auto"/>
            <w:bottom w:val="single" w:sz="12" w:space="0" w:color="000000"/>
            <w:right w:val="none" w:sz="0" w:space="0" w:color="auto"/>
          </w:divBdr>
        </w:div>
        <w:div w:id="1389308097">
          <w:marLeft w:val="0"/>
          <w:marRight w:val="0"/>
          <w:marTop w:val="120"/>
          <w:marBottom w:val="240"/>
          <w:divBdr>
            <w:top w:val="none" w:sz="0" w:space="0" w:color="auto"/>
            <w:left w:val="none" w:sz="0" w:space="0" w:color="auto"/>
            <w:bottom w:val="none" w:sz="0" w:space="0" w:color="auto"/>
            <w:right w:val="none" w:sz="0" w:space="0" w:color="auto"/>
          </w:divBdr>
        </w:div>
        <w:div w:id="1384333729">
          <w:marLeft w:val="0"/>
          <w:marRight w:val="0"/>
          <w:marTop w:val="240"/>
          <w:marBottom w:val="120"/>
          <w:divBdr>
            <w:top w:val="none" w:sz="0" w:space="0" w:color="auto"/>
            <w:left w:val="none" w:sz="0" w:space="0" w:color="auto"/>
            <w:bottom w:val="single" w:sz="12" w:space="0" w:color="000000"/>
            <w:right w:val="none" w:sz="0" w:space="0" w:color="auto"/>
          </w:divBdr>
        </w:div>
        <w:div w:id="1661272638">
          <w:marLeft w:val="0"/>
          <w:marRight w:val="0"/>
          <w:marTop w:val="120"/>
          <w:marBottom w:val="240"/>
          <w:divBdr>
            <w:top w:val="none" w:sz="0" w:space="0" w:color="auto"/>
            <w:left w:val="none" w:sz="0" w:space="0" w:color="auto"/>
            <w:bottom w:val="none" w:sz="0" w:space="0" w:color="auto"/>
            <w:right w:val="none" w:sz="0" w:space="0" w:color="auto"/>
          </w:divBdr>
        </w:div>
        <w:div w:id="55058914">
          <w:marLeft w:val="0"/>
          <w:marRight w:val="0"/>
          <w:marTop w:val="0"/>
          <w:marBottom w:val="0"/>
          <w:divBdr>
            <w:top w:val="none" w:sz="0" w:space="0" w:color="auto"/>
            <w:left w:val="none" w:sz="0" w:space="0" w:color="auto"/>
            <w:bottom w:val="none" w:sz="0" w:space="0" w:color="auto"/>
            <w:right w:val="none" w:sz="0" w:space="0" w:color="auto"/>
          </w:divBdr>
          <w:divsChild>
            <w:div w:id="1177963769">
              <w:marLeft w:val="0"/>
              <w:marRight w:val="0"/>
              <w:marTop w:val="0"/>
              <w:marBottom w:val="0"/>
              <w:divBdr>
                <w:top w:val="single" w:sz="12" w:space="0" w:color="000000"/>
                <w:left w:val="none" w:sz="0" w:space="0" w:color="auto"/>
                <w:bottom w:val="none" w:sz="0" w:space="0" w:color="auto"/>
                <w:right w:val="none" w:sz="0" w:space="0" w:color="auto"/>
              </w:divBdr>
            </w:div>
          </w:divsChild>
        </w:div>
        <w:div w:id="170532734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322ex32-1_remsleephold.htm" TargetMode="External"/><Relationship Id="rId4" Type="http://schemas.openxmlformats.org/officeDocument/2006/relationships/hyperlink" Target="f10q0322ex31-1_remsleephol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8612</Words>
  <Characters>49089</Characters>
  <Application>Microsoft Office Word</Application>
  <DocSecurity>0</DocSecurity>
  <Lines>409</Lines>
  <Paragraphs>115</Paragraphs>
  <ScaleCrop>false</ScaleCrop>
  <Company/>
  <LinksUpToDate>false</LinksUpToDate>
  <CharactersWithSpaces>57586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