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46E81">
      <w:pPr>
        <w:divId w:val="97719922"/>
        <w:rPr>
          <w:rFonts w:eastAsia="Times New Roman"/>
          <w:sz w:val="2"/>
          <w:szCs w:val="2"/>
        </w:rPr>
      </w:pPr>
      <w:r>
        <w:rPr>
          <w:rFonts w:eastAsia="Times New Roman"/>
          <w:sz w:val="2"/>
          <w:szCs w:val="2"/>
        </w:rPr>
        <w:t> </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center"/>
        <w:divId w:val="1088308932"/>
        <w:rPr>
          <w:sz w:val="20"/>
          <w:szCs w:val="20"/>
        </w:rPr>
      </w:pPr>
      <w:r>
        <w:rPr>
          <w:b/>
          <w:bCs/>
          <w:sz w:val="20"/>
          <w:szCs w:val="20"/>
        </w:rPr>
        <w:t>UNITED STATES</w:t>
      </w:r>
    </w:p>
    <w:p w:rsidR="00000000" w:rsidRDefault="00B46E81">
      <w:pPr>
        <w:pStyle w:val="a3"/>
        <w:spacing w:before="0" w:beforeAutospacing="0" w:after="0" w:afterAutospacing="0"/>
        <w:jc w:val="center"/>
        <w:divId w:val="1088308932"/>
        <w:rPr>
          <w:sz w:val="20"/>
          <w:szCs w:val="20"/>
        </w:rPr>
      </w:pPr>
      <w:r>
        <w:rPr>
          <w:b/>
          <w:bCs/>
          <w:sz w:val="20"/>
          <w:szCs w:val="20"/>
        </w:rPr>
        <w:t>SECURITIES AND EXCHANGE COMMISSION</w:t>
      </w:r>
    </w:p>
    <w:p w:rsidR="00000000" w:rsidRDefault="00B46E81">
      <w:pPr>
        <w:pStyle w:val="a3"/>
        <w:spacing w:before="0" w:beforeAutospacing="0" w:after="0" w:afterAutospacing="0"/>
        <w:jc w:val="center"/>
        <w:divId w:val="1088308932"/>
        <w:rPr>
          <w:sz w:val="20"/>
          <w:szCs w:val="20"/>
        </w:rPr>
      </w:pPr>
      <w:r>
        <w:rPr>
          <w:b/>
          <w:bCs/>
          <w:sz w:val="20"/>
          <w:szCs w:val="20"/>
        </w:rPr>
        <w:t>Washington, D.C. 20549</w:t>
      </w:r>
    </w:p>
    <w:p w:rsidR="00000000" w:rsidRDefault="00B46E81">
      <w:pPr>
        <w:pStyle w:val="a3"/>
        <w:spacing w:before="0" w:beforeAutospacing="0" w:after="0" w:afterAutospacing="0"/>
        <w:jc w:val="center"/>
        <w:divId w:val="1088308932"/>
        <w:rPr>
          <w:sz w:val="20"/>
          <w:szCs w:val="20"/>
        </w:rPr>
      </w:pPr>
      <w:r>
        <w:rPr>
          <w:sz w:val="20"/>
          <w:szCs w:val="20"/>
        </w:rPr>
        <w:t> </w:t>
      </w:r>
    </w:p>
    <w:p w:rsidR="00000000" w:rsidRDefault="00B46E81">
      <w:pPr>
        <w:pStyle w:val="a3"/>
        <w:spacing w:before="0" w:beforeAutospacing="0" w:after="0" w:afterAutospacing="0"/>
        <w:jc w:val="center"/>
        <w:divId w:val="1088308932"/>
        <w:rPr>
          <w:sz w:val="20"/>
          <w:szCs w:val="20"/>
        </w:rPr>
      </w:pPr>
      <w:r>
        <w:rPr>
          <w:b/>
          <w:bCs/>
          <w:sz w:val="20"/>
          <w:szCs w:val="20"/>
        </w:rPr>
        <w:t>FORM 10-Q</w:t>
      </w:r>
    </w:p>
    <w:p w:rsidR="00000000" w:rsidRDefault="00B46E81">
      <w:pPr>
        <w:pStyle w:val="a3"/>
        <w:spacing w:before="0" w:beforeAutospacing="0" w:after="0" w:afterAutospacing="0"/>
        <w:jc w:val="center"/>
        <w:divId w:val="1088308932"/>
        <w:rPr>
          <w:sz w:val="20"/>
          <w:szCs w:val="20"/>
        </w:rPr>
      </w:pPr>
      <w:r>
        <w:rPr>
          <w:sz w:val="20"/>
          <w:szCs w:val="20"/>
        </w:rPr>
        <w:t> </w:t>
      </w:r>
    </w:p>
    <w:p w:rsidR="00000000" w:rsidRDefault="00B46E81">
      <w:pPr>
        <w:pStyle w:val="a3"/>
        <w:spacing w:before="0" w:beforeAutospacing="0" w:after="0" w:afterAutospacing="0"/>
        <w:jc w:val="center"/>
        <w:divId w:val="1088308932"/>
        <w:rPr>
          <w:sz w:val="20"/>
          <w:szCs w:val="20"/>
        </w:rPr>
      </w:pPr>
      <w:r>
        <w:rPr>
          <w:rFonts w:ascii="Segoe UI Symbol" w:hAnsi="Segoe UI Symbol" w:cs="Segoe UI Symbol"/>
          <w:sz w:val="20"/>
          <w:szCs w:val="20"/>
        </w:rPr>
        <w:t>☒</w:t>
      </w:r>
      <w:r>
        <w:rPr>
          <w:sz w:val="20"/>
          <w:szCs w:val="20"/>
        </w:rPr>
        <w:t xml:space="preserve"> </w:t>
      </w:r>
      <w:r>
        <w:rPr>
          <w:b/>
          <w:bCs/>
          <w:sz w:val="20"/>
          <w:szCs w:val="20"/>
        </w:rPr>
        <w:t>QUARTERLY REPORT PURSUANT TO SECTION 13 OR 15(d) OF THE SECURITIES EXCHANGE ACT OF 1934</w:t>
      </w:r>
    </w:p>
    <w:p w:rsidR="00000000" w:rsidRDefault="00B46E81">
      <w:pPr>
        <w:pStyle w:val="a3"/>
        <w:spacing w:before="0" w:beforeAutospacing="0" w:after="0" w:afterAutospacing="0"/>
        <w:jc w:val="center"/>
        <w:divId w:val="1088308932"/>
        <w:rPr>
          <w:sz w:val="20"/>
          <w:szCs w:val="20"/>
        </w:rPr>
      </w:pPr>
      <w:r>
        <w:rPr>
          <w:sz w:val="20"/>
          <w:szCs w:val="20"/>
        </w:rPr>
        <w:t> </w:t>
      </w:r>
    </w:p>
    <w:p w:rsidR="00000000" w:rsidRDefault="00B46E81">
      <w:pPr>
        <w:pStyle w:val="a3"/>
        <w:spacing w:before="0" w:beforeAutospacing="0" w:after="0" w:afterAutospacing="0"/>
        <w:jc w:val="center"/>
        <w:divId w:val="1088308932"/>
        <w:rPr>
          <w:sz w:val="20"/>
          <w:szCs w:val="20"/>
        </w:rPr>
      </w:pPr>
      <w:r>
        <w:rPr>
          <w:sz w:val="20"/>
          <w:szCs w:val="20"/>
        </w:rPr>
        <w:t>For the quarterly period ended September 30, 2022</w:t>
      </w:r>
    </w:p>
    <w:p w:rsidR="00000000" w:rsidRDefault="00B46E81">
      <w:pPr>
        <w:pStyle w:val="a3"/>
        <w:spacing w:before="0" w:beforeAutospacing="0" w:after="0" w:afterAutospacing="0"/>
        <w:jc w:val="center"/>
        <w:divId w:val="1088308932"/>
        <w:rPr>
          <w:sz w:val="20"/>
          <w:szCs w:val="20"/>
        </w:rPr>
      </w:pPr>
      <w:r>
        <w:rPr>
          <w:sz w:val="20"/>
          <w:szCs w:val="20"/>
        </w:rPr>
        <w:t> </w:t>
      </w:r>
    </w:p>
    <w:p w:rsidR="00000000" w:rsidRDefault="00B46E81">
      <w:pPr>
        <w:pStyle w:val="a3"/>
        <w:spacing w:before="0" w:beforeAutospacing="0" w:after="0" w:afterAutospacing="0"/>
        <w:jc w:val="center"/>
        <w:divId w:val="1088308932"/>
        <w:rPr>
          <w:sz w:val="20"/>
          <w:szCs w:val="20"/>
        </w:rPr>
      </w:pPr>
      <w:r>
        <w:rPr>
          <w:sz w:val="20"/>
          <w:szCs w:val="20"/>
        </w:rPr>
        <w:t>or</w:t>
      </w:r>
    </w:p>
    <w:p w:rsidR="00000000" w:rsidRDefault="00B46E81">
      <w:pPr>
        <w:pStyle w:val="a3"/>
        <w:spacing w:before="0" w:beforeAutospacing="0" w:after="0" w:afterAutospacing="0"/>
        <w:jc w:val="center"/>
        <w:divId w:val="1088308932"/>
        <w:rPr>
          <w:sz w:val="20"/>
          <w:szCs w:val="20"/>
        </w:rPr>
      </w:pPr>
      <w:r>
        <w:rPr>
          <w:sz w:val="20"/>
          <w:szCs w:val="20"/>
        </w:rPr>
        <w:t> </w:t>
      </w:r>
    </w:p>
    <w:p w:rsidR="00000000" w:rsidRDefault="00B46E81">
      <w:pPr>
        <w:pStyle w:val="a3"/>
        <w:spacing w:before="0" w:beforeAutospacing="0" w:after="0" w:afterAutospacing="0"/>
        <w:jc w:val="center"/>
        <w:divId w:val="1088308932"/>
        <w:rPr>
          <w:sz w:val="20"/>
          <w:szCs w:val="20"/>
        </w:rPr>
      </w:pPr>
      <w:r>
        <w:rPr>
          <w:rFonts w:ascii="Segoe UI Symbol" w:hAnsi="Segoe UI Symbol" w:cs="Segoe UI Symbol"/>
          <w:sz w:val="20"/>
          <w:szCs w:val="20"/>
        </w:rPr>
        <w:t>☐</w:t>
      </w:r>
      <w:r>
        <w:rPr>
          <w:sz w:val="20"/>
          <w:szCs w:val="20"/>
        </w:rPr>
        <w:t xml:space="preserve"> TRANSITION REPORT PURSUANT TO SECTION 13 OR 15(d) OF THE SECURITIES EXCHANGE ACT OF 1934</w:t>
      </w:r>
    </w:p>
    <w:p w:rsidR="00000000" w:rsidRDefault="00B46E81">
      <w:pPr>
        <w:pStyle w:val="a3"/>
        <w:spacing w:before="0" w:beforeAutospacing="0" w:after="0" w:afterAutospacing="0"/>
        <w:jc w:val="center"/>
        <w:divId w:val="1088308932"/>
        <w:rPr>
          <w:sz w:val="20"/>
          <w:szCs w:val="20"/>
        </w:rPr>
      </w:pPr>
      <w:r>
        <w:rPr>
          <w:sz w:val="20"/>
          <w:szCs w:val="20"/>
        </w:rPr>
        <w:t> </w:t>
      </w:r>
    </w:p>
    <w:p w:rsidR="00000000" w:rsidRDefault="00B46E81">
      <w:pPr>
        <w:pStyle w:val="a3"/>
        <w:spacing w:before="0" w:beforeAutospacing="0" w:after="0" w:afterAutospacing="0"/>
        <w:jc w:val="center"/>
        <w:divId w:val="1088308932"/>
        <w:rPr>
          <w:sz w:val="20"/>
          <w:szCs w:val="20"/>
        </w:rPr>
      </w:pPr>
      <w:r>
        <w:rPr>
          <w:sz w:val="20"/>
          <w:szCs w:val="20"/>
        </w:rPr>
        <w:t>For the transiti</w:t>
      </w:r>
      <w:r>
        <w:rPr>
          <w:sz w:val="20"/>
          <w:szCs w:val="20"/>
        </w:rPr>
        <w:t>on period from _____________ to __________</w:t>
      </w:r>
    </w:p>
    <w:p w:rsidR="00000000" w:rsidRDefault="00B46E81">
      <w:pPr>
        <w:pStyle w:val="a3"/>
        <w:spacing w:before="0" w:beforeAutospacing="0" w:after="0" w:afterAutospacing="0"/>
        <w:jc w:val="center"/>
        <w:divId w:val="1088308932"/>
        <w:rPr>
          <w:sz w:val="20"/>
          <w:szCs w:val="20"/>
        </w:rPr>
      </w:pPr>
      <w:r>
        <w:rPr>
          <w:b/>
          <w:bCs/>
          <w:sz w:val="20"/>
          <w:szCs w:val="20"/>
        </w:rPr>
        <w:t> </w:t>
      </w:r>
    </w:p>
    <w:p w:rsidR="00000000" w:rsidRDefault="00B46E81">
      <w:pPr>
        <w:pStyle w:val="a3"/>
        <w:spacing w:before="0" w:beforeAutospacing="0" w:after="0" w:afterAutospacing="0"/>
        <w:jc w:val="center"/>
        <w:divId w:val="1088308932"/>
        <w:rPr>
          <w:sz w:val="20"/>
          <w:szCs w:val="20"/>
        </w:rPr>
      </w:pPr>
      <w:r>
        <w:rPr>
          <w:b/>
          <w:bCs/>
          <w:sz w:val="20"/>
          <w:szCs w:val="20"/>
        </w:rPr>
        <w:t>Commission File Number: 000-53450</w:t>
      </w:r>
    </w:p>
    <w:p w:rsidR="00000000" w:rsidRDefault="00B46E81">
      <w:pPr>
        <w:pStyle w:val="a3"/>
        <w:spacing w:before="0" w:beforeAutospacing="0" w:after="0" w:afterAutospacing="0"/>
        <w:jc w:val="center"/>
        <w:divId w:val="1088308932"/>
        <w:rPr>
          <w:sz w:val="20"/>
          <w:szCs w:val="20"/>
        </w:rPr>
      </w:pPr>
      <w:r>
        <w:rPr>
          <w:b/>
          <w:bCs/>
          <w:sz w:val="20"/>
          <w:szCs w:val="20"/>
        </w:rPr>
        <w:t> </w:t>
      </w:r>
    </w:p>
    <w:p w:rsidR="00000000" w:rsidRDefault="00B46E81">
      <w:pPr>
        <w:pStyle w:val="a3"/>
        <w:spacing w:before="0" w:beforeAutospacing="0" w:after="0" w:afterAutospacing="0"/>
        <w:jc w:val="center"/>
        <w:divId w:val="1088308932"/>
        <w:rPr>
          <w:sz w:val="20"/>
          <w:szCs w:val="20"/>
        </w:rPr>
      </w:pPr>
      <w:r>
        <w:rPr>
          <w:b/>
          <w:bCs/>
          <w:sz w:val="20"/>
          <w:szCs w:val="20"/>
          <w:u w:val="single"/>
        </w:rPr>
        <w:t>REMSLEEP HOLDINGS, INC.</w:t>
      </w:r>
    </w:p>
    <w:p w:rsidR="00000000" w:rsidRDefault="00B46E81">
      <w:pPr>
        <w:pStyle w:val="a3"/>
        <w:spacing w:before="0" w:beforeAutospacing="0" w:after="0" w:afterAutospacing="0"/>
        <w:jc w:val="center"/>
        <w:divId w:val="1088308932"/>
        <w:rPr>
          <w:sz w:val="20"/>
          <w:szCs w:val="20"/>
        </w:rPr>
      </w:pPr>
      <w:r>
        <w:rPr>
          <w:sz w:val="20"/>
          <w:szCs w:val="20"/>
        </w:rPr>
        <w:t>(Exact name of registrant as specified in its charter)</w:t>
      </w:r>
    </w:p>
    <w:p w:rsidR="00000000" w:rsidRDefault="00B46E81">
      <w:pPr>
        <w:pStyle w:val="a3"/>
        <w:spacing w:before="0" w:beforeAutospacing="0" w:after="0" w:afterAutospacing="0"/>
        <w:jc w:val="center"/>
        <w:divId w:val="10883089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rPr>
          <w:divId w:val="1088308932"/>
        </w:trPr>
        <w:tc>
          <w:tcPr>
            <w:tcW w:w="2450" w:type="pct"/>
            <w:tcBorders>
              <w:bottom w:val="single" w:sz="12" w:space="0" w:color="000000"/>
            </w:tcBorders>
            <w:hideMark/>
          </w:tcPr>
          <w:p w:rsidR="00000000" w:rsidRDefault="00B46E81">
            <w:pPr>
              <w:jc w:val="center"/>
              <w:rPr>
                <w:rFonts w:eastAsia="Times New Roman"/>
                <w:sz w:val="20"/>
                <w:szCs w:val="20"/>
              </w:rPr>
            </w:pPr>
            <w:r>
              <w:rPr>
                <w:rFonts w:eastAsia="Times New Roman"/>
                <w:b/>
                <w:bCs/>
                <w:sz w:val="20"/>
                <w:szCs w:val="20"/>
              </w:rPr>
              <w:t>Nevada</w:t>
            </w:r>
          </w:p>
        </w:tc>
        <w:tc>
          <w:tcPr>
            <w:tcW w:w="100" w:type="pct"/>
            <w:hideMark/>
          </w:tcPr>
          <w:p w:rsidR="00000000" w:rsidRDefault="00B46E81">
            <w:pPr>
              <w:jc w:val="center"/>
              <w:rPr>
                <w:rFonts w:eastAsia="Times New Roman"/>
                <w:sz w:val="20"/>
                <w:szCs w:val="20"/>
              </w:rPr>
            </w:pPr>
            <w:r>
              <w:rPr>
                <w:rFonts w:eastAsia="Times New Roman"/>
                <w:sz w:val="20"/>
                <w:szCs w:val="20"/>
              </w:rPr>
              <w:t> </w:t>
            </w:r>
          </w:p>
        </w:tc>
        <w:tc>
          <w:tcPr>
            <w:tcW w:w="2450" w:type="pct"/>
            <w:tcBorders>
              <w:bottom w:val="single" w:sz="12" w:space="0" w:color="000000"/>
            </w:tcBorders>
            <w:hideMark/>
          </w:tcPr>
          <w:p w:rsidR="00000000" w:rsidRDefault="00B46E81">
            <w:pPr>
              <w:jc w:val="center"/>
              <w:rPr>
                <w:rFonts w:eastAsia="Times New Roman"/>
                <w:sz w:val="20"/>
                <w:szCs w:val="20"/>
              </w:rPr>
            </w:pPr>
            <w:r>
              <w:rPr>
                <w:rFonts w:eastAsia="Times New Roman"/>
                <w:b/>
                <w:bCs/>
                <w:sz w:val="20"/>
                <w:szCs w:val="20"/>
              </w:rPr>
              <w:t>47-5386867</w:t>
            </w:r>
          </w:p>
        </w:tc>
      </w:tr>
      <w:tr w:rsidR="00000000">
        <w:trPr>
          <w:divId w:val="1088308932"/>
        </w:trPr>
        <w:tc>
          <w:tcPr>
            <w:tcW w:w="0" w:type="auto"/>
            <w:hideMark/>
          </w:tcPr>
          <w:p w:rsidR="00000000" w:rsidRDefault="00B46E81">
            <w:pPr>
              <w:jc w:val="center"/>
              <w:rPr>
                <w:rFonts w:eastAsia="Times New Roman"/>
                <w:sz w:val="20"/>
                <w:szCs w:val="20"/>
              </w:rPr>
            </w:pPr>
            <w:r>
              <w:rPr>
                <w:rFonts w:eastAsia="Times New Roman"/>
                <w:sz w:val="20"/>
                <w:szCs w:val="20"/>
              </w:rPr>
              <w:t xml:space="preserve">(State or other jurisdiction of </w:t>
            </w:r>
            <w:r>
              <w:rPr>
                <w:rFonts w:eastAsia="Times New Roman"/>
                <w:sz w:val="20"/>
                <w:szCs w:val="20"/>
              </w:rPr>
              <w:br/>
            </w:r>
            <w:r>
              <w:rPr>
                <w:rFonts w:eastAsia="Times New Roman"/>
                <w:sz w:val="20"/>
                <w:szCs w:val="20"/>
              </w:rPr>
              <w:t>incorporation or organization)</w:t>
            </w:r>
          </w:p>
        </w:tc>
        <w:tc>
          <w:tcPr>
            <w:tcW w:w="0" w:type="auto"/>
            <w:hideMark/>
          </w:tcPr>
          <w:p w:rsidR="00000000" w:rsidRDefault="00B46E81">
            <w:pPr>
              <w:jc w:val="center"/>
              <w:rPr>
                <w:rFonts w:eastAsia="Times New Roman"/>
                <w:sz w:val="20"/>
                <w:szCs w:val="20"/>
              </w:rPr>
            </w:pPr>
            <w:r>
              <w:rPr>
                <w:rFonts w:eastAsia="Times New Roman"/>
                <w:sz w:val="20"/>
                <w:szCs w:val="20"/>
              </w:rPr>
              <w:t> </w:t>
            </w:r>
          </w:p>
        </w:tc>
        <w:tc>
          <w:tcPr>
            <w:tcW w:w="0" w:type="auto"/>
            <w:hideMark/>
          </w:tcPr>
          <w:p w:rsidR="00000000" w:rsidRDefault="00B46E81">
            <w:pPr>
              <w:jc w:val="center"/>
              <w:rPr>
                <w:rFonts w:eastAsia="Times New Roman"/>
                <w:sz w:val="20"/>
                <w:szCs w:val="20"/>
              </w:rPr>
            </w:pPr>
            <w:r>
              <w:rPr>
                <w:rFonts w:eastAsia="Times New Roman"/>
                <w:sz w:val="20"/>
                <w:szCs w:val="20"/>
              </w:rPr>
              <w:t xml:space="preserve">(I.R.S. Employer </w:t>
            </w:r>
            <w:r>
              <w:rPr>
                <w:rFonts w:eastAsia="Times New Roman"/>
                <w:sz w:val="20"/>
                <w:szCs w:val="20"/>
              </w:rPr>
              <w:br/>
              <w:t>Identification No.)</w:t>
            </w:r>
          </w:p>
        </w:tc>
      </w:tr>
    </w:tbl>
    <w:p w:rsidR="00000000" w:rsidRDefault="00B46E81">
      <w:pPr>
        <w:pStyle w:val="a3"/>
        <w:spacing w:before="0" w:beforeAutospacing="0" w:after="0" w:afterAutospacing="0"/>
        <w:jc w:val="center"/>
        <w:divId w:val="1088308932"/>
        <w:rPr>
          <w:sz w:val="20"/>
          <w:szCs w:val="20"/>
        </w:rPr>
      </w:pPr>
      <w:r>
        <w:rPr>
          <w:sz w:val="20"/>
          <w:szCs w:val="20"/>
        </w:rPr>
        <w:t> </w:t>
      </w:r>
    </w:p>
    <w:p w:rsidR="00000000" w:rsidRDefault="00B46E81">
      <w:pPr>
        <w:pStyle w:val="a3"/>
        <w:spacing w:before="0" w:beforeAutospacing="0" w:after="0" w:afterAutospacing="0"/>
        <w:jc w:val="center"/>
        <w:divId w:val="1088308932"/>
        <w:rPr>
          <w:sz w:val="20"/>
          <w:szCs w:val="20"/>
        </w:rPr>
      </w:pPr>
      <w:r>
        <w:rPr>
          <w:b/>
          <w:bCs/>
          <w:sz w:val="20"/>
          <w:szCs w:val="20"/>
          <w:u w:val="single"/>
        </w:rPr>
        <w:t>14175 Icot Boulevard, Suite 300, Clearwater, Florida 33760.</w:t>
      </w:r>
    </w:p>
    <w:p w:rsidR="00000000" w:rsidRDefault="00B46E81">
      <w:pPr>
        <w:pStyle w:val="a3"/>
        <w:spacing w:before="0" w:beforeAutospacing="0" w:after="0" w:afterAutospacing="0"/>
        <w:jc w:val="center"/>
        <w:divId w:val="1088308932"/>
        <w:rPr>
          <w:sz w:val="20"/>
          <w:szCs w:val="20"/>
        </w:rPr>
      </w:pPr>
      <w:r>
        <w:rPr>
          <w:sz w:val="20"/>
          <w:szCs w:val="20"/>
        </w:rPr>
        <w:t>(Address of principal executive offices) (Zip Code)</w:t>
      </w:r>
    </w:p>
    <w:p w:rsidR="00000000" w:rsidRDefault="00B46E81">
      <w:pPr>
        <w:pStyle w:val="a3"/>
        <w:spacing w:before="0" w:beforeAutospacing="0" w:after="0" w:afterAutospacing="0"/>
        <w:jc w:val="center"/>
        <w:divId w:val="1088308932"/>
        <w:rPr>
          <w:sz w:val="20"/>
          <w:szCs w:val="20"/>
        </w:rPr>
      </w:pPr>
      <w:r>
        <w:rPr>
          <w:sz w:val="20"/>
          <w:szCs w:val="20"/>
        </w:rPr>
        <w:t> </w:t>
      </w:r>
    </w:p>
    <w:p w:rsidR="00000000" w:rsidRDefault="00B46E81">
      <w:pPr>
        <w:pStyle w:val="a3"/>
        <w:spacing w:before="0" w:beforeAutospacing="0" w:after="0" w:afterAutospacing="0"/>
        <w:jc w:val="center"/>
        <w:divId w:val="1088308932"/>
        <w:rPr>
          <w:sz w:val="20"/>
          <w:szCs w:val="20"/>
        </w:rPr>
      </w:pPr>
      <w:r>
        <w:rPr>
          <w:b/>
          <w:bCs/>
          <w:sz w:val="20"/>
          <w:szCs w:val="20"/>
          <w:u w:val="single"/>
        </w:rPr>
        <w:t>727-955-446</w:t>
      </w:r>
      <w:r>
        <w:rPr>
          <w:b/>
          <w:bCs/>
          <w:sz w:val="20"/>
          <w:szCs w:val="20"/>
          <w:u w:val="single"/>
        </w:rPr>
        <w:t>5</w:t>
      </w:r>
    </w:p>
    <w:p w:rsidR="00000000" w:rsidRDefault="00B46E81">
      <w:pPr>
        <w:pStyle w:val="a3"/>
        <w:spacing w:before="0" w:beforeAutospacing="0" w:after="0" w:afterAutospacing="0"/>
        <w:jc w:val="center"/>
        <w:divId w:val="1088308932"/>
        <w:rPr>
          <w:sz w:val="20"/>
          <w:szCs w:val="20"/>
        </w:rPr>
      </w:pPr>
      <w:r>
        <w:rPr>
          <w:sz w:val="20"/>
          <w:szCs w:val="20"/>
        </w:rPr>
        <w:t>(Registrant’s telephone number, including area code)</w:t>
      </w:r>
    </w:p>
    <w:p w:rsidR="00000000" w:rsidRDefault="00B46E81">
      <w:pPr>
        <w:pStyle w:val="a3"/>
        <w:spacing w:before="0" w:beforeAutospacing="0" w:after="0" w:afterAutospacing="0"/>
        <w:jc w:val="center"/>
        <w:divId w:val="1088308932"/>
        <w:rPr>
          <w:sz w:val="20"/>
          <w:szCs w:val="20"/>
        </w:rPr>
      </w:pPr>
      <w:r>
        <w:rPr>
          <w:sz w:val="20"/>
          <w:szCs w:val="20"/>
        </w:rPr>
        <w:t> </w:t>
      </w:r>
    </w:p>
    <w:p w:rsidR="00000000" w:rsidRDefault="00B46E81">
      <w:pPr>
        <w:pStyle w:val="a3"/>
        <w:spacing w:before="0" w:beforeAutospacing="0" w:after="0" w:afterAutospacing="0"/>
        <w:ind w:firstLine="360"/>
        <w:jc w:val="both"/>
        <w:divId w:val="1088308932"/>
        <w:rPr>
          <w:sz w:val="20"/>
          <w:szCs w:val="20"/>
        </w:rPr>
      </w:pPr>
      <w:r>
        <w:rPr>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20"/>
          <w:szCs w:val="20"/>
        </w:rPr>
        <w:t>uch reports), and (2) has been subject to such filing requirements for the past 90 days. Yes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ind w:firstLine="360"/>
        <w:jc w:val="both"/>
        <w:divId w:val="1088308932"/>
        <w:rPr>
          <w:sz w:val="20"/>
          <w:szCs w:val="20"/>
        </w:rPr>
      </w:pPr>
      <w:r>
        <w:rPr>
          <w:sz w:val="20"/>
          <w:szCs w:val="20"/>
        </w:rPr>
        <w:t>Indicate by check mark whether the registrant has submitted electronically every Interactive Data File required to be submitted pursuant to Rule 405 of Re</w:t>
      </w:r>
      <w:r>
        <w:rPr>
          <w:sz w:val="20"/>
          <w:szCs w:val="20"/>
        </w:rPr>
        <w:t>gulation S-T (§232.405 of this chapter) during the preceding 12 months (or for such shorter period that the registrant was required to submit such files). Yes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ind w:firstLine="360"/>
        <w:jc w:val="both"/>
        <w:divId w:val="1088308932"/>
        <w:rPr>
          <w:sz w:val="20"/>
          <w:szCs w:val="20"/>
        </w:rPr>
      </w:pPr>
      <w:r>
        <w:rPr>
          <w:sz w:val="20"/>
          <w:szCs w:val="20"/>
        </w:rPr>
        <w:t xml:space="preserve">Indicate </w:t>
      </w:r>
      <w:r>
        <w:rPr>
          <w:sz w:val="20"/>
          <w:szCs w:val="20"/>
        </w:rPr>
        <w:t>by check mark whether the registrant is a large accelerated filer, an accelerated filer, a non-accelerated filer, a smaller reporting company, or an emerging growth company. See the definitions of “large accelerated filer,” “accelerated filer,” “smaller re</w:t>
      </w:r>
      <w:r>
        <w:rPr>
          <w:sz w:val="20"/>
          <w:szCs w:val="20"/>
        </w:rPr>
        <w:t>porting company” and “emerging growth company” in Rule 12b-2 of the Exchange Act.</w:t>
      </w:r>
    </w:p>
    <w:p w:rsidR="00000000" w:rsidRDefault="00B46E81">
      <w:pPr>
        <w:pStyle w:val="a3"/>
        <w:spacing w:before="0" w:beforeAutospacing="0" w:after="0" w:afterAutospacing="0"/>
        <w:ind w:firstLine="360"/>
        <w:jc w:val="both"/>
        <w:divId w:val="10883089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987"/>
        <w:gridCol w:w="4319"/>
      </w:tblGrid>
      <w:tr w:rsidR="00000000">
        <w:trPr>
          <w:divId w:val="1088308932"/>
        </w:trPr>
        <w:tc>
          <w:tcPr>
            <w:tcW w:w="2400" w:type="pct"/>
            <w:hideMark/>
          </w:tcPr>
          <w:p w:rsidR="00000000" w:rsidRDefault="00B46E81">
            <w:pPr>
              <w:rPr>
                <w:rFonts w:eastAsia="Times New Roman"/>
                <w:sz w:val="20"/>
                <w:szCs w:val="20"/>
              </w:rPr>
            </w:pPr>
            <w:r>
              <w:rPr>
                <w:rFonts w:eastAsia="Times New Roman"/>
                <w:sz w:val="20"/>
                <w:szCs w:val="20"/>
              </w:rPr>
              <w:t xml:space="preserve">Large accelerated filer </w:t>
            </w:r>
            <w:r>
              <w:rPr>
                <w:rFonts w:ascii="Segoe UI Symbol" w:eastAsia="Times New Roman" w:hAnsi="Segoe UI Symbol" w:cs="Segoe UI Symbol"/>
                <w:sz w:val="20"/>
                <w:szCs w:val="20"/>
              </w:rPr>
              <w:t>☐</w:t>
            </w:r>
          </w:p>
        </w:tc>
        <w:tc>
          <w:tcPr>
            <w:tcW w:w="2600" w:type="pct"/>
            <w:hideMark/>
          </w:tcPr>
          <w:p w:rsidR="00000000" w:rsidRDefault="00B46E81">
            <w:pPr>
              <w:rPr>
                <w:rFonts w:eastAsia="Times New Roman"/>
                <w:sz w:val="20"/>
                <w:szCs w:val="20"/>
              </w:rPr>
            </w:pPr>
            <w:r>
              <w:rPr>
                <w:rFonts w:eastAsia="Times New Roman"/>
                <w:sz w:val="20"/>
                <w:szCs w:val="20"/>
              </w:rPr>
              <w:t xml:space="preserve">Accelerated filer </w:t>
            </w:r>
            <w:r>
              <w:rPr>
                <w:rFonts w:ascii="Segoe UI Symbol" w:eastAsia="Times New Roman" w:hAnsi="Segoe UI Symbol" w:cs="Segoe UI Symbol"/>
                <w:sz w:val="20"/>
                <w:szCs w:val="20"/>
              </w:rPr>
              <w:t>☐</w:t>
            </w:r>
          </w:p>
        </w:tc>
      </w:tr>
      <w:tr w:rsidR="00000000">
        <w:trPr>
          <w:divId w:val="1088308932"/>
        </w:trPr>
        <w:tc>
          <w:tcPr>
            <w:tcW w:w="0" w:type="auto"/>
            <w:hideMark/>
          </w:tcPr>
          <w:p w:rsidR="00000000" w:rsidRDefault="00B46E81">
            <w:pPr>
              <w:rPr>
                <w:rFonts w:eastAsia="Times New Roman"/>
                <w:sz w:val="20"/>
                <w:szCs w:val="20"/>
              </w:rPr>
            </w:pPr>
            <w:r>
              <w:rPr>
                <w:rFonts w:eastAsia="Times New Roman"/>
                <w:sz w:val="20"/>
                <w:szCs w:val="20"/>
              </w:rPr>
              <w:t xml:space="preserve">Non-accelerated filer </w:t>
            </w:r>
            <w:r>
              <w:rPr>
                <w:rFonts w:ascii="Segoe UI Symbol" w:eastAsia="Times New Roman" w:hAnsi="Segoe UI Symbol" w:cs="Segoe UI Symbol"/>
                <w:sz w:val="20"/>
                <w:szCs w:val="20"/>
              </w:rPr>
              <w:t>☒</w:t>
            </w:r>
          </w:p>
        </w:tc>
        <w:tc>
          <w:tcPr>
            <w:tcW w:w="0" w:type="auto"/>
            <w:hideMark/>
          </w:tcPr>
          <w:p w:rsidR="00000000" w:rsidRDefault="00B46E81">
            <w:pPr>
              <w:rPr>
                <w:rFonts w:eastAsia="Times New Roman"/>
                <w:sz w:val="20"/>
                <w:szCs w:val="20"/>
              </w:rPr>
            </w:pPr>
            <w:r>
              <w:rPr>
                <w:rFonts w:eastAsia="Times New Roman"/>
                <w:sz w:val="20"/>
                <w:szCs w:val="20"/>
              </w:rPr>
              <w:t xml:space="preserve">Smaller reporting company </w:t>
            </w:r>
            <w:r>
              <w:rPr>
                <w:rFonts w:ascii="Segoe UI Symbol" w:eastAsia="Times New Roman" w:hAnsi="Segoe UI Symbol" w:cs="Segoe UI Symbol"/>
                <w:sz w:val="20"/>
                <w:szCs w:val="20"/>
              </w:rPr>
              <w:t>☒</w:t>
            </w:r>
          </w:p>
        </w:tc>
      </w:tr>
      <w:tr w:rsidR="00000000">
        <w:trPr>
          <w:divId w:val="1088308932"/>
        </w:trPr>
        <w:tc>
          <w:tcPr>
            <w:tcW w:w="0" w:type="auto"/>
            <w:hideMark/>
          </w:tcPr>
          <w:p w:rsidR="00000000" w:rsidRDefault="00B46E81">
            <w:pPr>
              <w:rPr>
                <w:rFonts w:eastAsia="Times New Roman"/>
                <w:sz w:val="20"/>
                <w:szCs w:val="20"/>
              </w:rPr>
            </w:pPr>
            <w:r>
              <w:rPr>
                <w:rFonts w:eastAsia="Times New Roman"/>
                <w:sz w:val="20"/>
                <w:szCs w:val="20"/>
              </w:rPr>
              <w:t xml:space="preserve">Emerging growth company </w:t>
            </w:r>
            <w:r>
              <w:rPr>
                <w:rFonts w:ascii="Segoe UI Symbol" w:eastAsia="Times New Roman" w:hAnsi="Segoe UI Symbol" w:cs="Segoe UI Symbol"/>
                <w:sz w:val="20"/>
                <w:szCs w:val="20"/>
              </w:rPr>
              <w:t>☐</w:t>
            </w:r>
          </w:p>
        </w:tc>
        <w:tc>
          <w:tcPr>
            <w:tcW w:w="0" w:type="auto"/>
            <w:hideMark/>
          </w:tcPr>
          <w:p w:rsidR="00000000" w:rsidRDefault="00B46E81">
            <w:pPr>
              <w:rPr>
                <w:rFonts w:eastAsia="Times New Roman"/>
                <w:sz w:val="20"/>
                <w:szCs w:val="20"/>
              </w:rPr>
            </w:pPr>
            <w:r>
              <w:rPr>
                <w:rFonts w:eastAsia="Times New Roman"/>
                <w:sz w:val="20"/>
                <w:szCs w:val="20"/>
              </w:rPr>
              <w:t> </w:t>
            </w:r>
          </w:p>
        </w:tc>
      </w:tr>
    </w:tbl>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ind w:firstLine="360"/>
        <w:jc w:val="both"/>
        <w:divId w:val="1088308932"/>
        <w:rPr>
          <w:sz w:val="20"/>
          <w:szCs w:val="20"/>
        </w:rPr>
      </w:pPr>
      <w:r>
        <w:rPr>
          <w:sz w:val="20"/>
          <w:szCs w:val="20"/>
        </w:rPr>
        <w:t>If an emerging growth company, indicate b</w:t>
      </w:r>
      <w:r>
        <w:rPr>
          <w:sz w:val="20"/>
          <w:szCs w:val="20"/>
        </w:rPr>
        <w:t>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ind w:firstLine="360"/>
        <w:jc w:val="both"/>
        <w:divId w:val="1088308932"/>
        <w:rPr>
          <w:sz w:val="20"/>
          <w:szCs w:val="20"/>
        </w:rPr>
      </w:pPr>
      <w:r>
        <w:rPr>
          <w:sz w:val="20"/>
          <w:szCs w:val="20"/>
        </w:rPr>
        <w:lastRenderedPageBreak/>
        <w:t>Indicate by check mark whether the registr</w:t>
      </w:r>
      <w:r>
        <w:rPr>
          <w:sz w:val="20"/>
          <w:szCs w:val="20"/>
        </w:rPr>
        <w:t>ant is a shell company (as defined in Rule 12b-2 of the Exchange Act). Yes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rsidR="00000000" w:rsidRDefault="00B46E81">
      <w:pPr>
        <w:pStyle w:val="a3"/>
        <w:spacing w:before="0" w:beforeAutospacing="0" w:after="0" w:afterAutospacing="0"/>
        <w:ind w:firstLine="720"/>
        <w:jc w:val="both"/>
        <w:divId w:val="1088308932"/>
        <w:rPr>
          <w:sz w:val="20"/>
          <w:szCs w:val="20"/>
        </w:rPr>
      </w:pPr>
      <w:r>
        <w:rPr>
          <w:sz w:val="20"/>
          <w:szCs w:val="20"/>
        </w:rPr>
        <w:t> </w:t>
      </w:r>
    </w:p>
    <w:p w:rsidR="00000000" w:rsidRDefault="00B46E81">
      <w:pPr>
        <w:pStyle w:val="a3"/>
        <w:spacing w:before="0" w:beforeAutospacing="0" w:after="0" w:afterAutospacing="0"/>
        <w:ind w:left="360"/>
        <w:divId w:val="1088308932"/>
        <w:rPr>
          <w:sz w:val="20"/>
          <w:szCs w:val="20"/>
        </w:rPr>
      </w:pPr>
      <w:r>
        <w:rPr>
          <w:sz w:val="20"/>
          <w:szCs w:val="20"/>
        </w:rPr>
        <w:t>Securities registered pursuant to Section 12(b) of the Act:</w:t>
      </w:r>
    </w:p>
    <w:p w:rsidR="00000000" w:rsidRDefault="00B46E81">
      <w:pPr>
        <w:pStyle w:val="a3"/>
        <w:spacing w:before="0" w:beforeAutospacing="0" w:after="0" w:afterAutospacing="0"/>
        <w:divId w:val="10883089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658"/>
        <w:gridCol w:w="166"/>
        <w:gridCol w:w="2658"/>
        <w:gridCol w:w="166"/>
        <w:gridCol w:w="2658"/>
      </w:tblGrid>
      <w:tr w:rsidR="00000000">
        <w:trPr>
          <w:divId w:val="1088308932"/>
        </w:trPr>
        <w:tc>
          <w:tcPr>
            <w:tcW w:w="1600" w:type="pct"/>
            <w:tcBorders>
              <w:bottom w:val="single" w:sz="12" w:space="0" w:color="000000"/>
            </w:tcBorders>
            <w:vAlign w:val="bottom"/>
            <w:hideMark/>
          </w:tcPr>
          <w:p w:rsidR="00000000" w:rsidRDefault="00B46E81">
            <w:pPr>
              <w:jc w:val="center"/>
              <w:rPr>
                <w:rFonts w:eastAsia="Times New Roman"/>
                <w:sz w:val="20"/>
                <w:szCs w:val="20"/>
              </w:rPr>
            </w:pPr>
            <w:r>
              <w:rPr>
                <w:rFonts w:eastAsia="Times New Roman"/>
                <w:b/>
                <w:bCs/>
                <w:sz w:val="20"/>
                <w:szCs w:val="20"/>
              </w:rPr>
              <w:t>Title of each class</w:t>
            </w:r>
          </w:p>
        </w:tc>
        <w:tc>
          <w:tcPr>
            <w:tcW w:w="100" w:type="pct"/>
            <w:vAlign w:val="bottom"/>
            <w:hideMark/>
          </w:tcPr>
          <w:p w:rsidR="00000000" w:rsidRDefault="00B46E81">
            <w:pPr>
              <w:jc w:val="center"/>
              <w:rPr>
                <w:rFonts w:eastAsia="Times New Roman"/>
                <w:sz w:val="20"/>
                <w:szCs w:val="20"/>
              </w:rPr>
            </w:pPr>
            <w:r>
              <w:rPr>
                <w:rFonts w:eastAsia="Times New Roman"/>
                <w:sz w:val="20"/>
                <w:szCs w:val="20"/>
              </w:rPr>
              <w:t> </w:t>
            </w:r>
          </w:p>
        </w:tc>
        <w:tc>
          <w:tcPr>
            <w:tcW w:w="1600" w:type="pct"/>
            <w:tcBorders>
              <w:bottom w:val="single" w:sz="12" w:space="0" w:color="000000"/>
            </w:tcBorders>
            <w:vAlign w:val="bottom"/>
            <w:hideMark/>
          </w:tcPr>
          <w:p w:rsidR="00000000" w:rsidRDefault="00B46E81">
            <w:pPr>
              <w:ind w:firstLine="83"/>
              <w:jc w:val="center"/>
              <w:rPr>
                <w:rFonts w:eastAsia="Times New Roman"/>
                <w:sz w:val="20"/>
                <w:szCs w:val="20"/>
              </w:rPr>
            </w:pPr>
            <w:r>
              <w:rPr>
                <w:rFonts w:eastAsia="Times New Roman"/>
                <w:b/>
                <w:bCs/>
                <w:sz w:val="20"/>
                <w:szCs w:val="20"/>
              </w:rPr>
              <w:t>Trading Symbol(s)</w:t>
            </w:r>
          </w:p>
        </w:tc>
        <w:tc>
          <w:tcPr>
            <w:tcW w:w="100" w:type="pct"/>
            <w:vAlign w:val="bottom"/>
            <w:hideMark/>
          </w:tcPr>
          <w:p w:rsidR="00000000" w:rsidRDefault="00B46E81">
            <w:pPr>
              <w:jc w:val="center"/>
              <w:rPr>
                <w:rFonts w:eastAsia="Times New Roman"/>
                <w:sz w:val="20"/>
                <w:szCs w:val="20"/>
              </w:rPr>
            </w:pPr>
            <w:r>
              <w:rPr>
                <w:rFonts w:eastAsia="Times New Roman"/>
                <w:sz w:val="20"/>
                <w:szCs w:val="20"/>
              </w:rPr>
              <w:t> </w:t>
            </w:r>
          </w:p>
        </w:tc>
        <w:tc>
          <w:tcPr>
            <w:tcW w:w="1600" w:type="pct"/>
            <w:tcBorders>
              <w:bottom w:val="single" w:sz="12" w:space="0" w:color="000000"/>
            </w:tcBorders>
            <w:vAlign w:val="bottom"/>
            <w:hideMark/>
          </w:tcPr>
          <w:p w:rsidR="00000000" w:rsidRDefault="00B46E81">
            <w:pPr>
              <w:jc w:val="center"/>
              <w:rPr>
                <w:rFonts w:eastAsia="Times New Roman"/>
                <w:sz w:val="20"/>
                <w:szCs w:val="20"/>
              </w:rPr>
            </w:pPr>
            <w:r>
              <w:rPr>
                <w:rFonts w:eastAsia="Times New Roman"/>
                <w:b/>
                <w:bCs/>
                <w:sz w:val="20"/>
                <w:szCs w:val="20"/>
              </w:rPr>
              <w:t xml:space="preserve">Name </w:t>
            </w:r>
            <w:r>
              <w:rPr>
                <w:rFonts w:eastAsia="Times New Roman"/>
                <w:b/>
                <w:bCs/>
                <w:sz w:val="20"/>
                <w:szCs w:val="20"/>
              </w:rPr>
              <w:t>of each exchange on which registered</w:t>
            </w:r>
          </w:p>
        </w:tc>
      </w:tr>
      <w:tr w:rsidR="00000000">
        <w:trPr>
          <w:divId w:val="1088308932"/>
        </w:trPr>
        <w:tc>
          <w:tcPr>
            <w:tcW w:w="0" w:type="auto"/>
            <w:shd w:val="clear" w:color="auto" w:fill="CCEEFF"/>
            <w:vAlign w:val="bottom"/>
            <w:hideMark/>
          </w:tcPr>
          <w:p w:rsidR="00000000" w:rsidRDefault="00B46E81">
            <w:pPr>
              <w:jc w:val="center"/>
              <w:rPr>
                <w:rFonts w:eastAsia="Times New Roman"/>
                <w:sz w:val="20"/>
                <w:szCs w:val="20"/>
              </w:rPr>
            </w:pPr>
            <w:r>
              <w:rPr>
                <w:rFonts w:eastAsia="Times New Roman"/>
                <w:sz w:val="20"/>
                <w:szCs w:val="20"/>
              </w:rPr>
              <w:t>Common</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center"/>
              <w:rPr>
                <w:rFonts w:eastAsia="Times New Roman"/>
                <w:sz w:val="20"/>
                <w:szCs w:val="20"/>
              </w:rPr>
            </w:pPr>
            <w:r>
              <w:rPr>
                <w:rFonts w:eastAsia="Times New Roman"/>
                <w:sz w:val="20"/>
                <w:szCs w:val="20"/>
              </w:rPr>
              <w:t>RMSL</w:t>
            </w:r>
          </w:p>
        </w:tc>
        <w:tc>
          <w:tcPr>
            <w:tcW w:w="0" w:type="auto"/>
            <w:shd w:val="clear" w:color="auto" w:fill="CCEEFF"/>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B46E81">
            <w:pPr>
              <w:rPr>
                <w:rFonts w:eastAsia="Times New Roman"/>
                <w:sz w:val="20"/>
                <w:szCs w:val="20"/>
              </w:rPr>
            </w:pPr>
            <w:r>
              <w:rPr>
                <w:rFonts w:eastAsia="Times New Roman"/>
                <w:sz w:val="20"/>
                <w:szCs w:val="20"/>
              </w:rPr>
              <w:t> </w:t>
            </w:r>
          </w:p>
        </w:tc>
      </w:tr>
    </w:tbl>
    <w:p w:rsidR="00000000" w:rsidRDefault="00B46E81">
      <w:pPr>
        <w:pStyle w:val="a3"/>
        <w:spacing w:before="0" w:beforeAutospacing="0" w:after="0" w:afterAutospacing="0"/>
        <w:ind w:firstLine="720"/>
        <w:jc w:val="both"/>
        <w:divId w:val="1088308932"/>
        <w:rPr>
          <w:sz w:val="20"/>
          <w:szCs w:val="20"/>
        </w:rPr>
      </w:pPr>
      <w:r>
        <w:rPr>
          <w:sz w:val="20"/>
          <w:szCs w:val="20"/>
        </w:rPr>
        <w:t> </w:t>
      </w:r>
    </w:p>
    <w:p w:rsidR="00000000" w:rsidRDefault="00B46E81">
      <w:pPr>
        <w:pStyle w:val="a3"/>
        <w:spacing w:before="0" w:beforeAutospacing="0" w:after="0" w:afterAutospacing="0"/>
        <w:ind w:firstLine="360"/>
        <w:jc w:val="both"/>
        <w:divId w:val="1088308932"/>
        <w:rPr>
          <w:sz w:val="20"/>
          <w:szCs w:val="20"/>
        </w:rPr>
      </w:pPr>
      <w:r>
        <w:rPr>
          <w:sz w:val="20"/>
          <w:szCs w:val="20"/>
        </w:rPr>
        <w:t xml:space="preserve">Indicate the number of shares outstanding of each of the issuer’s classes of common stock, as of November 14, 2022, there were 1,461,616,601 </w:t>
      </w:r>
      <w:r>
        <w:rPr>
          <w:sz w:val="20"/>
          <w:szCs w:val="20"/>
        </w:rPr>
        <w:t>shares of common stock outstanding.</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divId w:val="1632327759"/>
        <w:rPr>
          <w:rFonts w:eastAsia="Times New Roman"/>
          <w:sz w:val="2"/>
          <w:szCs w:val="2"/>
        </w:rPr>
      </w:pPr>
      <w:r>
        <w:rPr>
          <w:rFonts w:eastAsia="Times New Roman"/>
          <w:sz w:val="2"/>
          <w:szCs w:val="2"/>
        </w:rPr>
        <w:t> </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divId w:val="1148672611"/>
        <w:rPr>
          <w:sz w:val="20"/>
          <w:szCs w:val="20"/>
        </w:rPr>
      </w:pPr>
      <w:r>
        <w:rPr>
          <w:sz w:val="20"/>
          <w:szCs w:val="20"/>
        </w:rPr>
        <w:t> </w:t>
      </w:r>
    </w:p>
    <w:p w:rsidR="00000000" w:rsidRDefault="00B46E81">
      <w:pPr>
        <w:pStyle w:val="a3"/>
        <w:spacing w:before="0" w:beforeAutospacing="0" w:after="0" w:afterAutospacing="0"/>
        <w:divId w:val="944460443"/>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center"/>
        <w:divId w:val="1088308932"/>
        <w:rPr>
          <w:sz w:val="20"/>
          <w:szCs w:val="20"/>
        </w:rPr>
      </w:pPr>
      <w:r>
        <w:rPr>
          <w:b/>
          <w:bCs/>
          <w:sz w:val="20"/>
          <w:szCs w:val="20"/>
        </w:rPr>
        <w:t>TABLE OF CONTENTS</w:t>
      </w:r>
    </w:p>
    <w:p w:rsidR="00000000" w:rsidRDefault="00B46E81">
      <w:pPr>
        <w:pStyle w:val="a3"/>
        <w:spacing w:before="0" w:beforeAutospacing="0" w:after="0" w:afterAutospacing="0"/>
        <w:divId w:val="10883089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47"/>
        <w:gridCol w:w="6811"/>
        <w:gridCol w:w="748"/>
      </w:tblGrid>
      <w:tr w:rsidR="00000000">
        <w:trPr>
          <w:divId w:val="1088308932"/>
        </w:trPr>
        <w:tc>
          <w:tcPr>
            <w:tcW w:w="450" w:type="pct"/>
            <w:hideMark/>
          </w:tcPr>
          <w:p w:rsidR="00000000" w:rsidRDefault="00B46E81">
            <w:pPr>
              <w:rPr>
                <w:rFonts w:eastAsia="Times New Roman"/>
                <w:sz w:val="20"/>
                <w:szCs w:val="20"/>
              </w:rPr>
            </w:pPr>
            <w:r>
              <w:rPr>
                <w:rFonts w:eastAsia="Times New Roman"/>
                <w:sz w:val="20"/>
                <w:szCs w:val="20"/>
              </w:rPr>
              <w:t> </w:t>
            </w:r>
          </w:p>
        </w:tc>
        <w:tc>
          <w:tcPr>
            <w:tcW w:w="4100" w:type="pct"/>
            <w:hideMark/>
          </w:tcPr>
          <w:p w:rsidR="00000000" w:rsidRDefault="00B46E81">
            <w:pPr>
              <w:rPr>
                <w:rFonts w:eastAsia="Times New Roman"/>
                <w:sz w:val="20"/>
                <w:szCs w:val="20"/>
              </w:rPr>
            </w:pPr>
            <w:r>
              <w:rPr>
                <w:rFonts w:eastAsia="Times New Roman"/>
                <w:sz w:val="20"/>
                <w:szCs w:val="20"/>
              </w:rPr>
              <w:t> </w:t>
            </w:r>
          </w:p>
        </w:tc>
        <w:tc>
          <w:tcPr>
            <w:tcW w:w="450" w:type="pct"/>
            <w:tcBorders>
              <w:bottom w:val="single" w:sz="12" w:space="0" w:color="000000"/>
            </w:tcBorders>
            <w:noWrap/>
            <w:vAlign w:val="bottom"/>
            <w:hideMark/>
          </w:tcPr>
          <w:p w:rsidR="00000000" w:rsidRDefault="00B46E81">
            <w:pPr>
              <w:jc w:val="center"/>
              <w:rPr>
                <w:rFonts w:eastAsia="Times New Roman"/>
                <w:sz w:val="20"/>
                <w:szCs w:val="20"/>
              </w:rPr>
            </w:pPr>
            <w:r>
              <w:rPr>
                <w:rFonts w:eastAsia="Times New Roman"/>
                <w:b/>
                <w:bCs/>
                <w:sz w:val="20"/>
                <w:szCs w:val="20"/>
              </w:rPr>
              <w:t>Page</w:t>
            </w:r>
            <w:r>
              <w:rPr>
                <w:rFonts w:eastAsia="Times New Roman"/>
                <w:b/>
                <w:bCs/>
                <w:sz w:val="20"/>
                <w:szCs w:val="20"/>
              </w:rPr>
              <w:t> </w:t>
            </w:r>
            <w:r>
              <w:rPr>
                <w:rFonts w:eastAsia="Times New Roman"/>
                <w:b/>
                <w:bCs/>
                <w:sz w:val="20"/>
                <w:szCs w:val="20"/>
              </w:rPr>
              <w:t>No.</w:t>
            </w:r>
          </w:p>
        </w:tc>
      </w:tr>
      <w:tr w:rsidR="00000000">
        <w:trPr>
          <w:divId w:val="1088308932"/>
        </w:trPr>
        <w:tc>
          <w:tcPr>
            <w:tcW w:w="0" w:type="auto"/>
            <w:hideMark/>
          </w:tcPr>
          <w:p w:rsidR="00000000" w:rsidRDefault="00B46E81">
            <w:pPr>
              <w:rPr>
                <w:rFonts w:eastAsia="Times New Roman"/>
                <w:sz w:val="20"/>
                <w:szCs w:val="20"/>
              </w:rPr>
            </w:pPr>
            <w:r>
              <w:rPr>
                <w:rFonts w:eastAsia="Times New Roman"/>
                <w:sz w:val="20"/>
                <w:szCs w:val="20"/>
              </w:rPr>
              <w:t> </w:t>
            </w:r>
          </w:p>
        </w:tc>
        <w:tc>
          <w:tcPr>
            <w:tcW w:w="0" w:type="auto"/>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center"/>
              <w:rPr>
                <w:rFonts w:eastAsia="Times New Roman"/>
                <w:sz w:val="20"/>
                <w:szCs w:val="20"/>
              </w:rPr>
            </w:pPr>
            <w:r>
              <w:rPr>
                <w:rFonts w:eastAsia="Times New Roman"/>
                <w:sz w:val="20"/>
                <w:szCs w:val="20"/>
              </w:rPr>
              <w:t> </w:t>
            </w:r>
          </w:p>
        </w:tc>
      </w:tr>
      <w:tr w:rsidR="00000000">
        <w:trPr>
          <w:divId w:val="1088308932"/>
        </w:trPr>
        <w:tc>
          <w:tcPr>
            <w:tcW w:w="0" w:type="auto"/>
            <w:gridSpan w:val="2"/>
            <w:shd w:val="clear" w:color="auto" w:fill="CCEEFF"/>
            <w:hideMark/>
          </w:tcPr>
          <w:p w:rsidR="00000000" w:rsidRDefault="00B46E81">
            <w:pPr>
              <w:jc w:val="center"/>
              <w:rPr>
                <w:rFonts w:eastAsia="Times New Roman"/>
                <w:sz w:val="20"/>
                <w:szCs w:val="20"/>
              </w:rPr>
            </w:pPr>
            <w:hyperlink w:anchor="a_001" w:history="1">
              <w:r>
                <w:rPr>
                  <w:rStyle w:val="a4"/>
                  <w:rFonts w:eastAsia="Times New Roman"/>
                  <w:b/>
                  <w:bCs/>
                  <w:sz w:val="20"/>
                  <w:szCs w:val="20"/>
                </w:rPr>
                <w:t>PART I. - FINANCIAL INFORMATION</w:t>
              </w:r>
            </w:hyperlink>
          </w:p>
        </w:tc>
        <w:tc>
          <w:tcPr>
            <w:tcW w:w="0" w:type="auto"/>
            <w:shd w:val="clear" w:color="auto" w:fill="CCEEFF"/>
            <w:vAlign w:val="bottom"/>
            <w:hideMark/>
          </w:tcPr>
          <w:p w:rsidR="00000000" w:rsidRDefault="00B46E81">
            <w:pPr>
              <w:jc w:val="center"/>
              <w:rPr>
                <w:rFonts w:eastAsia="Times New Roman"/>
                <w:sz w:val="20"/>
                <w:szCs w:val="20"/>
              </w:rPr>
            </w:pPr>
            <w:r>
              <w:rPr>
                <w:rFonts w:eastAsia="Times New Roman"/>
                <w:sz w:val="20"/>
                <w:szCs w:val="20"/>
              </w:rPr>
              <w:t>1</w:t>
            </w:r>
          </w:p>
        </w:tc>
      </w:tr>
      <w:tr w:rsidR="00000000">
        <w:trPr>
          <w:divId w:val="1088308932"/>
        </w:trPr>
        <w:tc>
          <w:tcPr>
            <w:tcW w:w="0" w:type="auto"/>
            <w:gridSpan w:val="2"/>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cente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hideMark/>
          </w:tcPr>
          <w:p w:rsidR="00000000" w:rsidRDefault="00B46E81">
            <w:pPr>
              <w:rPr>
                <w:rFonts w:eastAsia="Times New Roman"/>
                <w:sz w:val="20"/>
                <w:szCs w:val="20"/>
              </w:rPr>
            </w:pPr>
            <w:r>
              <w:rPr>
                <w:rFonts w:eastAsia="Times New Roman"/>
                <w:sz w:val="20"/>
                <w:szCs w:val="20"/>
              </w:rPr>
              <w:t>Item 1.</w:t>
            </w:r>
          </w:p>
        </w:tc>
        <w:tc>
          <w:tcPr>
            <w:tcW w:w="0" w:type="auto"/>
            <w:shd w:val="clear" w:color="auto" w:fill="CCEEFF"/>
            <w:hideMark/>
          </w:tcPr>
          <w:p w:rsidR="00000000" w:rsidRDefault="00B46E81">
            <w:pPr>
              <w:rPr>
                <w:rFonts w:eastAsia="Times New Roman"/>
                <w:sz w:val="20"/>
                <w:szCs w:val="20"/>
              </w:rPr>
            </w:pPr>
            <w:hyperlink w:anchor="a_002" w:history="1">
              <w:r>
                <w:rPr>
                  <w:rStyle w:val="a4"/>
                  <w:rFonts w:eastAsia="Times New Roman"/>
                  <w:sz w:val="20"/>
                  <w:szCs w:val="20"/>
                </w:rPr>
                <w:t>Financial Statements.</w:t>
              </w:r>
            </w:hyperlink>
          </w:p>
        </w:tc>
        <w:tc>
          <w:tcPr>
            <w:tcW w:w="0" w:type="auto"/>
            <w:shd w:val="clear" w:color="auto" w:fill="CCEEFF"/>
            <w:vAlign w:val="bottom"/>
            <w:hideMark/>
          </w:tcPr>
          <w:p w:rsidR="00000000" w:rsidRDefault="00B46E81">
            <w:pPr>
              <w:jc w:val="center"/>
              <w:rPr>
                <w:rFonts w:eastAsia="Times New Roman"/>
                <w:sz w:val="20"/>
                <w:szCs w:val="20"/>
              </w:rPr>
            </w:pPr>
            <w:r>
              <w:rPr>
                <w:rFonts w:eastAsia="Times New Roman"/>
                <w:sz w:val="20"/>
                <w:szCs w:val="20"/>
              </w:rPr>
              <w:t>1</w:t>
            </w:r>
          </w:p>
        </w:tc>
      </w:tr>
      <w:tr w:rsidR="00000000">
        <w:trPr>
          <w:divId w:val="1088308932"/>
        </w:trPr>
        <w:tc>
          <w:tcPr>
            <w:tcW w:w="0" w:type="auto"/>
            <w:hideMark/>
          </w:tcPr>
          <w:p w:rsidR="00000000" w:rsidRDefault="00B46E81">
            <w:pPr>
              <w:rPr>
                <w:rFonts w:eastAsia="Times New Roman"/>
                <w:sz w:val="20"/>
                <w:szCs w:val="20"/>
              </w:rPr>
            </w:pPr>
            <w:r>
              <w:rPr>
                <w:rFonts w:eastAsia="Times New Roman"/>
                <w:sz w:val="20"/>
                <w:szCs w:val="20"/>
              </w:rPr>
              <w:t> </w:t>
            </w:r>
          </w:p>
        </w:tc>
        <w:tc>
          <w:tcPr>
            <w:tcW w:w="0" w:type="auto"/>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cente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hideMark/>
          </w:tcPr>
          <w:p w:rsidR="00000000" w:rsidRDefault="00B46E81">
            <w:pPr>
              <w:rPr>
                <w:rFonts w:eastAsia="Times New Roman"/>
                <w:sz w:val="20"/>
                <w:szCs w:val="20"/>
              </w:rPr>
            </w:pPr>
            <w:r>
              <w:rPr>
                <w:rFonts w:eastAsia="Times New Roman"/>
                <w:sz w:val="20"/>
                <w:szCs w:val="20"/>
              </w:rPr>
              <w:t>Item 2.</w:t>
            </w:r>
          </w:p>
        </w:tc>
        <w:tc>
          <w:tcPr>
            <w:tcW w:w="0" w:type="auto"/>
            <w:shd w:val="clear" w:color="auto" w:fill="CCEEFF"/>
            <w:hideMark/>
          </w:tcPr>
          <w:p w:rsidR="00000000" w:rsidRDefault="00B46E81">
            <w:pPr>
              <w:rPr>
                <w:rFonts w:eastAsia="Times New Roman"/>
                <w:sz w:val="20"/>
                <w:szCs w:val="20"/>
              </w:rPr>
            </w:pPr>
            <w:hyperlink w:anchor="a_008" w:history="1">
              <w:r>
                <w:rPr>
                  <w:rStyle w:val="a4"/>
                  <w:rFonts w:eastAsia="Times New Roman"/>
                  <w:sz w:val="20"/>
                  <w:szCs w:val="20"/>
                </w:rPr>
                <w:t>Management’s Discussion and Analysis of Financial Condition and Plan of Operations.</w:t>
              </w:r>
            </w:hyperlink>
          </w:p>
        </w:tc>
        <w:tc>
          <w:tcPr>
            <w:tcW w:w="0" w:type="auto"/>
            <w:shd w:val="clear" w:color="auto" w:fill="CCEEFF"/>
            <w:vAlign w:val="bottom"/>
            <w:hideMark/>
          </w:tcPr>
          <w:p w:rsidR="00000000" w:rsidRDefault="00B46E81">
            <w:pPr>
              <w:jc w:val="center"/>
              <w:rPr>
                <w:rFonts w:eastAsia="Times New Roman"/>
                <w:sz w:val="20"/>
                <w:szCs w:val="20"/>
              </w:rPr>
            </w:pPr>
            <w:r>
              <w:rPr>
                <w:rFonts w:eastAsia="Times New Roman"/>
                <w:sz w:val="20"/>
                <w:szCs w:val="20"/>
              </w:rPr>
              <w:t>15</w:t>
            </w:r>
          </w:p>
        </w:tc>
      </w:tr>
      <w:tr w:rsidR="00000000">
        <w:trPr>
          <w:divId w:val="1088308932"/>
        </w:trPr>
        <w:tc>
          <w:tcPr>
            <w:tcW w:w="0" w:type="auto"/>
            <w:hideMark/>
          </w:tcPr>
          <w:p w:rsidR="00000000" w:rsidRDefault="00B46E81">
            <w:pPr>
              <w:rPr>
                <w:rFonts w:eastAsia="Times New Roman"/>
                <w:sz w:val="20"/>
                <w:szCs w:val="20"/>
              </w:rPr>
            </w:pPr>
            <w:r>
              <w:rPr>
                <w:rFonts w:eastAsia="Times New Roman"/>
                <w:sz w:val="20"/>
                <w:szCs w:val="20"/>
              </w:rPr>
              <w:t> </w:t>
            </w:r>
          </w:p>
        </w:tc>
        <w:tc>
          <w:tcPr>
            <w:tcW w:w="0" w:type="auto"/>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cente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hideMark/>
          </w:tcPr>
          <w:p w:rsidR="00000000" w:rsidRDefault="00B46E81">
            <w:pPr>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B46E81">
            <w:pPr>
              <w:rPr>
                <w:rFonts w:eastAsia="Times New Roman"/>
                <w:sz w:val="20"/>
                <w:szCs w:val="20"/>
              </w:rPr>
            </w:pPr>
            <w:hyperlink w:anchor="a_009"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rsidR="00000000" w:rsidRDefault="00B46E81">
            <w:pPr>
              <w:jc w:val="center"/>
              <w:rPr>
                <w:rFonts w:eastAsia="Times New Roman"/>
                <w:sz w:val="20"/>
                <w:szCs w:val="20"/>
              </w:rPr>
            </w:pPr>
            <w:r>
              <w:rPr>
                <w:rFonts w:eastAsia="Times New Roman"/>
                <w:sz w:val="20"/>
                <w:szCs w:val="20"/>
              </w:rPr>
              <w:t>19</w:t>
            </w:r>
          </w:p>
        </w:tc>
      </w:tr>
      <w:tr w:rsidR="00000000">
        <w:trPr>
          <w:divId w:val="1088308932"/>
        </w:trPr>
        <w:tc>
          <w:tcPr>
            <w:tcW w:w="0" w:type="auto"/>
            <w:hideMark/>
          </w:tcPr>
          <w:p w:rsidR="00000000" w:rsidRDefault="00B46E81">
            <w:pPr>
              <w:rPr>
                <w:rFonts w:eastAsia="Times New Roman"/>
                <w:sz w:val="20"/>
                <w:szCs w:val="20"/>
              </w:rPr>
            </w:pPr>
            <w:r>
              <w:rPr>
                <w:rFonts w:eastAsia="Times New Roman"/>
                <w:sz w:val="20"/>
                <w:szCs w:val="20"/>
              </w:rPr>
              <w:t> </w:t>
            </w:r>
          </w:p>
        </w:tc>
        <w:tc>
          <w:tcPr>
            <w:tcW w:w="0" w:type="auto"/>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cente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hideMark/>
          </w:tcPr>
          <w:p w:rsidR="00000000" w:rsidRDefault="00B46E81">
            <w:pPr>
              <w:rPr>
                <w:rFonts w:eastAsia="Times New Roman"/>
                <w:sz w:val="20"/>
                <w:szCs w:val="20"/>
              </w:rPr>
            </w:pPr>
            <w:r>
              <w:rPr>
                <w:rFonts w:eastAsia="Times New Roman"/>
                <w:sz w:val="20"/>
                <w:szCs w:val="20"/>
              </w:rPr>
              <w:t>Item 4</w:t>
            </w:r>
          </w:p>
        </w:tc>
        <w:tc>
          <w:tcPr>
            <w:tcW w:w="0" w:type="auto"/>
            <w:shd w:val="clear" w:color="auto" w:fill="CCEEFF"/>
            <w:hideMark/>
          </w:tcPr>
          <w:p w:rsidR="00000000" w:rsidRDefault="00B46E81">
            <w:pPr>
              <w:rPr>
                <w:rFonts w:eastAsia="Times New Roman"/>
                <w:sz w:val="20"/>
                <w:szCs w:val="20"/>
              </w:rPr>
            </w:pPr>
            <w:hyperlink w:anchor="a_010" w:history="1">
              <w:r>
                <w:rPr>
                  <w:rStyle w:val="a4"/>
                  <w:rFonts w:eastAsia="Times New Roman"/>
                  <w:sz w:val="20"/>
                  <w:szCs w:val="20"/>
                </w:rPr>
                <w:t>Controls and Procedures.</w:t>
              </w:r>
            </w:hyperlink>
          </w:p>
        </w:tc>
        <w:tc>
          <w:tcPr>
            <w:tcW w:w="0" w:type="auto"/>
            <w:shd w:val="clear" w:color="auto" w:fill="CCEEFF"/>
            <w:vAlign w:val="bottom"/>
            <w:hideMark/>
          </w:tcPr>
          <w:p w:rsidR="00000000" w:rsidRDefault="00B46E81">
            <w:pPr>
              <w:jc w:val="center"/>
              <w:rPr>
                <w:rFonts w:eastAsia="Times New Roman"/>
                <w:sz w:val="20"/>
                <w:szCs w:val="20"/>
              </w:rPr>
            </w:pPr>
            <w:r>
              <w:rPr>
                <w:rFonts w:eastAsia="Times New Roman"/>
                <w:sz w:val="20"/>
                <w:szCs w:val="20"/>
              </w:rPr>
              <w:t>19</w:t>
            </w:r>
          </w:p>
        </w:tc>
      </w:tr>
      <w:tr w:rsidR="00000000">
        <w:trPr>
          <w:divId w:val="1088308932"/>
        </w:trPr>
        <w:tc>
          <w:tcPr>
            <w:tcW w:w="0" w:type="auto"/>
            <w:hideMark/>
          </w:tcPr>
          <w:p w:rsidR="00000000" w:rsidRDefault="00B46E81">
            <w:pPr>
              <w:rPr>
                <w:rFonts w:eastAsia="Times New Roman"/>
                <w:sz w:val="20"/>
                <w:szCs w:val="20"/>
              </w:rPr>
            </w:pPr>
            <w:r>
              <w:rPr>
                <w:rFonts w:eastAsia="Times New Roman"/>
                <w:sz w:val="20"/>
                <w:szCs w:val="20"/>
              </w:rPr>
              <w:t> </w:t>
            </w:r>
          </w:p>
        </w:tc>
        <w:tc>
          <w:tcPr>
            <w:tcW w:w="0" w:type="auto"/>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center"/>
              <w:rPr>
                <w:rFonts w:eastAsia="Times New Roman"/>
                <w:sz w:val="20"/>
                <w:szCs w:val="20"/>
              </w:rPr>
            </w:pPr>
            <w:r>
              <w:rPr>
                <w:rFonts w:eastAsia="Times New Roman"/>
                <w:sz w:val="20"/>
                <w:szCs w:val="20"/>
              </w:rPr>
              <w:t> </w:t>
            </w:r>
          </w:p>
        </w:tc>
      </w:tr>
      <w:tr w:rsidR="00000000">
        <w:trPr>
          <w:divId w:val="1088308932"/>
        </w:trPr>
        <w:tc>
          <w:tcPr>
            <w:tcW w:w="0" w:type="auto"/>
            <w:gridSpan w:val="2"/>
            <w:shd w:val="clear" w:color="auto" w:fill="CCEEFF"/>
            <w:hideMark/>
          </w:tcPr>
          <w:p w:rsidR="00000000" w:rsidRDefault="00B46E81">
            <w:pPr>
              <w:jc w:val="center"/>
              <w:rPr>
                <w:rFonts w:eastAsia="Times New Roman"/>
                <w:sz w:val="20"/>
                <w:szCs w:val="20"/>
              </w:rPr>
            </w:pPr>
            <w:hyperlink w:anchor="a_011" w:history="1">
              <w:r>
                <w:rPr>
                  <w:rStyle w:val="a4"/>
                  <w:rFonts w:eastAsia="Times New Roman"/>
                  <w:b/>
                  <w:bCs/>
                  <w:sz w:val="20"/>
                  <w:szCs w:val="20"/>
                </w:rPr>
                <w:t>PART II - OTHER INFORMATION</w:t>
              </w:r>
            </w:hyperlink>
          </w:p>
        </w:tc>
        <w:tc>
          <w:tcPr>
            <w:tcW w:w="0" w:type="auto"/>
            <w:shd w:val="clear" w:color="auto" w:fill="CCEEFF"/>
            <w:vAlign w:val="bottom"/>
            <w:hideMark/>
          </w:tcPr>
          <w:p w:rsidR="00000000" w:rsidRDefault="00B46E81">
            <w:pPr>
              <w:jc w:val="center"/>
              <w:rPr>
                <w:rFonts w:eastAsia="Times New Roman"/>
                <w:sz w:val="20"/>
                <w:szCs w:val="20"/>
              </w:rPr>
            </w:pPr>
            <w:r>
              <w:rPr>
                <w:rFonts w:eastAsia="Times New Roman"/>
                <w:sz w:val="20"/>
                <w:szCs w:val="20"/>
              </w:rPr>
              <w:t>20</w:t>
            </w:r>
          </w:p>
        </w:tc>
      </w:tr>
      <w:tr w:rsidR="00000000">
        <w:trPr>
          <w:divId w:val="1088308932"/>
        </w:trPr>
        <w:tc>
          <w:tcPr>
            <w:tcW w:w="0" w:type="auto"/>
            <w:gridSpan w:val="2"/>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cente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hideMark/>
          </w:tcPr>
          <w:p w:rsidR="00000000" w:rsidRDefault="00B46E81">
            <w:pPr>
              <w:rPr>
                <w:rFonts w:eastAsia="Times New Roman"/>
                <w:sz w:val="20"/>
                <w:szCs w:val="20"/>
              </w:rPr>
            </w:pPr>
            <w:r>
              <w:rPr>
                <w:rFonts w:eastAsia="Times New Roman"/>
                <w:sz w:val="20"/>
                <w:szCs w:val="20"/>
              </w:rPr>
              <w:t>Item 1.</w:t>
            </w:r>
          </w:p>
        </w:tc>
        <w:tc>
          <w:tcPr>
            <w:tcW w:w="0" w:type="auto"/>
            <w:shd w:val="clear" w:color="auto" w:fill="CCEEFF"/>
            <w:hideMark/>
          </w:tcPr>
          <w:p w:rsidR="00000000" w:rsidRDefault="00B46E81">
            <w:pPr>
              <w:rPr>
                <w:rFonts w:eastAsia="Times New Roman"/>
                <w:sz w:val="20"/>
                <w:szCs w:val="20"/>
              </w:rPr>
            </w:pPr>
            <w:hyperlink w:anchor="a_012" w:history="1">
              <w:r>
                <w:rPr>
                  <w:rStyle w:val="a4"/>
                  <w:rFonts w:eastAsia="Times New Roman"/>
                  <w:sz w:val="20"/>
                  <w:szCs w:val="20"/>
                </w:rPr>
                <w:t>Legal Proceedings.</w:t>
              </w:r>
            </w:hyperlink>
          </w:p>
        </w:tc>
        <w:tc>
          <w:tcPr>
            <w:tcW w:w="0" w:type="auto"/>
            <w:shd w:val="clear" w:color="auto" w:fill="CCEEFF"/>
            <w:vAlign w:val="bottom"/>
            <w:hideMark/>
          </w:tcPr>
          <w:p w:rsidR="00000000" w:rsidRDefault="00B46E81">
            <w:pPr>
              <w:jc w:val="center"/>
              <w:rPr>
                <w:rFonts w:eastAsia="Times New Roman"/>
                <w:sz w:val="20"/>
                <w:szCs w:val="20"/>
              </w:rPr>
            </w:pPr>
            <w:r>
              <w:rPr>
                <w:rFonts w:eastAsia="Times New Roman"/>
                <w:sz w:val="20"/>
                <w:szCs w:val="20"/>
              </w:rPr>
              <w:t>20</w:t>
            </w:r>
          </w:p>
        </w:tc>
      </w:tr>
      <w:tr w:rsidR="00000000">
        <w:trPr>
          <w:divId w:val="1088308932"/>
        </w:trPr>
        <w:tc>
          <w:tcPr>
            <w:tcW w:w="0" w:type="auto"/>
            <w:hideMark/>
          </w:tcPr>
          <w:p w:rsidR="00000000" w:rsidRDefault="00B46E81">
            <w:pPr>
              <w:rPr>
                <w:rFonts w:eastAsia="Times New Roman"/>
                <w:sz w:val="20"/>
                <w:szCs w:val="20"/>
              </w:rPr>
            </w:pPr>
            <w:r>
              <w:rPr>
                <w:rFonts w:eastAsia="Times New Roman"/>
                <w:sz w:val="20"/>
                <w:szCs w:val="20"/>
              </w:rPr>
              <w:t> </w:t>
            </w:r>
          </w:p>
        </w:tc>
        <w:tc>
          <w:tcPr>
            <w:tcW w:w="0" w:type="auto"/>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cente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hideMark/>
          </w:tcPr>
          <w:p w:rsidR="00000000" w:rsidRDefault="00B46E81">
            <w:pPr>
              <w:rPr>
                <w:rFonts w:eastAsia="Times New Roman"/>
                <w:sz w:val="20"/>
                <w:szCs w:val="20"/>
              </w:rPr>
            </w:pPr>
            <w:r>
              <w:rPr>
                <w:rFonts w:eastAsia="Times New Roman"/>
                <w:sz w:val="20"/>
                <w:szCs w:val="20"/>
              </w:rPr>
              <w:t>Item 1A.</w:t>
            </w:r>
          </w:p>
        </w:tc>
        <w:tc>
          <w:tcPr>
            <w:tcW w:w="0" w:type="auto"/>
            <w:shd w:val="clear" w:color="auto" w:fill="CCEEFF"/>
            <w:hideMark/>
          </w:tcPr>
          <w:p w:rsidR="00000000" w:rsidRDefault="00B46E81">
            <w:pPr>
              <w:rPr>
                <w:rFonts w:eastAsia="Times New Roman"/>
                <w:sz w:val="20"/>
                <w:szCs w:val="20"/>
              </w:rPr>
            </w:pPr>
            <w:hyperlink w:anchor="a_013" w:history="1">
              <w:r>
                <w:rPr>
                  <w:rStyle w:val="a4"/>
                  <w:rFonts w:eastAsia="Times New Roman"/>
                  <w:sz w:val="20"/>
                  <w:szCs w:val="20"/>
                </w:rPr>
                <w:t>Risk Factors.</w:t>
              </w:r>
            </w:hyperlink>
          </w:p>
        </w:tc>
        <w:tc>
          <w:tcPr>
            <w:tcW w:w="0" w:type="auto"/>
            <w:shd w:val="clear" w:color="auto" w:fill="CCEEFF"/>
            <w:vAlign w:val="bottom"/>
            <w:hideMark/>
          </w:tcPr>
          <w:p w:rsidR="00000000" w:rsidRDefault="00B46E81">
            <w:pPr>
              <w:jc w:val="center"/>
              <w:rPr>
                <w:rFonts w:eastAsia="Times New Roman"/>
                <w:sz w:val="20"/>
                <w:szCs w:val="20"/>
              </w:rPr>
            </w:pPr>
            <w:r>
              <w:rPr>
                <w:rFonts w:eastAsia="Times New Roman"/>
                <w:sz w:val="20"/>
                <w:szCs w:val="20"/>
              </w:rPr>
              <w:t>20</w:t>
            </w:r>
          </w:p>
        </w:tc>
      </w:tr>
      <w:tr w:rsidR="00000000">
        <w:trPr>
          <w:divId w:val="1088308932"/>
        </w:trPr>
        <w:tc>
          <w:tcPr>
            <w:tcW w:w="0" w:type="auto"/>
            <w:hideMark/>
          </w:tcPr>
          <w:p w:rsidR="00000000" w:rsidRDefault="00B46E81">
            <w:pPr>
              <w:rPr>
                <w:rFonts w:eastAsia="Times New Roman"/>
                <w:sz w:val="20"/>
                <w:szCs w:val="20"/>
              </w:rPr>
            </w:pPr>
            <w:r>
              <w:rPr>
                <w:rFonts w:eastAsia="Times New Roman"/>
                <w:sz w:val="20"/>
                <w:szCs w:val="20"/>
              </w:rPr>
              <w:t> </w:t>
            </w:r>
          </w:p>
        </w:tc>
        <w:tc>
          <w:tcPr>
            <w:tcW w:w="0" w:type="auto"/>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cente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hideMark/>
          </w:tcPr>
          <w:p w:rsidR="00000000" w:rsidRDefault="00B46E81">
            <w:pPr>
              <w:rPr>
                <w:rFonts w:eastAsia="Times New Roman"/>
                <w:sz w:val="20"/>
                <w:szCs w:val="20"/>
              </w:rPr>
            </w:pPr>
            <w:r>
              <w:rPr>
                <w:rFonts w:eastAsia="Times New Roman"/>
                <w:sz w:val="20"/>
                <w:szCs w:val="20"/>
              </w:rPr>
              <w:t>Item 2.</w:t>
            </w:r>
          </w:p>
        </w:tc>
        <w:tc>
          <w:tcPr>
            <w:tcW w:w="0" w:type="auto"/>
            <w:shd w:val="clear" w:color="auto" w:fill="CCEEFF"/>
            <w:hideMark/>
          </w:tcPr>
          <w:p w:rsidR="00000000" w:rsidRDefault="00B46E81">
            <w:pPr>
              <w:rPr>
                <w:rFonts w:eastAsia="Times New Roman"/>
                <w:sz w:val="20"/>
                <w:szCs w:val="20"/>
              </w:rPr>
            </w:pPr>
            <w:hyperlink w:anchor="a_014" w:history="1">
              <w:r>
                <w:rPr>
                  <w:rStyle w:val="a4"/>
                  <w:rFonts w:eastAsia="Times New Roman"/>
                  <w:sz w:val="20"/>
                  <w:szCs w:val="20"/>
                </w:rPr>
                <w:t>Unregistered Sales of Equity Securities and Use of Proceeds.</w:t>
              </w:r>
            </w:hyperlink>
          </w:p>
        </w:tc>
        <w:tc>
          <w:tcPr>
            <w:tcW w:w="0" w:type="auto"/>
            <w:shd w:val="clear" w:color="auto" w:fill="CCEEFF"/>
            <w:vAlign w:val="bottom"/>
            <w:hideMark/>
          </w:tcPr>
          <w:p w:rsidR="00000000" w:rsidRDefault="00B46E81">
            <w:pPr>
              <w:jc w:val="center"/>
              <w:rPr>
                <w:rFonts w:eastAsia="Times New Roman"/>
                <w:sz w:val="20"/>
                <w:szCs w:val="20"/>
              </w:rPr>
            </w:pPr>
            <w:r>
              <w:rPr>
                <w:rFonts w:eastAsia="Times New Roman"/>
                <w:sz w:val="20"/>
                <w:szCs w:val="20"/>
              </w:rPr>
              <w:t>20</w:t>
            </w:r>
          </w:p>
        </w:tc>
      </w:tr>
      <w:tr w:rsidR="00000000">
        <w:trPr>
          <w:divId w:val="1088308932"/>
        </w:trPr>
        <w:tc>
          <w:tcPr>
            <w:tcW w:w="0" w:type="auto"/>
            <w:hideMark/>
          </w:tcPr>
          <w:p w:rsidR="00000000" w:rsidRDefault="00B46E81">
            <w:pPr>
              <w:rPr>
                <w:rFonts w:eastAsia="Times New Roman"/>
                <w:sz w:val="20"/>
                <w:szCs w:val="20"/>
              </w:rPr>
            </w:pPr>
            <w:r>
              <w:rPr>
                <w:rFonts w:eastAsia="Times New Roman"/>
                <w:sz w:val="20"/>
                <w:szCs w:val="20"/>
              </w:rPr>
              <w:t> </w:t>
            </w:r>
          </w:p>
        </w:tc>
        <w:tc>
          <w:tcPr>
            <w:tcW w:w="0" w:type="auto"/>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cente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hideMark/>
          </w:tcPr>
          <w:p w:rsidR="00000000" w:rsidRDefault="00B46E81">
            <w:pPr>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B46E81">
            <w:pPr>
              <w:rPr>
                <w:rFonts w:eastAsia="Times New Roman"/>
                <w:sz w:val="20"/>
                <w:szCs w:val="20"/>
              </w:rPr>
            </w:pPr>
            <w:hyperlink w:anchor="a_015" w:history="1">
              <w:r>
                <w:rPr>
                  <w:rStyle w:val="a4"/>
                  <w:rFonts w:eastAsia="Times New Roman"/>
                  <w:sz w:val="20"/>
                  <w:szCs w:val="20"/>
                </w:rPr>
                <w:t>Defaults Upon Senior Securities.</w:t>
              </w:r>
            </w:hyperlink>
          </w:p>
        </w:tc>
        <w:tc>
          <w:tcPr>
            <w:tcW w:w="0" w:type="auto"/>
            <w:shd w:val="clear" w:color="auto" w:fill="CCEEFF"/>
            <w:vAlign w:val="bottom"/>
            <w:hideMark/>
          </w:tcPr>
          <w:p w:rsidR="00000000" w:rsidRDefault="00B46E81">
            <w:pPr>
              <w:jc w:val="center"/>
              <w:rPr>
                <w:rFonts w:eastAsia="Times New Roman"/>
                <w:sz w:val="20"/>
                <w:szCs w:val="20"/>
              </w:rPr>
            </w:pPr>
            <w:r>
              <w:rPr>
                <w:rFonts w:eastAsia="Times New Roman"/>
                <w:sz w:val="20"/>
                <w:szCs w:val="20"/>
              </w:rPr>
              <w:t>20</w:t>
            </w:r>
          </w:p>
        </w:tc>
      </w:tr>
      <w:tr w:rsidR="00000000">
        <w:trPr>
          <w:divId w:val="1088308932"/>
        </w:trPr>
        <w:tc>
          <w:tcPr>
            <w:tcW w:w="0" w:type="auto"/>
            <w:hideMark/>
          </w:tcPr>
          <w:p w:rsidR="00000000" w:rsidRDefault="00B46E81">
            <w:pPr>
              <w:rPr>
                <w:rFonts w:eastAsia="Times New Roman"/>
                <w:sz w:val="20"/>
                <w:szCs w:val="20"/>
              </w:rPr>
            </w:pPr>
            <w:r>
              <w:rPr>
                <w:rFonts w:eastAsia="Times New Roman"/>
                <w:sz w:val="20"/>
                <w:szCs w:val="20"/>
              </w:rPr>
              <w:t> </w:t>
            </w:r>
          </w:p>
        </w:tc>
        <w:tc>
          <w:tcPr>
            <w:tcW w:w="0" w:type="auto"/>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cente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hideMark/>
          </w:tcPr>
          <w:p w:rsidR="00000000" w:rsidRDefault="00B46E81">
            <w:pPr>
              <w:rPr>
                <w:rFonts w:eastAsia="Times New Roman"/>
                <w:sz w:val="20"/>
                <w:szCs w:val="20"/>
              </w:rPr>
            </w:pPr>
            <w:r>
              <w:rPr>
                <w:rFonts w:eastAsia="Times New Roman"/>
                <w:sz w:val="20"/>
                <w:szCs w:val="20"/>
              </w:rPr>
              <w:t>Item 4.</w:t>
            </w:r>
          </w:p>
        </w:tc>
        <w:tc>
          <w:tcPr>
            <w:tcW w:w="0" w:type="auto"/>
            <w:shd w:val="clear" w:color="auto" w:fill="CCEEFF"/>
            <w:hideMark/>
          </w:tcPr>
          <w:p w:rsidR="00000000" w:rsidRDefault="00B46E81">
            <w:pPr>
              <w:rPr>
                <w:rFonts w:eastAsia="Times New Roman"/>
                <w:sz w:val="20"/>
                <w:szCs w:val="20"/>
              </w:rPr>
            </w:pPr>
            <w:hyperlink w:anchor="a_016" w:history="1">
              <w:r>
                <w:rPr>
                  <w:rStyle w:val="a4"/>
                  <w:rFonts w:eastAsia="Times New Roman"/>
                  <w:sz w:val="20"/>
                  <w:szCs w:val="20"/>
                </w:rPr>
                <w:t>Mine Safety Disclosures</w:t>
              </w:r>
            </w:hyperlink>
          </w:p>
        </w:tc>
        <w:tc>
          <w:tcPr>
            <w:tcW w:w="0" w:type="auto"/>
            <w:shd w:val="clear" w:color="auto" w:fill="CCEEFF"/>
            <w:vAlign w:val="bottom"/>
            <w:hideMark/>
          </w:tcPr>
          <w:p w:rsidR="00000000" w:rsidRDefault="00B46E81">
            <w:pPr>
              <w:jc w:val="center"/>
              <w:rPr>
                <w:rFonts w:eastAsia="Times New Roman"/>
                <w:sz w:val="20"/>
                <w:szCs w:val="20"/>
              </w:rPr>
            </w:pPr>
            <w:r>
              <w:rPr>
                <w:rFonts w:eastAsia="Times New Roman"/>
                <w:sz w:val="20"/>
                <w:szCs w:val="20"/>
              </w:rPr>
              <w:t>20</w:t>
            </w:r>
          </w:p>
        </w:tc>
      </w:tr>
      <w:tr w:rsidR="00000000">
        <w:trPr>
          <w:divId w:val="1088308932"/>
        </w:trPr>
        <w:tc>
          <w:tcPr>
            <w:tcW w:w="0" w:type="auto"/>
            <w:hideMark/>
          </w:tcPr>
          <w:p w:rsidR="00000000" w:rsidRDefault="00B46E81">
            <w:pPr>
              <w:rPr>
                <w:rFonts w:eastAsia="Times New Roman"/>
                <w:sz w:val="20"/>
                <w:szCs w:val="20"/>
              </w:rPr>
            </w:pPr>
            <w:r>
              <w:rPr>
                <w:rFonts w:eastAsia="Times New Roman"/>
                <w:sz w:val="20"/>
                <w:szCs w:val="20"/>
              </w:rPr>
              <w:t> </w:t>
            </w:r>
          </w:p>
        </w:tc>
        <w:tc>
          <w:tcPr>
            <w:tcW w:w="0" w:type="auto"/>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cente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hideMark/>
          </w:tcPr>
          <w:p w:rsidR="00000000" w:rsidRDefault="00B46E81">
            <w:pPr>
              <w:rPr>
                <w:rFonts w:eastAsia="Times New Roman"/>
                <w:sz w:val="20"/>
                <w:szCs w:val="20"/>
              </w:rPr>
            </w:pPr>
            <w:r>
              <w:rPr>
                <w:rFonts w:eastAsia="Times New Roman"/>
                <w:sz w:val="20"/>
                <w:szCs w:val="20"/>
              </w:rPr>
              <w:t>Item 5.</w:t>
            </w:r>
          </w:p>
        </w:tc>
        <w:tc>
          <w:tcPr>
            <w:tcW w:w="0" w:type="auto"/>
            <w:shd w:val="clear" w:color="auto" w:fill="CCEEFF"/>
            <w:hideMark/>
          </w:tcPr>
          <w:p w:rsidR="00000000" w:rsidRDefault="00B46E81">
            <w:pPr>
              <w:rPr>
                <w:rFonts w:eastAsia="Times New Roman"/>
                <w:sz w:val="20"/>
                <w:szCs w:val="20"/>
              </w:rPr>
            </w:pPr>
            <w:hyperlink w:anchor="a_017" w:history="1">
              <w:r>
                <w:rPr>
                  <w:rStyle w:val="a4"/>
                  <w:rFonts w:eastAsia="Times New Roman"/>
                  <w:sz w:val="20"/>
                  <w:szCs w:val="20"/>
                </w:rPr>
                <w:t>Other Information.</w:t>
              </w:r>
            </w:hyperlink>
          </w:p>
        </w:tc>
        <w:tc>
          <w:tcPr>
            <w:tcW w:w="0" w:type="auto"/>
            <w:shd w:val="clear" w:color="auto" w:fill="CCEEFF"/>
            <w:vAlign w:val="bottom"/>
            <w:hideMark/>
          </w:tcPr>
          <w:p w:rsidR="00000000" w:rsidRDefault="00B46E81">
            <w:pPr>
              <w:jc w:val="center"/>
              <w:rPr>
                <w:rFonts w:eastAsia="Times New Roman"/>
                <w:sz w:val="20"/>
                <w:szCs w:val="20"/>
              </w:rPr>
            </w:pPr>
            <w:r>
              <w:rPr>
                <w:rFonts w:eastAsia="Times New Roman"/>
                <w:sz w:val="20"/>
                <w:szCs w:val="20"/>
              </w:rPr>
              <w:t>20</w:t>
            </w:r>
          </w:p>
        </w:tc>
      </w:tr>
      <w:tr w:rsidR="00000000">
        <w:trPr>
          <w:divId w:val="1088308932"/>
        </w:trPr>
        <w:tc>
          <w:tcPr>
            <w:tcW w:w="0" w:type="auto"/>
            <w:hideMark/>
          </w:tcPr>
          <w:p w:rsidR="00000000" w:rsidRDefault="00B46E81">
            <w:pPr>
              <w:rPr>
                <w:rFonts w:eastAsia="Times New Roman"/>
                <w:sz w:val="20"/>
                <w:szCs w:val="20"/>
              </w:rPr>
            </w:pPr>
            <w:r>
              <w:rPr>
                <w:rFonts w:eastAsia="Times New Roman"/>
                <w:sz w:val="20"/>
                <w:szCs w:val="20"/>
              </w:rPr>
              <w:t> </w:t>
            </w:r>
          </w:p>
        </w:tc>
        <w:tc>
          <w:tcPr>
            <w:tcW w:w="0" w:type="auto"/>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cente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hideMark/>
          </w:tcPr>
          <w:p w:rsidR="00000000" w:rsidRDefault="00B46E81">
            <w:pPr>
              <w:rPr>
                <w:rFonts w:eastAsia="Times New Roman"/>
                <w:sz w:val="20"/>
                <w:szCs w:val="20"/>
              </w:rPr>
            </w:pPr>
            <w:r>
              <w:rPr>
                <w:rFonts w:eastAsia="Times New Roman"/>
                <w:sz w:val="20"/>
                <w:szCs w:val="20"/>
              </w:rPr>
              <w:t>Item 6.</w:t>
            </w:r>
          </w:p>
        </w:tc>
        <w:tc>
          <w:tcPr>
            <w:tcW w:w="0" w:type="auto"/>
            <w:shd w:val="clear" w:color="auto" w:fill="CCEEFF"/>
            <w:hideMark/>
          </w:tcPr>
          <w:p w:rsidR="00000000" w:rsidRDefault="00B46E81">
            <w:pPr>
              <w:rPr>
                <w:rFonts w:eastAsia="Times New Roman"/>
                <w:sz w:val="20"/>
                <w:szCs w:val="20"/>
              </w:rPr>
            </w:pPr>
            <w:hyperlink w:anchor="a_018" w:history="1">
              <w:r>
                <w:rPr>
                  <w:rStyle w:val="a4"/>
                  <w:rFonts w:eastAsia="Times New Roman"/>
                  <w:sz w:val="20"/>
                  <w:szCs w:val="20"/>
                </w:rPr>
                <w:t>Exhibits.</w:t>
              </w:r>
            </w:hyperlink>
          </w:p>
        </w:tc>
        <w:tc>
          <w:tcPr>
            <w:tcW w:w="0" w:type="auto"/>
            <w:shd w:val="clear" w:color="auto" w:fill="CCEEFF"/>
            <w:vAlign w:val="bottom"/>
            <w:hideMark/>
          </w:tcPr>
          <w:p w:rsidR="00000000" w:rsidRDefault="00B46E81">
            <w:pPr>
              <w:jc w:val="center"/>
              <w:rPr>
                <w:rFonts w:eastAsia="Times New Roman"/>
                <w:sz w:val="20"/>
                <w:szCs w:val="20"/>
              </w:rPr>
            </w:pPr>
            <w:r>
              <w:rPr>
                <w:rFonts w:eastAsia="Times New Roman"/>
                <w:sz w:val="20"/>
                <w:szCs w:val="20"/>
              </w:rPr>
              <w:t>21</w:t>
            </w:r>
          </w:p>
        </w:tc>
      </w:tr>
      <w:tr w:rsidR="00000000">
        <w:trPr>
          <w:divId w:val="1088308932"/>
        </w:trPr>
        <w:tc>
          <w:tcPr>
            <w:tcW w:w="0" w:type="auto"/>
            <w:hideMark/>
          </w:tcPr>
          <w:p w:rsidR="00000000" w:rsidRDefault="00B46E81">
            <w:pPr>
              <w:rPr>
                <w:rFonts w:eastAsia="Times New Roman"/>
                <w:sz w:val="20"/>
                <w:szCs w:val="20"/>
              </w:rPr>
            </w:pPr>
            <w:r>
              <w:rPr>
                <w:rFonts w:eastAsia="Times New Roman"/>
                <w:sz w:val="20"/>
                <w:szCs w:val="20"/>
              </w:rPr>
              <w:t> </w:t>
            </w:r>
          </w:p>
        </w:tc>
        <w:tc>
          <w:tcPr>
            <w:tcW w:w="0" w:type="auto"/>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center"/>
              <w:rPr>
                <w:rFonts w:eastAsia="Times New Roman"/>
                <w:sz w:val="20"/>
                <w:szCs w:val="20"/>
              </w:rPr>
            </w:pPr>
            <w:r>
              <w:rPr>
                <w:rFonts w:eastAsia="Times New Roman"/>
                <w:sz w:val="20"/>
                <w:szCs w:val="20"/>
              </w:rPr>
              <w:t> </w:t>
            </w:r>
          </w:p>
        </w:tc>
      </w:tr>
      <w:tr w:rsidR="00000000">
        <w:trPr>
          <w:divId w:val="1088308932"/>
        </w:trPr>
        <w:tc>
          <w:tcPr>
            <w:tcW w:w="0" w:type="auto"/>
            <w:gridSpan w:val="2"/>
            <w:shd w:val="clear" w:color="auto" w:fill="CCEEFF"/>
            <w:hideMark/>
          </w:tcPr>
          <w:p w:rsidR="00000000" w:rsidRDefault="00B46E81">
            <w:pPr>
              <w:rPr>
                <w:rFonts w:eastAsia="Times New Roman"/>
                <w:sz w:val="20"/>
                <w:szCs w:val="20"/>
              </w:rPr>
            </w:pPr>
            <w:hyperlink w:anchor="a_019" w:history="1">
              <w:r>
                <w:rPr>
                  <w:rStyle w:val="a4"/>
                  <w:rFonts w:eastAsia="Times New Roman"/>
                  <w:sz w:val="20"/>
                  <w:szCs w:val="20"/>
                </w:rPr>
                <w:t>Signatures</w:t>
              </w:r>
            </w:hyperlink>
          </w:p>
        </w:tc>
        <w:tc>
          <w:tcPr>
            <w:tcW w:w="0" w:type="auto"/>
            <w:shd w:val="clear" w:color="auto" w:fill="CCEEFF"/>
            <w:vAlign w:val="bottom"/>
            <w:hideMark/>
          </w:tcPr>
          <w:p w:rsidR="00000000" w:rsidRDefault="00B46E81">
            <w:pPr>
              <w:jc w:val="center"/>
              <w:rPr>
                <w:rFonts w:eastAsia="Times New Roman"/>
                <w:sz w:val="20"/>
                <w:szCs w:val="20"/>
              </w:rPr>
            </w:pPr>
            <w:r>
              <w:rPr>
                <w:rFonts w:eastAsia="Times New Roman"/>
                <w:sz w:val="20"/>
                <w:szCs w:val="20"/>
              </w:rPr>
              <w:t>22</w:t>
            </w:r>
          </w:p>
        </w:tc>
      </w:tr>
    </w:tbl>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center"/>
        <w:divId w:val="220098397"/>
        <w:rPr>
          <w:sz w:val="20"/>
          <w:szCs w:val="20"/>
        </w:rPr>
      </w:pPr>
      <w:r>
        <w:rPr>
          <w:sz w:val="20"/>
          <w:szCs w:val="20"/>
        </w:rPr>
        <w:t>i</w:t>
      </w:r>
    </w:p>
    <w:p w:rsidR="00000000" w:rsidRDefault="00B46E81">
      <w:pPr>
        <w:pStyle w:val="a3"/>
        <w:spacing w:before="0" w:beforeAutospacing="0" w:after="0" w:afterAutospacing="0"/>
        <w:divId w:val="1838302621"/>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center"/>
        <w:divId w:val="1088308932"/>
        <w:rPr>
          <w:sz w:val="20"/>
          <w:szCs w:val="20"/>
        </w:rPr>
      </w:pPr>
      <w:r>
        <w:rPr>
          <w:b/>
          <w:bCs/>
          <w:sz w:val="20"/>
          <w:szCs w:val="20"/>
        </w:rPr>
        <w:t>PART I - FINANCIAL INFORMATION</w:t>
      </w:r>
    </w:p>
    <w:p w:rsidR="00000000" w:rsidRDefault="00B46E81">
      <w:pPr>
        <w:pStyle w:val="a3"/>
        <w:spacing w:before="0" w:beforeAutospacing="0" w:after="0" w:afterAutospacing="0"/>
        <w:jc w:val="center"/>
        <w:divId w:val="1088308932"/>
        <w:rPr>
          <w:sz w:val="20"/>
          <w:szCs w:val="20"/>
        </w:rPr>
      </w:pPr>
      <w:r>
        <w:rPr>
          <w:b/>
          <w:bCs/>
          <w:sz w:val="20"/>
          <w:szCs w:val="20"/>
        </w:rPr>
        <w:t> </w:t>
      </w:r>
    </w:p>
    <w:p w:rsidR="00000000" w:rsidRDefault="00B46E81">
      <w:pPr>
        <w:pStyle w:val="a3"/>
        <w:spacing w:before="0" w:beforeAutospacing="0" w:after="0" w:afterAutospacing="0"/>
        <w:divId w:val="1088308932"/>
        <w:rPr>
          <w:sz w:val="20"/>
          <w:szCs w:val="20"/>
        </w:rPr>
      </w:pPr>
      <w:r>
        <w:rPr>
          <w:b/>
          <w:bCs/>
          <w:sz w:val="20"/>
          <w:szCs w:val="20"/>
        </w:rPr>
        <w:lastRenderedPageBreak/>
        <w:t>ITEM 1. FINANCIAL STATEMENTS</w:t>
      </w:r>
    </w:p>
    <w:p w:rsidR="00000000" w:rsidRDefault="00B46E81">
      <w:pPr>
        <w:pStyle w:val="a3"/>
        <w:spacing w:before="0" w:beforeAutospacing="0" w:after="0" w:afterAutospacing="0"/>
        <w:jc w:val="center"/>
        <w:divId w:val="1088308932"/>
        <w:rPr>
          <w:sz w:val="20"/>
          <w:szCs w:val="20"/>
        </w:rPr>
      </w:pPr>
      <w:r>
        <w:rPr>
          <w:b/>
          <w:bCs/>
          <w:sz w:val="20"/>
          <w:szCs w:val="20"/>
        </w:rPr>
        <w:t> </w:t>
      </w:r>
    </w:p>
    <w:p w:rsidR="00000000" w:rsidRDefault="00B46E81">
      <w:pPr>
        <w:pStyle w:val="a3"/>
        <w:spacing w:before="0" w:beforeAutospacing="0" w:after="0" w:afterAutospacing="0"/>
        <w:jc w:val="center"/>
        <w:divId w:val="1088308932"/>
        <w:rPr>
          <w:sz w:val="20"/>
          <w:szCs w:val="20"/>
        </w:rPr>
      </w:pPr>
      <w:r>
        <w:rPr>
          <w:b/>
          <w:bCs/>
          <w:sz w:val="20"/>
          <w:szCs w:val="20"/>
        </w:rPr>
        <w:t xml:space="preserve">REMSLEEP HOLDINGS, INC. </w:t>
      </w:r>
    </w:p>
    <w:p w:rsidR="00000000" w:rsidRDefault="00B46E81">
      <w:pPr>
        <w:pStyle w:val="a3"/>
        <w:spacing w:before="0" w:beforeAutospacing="0" w:after="0" w:afterAutospacing="0"/>
        <w:jc w:val="center"/>
        <w:divId w:val="1088308932"/>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475"/>
        <w:gridCol w:w="83"/>
        <w:gridCol w:w="748"/>
      </w:tblGrid>
      <w:tr w:rsidR="00000000">
        <w:trPr>
          <w:divId w:val="1088308932"/>
        </w:trPr>
        <w:tc>
          <w:tcPr>
            <w:tcW w:w="4500" w:type="pct"/>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hyperlink w:anchor="a_003" w:history="1">
              <w:r>
                <w:rPr>
                  <w:rStyle w:val="a4"/>
                  <w:rFonts w:eastAsia="Times New Roman"/>
                  <w:sz w:val="20"/>
                  <w:szCs w:val="20"/>
                </w:rPr>
                <w:t>Condensed Balance Sheets as of September 30, 2022 (unaudited) and December 31, 2021</w:t>
              </w:r>
            </w:hyperlink>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46E81">
            <w:pPr>
              <w:jc w:val="center"/>
              <w:rPr>
                <w:rFonts w:eastAsia="Times New Roman"/>
                <w:sz w:val="20"/>
                <w:szCs w:val="20"/>
              </w:rPr>
            </w:pPr>
            <w:r>
              <w:rPr>
                <w:rFonts w:eastAsia="Times New Roman"/>
                <w:sz w:val="20"/>
                <w:szCs w:val="20"/>
              </w:rPr>
              <w:t>2</w:t>
            </w:r>
          </w:p>
        </w:tc>
      </w:tr>
      <w:tr w:rsidR="00000000">
        <w:trPr>
          <w:divId w:val="1088308932"/>
        </w:trPr>
        <w:tc>
          <w:tcPr>
            <w:tcW w:w="0" w:type="auto"/>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cente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hyperlink w:anchor="a_004" w:history="1">
              <w:r>
                <w:rPr>
                  <w:rStyle w:val="a4"/>
                  <w:rFonts w:eastAsia="Times New Roman"/>
                  <w:sz w:val="20"/>
                  <w:szCs w:val="20"/>
                </w:rPr>
                <w:t>Condensed Statements of Operations for the Three and Nine Months Ended September 30, 2022 and 2021 (unaudited)</w:t>
              </w:r>
            </w:hyperlink>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center"/>
              <w:rPr>
                <w:rFonts w:eastAsia="Times New Roman"/>
                <w:sz w:val="20"/>
                <w:szCs w:val="20"/>
              </w:rPr>
            </w:pPr>
            <w:r>
              <w:rPr>
                <w:rFonts w:eastAsia="Times New Roman"/>
                <w:sz w:val="20"/>
                <w:szCs w:val="20"/>
              </w:rPr>
              <w:t>3</w:t>
            </w:r>
          </w:p>
        </w:tc>
      </w:tr>
      <w:tr w:rsidR="00000000">
        <w:trPr>
          <w:divId w:val="1088308932"/>
        </w:trPr>
        <w:tc>
          <w:tcPr>
            <w:tcW w:w="0" w:type="auto"/>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cente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hyperlink w:anchor="a_005" w:history="1">
              <w:r>
                <w:rPr>
                  <w:rStyle w:val="a4"/>
                  <w:rFonts w:eastAsia="Times New Roman"/>
                  <w:sz w:val="20"/>
                  <w:szCs w:val="20"/>
                </w:rPr>
                <w:t xml:space="preserve">Condensed Statements of Stockholders’ Equity (Deficit) for the Three and Nine Months Ended September 30, </w:t>
              </w:r>
              <w:r>
                <w:rPr>
                  <w:rStyle w:val="a4"/>
                  <w:rFonts w:eastAsia="Times New Roman"/>
                  <w:sz w:val="20"/>
                  <w:szCs w:val="20"/>
                </w:rPr>
                <w:t>2022 and 2021 (unaudited)</w:t>
              </w:r>
            </w:hyperlink>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center"/>
              <w:rPr>
                <w:rFonts w:eastAsia="Times New Roman"/>
                <w:sz w:val="20"/>
                <w:szCs w:val="20"/>
              </w:rPr>
            </w:pPr>
            <w:r>
              <w:rPr>
                <w:rFonts w:eastAsia="Times New Roman"/>
                <w:sz w:val="20"/>
                <w:szCs w:val="20"/>
              </w:rPr>
              <w:t>4</w:t>
            </w:r>
          </w:p>
        </w:tc>
      </w:tr>
      <w:tr w:rsidR="00000000">
        <w:trPr>
          <w:divId w:val="1088308932"/>
        </w:trPr>
        <w:tc>
          <w:tcPr>
            <w:tcW w:w="0" w:type="auto"/>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cente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hyperlink w:anchor="a_006" w:history="1">
              <w:r>
                <w:rPr>
                  <w:rStyle w:val="a4"/>
                  <w:rFonts w:eastAsia="Times New Roman"/>
                  <w:sz w:val="20"/>
                  <w:szCs w:val="20"/>
                </w:rPr>
                <w:t>Condensed Statements of Cash Flows for the Nine Months Ended September 30, 2022 and 2021 (unaudited)</w:t>
              </w:r>
            </w:hyperlink>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center"/>
              <w:rPr>
                <w:rFonts w:eastAsia="Times New Roman"/>
                <w:sz w:val="20"/>
                <w:szCs w:val="20"/>
              </w:rPr>
            </w:pPr>
            <w:r>
              <w:rPr>
                <w:rFonts w:eastAsia="Times New Roman"/>
                <w:sz w:val="20"/>
                <w:szCs w:val="20"/>
              </w:rPr>
              <w:t>5</w:t>
            </w:r>
          </w:p>
        </w:tc>
      </w:tr>
      <w:tr w:rsidR="00000000">
        <w:trPr>
          <w:divId w:val="1088308932"/>
        </w:trPr>
        <w:tc>
          <w:tcPr>
            <w:tcW w:w="0" w:type="auto"/>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cente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hyperlink w:anchor="a_007" w:history="1">
              <w:r>
                <w:rPr>
                  <w:rStyle w:val="a4"/>
                  <w:rFonts w:eastAsia="Times New Roman"/>
                  <w:sz w:val="20"/>
                  <w:szCs w:val="20"/>
                </w:rPr>
                <w:t>Notes to the Condensed Financial Statements (unaudited)</w:t>
              </w:r>
            </w:hyperlink>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center"/>
              <w:rPr>
                <w:rFonts w:eastAsia="Times New Roman"/>
                <w:sz w:val="20"/>
                <w:szCs w:val="20"/>
              </w:rPr>
            </w:pPr>
            <w:r>
              <w:rPr>
                <w:rFonts w:eastAsia="Times New Roman"/>
                <w:sz w:val="20"/>
                <w:szCs w:val="20"/>
              </w:rPr>
              <w:t>6</w:t>
            </w:r>
          </w:p>
        </w:tc>
      </w:tr>
    </w:tbl>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center"/>
        <w:divId w:val="1351950332"/>
        <w:rPr>
          <w:sz w:val="20"/>
          <w:szCs w:val="20"/>
        </w:rPr>
      </w:pPr>
      <w:r>
        <w:rPr>
          <w:sz w:val="20"/>
          <w:szCs w:val="20"/>
        </w:rPr>
        <w:t>1</w:t>
      </w:r>
    </w:p>
    <w:p w:rsidR="00000000" w:rsidRDefault="00B46E81">
      <w:pPr>
        <w:pStyle w:val="a3"/>
        <w:spacing w:before="0" w:beforeAutospacing="0" w:after="0" w:afterAutospacing="0"/>
        <w:divId w:val="121920533"/>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pBdr>
          <w:bottom w:val="single" w:sz="12" w:space="0" w:color="000000"/>
        </w:pBdr>
        <w:spacing w:before="0" w:beforeAutospacing="0" w:after="0" w:afterAutospacing="0"/>
        <w:jc w:val="center"/>
        <w:divId w:val="1088308932"/>
        <w:rPr>
          <w:sz w:val="20"/>
          <w:szCs w:val="20"/>
        </w:rPr>
      </w:pPr>
      <w:r>
        <w:rPr>
          <w:b/>
          <w:bCs/>
          <w:sz w:val="20"/>
          <w:szCs w:val="20"/>
        </w:rPr>
        <w:t>REMSLEEP HOLDINGS, INC.</w:t>
      </w:r>
      <w:r>
        <w:rPr>
          <w:b/>
          <w:bCs/>
          <w:sz w:val="20"/>
          <w:szCs w:val="20"/>
        </w:rPr>
        <w:br/>
        <w:t>CONDENSED BALANCE SHEE</w:t>
      </w:r>
      <w:r>
        <w:rPr>
          <w:b/>
          <w:bCs/>
          <w:sz w:val="20"/>
          <w:szCs w:val="20"/>
        </w:rPr>
        <w:t>TS</w:t>
      </w:r>
    </w:p>
    <w:p w:rsidR="00000000" w:rsidRDefault="00B46E81">
      <w:pPr>
        <w:pStyle w:val="a3"/>
        <w:spacing w:before="0" w:beforeAutospacing="0" w:after="0" w:afterAutospacing="0"/>
        <w:jc w:val="center"/>
        <w:divId w:val="10883089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794"/>
        <w:gridCol w:w="50"/>
        <w:gridCol w:w="116"/>
        <w:gridCol w:w="1040"/>
        <w:gridCol w:w="67"/>
        <w:gridCol w:w="50"/>
        <w:gridCol w:w="113"/>
        <w:gridCol w:w="1009"/>
        <w:gridCol w:w="67"/>
      </w:tblGrid>
      <w:tr w:rsidR="00000000">
        <w:trPr>
          <w:divId w:val="1088308932"/>
        </w:trPr>
        <w:tc>
          <w:tcPr>
            <w:tcW w:w="0" w:type="auto"/>
            <w:vAlign w:val="bottom"/>
            <w:hideMark/>
          </w:tcPr>
          <w:p w:rsidR="00000000" w:rsidRDefault="00B46E8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46E81">
            <w:pPr>
              <w:jc w:val="center"/>
              <w:rPr>
                <w:rFonts w:eastAsia="Times New Roman"/>
                <w:sz w:val="20"/>
                <w:szCs w:val="20"/>
              </w:rPr>
            </w:pPr>
            <w:r>
              <w:rPr>
                <w:rFonts w:eastAsia="Times New Roman"/>
                <w:sz w:val="20"/>
                <w:szCs w:val="20"/>
              </w:rPr>
              <w:t xml:space="preserve">September 30, </w:t>
            </w:r>
            <w:r>
              <w:rPr>
                <w:rFonts w:eastAsia="Times New Roman"/>
                <w:sz w:val="20"/>
                <w:szCs w:val="20"/>
              </w:rPr>
              <w:br/>
              <w:t>2022</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46E81">
            <w:pPr>
              <w:jc w:val="center"/>
              <w:rPr>
                <w:rFonts w:eastAsia="Times New Roman"/>
                <w:sz w:val="20"/>
                <w:szCs w:val="20"/>
              </w:rPr>
            </w:pPr>
            <w:r>
              <w:rPr>
                <w:rFonts w:eastAsia="Times New Roman"/>
                <w:sz w:val="20"/>
                <w:szCs w:val="20"/>
              </w:rPr>
              <w:t xml:space="preserve">December 31, </w:t>
            </w:r>
            <w:r>
              <w:rPr>
                <w:rFonts w:eastAsia="Times New Roman"/>
                <w:sz w:val="20"/>
                <w:szCs w:val="20"/>
              </w:rPr>
              <w:br/>
              <w:t>2021</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vAlign w:val="bottom"/>
            <w:hideMark/>
          </w:tcPr>
          <w:p w:rsidR="00000000" w:rsidRDefault="00B46E81">
            <w:pPr>
              <w:jc w:val="center"/>
              <w:rPr>
                <w:rFonts w:eastAsia="Times New Roman"/>
                <w:b/>
                <w:bCs/>
                <w:sz w:val="20"/>
                <w:szCs w:val="20"/>
              </w:rPr>
            </w:pPr>
            <w:r>
              <w:rPr>
                <w:rFonts w:eastAsia="Times New Roman"/>
                <w:b/>
                <w:bCs/>
                <w:sz w:val="20"/>
                <w:szCs w:val="20"/>
                <w:u w:val="single"/>
              </w:rPr>
              <w:t>ASSETS</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gridSpan w:val="2"/>
            <w:vAlign w:val="bottom"/>
            <w:hideMark/>
          </w:tcPr>
          <w:p w:rsidR="00000000" w:rsidRDefault="00B46E81">
            <w:pPr>
              <w:jc w:val="center"/>
              <w:rPr>
                <w:rFonts w:eastAsia="Times New Roman"/>
                <w:sz w:val="20"/>
                <w:szCs w:val="20"/>
              </w:rPr>
            </w:pPr>
            <w:r>
              <w:rPr>
                <w:rFonts w:eastAsia="Times New Roman"/>
                <w:sz w:val="20"/>
                <w:szCs w:val="20"/>
              </w:rPr>
              <w:t>(Unaudited)</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gridSpan w:val="2"/>
            <w:vAlign w:val="bottom"/>
            <w:hideMark/>
          </w:tcPr>
          <w:p w:rsidR="00000000" w:rsidRDefault="00B46E81">
            <w:pPr>
              <w:jc w:val="center"/>
              <w:rPr>
                <w:rFonts w:eastAsia="Times New Roman"/>
                <w:sz w:val="20"/>
                <w:szCs w:val="20"/>
              </w:rPr>
            </w:pPr>
            <w:r>
              <w:rPr>
                <w:rFonts w:eastAsia="Times New Roman"/>
                <w:sz w:val="20"/>
                <w:szCs w:val="20"/>
              </w:rPr>
              <w:t>(Audited)</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vAlign w:val="bottom"/>
            <w:hideMark/>
          </w:tcPr>
          <w:p w:rsidR="00000000" w:rsidRDefault="00B46E81">
            <w:pPr>
              <w:rPr>
                <w:rFonts w:eastAsia="Times New Roman"/>
                <w:sz w:val="20"/>
                <w:szCs w:val="20"/>
              </w:rPr>
            </w:pPr>
            <w:r>
              <w:rPr>
                <w:rFonts w:eastAsia="Times New Roman"/>
                <w:sz w:val="20"/>
                <w:szCs w:val="20"/>
              </w:rPr>
              <w:t>Current assets:</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gridSpan w:val="2"/>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gridSpan w:val="2"/>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3800" w:type="pct"/>
            <w:shd w:val="clear" w:color="auto" w:fill="CCEEFF"/>
            <w:tcMar>
              <w:top w:w="0" w:type="dxa"/>
              <w:left w:w="360" w:type="dxa"/>
              <w:bottom w:w="0" w:type="dxa"/>
              <w:right w:w="0" w:type="dxa"/>
            </w:tcMar>
            <w:vAlign w:val="bottom"/>
            <w:hideMark/>
          </w:tcPr>
          <w:p w:rsidR="00000000" w:rsidRDefault="00B46E81">
            <w:pPr>
              <w:rPr>
                <w:rFonts w:eastAsia="Times New Roman"/>
                <w:sz w:val="20"/>
                <w:szCs w:val="20"/>
              </w:rPr>
            </w:pPr>
            <w:r>
              <w:rPr>
                <w:rFonts w:eastAsia="Times New Roman"/>
                <w:sz w:val="20"/>
                <w:szCs w:val="20"/>
              </w:rPr>
              <w:t>Cash</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46E81">
            <w:pPr>
              <w:jc w:val="right"/>
              <w:rPr>
                <w:rFonts w:eastAsia="Times New Roman"/>
                <w:sz w:val="20"/>
                <w:szCs w:val="20"/>
              </w:rPr>
            </w:pPr>
            <w:r>
              <w:rPr>
                <w:rFonts w:eastAsia="Times New Roman"/>
                <w:sz w:val="20"/>
                <w:szCs w:val="20"/>
              </w:rPr>
              <w:t>2,160,945</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46E81">
            <w:pPr>
              <w:jc w:val="right"/>
              <w:rPr>
                <w:rFonts w:eastAsia="Times New Roman"/>
                <w:sz w:val="20"/>
                <w:szCs w:val="20"/>
              </w:rPr>
            </w:pPr>
            <w:r>
              <w:rPr>
                <w:rFonts w:eastAsia="Times New Roman"/>
                <w:sz w:val="20"/>
                <w:szCs w:val="20"/>
              </w:rPr>
              <w:t>3,383,568</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360" w:type="dxa"/>
              <w:bottom w:w="0" w:type="dxa"/>
              <w:right w:w="0" w:type="dxa"/>
            </w:tcMar>
            <w:vAlign w:val="bottom"/>
            <w:hideMark/>
          </w:tcPr>
          <w:p w:rsidR="00000000" w:rsidRDefault="00B46E81">
            <w:pPr>
              <w:rPr>
                <w:rFonts w:eastAsia="Times New Roman"/>
                <w:sz w:val="20"/>
                <w:szCs w:val="20"/>
              </w:rPr>
            </w:pPr>
            <w:r>
              <w:rPr>
                <w:rFonts w:eastAsia="Times New Roman"/>
                <w:sz w:val="20"/>
                <w:szCs w:val="20"/>
              </w:rPr>
              <w:t>Prepaids</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70,656</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divId w:val="867065130"/>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360" w:type="dxa"/>
              <w:bottom w:w="0" w:type="dxa"/>
              <w:right w:w="0" w:type="dxa"/>
            </w:tcMar>
            <w:vAlign w:val="bottom"/>
            <w:hideMark/>
          </w:tcPr>
          <w:p w:rsidR="00000000" w:rsidRDefault="00B46E81">
            <w:pPr>
              <w:rPr>
                <w:rFonts w:eastAsia="Times New Roman"/>
                <w:sz w:val="20"/>
                <w:szCs w:val="20"/>
              </w:rPr>
            </w:pPr>
            <w:r>
              <w:rPr>
                <w:rFonts w:eastAsia="Times New Roman"/>
                <w:sz w:val="20"/>
                <w:szCs w:val="20"/>
              </w:rPr>
              <w:t>Accounts receivable</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15,200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divId w:val="1089077335"/>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36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Inventory</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1,128,423</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divId w:val="2128233398"/>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Total current assets</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3,375,224</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3,383,568</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vAlign w:val="bottom"/>
            <w:hideMark/>
          </w:tcPr>
          <w:p w:rsidR="00000000" w:rsidRDefault="00B46E81">
            <w:pPr>
              <w:rPr>
                <w:rFonts w:eastAsia="Times New Roman"/>
                <w:sz w:val="20"/>
                <w:szCs w:val="20"/>
              </w:rPr>
            </w:pPr>
            <w:r>
              <w:rPr>
                <w:rFonts w:eastAsia="Times New Roman"/>
                <w:sz w:val="20"/>
                <w:szCs w:val="20"/>
              </w:rPr>
              <w:t>Other assets:</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firstLine="180"/>
              <w:rPr>
                <w:rFonts w:eastAsia="Times New Roman"/>
                <w:sz w:val="20"/>
                <w:szCs w:val="20"/>
              </w:rPr>
            </w:pPr>
            <w:r>
              <w:rPr>
                <w:rFonts w:eastAsia="Times New Roman"/>
                <w:sz w:val="20"/>
                <w:szCs w:val="20"/>
              </w:rPr>
              <w:t>Other asset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10,000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10,000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0" w:type="dxa"/>
              <w:right w:w="0" w:type="dxa"/>
            </w:tcMar>
            <w:vAlign w:val="bottom"/>
            <w:hideMark/>
          </w:tcPr>
          <w:p w:rsidR="00000000" w:rsidRDefault="00B46E81">
            <w:pPr>
              <w:ind w:firstLine="180"/>
              <w:rPr>
                <w:rFonts w:eastAsia="Times New Roman"/>
                <w:sz w:val="20"/>
                <w:szCs w:val="20"/>
              </w:rPr>
            </w:pPr>
            <w:r>
              <w:rPr>
                <w:rFonts w:eastAsia="Times New Roman"/>
                <w:sz w:val="20"/>
                <w:szCs w:val="20"/>
              </w:rPr>
              <w:t>Right of use asset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283,136</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divId w:val="1215890141"/>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30" w:type="dxa"/>
              <w:right w:w="0" w:type="dxa"/>
            </w:tcMar>
            <w:vAlign w:val="bottom"/>
            <w:hideMark/>
          </w:tcPr>
          <w:p w:rsidR="00000000" w:rsidRDefault="00B46E81">
            <w:pPr>
              <w:ind w:firstLine="180"/>
              <w:rPr>
                <w:rFonts w:eastAsia="Times New Roman"/>
                <w:sz w:val="20"/>
                <w:szCs w:val="20"/>
              </w:rPr>
            </w:pPr>
            <w:r>
              <w:rPr>
                <w:rFonts w:eastAsia="Times New Roman"/>
                <w:sz w:val="20"/>
                <w:szCs w:val="20"/>
              </w:rPr>
              <w:t>Property and equipment, net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101,653</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105,061</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Total other assets</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394,789</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115,061</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Total Assets</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3,770,013</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3,498,629</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vAlign w:val="bottom"/>
            <w:hideMark/>
          </w:tcPr>
          <w:p w:rsidR="00000000" w:rsidRDefault="00B46E81">
            <w:pPr>
              <w:jc w:val="center"/>
              <w:rPr>
                <w:rFonts w:eastAsia="Times New Roman"/>
                <w:b/>
                <w:bCs/>
                <w:sz w:val="20"/>
                <w:szCs w:val="20"/>
                <w:u w:val="single"/>
              </w:rPr>
            </w:pPr>
            <w:r>
              <w:rPr>
                <w:rFonts w:eastAsia="Times New Roman"/>
                <w:b/>
                <w:bCs/>
                <w:sz w:val="20"/>
                <w:szCs w:val="20"/>
                <w:u w:val="single"/>
              </w:rPr>
              <w:t>LIABILITIES AND STOCKHOLDERS’ EQUITY (DEFICIT)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vAlign w:val="bottom"/>
            <w:hideMark/>
          </w:tcPr>
          <w:p w:rsidR="00000000" w:rsidRDefault="00B46E81">
            <w:pPr>
              <w:rPr>
                <w:rFonts w:eastAsia="Times New Roman"/>
                <w:sz w:val="20"/>
                <w:szCs w:val="20"/>
              </w:rPr>
            </w:pPr>
            <w:r>
              <w:rPr>
                <w:rFonts w:eastAsia="Times New Roman"/>
                <w:sz w:val="20"/>
                <w:szCs w:val="20"/>
              </w:rPr>
              <w:t>Current Liabilities:</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firstLine="180"/>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33,239</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15,505</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0" w:type="dxa"/>
              <w:right w:w="0" w:type="dxa"/>
            </w:tcMar>
            <w:vAlign w:val="bottom"/>
            <w:hideMark/>
          </w:tcPr>
          <w:p w:rsidR="00000000" w:rsidRDefault="00B46E81">
            <w:pPr>
              <w:ind w:firstLine="180"/>
              <w:rPr>
                <w:rFonts w:eastAsia="Times New Roman"/>
                <w:sz w:val="20"/>
                <w:szCs w:val="20"/>
              </w:rPr>
            </w:pPr>
            <w:r>
              <w:rPr>
                <w:rFonts w:eastAsia="Times New Roman"/>
                <w:sz w:val="20"/>
                <w:szCs w:val="20"/>
              </w:rPr>
              <w:t>Accrued compensation</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52,000</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47,000</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firstLine="180"/>
              <w:rPr>
                <w:rFonts w:eastAsia="Times New Roman"/>
                <w:sz w:val="20"/>
                <w:szCs w:val="20"/>
              </w:rPr>
            </w:pPr>
            <w:r>
              <w:rPr>
                <w:rFonts w:eastAsia="Times New Roman"/>
                <w:sz w:val="20"/>
                <w:szCs w:val="20"/>
              </w:rPr>
              <w:t>Accrued interest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divId w:val="1751661041"/>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41,851</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0" w:type="dxa"/>
              <w:right w:w="0" w:type="dxa"/>
            </w:tcMar>
            <w:vAlign w:val="bottom"/>
            <w:hideMark/>
          </w:tcPr>
          <w:p w:rsidR="00000000" w:rsidRDefault="00B46E81">
            <w:pPr>
              <w:ind w:firstLine="180"/>
              <w:rPr>
                <w:rFonts w:eastAsia="Times New Roman"/>
                <w:sz w:val="20"/>
                <w:szCs w:val="20"/>
              </w:rPr>
            </w:pPr>
            <w:r>
              <w:rPr>
                <w:rFonts w:eastAsia="Times New Roman"/>
                <w:sz w:val="20"/>
                <w:szCs w:val="20"/>
              </w:rPr>
              <w:t>Accrued interest – related party</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84,463</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67,505</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firstLine="180"/>
              <w:rPr>
                <w:rFonts w:eastAsia="Times New Roman"/>
                <w:sz w:val="20"/>
                <w:szCs w:val="20"/>
              </w:rPr>
            </w:pPr>
            <w:r>
              <w:rPr>
                <w:rFonts w:eastAsia="Times New Roman"/>
                <w:sz w:val="20"/>
                <w:szCs w:val="20"/>
              </w:rPr>
              <w:t>Convertible Notes, net of discount of $0 and $206,157, respectively</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divId w:val="1528904072"/>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193,243</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0" w:type="dxa"/>
              <w:right w:w="0" w:type="dxa"/>
            </w:tcMar>
            <w:vAlign w:val="bottom"/>
            <w:hideMark/>
          </w:tcPr>
          <w:p w:rsidR="00000000" w:rsidRDefault="00B46E81">
            <w:pPr>
              <w:ind w:firstLine="180"/>
              <w:rPr>
                <w:rFonts w:eastAsia="Times New Roman"/>
                <w:sz w:val="20"/>
                <w:szCs w:val="20"/>
              </w:rPr>
            </w:pPr>
            <w:r>
              <w:rPr>
                <w:rFonts w:eastAsia="Times New Roman"/>
                <w:sz w:val="20"/>
                <w:szCs w:val="20"/>
              </w:rPr>
              <w:t>Derivative Liability</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divId w:val="1082526066"/>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290,712</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firstLine="180"/>
              <w:rPr>
                <w:rFonts w:eastAsia="Times New Roman"/>
                <w:sz w:val="20"/>
                <w:szCs w:val="20"/>
              </w:rPr>
            </w:pPr>
            <w:r>
              <w:rPr>
                <w:rFonts w:eastAsia="Times New Roman"/>
                <w:sz w:val="20"/>
                <w:szCs w:val="20"/>
              </w:rPr>
              <w:t>Loans payable – related party</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180,714</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179,191</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0" w:type="dxa"/>
              <w:right w:w="0" w:type="dxa"/>
            </w:tcMar>
            <w:vAlign w:val="bottom"/>
            <w:hideMark/>
          </w:tcPr>
          <w:p w:rsidR="00000000" w:rsidRDefault="00B46E81">
            <w:pPr>
              <w:ind w:firstLine="180"/>
              <w:rPr>
                <w:rFonts w:eastAsia="Times New Roman"/>
                <w:sz w:val="20"/>
                <w:szCs w:val="20"/>
              </w:rPr>
            </w:pPr>
            <w:r>
              <w:rPr>
                <w:rFonts w:eastAsia="Times New Roman"/>
                <w:sz w:val="20"/>
                <w:szCs w:val="20"/>
              </w:rPr>
              <w:t>Loans payable</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divId w:val="1917278696"/>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45,000</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30" w:type="dxa"/>
              <w:right w:w="0" w:type="dxa"/>
            </w:tcMar>
            <w:vAlign w:val="bottom"/>
            <w:hideMark/>
          </w:tcPr>
          <w:p w:rsidR="00000000" w:rsidRDefault="00B46E81">
            <w:pPr>
              <w:ind w:firstLine="180"/>
              <w:rPr>
                <w:rFonts w:eastAsia="Times New Roman"/>
                <w:sz w:val="20"/>
                <w:szCs w:val="20"/>
              </w:rPr>
            </w:pPr>
            <w:r>
              <w:rPr>
                <w:rFonts w:eastAsia="Times New Roman"/>
                <w:sz w:val="20"/>
                <w:szCs w:val="20"/>
              </w:rPr>
              <w:t>Operating lease liability – current portion</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90,824</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jc w:val="right"/>
              <w:divId w:val="1001934330"/>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Total current liabilities</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441,240</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880,007</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Long Term Liabilities</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0" w:type="dxa"/>
              <w:bottom w:w="30" w:type="dxa"/>
              <w:right w:w="0" w:type="dxa"/>
            </w:tcMar>
            <w:vAlign w:val="bottom"/>
            <w:hideMark/>
          </w:tcPr>
          <w:p w:rsidR="00000000" w:rsidRDefault="00B46E81">
            <w:pPr>
              <w:ind w:firstLine="360"/>
              <w:rPr>
                <w:rFonts w:eastAsia="Times New Roman"/>
                <w:sz w:val="20"/>
                <w:szCs w:val="20"/>
              </w:rPr>
            </w:pPr>
            <w:r>
              <w:rPr>
                <w:rFonts w:eastAsia="Times New Roman"/>
                <w:sz w:val="20"/>
                <w:szCs w:val="20"/>
              </w:rPr>
              <w:t>Operating lease liability – net of current portion</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202,412</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divId w:val="534662982"/>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Total Liabilities</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643,652</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880,007</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Commitments and Contingencies</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divId w:val="1351644694"/>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divId w:val="124256535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vAlign w:val="bottom"/>
            <w:hideMark/>
          </w:tcPr>
          <w:p w:rsidR="00000000" w:rsidRDefault="00B46E81">
            <w:pPr>
              <w:rPr>
                <w:rFonts w:eastAsia="Times New Roman"/>
                <w:sz w:val="20"/>
                <w:szCs w:val="20"/>
              </w:rPr>
            </w:pPr>
            <w:r>
              <w:rPr>
                <w:rFonts w:eastAsia="Times New Roman"/>
                <w:sz w:val="20"/>
                <w:szCs w:val="20"/>
              </w:rPr>
              <w:lastRenderedPageBreak/>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vAlign w:val="bottom"/>
            <w:hideMark/>
          </w:tcPr>
          <w:p w:rsidR="00000000" w:rsidRDefault="00B46E81">
            <w:pPr>
              <w:rPr>
                <w:rFonts w:eastAsia="Times New Roman"/>
                <w:sz w:val="20"/>
                <w:szCs w:val="20"/>
                <w:u w:val="single"/>
              </w:rPr>
            </w:pPr>
            <w:r>
              <w:rPr>
                <w:rFonts w:eastAsia="Times New Roman"/>
                <w:sz w:val="20"/>
                <w:szCs w:val="20"/>
                <w:u w:val="single"/>
              </w:rPr>
              <w:t>STOCKHOLDERS’ EQUITY (DEFICIT)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36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 xml:space="preserve">Series A preferred stock, $0.001 par value, 5,000,000 </w:t>
            </w:r>
            <w:r>
              <w:rPr>
                <w:rFonts w:eastAsia="Times New Roman"/>
                <w:sz w:val="20"/>
                <w:szCs w:val="20"/>
              </w:rPr>
              <w:t>shares authorized, 5,000,000 issued and outstanding</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5,000</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5,000</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0" w:type="dxa"/>
              <w:right w:w="0" w:type="dxa"/>
            </w:tcMar>
            <w:vAlign w:val="bottom"/>
            <w:hideMark/>
          </w:tcPr>
          <w:p w:rsidR="00000000" w:rsidRDefault="00B46E81">
            <w:pPr>
              <w:rPr>
                <w:rFonts w:eastAsia="Times New Roman"/>
                <w:sz w:val="20"/>
                <w:szCs w:val="20"/>
              </w:rPr>
            </w:pPr>
            <w:r>
              <w:rPr>
                <w:rFonts w:eastAsia="Times New Roman"/>
                <w:sz w:val="20"/>
                <w:szCs w:val="20"/>
              </w:rPr>
              <w:t>Series B preferred stock, $0.001 par value, 5,000,000 shares authorized, 500,000 shares issued</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0" w:type="dxa"/>
              <w:right w:w="0" w:type="dxa"/>
            </w:tcMar>
            <w:vAlign w:val="bottom"/>
            <w:hideMark/>
          </w:tcPr>
          <w:p w:rsidR="00000000" w:rsidRDefault="00B46E81">
            <w:pPr>
              <w:rPr>
                <w:rFonts w:eastAsia="Times New Roman"/>
                <w:sz w:val="20"/>
                <w:szCs w:val="20"/>
              </w:rPr>
            </w:pPr>
            <w:r>
              <w:rPr>
                <w:rFonts w:eastAsia="Times New Roman"/>
                <w:sz w:val="20"/>
                <w:szCs w:val="20"/>
              </w:rPr>
              <w:t xml:space="preserve">Series C preferred stock, $0.001 par value, 5,000,000 </w:t>
            </w:r>
            <w:r>
              <w:rPr>
                <w:rFonts w:eastAsia="Times New Roman"/>
                <w:sz w:val="20"/>
                <w:szCs w:val="20"/>
              </w:rPr>
              <w:t>shares authorized,</w:t>
            </w:r>
            <w:r>
              <w:rPr>
                <w:rFonts w:eastAsia="Times New Roman"/>
                <w:sz w:val="20"/>
                <w:szCs w:val="20"/>
              </w:rPr>
              <w:t xml:space="preserve"> </w:t>
            </w:r>
            <w:r>
              <w:rPr>
                <w:rFonts w:eastAsia="Times New Roman"/>
                <w:sz w:val="20"/>
                <w:szCs w:val="20"/>
              </w:rPr>
              <w:t>n</w:t>
            </w:r>
            <w:r>
              <w:rPr>
                <w:rFonts w:eastAsia="Times New Roman"/>
                <w:sz w:val="20"/>
                <w:szCs w:val="20"/>
              </w:rPr>
              <w:t>o</w:t>
            </w:r>
            <w:r>
              <w:rPr>
                <w:rFonts w:eastAsia="Times New Roman"/>
                <w:sz w:val="20"/>
                <w:szCs w:val="20"/>
              </w:rPr>
              <w:t xml:space="preserve"> shares issued</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divId w:val="340670771"/>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divId w:val="41292949"/>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36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Common stock, $0.001 par value, 3,000,000,000 shares authorized, 1,461,616,601 and 1,234,008,735 shares issued and outstanding, respectively</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1,461,615</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1,234,006</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0" w:type="dxa"/>
              <w:right w:w="0" w:type="dxa"/>
            </w:tcMar>
            <w:vAlign w:val="bottom"/>
            <w:hideMark/>
          </w:tcPr>
          <w:p w:rsidR="00000000" w:rsidRDefault="00B46E81">
            <w:pPr>
              <w:rPr>
                <w:rFonts w:eastAsia="Times New Roman"/>
                <w:sz w:val="20"/>
                <w:szCs w:val="20"/>
              </w:rPr>
            </w:pPr>
            <w:r>
              <w:rPr>
                <w:rFonts w:eastAsia="Times New Roman"/>
                <w:sz w:val="20"/>
                <w:szCs w:val="20"/>
              </w:rPr>
              <w:t>Discount to common stock</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(94,708</w:t>
            </w:r>
          </w:p>
        </w:tc>
        <w:tc>
          <w:tcPr>
            <w:tcW w:w="0" w:type="auto"/>
            <w:vAlign w:val="bottom"/>
            <w:hideMark/>
          </w:tcPr>
          <w:p w:rsidR="00000000" w:rsidRDefault="00B46E81">
            <w:pPr>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(94,708</w:t>
            </w:r>
          </w:p>
        </w:tc>
        <w:tc>
          <w:tcPr>
            <w:tcW w:w="0" w:type="auto"/>
            <w:vAlign w:val="bottom"/>
            <w:hideMark/>
          </w:tcPr>
          <w:p w:rsidR="00000000" w:rsidRDefault="00B46E81">
            <w:pPr>
              <w:rPr>
                <w:rFonts w:eastAsia="Times New Roman"/>
                <w:sz w:val="20"/>
                <w:szCs w:val="20"/>
              </w:rPr>
            </w:pPr>
            <w:r>
              <w:rPr>
                <w:rFonts w:eastAsia="Times New Roman"/>
                <w:sz w:val="20"/>
                <w:szCs w:val="20"/>
              </w:rPr>
              <w:t>)</w:t>
            </w:r>
          </w:p>
        </w:tc>
      </w:tr>
      <w:tr w:rsidR="00000000">
        <w:trPr>
          <w:divId w:val="1088308932"/>
        </w:trPr>
        <w:tc>
          <w:tcPr>
            <w:tcW w:w="0" w:type="auto"/>
            <w:shd w:val="clear" w:color="auto" w:fill="CCEEFF"/>
            <w:tcMar>
              <w:top w:w="0" w:type="dxa"/>
              <w:left w:w="180" w:type="dxa"/>
              <w:bottom w:w="0" w:type="dxa"/>
              <w:right w:w="0" w:type="dxa"/>
            </w:tcMar>
            <w:vAlign w:val="bottom"/>
            <w:hideMark/>
          </w:tcPr>
          <w:p w:rsidR="00000000" w:rsidRDefault="00B46E81">
            <w:pPr>
              <w:rPr>
                <w:rFonts w:eastAsia="Times New Roman"/>
                <w:sz w:val="20"/>
                <w:szCs w:val="20"/>
              </w:rPr>
            </w:pPr>
            <w:r>
              <w:rPr>
                <w:rFonts w:eastAsia="Times New Roman"/>
                <w:sz w:val="20"/>
                <w:szCs w:val="20"/>
              </w:rPr>
              <w:t>Additional paid in capital</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13,214,320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11,865,439</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Accumulated Deficit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(11,460,366</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(10,391,615</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w:t>
            </w:r>
          </w:p>
        </w:tc>
      </w:tr>
      <w:tr w:rsidR="00000000">
        <w:trPr>
          <w:divId w:val="1088308932"/>
        </w:trPr>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Total Stockholders’ Equity (Deficit)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3,126,361</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2,618,622</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Total Liabilities and Stockholders’ Equity (Deficit)</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B46E81">
            <w:pPr>
              <w:jc w:val="right"/>
              <w:rPr>
                <w:rFonts w:eastAsia="Times New Roman"/>
                <w:sz w:val="20"/>
                <w:szCs w:val="20"/>
              </w:rPr>
            </w:pPr>
            <w:r>
              <w:rPr>
                <w:rFonts w:eastAsia="Times New Roman"/>
                <w:sz w:val="20"/>
                <w:szCs w:val="20"/>
              </w:rPr>
              <w:t>3,770,013</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B46E81">
            <w:pPr>
              <w:jc w:val="right"/>
              <w:rPr>
                <w:rFonts w:eastAsia="Times New Roman"/>
                <w:sz w:val="20"/>
                <w:szCs w:val="20"/>
              </w:rPr>
            </w:pPr>
            <w:r>
              <w:rPr>
                <w:rFonts w:eastAsia="Times New Roman"/>
                <w:sz w:val="20"/>
                <w:szCs w:val="20"/>
              </w:rPr>
              <w:t>3,498,629</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bl>
    <w:p w:rsidR="00000000" w:rsidRDefault="00B46E81">
      <w:pPr>
        <w:pStyle w:val="a3"/>
        <w:spacing w:before="0" w:beforeAutospacing="0" w:after="0" w:afterAutospacing="0"/>
        <w:jc w:val="center"/>
        <w:divId w:val="1088308932"/>
        <w:rPr>
          <w:sz w:val="20"/>
          <w:szCs w:val="20"/>
        </w:rPr>
      </w:pPr>
      <w:r>
        <w:rPr>
          <w:sz w:val="20"/>
          <w:szCs w:val="20"/>
        </w:rPr>
        <w:t> </w:t>
      </w:r>
    </w:p>
    <w:p w:rsidR="00000000" w:rsidRDefault="00B46E81">
      <w:pPr>
        <w:pStyle w:val="a3"/>
        <w:spacing w:before="0" w:beforeAutospacing="0" w:after="0" w:afterAutospacing="0"/>
        <w:jc w:val="center"/>
        <w:divId w:val="1088308932"/>
        <w:rPr>
          <w:sz w:val="20"/>
          <w:szCs w:val="20"/>
        </w:rPr>
      </w:pPr>
      <w:r>
        <w:rPr>
          <w:i/>
          <w:iCs/>
          <w:sz w:val="20"/>
          <w:szCs w:val="20"/>
        </w:rPr>
        <w:t xml:space="preserve">The </w:t>
      </w:r>
      <w:r>
        <w:rPr>
          <w:i/>
          <w:iCs/>
          <w:sz w:val="20"/>
          <w:szCs w:val="20"/>
        </w:rPr>
        <w:t>accompanying notes are an integral part of these unaudited condensed financial statements.</w:t>
      </w:r>
    </w:p>
    <w:p w:rsidR="00000000" w:rsidRDefault="00B46E81">
      <w:pPr>
        <w:pStyle w:val="a3"/>
        <w:spacing w:before="0" w:beforeAutospacing="0" w:after="0" w:afterAutospacing="0"/>
        <w:divId w:val="1088308932"/>
        <w:rPr>
          <w:sz w:val="20"/>
          <w:szCs w:val="20"/>
        </w:rPr>
      </w:pPr>
      <w:r>
        <w:rPr>
          <w:sz w:val="20"/>
          <w:szCs w:val="20"/>
        </w:rPr>
        <w:t> </w:t>
      </w:r>
      <w:r>
        <w:rPr>
          <w:i/>
          <w:iCs/>
          <w:sz w:val="20"/>
          <w:szCs w:val="20"/>
        </w:rPr>
        <w:t> </w:t>
      </w:r>
    </w:p>
    <w:p w:rsidR="00000000" w:rsidRDefault="00B46E81">
      <w:pPr>
        <w:pStyle w:val="a3"/>
        <w:spacing w:before="0" w:beforeAutospacing="0" w:after="0" w:afterAutospacing="0"/>
        <w:jc w:val="center"/>
        <w:divId w:val="1960450798"/>
        <w:rPr>
          <w:sz w:val="20"/>
          <w:szCs w:val="20"/>
        </w:rPr>
      </w:pPr>
      <w:r>
        <w:rPr>
          <w:sz w:val="20"/>
          <w:szCs w:val="20"/>
        </w:rPr>
        <w:t>2</w:t>
      </w:r>
    </w:p>
    <w:p w:rsidR="00000000" w:rsidRDefault="00B46E81">
      <w:pPr>
        <w:pStyle w:val="a3"/>
        <w:spacing w:before="0" w:beforeAutospacing="0" w:after="0" w:afterAutospacing="0"/>
        <w:divId w:val="755633114"/>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i/>
          <w:iCs/>
          <w:sz w:val="20"/>
          <w:szCs w:val="20"/>
        </w:rPr>
        <w:t> </w:t>
      </w:r>
    </w:p>
    <w:p w:rsidR="00000000" w:rsidRDefault="00B46E81">
      <w:pPr>
        <w:pStyle w:val="a3"/>
        <w:pBdr>
          <w:bottom w:val="single" w:sz="12" w:space="0" w:color="000000"/>
        </w:pBdr>
        <w:spacing w:before="0" w:beforeAutospacing="0" w:after="0" w:afterAutospacing="0"/>
        <w:jc w:val="center"/>
        <w:divId w:val="1088308932"/>
        <w:rPr>
          <w:sz w:val="20"/>
          <w:szCs w:val="20"/>
        </w:rPr>
      </w:pPr>
      <w:r>
        <w:rPr>
          <w:b/>
          <w:bCs/>
          <w:sz w:val="20"/>
          <w:szCs w:val="20"/>
        </w:rPr>
        <w:t>REMSLEEP HOLDINGS, INC.</w:t>
      </w:r>
      <w:r>
        <w:rPr>
          <w:b/>
          <w:bCs/>
          <w:sz w:val="20"/>
          <w:szCs w:val="20"/>
        </w:rPr>
        <w:br/>
        <w:t>CONDENSED STATEMENTS OF OPERATIONS</w:t>
      </w:r>
      <w:r>
        <w:rPr>
          <w:b/>
          <w:bCs/>
          <w:sz w:val="20"/>
          <w:szCs w:val="20"/>
        </w:rPr>
        <w:br/>
        <w:t>(UNAUDITED)</w:t>
      </w:r>
    </w:p>
    <w:p w:rsidR="00000000" w:rsidRDefault="00B46E81">
      <w:pPr>
        <w:pStyle w:val="a3"/>
        <w:spacing w:before="0" w:beforeAutospacing="0" w:after="0" w:afterAutospacing="0"/>
        <w:jc w:val="center"/>
        <w:divId w:val="10883089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138"/>
        <w:gridCol w:w="50"/>
        <w:gridCol w:w="100"/>
        <w:gridCol w:w="1150"/>
        <w:gridCol w:w="67"/>
        <w:gridCol w:w="50"/>
        <w:gridCol w:w="100"/>
        <w:gridCol w:w="1000"/>
        <w:gridCol w:w="67"/>
        <w:gridCol w:w="50"/>
        <w:gridCol w:w="100"/>
        <w:gridCol w:w="1150"/>
        <w:gridCol w:w="67"/>
        <w:gridCol w:w="50"/>
        <w:gridCol w:w="100"/>
        <w:gridCol w:w="1000"/>
        <w:gridCol w:w="67"/>
      </w:tblGrid>
      <w:tr w:rsidR="00000000">
        <w:trPr>
          <w:divId w:val="1088308932"/>
        </w:trPr>
        <w:tc>
          <w:tcPr>
            <w:tcW w:w="0" w:type="auto"/>
            <w:vAlign w:val="bottom"/>
            <w:hideMark/>
          </w:tcPr>
          <w:p w:rsidR="00000000" w:rsidRDefault="00B46E8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B46E81">
            <w:pPr>
              <w:jc w:val="center"/>
              <w:rPr>
                <w:rFonts w:eastAsia="Times New Roman"/>
                <w:sz w:val="20"/>
                <w:szCs w:val="20"/>
              </w:rPr>
            </w:pPr>
            <w:r>
              <w:rPr>
                <w:rFonts w:eastAsia="Times New Roman"/>
                <w:sz w:val="20"/>
                <w:szCs w:val="20"/>
              </w:rPr>
              <w:t>For the Three Months Ended</w:t>
            </w:r>
            <w:r>
              <w:rPr>
                <w:rFonts w:eastAsia="Times New Roman"/>
                <w:sz w:val="20"/>
                <w:szCs w:val="20"/>
              </w:rPr>
              <w:br/>
              <w:t>September 30,</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B46E81">
            <w:pPr>
              <w:jc w:val="center"/>
              <w:rPr>
                <w:rFonts w:eastAsia="Times New Roman"/>
                <w:sz w:val="20"/>
                <w:szCs w:val="20"/>
              </w:rPr>
            </w:pPr>
            <w:r>
              <w:rPr>
                <w:rFonts w:eastAsia="Times New Roman"/>
                <w:sz w:val="20"/>
                <w:szCs w:val="20"/>
              </w:rPr>
              <w:t>For the Nine Months Ended</w:t>
            </w:r>
            <w:r>
              <w:rPr>
                <w:rFonts w:eastAsia="Times New Roman"/>
                <w:sz w:val="20"/>
                <w:szCs w:val="20"/>
              </w:rPr>
              <w:br/>
            </w:r>
            <w:r>
              <w:rPr>
                <w:rFonts w:eastAsia="Times New Roman"/>
                <w:sz w:val="20"/>
                <w:szCs w:val="20"/>
              </w:rPr>
              <w:t> </w:t>
            </w:r>
            <w:r>
              <w:rPr>
                <w:rFonts w:eastAsia="Times New Roman"/>
                <w:sz w:val="20"/>
                <w:szCs w:val="20"/>
              </w:rPr>
              <w:t>September 30,</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vAlign w:val="bottom"/>
            <w:hideMark/>
          </w:tcPr>
          <w:p w:rsidR="00000000" w:rsidRDefault="00B46E8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46E81">
            <w:pPr>
              <w:jc w:val="center"/>
              <w:rPr>
                <w:rFonts w:eastAsia="Times New Roman"/>
                <w:sz w:val="20"/>
                <w:szCs w:val="20"/>
              </w:rPr>
            </w:pPr>
            <w:r>
              <w:rPr>
                <w:rFonts w:eastAsia="Times New Roman"/>
                <w:sz w:val="20"/>
                <w:szCs w:val="20"/>
              </w:rPr>
              <w:t>2022</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46E81">
            <w:pPr>
              <w:jc w:val="center"/>
              <w:rPr>
                <w:rFonts w:eastAsia="Times New Roman"/>
                <w:sz w:val="20"/>
                <w:szCs w:val="20"/>
              </w:rPr>
            </w:pPr>
            <w:r>
              <w:rPr>
                <w:rFonts w:eastAsia="Times New Roman"/>
                <w:sz w:val="20"/>
                <w:szCs w:val="20"/>
              </w:rPr>
              <w:t>2021</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46E81">
            <w:pPr>
              <w:jc w:val="center"/>
              <w:rPr>
                <w:rFonts w:eastAsia="Times New Roman"/>
                <w:sz w:val="20"/>
                <w:szCs w:val="20"/>
              </w:rPr>
            </w:pPr>
            <w:r>
              <w:rPr>
                <w:rFonts w:eastAsia="Times New Roman"/>
                <w:sz w:val="20"/>
                <w:szCs w:val="20"/>
              </w:rPr>
              <w:t>2022</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46E81">
            <w:pPr>
              <w:jc w:val="center"/>
              <w:rPr>
                <w:rFonts w:eastAsia="Times New Roman"/>
                <w:sz w:val="20"/>
                <w:szCs w:val="20"/>
              </w:rPr>
            </w:pPr>
            <w:r>
              <w:rPr>
                <w:rFonts w:eastAsia="Times New Roman"/>
                <w:sz w:val="20"/>
                <w:szCs w:val="20"/>
              </w:rPr>
              <w:t>2021</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2600" w:type="pct"/>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Revenue</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46E81">
            <w:pPr>
              <w:jc w:val="right"/>
              <w:rPr>
                <w:rFonts w:eastAsia="Times New Roman"/>
                <w:sz w:val="20"/>
                <w:szCs w:val="20"/>
              </w:rPr>
            </w:pPr>
            <w:r>
              <w:rPr>
                <w:rFonts w:eastAsia="Times New Roman"/>
                <w:sz w:val="20"/>
                <w:szCs w:val="20"/>
              </w:rPr>
              <w:t>137,568</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46E81">
            <w:pPr>
              <w:jc w:val="right"/>
              <w:divId w:val="787820213"/>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46E81">
            <w:pPr>
              <w:jc w:val="right"/>
              <w:rPr>
                <w:rFonts w:eastAsia="Times New Roman"/>
                <w:sz w:val="20"/>
                <w:szCs w:val="20"/>
              </w:rPr>
            </w:pPr>
            <w:r>
              <w:rPr>
                <w:rFonts w:eastAsia="Times New Roman"/>
                <w:sz w:val="20"/>
                <w:szCs w:val="20"/>
              </w:rPr>
              <w:t>257,238</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46E81">
            <w:pPr>
              <w:jc w:val="right"/>
              <w:divId w:val="1669287544"/>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30" w:type="dxa"/>
              <w:right w:w="0" w:type="dxa"/>
            </w:tcMar>
            <w:vAlign w:val="bottom"/>
            <w:hideMark/>
          </w:tcPr>
          <w:p w:rsidR="00000000" w:rsidRDefault="00B46E81">
            <w:pPr>
              <w:ind w:hanging="180"/>
              <w:rPr>
                <w:rFonts w:eastAsia="Times New Roman"/>
                <w:sz w:val="20"/>
                <w:szCs w:val="20"/>
              </w:rPr>
            </w:pPr>
            <w:r>
              <w:rPr>
                <w:rFonts w:eastAsia="Times New Roman"/>
                <w:sz w:val="20"/>
                <w:szCs w:val="20"/>
              </w:rPr>
              <w:t>Cost of goods sold</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86,250</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divId w:val="1646886874"/>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176,010</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divId w:val="1912963002"/>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30" w:type="dxa"/>
              <w:right w:w="0" w:type="dxa"/>
            </w:tcMar>
            <w:vAlign w:val="bottom"/>
            <w:hideMark/>
          </w:tcPr>
          <w:p w:rsidR="00000000" w:rsidRDefault="00B46E81">
            <w:pPr>
              <w:ind w:hanging="180"/>
              <w:rPr>
                <w:rFonts w:eastAsia="Times New Roman"/>
                <w:sz w:val="20"/>
                <w:szCs w:val="20"/>
              </w:rPr>
            </w:pPr>
            <w:r>
              <w:rPr>
                <w:rFonts w:eastAsia="Times New Roman"/>
                <w:sz w:val="20"/>
                <w:szCs w:val="20"/>
              </w:rPr>
              <w:t>Gross margin</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51,318</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B46E81">
            <w:pPr>
              <w:jc w:val="right"/>
              <w:divId w:val="1062944696"/>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81,228</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B46E81">
            <w:pPr>
              <w:jc w:val="right"/>
              <w:divId w:val="309482281"/>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Operating Expenses:</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36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Professional fees</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14,200</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7,500</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100,165</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59,643</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36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Compensation expense – related party</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72,000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21,000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165,000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63,000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36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Development expense</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121,170</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16,666</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184,888</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95,608</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36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Lease expense</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21,296</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divId w:val="1667047378"/>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51,160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divId w:val="1047267293"/>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360" w:type="dxa"/>
              <w:bottom w:w="30" w:type="dxa"/>
              <w:right w:w="0" w:type="dxa"/>
            </w:tcMar>
            <w:vAlign w:val="bottom"/>
            <w:hideMark/>
          </w:tcPr>
          <w:p w:rsidR="00000000" w:rsidRDefault="00B46E81">
            <w:pPr>
              <w:ind w:hanging="180"/>
              <w:rPr>
                <w:rFonts w:eastAsia="Times New Roman"/>
                <w:sz w:val="20"/>
                <w:szCs w:val="20"/>
              </w:rPr>
            </w:pPr>
            <w:r>
              <w:rPr>
                <w:rFonts w:eastAsia="Times New Roman"/>
                <w:sz w:val="20"/>
                <w:szCs w:val="20"/>
              </w:rPr>
              <w:t>General and administrative</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129,156</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36,697</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385,720</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92,962</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30" w:type="dxa"/>
              <w:right w:w="0" w:type="dxa"/>
            </w:tcMar>
            <w:vAlign w:val="bottom"/>
            <w:hideMark/>
          </w:tcPr>
          <w:p w:rsidR="00000000" w:rsidRDefault="00B46E81">
            <w:pPr>
              <w:ind w:hanging="180"/>
              <w:rPr>
                <w:rFonts w:eastAsia="Times New Roman"/>
                <w:sz w:val="20"/>
                <w:szCs w:val="20"/>
              </w:rPr>
            </w:pPr>
            <w:r>
              <w:rPr>
                <w:rFonts w:eastAsia="Times New Roman"/>
                <w:sz w:val="20"/>
                <w:szCs w:val="20"/>
              </w:rPr>
              <w:t>Total operating expenses</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357,822</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81,863</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886,933</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311,213</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30" w:type="dxa"/>
              <w:right w:w="0" w:type="dxa"/>
            </w:tcMar>
            <w:vAlign w:val="bottom"/>
            <w:hideMark/>
          </w:tcPr>
          <w:p w:rsidR="00000000" w:rsidRDefault="00B46E81">
            <w:pPr>
              <w:ind w:hanging="180"/>
              <w:rPr>
                <w:rFonts w:eastAsia="Times New Roman"/>
                <w:sz w:val="20"/>
                <w:szCs w:val="20"/>
              </w:rPr>
            </w:pPr>
            <w:r>
              <w:rPr>
                <w:rFonts w:eastAsia="Times New Roman"/>
                <w:sz w:val="20"/>
                <w:szCs w:val="20"/>
              </w:rPr>
              <w:t>Loss from operations</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(306,504</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(81,863</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(805,705</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(311,213</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w:t>
            </w:r>
          </w:p>
        </w:tc>
      </w:tr>
      <w:tr w:rsidR="00000000">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Other expense:</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36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Interest expense</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(5,656</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(240,797</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(231,734</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(646,382</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w:t>
            </w:r>
          </w:p>
        </w:tc>
      </w:tr>
      <w:tr w:rsidR="00000000">
        <w:trPr>
          <w:divId w:val="1088308932"/>
        </w:trPr>
        <w:tc>
          <w:tcPr>
            <w:tcW w:w="0" w:type="auto"/>
            <w:tcMar>
              <w:top w:w="0" w:type="dxa"/>
              <w:left w:w="36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Loss on disposal of fixed assets</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divId w:val="828986434"/>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(28,264</w:t>
            </w:r>
          </w:p>
        </w:tc>
        <w:tc>
          <w:tcPr>
            <w:tcW w:w="0" w:type="auto"/>
            <w:vAlign w:val="bottom"/>
            <w:hideMark/>
          </w:tcPr>
          <w:p w:rsidR="00000000" w:rsidRDefault="00B46E81">
            <w:pPr>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divId w:val="2052028382"/>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36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Default penalty of convertible note</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divId w:val="650403562"/>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divId w:val="1533766213"/>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divId w:val="195640316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(162,798</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w:t>
            </w:r>
          </w:p>
        </w:tc>
      </w:tr>
      <w:tr w:rsidR="00000000">
        <w:trPr>
          <w:divId w:val="1088308932"/>
        </w:trPr>
        <w:tc>
          <w:tcPr>
            <w:tcW w:w="0" w:type="auto"/>
            <w:tcMar>
              <w:top w:w="0" w:type="dxa"/>
              <w:left w:w="36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Loss on issuance of convertible debt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divId w:val="175316210"/>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(70,675</w:t>
            </w:r>
          </w:p>
        </w:tc>
        <w:tc>
          <w:tcPr>
            <w:tcW w:w="0" w:type="auto"/>
            <w:vAlign w:val="bottom"/>
            <w:hideMark/>
          </w:tcPr>
          <w:p w:rsidR="00000000" w:rsidRDefault="00B46E81">
            <w:pPr>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divId w:val="1915584222"/>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(612,844</w:t>
            </w:r>
          </w:p>
        </w:tc>
        <w:tc>
          <w:tcPr>
            <w:tcW w:w="0" w:type="auto"/>
            <w:vAlign w:val="bottom"/>
            <w:hideMark/>
          </w:tcPr>
          <w:p w:rsidR="00000000" w:rsidRDefault="00B46E81">
            <w:pPr>
              <w:rPr>
                <w:rFonts w:eastAsia="Times New Roman"/>
                <w:sz w:val="20"/>
                <w:szCs w:val="20"/>
              </w:rPr>
            </w:pPr>
            <w:r>
              <w:rPr>
                <w:rFonts w:eastAsia="Times New Roman"/>
                <w:sz w:val="20"/>
                <w:szCs w:val="20"/>
              </w:rPr>
              <w:t>)</w:t>
            </w:r>
          </w:p>
        </w:tc>
      </w:tr>
      <w:tr w:rsidR="00000000">
        <w:trPr>
          <w:divId w:val="1088308932"/>
        </w:trPr>
        <w:tc>
          <w:tcPr>
            <w:tcW w:w="0" w:type="auto"/>
            <w:shd w:val="clear" w:color="auto" w:fill="CCEEFF"/>
            <w:tcMar>
              <w:top w:w="0" w:type="dxa"/>
              <w:left w:w="360" w:type="dxa"/>
              <w:bottom w:w="30" w:type="dxa"/>
              <w:right w:w="0" w:type="dxa"/>
            </w:tcMar>
            <w:vAlign w:val="bottom"/>
            <w:hideMark/>
          </w:tcPr>
          <w:p w:rsidR="00000000" w:rsidRDefault="00B46E81">
            <w:pPr>
              <w:ind w:hanging="180"/>
              <w:rPr>
                <w:rFonts w:eastAsia="Times New Roman"/>
                <w:sz w:val="20"/>
                <w:szCs w:val="20"/>
              </w:rPr>
            </w:pPr>
            <w:r>
              <w:rPr>
                <w:rFonts w:eastAsia="Times New Roman"/>
                <w:sz w:val="20"/>
                <w:szCs w:val="20"/>
              </w:rPr>
              <w:t>Change in fair value of derivative</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jc w:val="right"/>
              <w:divId w:val="1020860359"/>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(438,824</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(3,048</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(1,934,083</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w:t>
            </w:r>
          </w:p>
        </w:tc>
      </w:tr>
      <w:tr w:rsidR="00000000">
        <w:trPr>
          <w:divId w:val="1088308932"/>
        </w:trPr>
        <w:tc>
          <w:tcPr>
            <w:tcW w:w="0" w:type="auto"/>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Total other expense</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(5,656</w:t>
            </w:r>
          </w:p>
        </w:tc>
        <w:tc>
          <w:tcPr>
            <w:tcW w:w="0" w:type="auto"/>
            <w:vAlign w:val="bottom"/>
            <w:hideMark/>
          </w:tcPr>
          <w:p w:rsidR="00000000" w:rsidRDefault="00B46E81">
            <w:pPr>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(750,296</w:t>
            </w:r>
          </w:p>
        </w:tc>
        <w:tc>
          <w:tcPr>
            <w:tcW w:w="0" w:type="auto"/>
            <w:vAlign w:val="bottom"/>
            <w:hideMark/>
          </w:tcPr>
          <w:p w:rsidR="00000000" w:rsidRDefault="00B46E81">
            <w:pPr>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(263,046</w:t>
            </w:r>
          </w:p>
        </w:tc>
        <w:tc>
          <w:tcPr>
            <w:tcW w:w="0" w:type="auto"/>
            <w:vAlign w:val="bottom"/>
            <w:hideMark/>
          </w:tcPr>
          <w:p w:rsidR="00000000" w:rsidRDefault="00B46E81">
            <w:pPr>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(3,356,107</w:t>
            </w:r>
          </w:p>
        </w:tc>
        <w:tc>
          <w:tcPr>
            <w:tcW w:w="0" w:type="auto"/>
            <w:vAlign w:val="bottom"/>
            <w:hideMark/>
          </w:tcPr>
          <w:p w:rsidR="00000000" w:rsidRDefault="00B46E81">
            <w:pPr>
              <w:rPr>
                <w:rFonts w:eastAsia="Times New Roman"/>
                <w:sz w:val="20"/>
                <w:szCs w:val="20"/>
              </w:rPr>
            </w:pPr>
            <w:r>
              <w:rPr>
                <w:rFonts w:eastAsia="Times New Roman"/>
                <w:sz w:val="20"/>
                <w:szCs w:val="20"/>
              </w:rPr>
              <w:t>)</w:t>
            </w:r>
          </w:p>
        </w:tc>
      </w:tr>
      <w:tr w:rsidR="00000000">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30" w:type="dxa"/>
              <w:right w:w="0" w:type="dxa"/>
            </w:tcMar>
            <w:vAlign w:val="bottom"/>
            <w:hideMark/>
          </w:tcPr>
          <w:p w:rsidR="00000000" w:rsidRDefault="00B46E81">
            <w:pPr>
              <w:ind w:hanging="180"/>
              <w:rPr>
                <w:rFonts w:eastAsia="Times New Roman"/>
                <w:sz w:val="20"/>
                <w:szCs w:val="20"/>
              </w:rPr>
            </w:pPr>
            <w:r>
              <w:rPr>
                <w:rFonts w:eastAsia="Times New Roman"/>
                <w:sz w:val="20"/>
                <w:szCs w:val="20"/>
              </w:rPr>
              <w:t>Loss before income taxes</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(312,160</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(832,159</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(1,068,751</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(3,667,320</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w:t>
            </w:r>
          </w:p>
        </w:tc>
      </w:tr>
      <w:tr w:rsidR="00000000">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30" w:type="dxa"/>
              <w:right w:w="0" w:type="dxa"/>
            </w:tcMar>
            <w:vAlign w:val="bottom"/>
            <w:hideMark/>
          </w:tcPr>
          <w:p w:rsidR="00000000" w:rsidRDefault="00B46E81">
            <w:pPr>
              <w:ind w:hanging="180"/>
              <w:rPr>
                <w:rFonts w:eastAsia="Times New Roman"/>
                <w:sz w:val="20"/>
                <w:szCs w:val="20"/>
              </w:rPr>
            </w:pPr>
            <w:r>
              <w:rPr>
                <w:rFonts w:eastAsia="Times New Roman"/>
                <w:sz w:val="20"/>
                <w:szCs w:val="20"/>
              </w:rPr>
              <w:lastRenderedPageBreak/>
              <w:t>Provision for income taxes</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divId w:val="821197648"/>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divId w:val="1485581992"/>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divId w:val="2049260655"/>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divId w:val="147282747"/>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80" w:type="dxa"/>
              <w:right w:w="0" w:type="dxa"/>
            </w:tcMar>
            <w:vAlign w:val="bottom"/>
            <w:hideMark/>
          </w:tcPr>
          <w:p w:rsidR="00000000" w:rsidRDefault="00B46E81">
            <w:pPr>
              <w:ind w:hanging="180"/>
              <w:rPr>
                <w:rFonts w:eastAsia="Times New Roman"/>
                <w:sz w:val="20"/>
                <w:szCs w:val="20"/>
              </w:rPr>
            </w:pPr>
            <w:r>
              <w:rPr>
                <w:rFonts w:eastAsia="Times New Roman"/>
                <w:sz w:val="20"/>
                <w:szCs w:val="20"/>
              </w:rPr>
              <w:t>Net Loss</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B46E81">
            <w:pPr>
              <w:jc w:val="right"/>
              <w:rPr>
                <w:rFonts w:eastAsia="Times New Roman"/>
                <w:sz w:val="20"/>
                <w:szCs w:val="20"/>
              </w:rPr>
            </w:pPr>
            <w:r>
              <w:rPr>
                <w:rFonts w:eastAsia="Times New Roman"/>
                <w:sz w:val="20"/>
                <w:szCs w:val="20"/>
              </w:rPr>
              <w:t>(312,160</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B46E81">
            <w:pPr>
              <w:jc w:val="right"/>
              <w:rPr>
                <w:rFonts w:eastAsia="Times New Roman"/>
                <w:sz w:val="20"/>
                <w:szCs w:val="20"/>
              </w:rPr>
            </w:pPr>
            <w:r>
              <w:rPr>
                <w:rFonts w:eastAsia="Times New Roman"/>
                <w:sz w:val="20"/>
                <w:szCs w:val="20"/>
              </w:rPr>
              <w:t>(832,159</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B46E81">
            <w:pPr>
              <w:jc w:val="right"/>
              <w:rPr>
                <w:rFonts w:eastAsia="Times New Roman"/>
                <w:sz w:val="20"/>
                <w:szCs w:val="20"/>
              </w:rPr>
            </w:pPr>
            <w:r>
              <w:rPr>
                <w:rFonts w:eastAsia="Times New Roman"/>
                <w:sz w:val="20"/>
                <w:szCs w:val="20"/>
              </w:rPr>
              <w:t>(1,068,751</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B46E81">
            <w:pPr>
              <w:jc w:val="right"/>
              <w:rPr>
                <w:rFonts w:eastAsia="Times New Roman"/>
                <w:sz w:val="20"/>
                <w:szCs w:val="20"/>
              </w:rPr>
            </w:pPr>
            <w:r>
              <w:rPr>
                <w:rFonts w:eastAsia="Times New Roman"/>
                <w:sz w:val="20"/>
                <w:szCs w:val="20"/>
              </w:rPr>
              <w:t>(3,667,320</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w:t>
            </w:r>
          </w:p>
        </w:tc>
      </w:tr>
      <w:tr w:rsidR="00000000">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80" w:type="dxa"/>
              <w:right w:w="0" w:type="dxa"/>
            </w:tcMar>
            <w:vAlign w:val="bottom"/>
            <w:hideMark/>
          </w:tcPr>
          <w:p w:rsidR="00000000" w:rsidRDefault="00B46E81">
            <w:pPr>
              <w:ind w:hanging="180"/>
              <w:divId w:val="459491715"/>
              <w:rPr>
                <w:rFonts w:eastAsia="Times New Roman"/>
                <w:sz w:val="20"/>
                <w:szCs w:val="20"/>
              </w:rPr>
            </w:pPr>
            <w:r>
              <w:rPr>
                <w:rFonts w:eastAsia="Times New Roman"/>
                <w:sz w:val="20"/>
                <w:szCs w:val="20"/>
              </w:rPr>
              <w:t>Net loss per share, basic and diluted</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B46E81">
            <w:pPr>
              <w:jc w:val="right"/>
              <w:rPr>
                <w:rFonts w:eastAsia="Times New Roman"/>
                <w:sz w:val="20"/>
                <w:szCs w:val="20"/>
              </w:rPr>
            </w:pPr>
            <w:r>
              <w:rPr>
                <w:rFonts w:eastAsia="Times New Roman"/>
                <w:sz w:val="20"/>
                <w:szCs w:val="20"/>
              </w:rPr>
              <w:t>(0.00</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B46E81">
            <w:pPr>
              <w:jc w:val="right"/>
              <w:rPr>
                <w:rFonts w:eastAsia="Times New Roman"/>
                <w:sz w:val="20"/>
                <w:szCs w:val="20"/>
              </w:rPr>
            </w:pPr>
            <w:r>
              <w:rPr>
                <w:rFonts w:eastAsia="Times New Roman"/>
                <w:sz w:val="20"/>
                <w:szCs w:val="20"/>
              </w:rPr>
              <w:t>(0.00</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B46E81">
            <w:pPr>
              <w:jc w:val="right"/>
              <w:rPr>
                <w:rFonts w:eastAsia="Times New Roman"/>
                <w:sz w:val="20"/>
                <w:szCs w:val="20"/>
              </w:rPr>
            </w:pPr>
            <w:r>
              <w:rPr>
                <w:rFonts w:eastAsia="Times New Roman"/>
                <w:sz w:val="20"/>
                <w:szCs w:val="20"/>
              </w:rPr>
              <w:t>(0.00</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B46E81">
            <w:pPr>
              <w:jc w:val="right"/>
              <w:rPr>
                <w:rFonts w:eastAsia="Times New Roman"/>
                <w:sz w:val="20"/>
                <w:szCs w:val="20"/>
              </w:rPr>
            </w:pPr>
            <w:r>
              <w:rPr>
                <w:rFonts w:eastAsia="Times New Roman"/>
                <w:sz w:val="20"/>
                <w:szCs w:val="20"/>
              </w:rPr>
              <w:t>(0.01</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w:t>
            </w:r>
          </w:p>
        </w:tc>
      </w:tr>
      <w:tr w:rsidR="00000000">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80" w:type="dxa"/>
              <w:right w:w="0" w:type="dxa"/>
            </w:tcMar>
            <w:vAlign w:val="bottom"/>
            <w:hideMark/>
          </w:tcPr>
          <w:p w:rsidR="00000000" w:rsidRDefault="00B46E81">
            <w:pPr>
              <w:ind w:hanging="180"/>
              <w:divId w:val="1172452955"/>
              <w:rPr>
                <w:rFonts w:eastAsia="Times New Roman"/>
                <w:sz w:val="20"/>
                <w:szCs w:val="20"/>
              </w:rPr>
            </w:pPr>
            <w:r>
              <w:rPr>
                <w:rFonts w:eastAsia="Times New Roman"/>
                <w:sz w:val="20"/>
                <w:szCs w:val="20"/>
              </w:rPr>
              <w:t>Weighted average common shares outstanding, basic and diluted</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jc w:val="right"/>
              <w:rPr>
                <w:rFonts w:eastAsia="Times New Roman"/>
                <w:sz w:val="20"/>
                <w:szCs w:val="20"/>
              </w:rPr>
            </w:pPr>
            <w:r>
              <w:rPr>
                <w:rFonts w:eastAsia="Times New Roman"/>
                <w:sz w:val="20"/>
                <w:szCs w:val="20"/>
              </w:rPr>
              <w:t>1,461,616,601</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jc w:val="right"/>
              <w:rPr>
                <w:rFonts w:eastAsia="Times New Roman"/>
                <w:sz w:val="20"/>
                <w:szCs w:val="20"/>
              </w:rPr>
            </w:pPr>
            <w:r>
              <w:rPr>
                <w:rFonts w:eastAsia="Times New Roman"/>
                <w:sz w:val="20"/>
                <w:szCs w:val="20"/>
              </w:rPr>
              <w:t>691,368,096</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jc w:val="right"/>
              <w:rPr>
                <w:rFonts w:eastAsia="Times New Roman"/>
                <w:sz w:val="20"/>
                <w:szCs w:val="20"/>
              </w:rPr>
            </w:pPr>
            <w:r>
              <w:rPr>
                <w:rFonts w:eastAsia="Times New Roman"/>
                <w:sz w:val="20"/>
                <w:szCs w:val="20"/>
              </w:rPr>
              <w:t>1,435,343,158</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jc w:val="right"/>
              <w:rPr>
                <w:rFonts w:eastAsia="Times New Roman"/>
                <w:sz w:val="20"/>
                <w:szCs w:val="20"/>
              </w:rPr>
            </w:pPr>
            <w:r>
              <w:rPr>
                <w:rFonts w:eastAsia="Times New Roman"/>
                <w:sz w:val="20"/>
                <w:szCs w:val="20"/>
              </w:rPr>
              <w:t>569,840,600</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bl>
    <w:p w:rsidR="00000000" w:rsidRDefault="00B46E81">
      <w:pPr>
        <w:pStyle w:val="a3"/>
        <w:spacing w:before="0" w:beforeAutospacing="0" w:after="0" w:afterAutospacing="0"/>
        <w:jc w:val="center"/>
        <w:divId w:val="1088308932"/>
        <w:rPr>
          <w:sz w:val="20"/>
          <w:szCs w:val="20"/>
        </w:rPr>
      </w:pPr>
      <w:r>
        <w:rPr>
          <w:i/>
          <w:iCs/>
          <w:sz w:val="20"/>
          <w:szCs w:val="20"/>
        </w:rPr>
        <w:t> </w:t>
      </w:r>
    </w:p>
    <w:p w:rsidR="00000000" w:rsidRDefault="00B46E81">
      <w:pPr>
        <w:pStyle w:val="a3"/>
        <w:spacing w:before="0" w:beforeAutospacing="0" w:after="0" w:afterAutospacing="0"/>
        <w:jc w:val="center"/>
        <w:divId w:val="1088308932"/>
        <w:rPr>
          <w:sz w:val="20"/>
          <w:szCs w:val="20"/>
        </w:rPr>
      </w:pPr>
      <w:r>
        <w:rPr>
          <w:i/>
          <w:iCs/>
          <w:sz w:val="20"/>
          <w:szCs w:val="20"/>
        </w:rPr>
        <w:t>The accompanying notes are an integral part of these unaudited condensed financial statements.</w:t>
      </w:r>
    </w:p>
    <w:p w:rsidR="00000000" w:rsidRDefault="00B46E81">
      <w:pPr>
        <w:pStyle w:val="a3"/>
        <w:spacing w:before="0" w:beforeAutospacing="0" w:after="0" w:afterAutospacing="0"/>
        <w:jc w:val="center"/>
        <w:divId w:val="1088308932"/>
        <w:rPr>
          <w:sz w:val="20"/>
          <w:szCs w:val="20"/>
        </w:rPr>
      </w:pPr>
      <w:r>
        <w:rPr>
          <w:sz w:val="20"/>
          <w:szCs w:val="20"/>
        </w:rPr>
        <w:t> </w:t>
      </w:r>
    </w:p>
    <w:p w:rsidR="00000000" w:rsidRDefault="00B46E81">
      <w:pPr>
        <w:pStyle w:val="a3"/>
        <w:spacing w:before="0" w:beforeAutospacing="0" w:after="0" w:afterAutospacing="0"/>
        <w:jc w:val="center"/>
        <w:divId w:val="486093123"/>
        <w:rPr>
          <w:sz w:val="20"/>
          <w:szCs w:val="20"/>
        </w:rPr>
      </w:pPr>
      <w:r>
        <w:rPr>
          <w:sz w:val="20"/>
          <w:szCs w:val="20"/>
        </w:rPr>
        <w:t>3</w:t>
      </w:r>
    </w:p>
    <w:p w:rsidR="00000000" w:rsidRDefault="00B46E81">
      <w:pPr>
        <w:pStyle w:val="a3"/>
        <w:spacing w:before="0" w:beforeAutospacing="0" w:after="0" w:afterAutospacing="0"/>
        <w:divId w:val="1907301481"/>
        <w:rPr>
          <w:sz w:val="20"/>
          <w:szCs w:val="20"/>
        </w:rPr>
      </w:pPr>
      <w:r>
        <w:rPr>
          <w:sz w:val="20"/>
          <w:szCs w:val="20"/>
        </w:rPr>
        <w:t> </w:t>
      </w:r>
    </w:p>
    <w:p w:rsidR="00000000" w:rsidRDefault="00B46E81">
      <w:pPr>
        <w:pStyle w:val="a3"/>
        <w:spacing w:before="0" w:beforeAutospacing="0" w:after="0" w:afterAutospacing="0"/>
        <w:jc w:val="center"/>
        <w:divId w:val="1088308932"/>
        <w:rPr>
          <w:sz w:val="20"/>
          <w:szCs w:val="20"/>
        </w:rPr>
      </w:pPr>
      <w:r>
        <w:rPr>
          <w:sz w:val="20"/>
          <w:szCs w:val="20"/>
        </w:rPr>
        <w:t> </w:t>
      </w:r>
    </w:p>
    <w:p w:rsidR="00000000" w:rsidRDefault="00B46E81">
      <w:pPr>
        <w:pStyle w:val="a3"/>
        <w:spacing w:before="0" w:beforeAutospacing="0" w:after="0" w:afterAutospacing="0"/>
        <w:jc w:val="center"/>
        <w:divId w:val="1088308932"/>
        <w:rPr>
          <w:sz w:val="20"/>
          <w:szCs w:val="20"/>
        </w:rPr>
      </w:pPr>
      <w:r>
        <w:rPr>
          <w:b/>
          <w:bCs/>
          <w:sz w:val="20"/>
          <w:szCs w:val="20"/>
        </w:rPr>
        <w:t>REMSLEEP HOLDINGS, INC.</w:t>
      </w:r>
    </w:p>
    <w:p w:rsidR="00000000" w:rsidRDefault="00B46E81">
      <w:pPr>
        <w:pStyle w:val="a3"/>
        <w:spacing w:before="0" w:beforeAutospacing="0" w:after="0" w:afterAutospacing="0"/>
        <w:jc w:val="center"/>
        <w:divId w:val="1088308932"/>
        <w:rPr>
          <w:sz w:val="20"/>
          <w:szCs w:val="20"/>
        </w:rPr>
      </w:pPr>
      <w:r>
        <w:rPr>
          <w:b/>
          <w:bCs/>
          <w:sz w:val="20"/>
          <w:szCs w:val="20"/>
        </w:rPr>
        <w:t>STATEMENTS OF STOCKHOLDERS’ EQUITY (DEFICIT)</w:t>
      </w:r>
    </w:p>
    <w:p w:rsidR="00000000" w:rsidRDefault="00B46E81">
      <w:pPr>
        <w:pStyle w:val="a3"/>
        <w:spacing w:before="0" w:beforeAutospacing="0" w:after="0" w:afterAutospacing="0"/>
        <w:jc w:val="center"/>
        <w:divId w:val="1088308932"/>
        <w:rPr>
          <w:sz w:val="20"/>
          <w:szCs w:val="20"/>
        </w:rPr>
      </w:pPr>
      <w:r>
        <w:rPr>
          <w:b/>
          <w:bCs/>
          <w:sz w:val="20"/>
          <w:szCs w:val="20"/>
        </w:rPr>
        <w:t xml:space="preserve">FOR </w:t>
      </w:r>
      <w:r>
        <w:rPr>
          <w:b/>
          <w:bCs/>
          <w:sz w:val="20"/>
          <w:szCs w:val="20"/>
        </w:rPr>
        <w:t>THE THREE AND NINE MOTHS ENDED SEPTEMBER 30, 2022 AND 2021</w:t>
      </w:r>
    </w:p>
    <w:p w:rsidR="00000000" w:rsidRDefault="00B46E81">
      <w:pPr>
        <w:pStyle w:val="a3"/>
        <w:pBdr>
          <w:bottom w:val="single" w:sz="12" w:space="0" w:color="000000"/>
        </w:pBdr>
        <w:spacing w:before="0" w:beforeAutospacing="0" w:after="0" w:afterAutospacing="0"/>
        <w:jc w:val="center"/>
        <w:divId w:val="1088308932"/>
        <w:rPr>
          <w:sz w:val="20"/>
          <w:szCs w:val="20"/>
        </w:rPr>
      </w:pPr>
      <w:r>
        <w:rPr>
          <w:b/>
          <w:bCs/>
          <w:sz w:val="20"/>
          <w:szCs w:val="20"/>
        </w:rPr>
        <w:t>(UNAUDITED)</w:t>
      </w:r>
    </w:p>
    <w:p w:rsidR="00000000" w:rsidRDefault="00B46E81">
      <w:pPr>
        <w:pStyle w:val="a3"/>
        <w:spacing w:before="0" w:beforeAutospacing="0" w:after="0" w:afterAutospacing="0"/>
        <w:divId w:val="10883089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410"/>
        <w:gridCol w:w="45"/>
        <w:gridCol w:w="45"/>
        <w:gridCol w:w="720"/>
        <w:gridCol w:w="45"/>
        <w:gridCol w:w="45"/>
        <w:gridCol w:w="91"/>
        <w:gridCol w:w="540"/>
        <w:gridCol w:w="45"/>
        <w:gridCol w:w="45"/>
        <w:gridCol w:w="45"/>
        <w:gridCol w:w="585"/>
        <w:gridCol w:w="45"/>
        <w:gridCol w:w="45"/>
        <w:gridCol w:w="91"/>
        <w:gridCol w:w="540"/>
        <w:gridCol w:w="45"/>
        <w:gridCol w:w="45"/>
        <w:gridCol w:w="45"/>
        <w:gridCol w:w="1035"/>
        <w:gridCol w:w="45"/>
        <w:gridCol w:w="45"/>
        <w:gridCol w:w="90"/>
        <w:gridCol w:w="720"/>
        <w:gridCol w:w="45"/>
        <w:gridCol w:w="45"/>
        <w:gridCol w:w="126"/>
        <w:gridCol w:w="750"/>
        <w:gridCol w:w="60"/>
        <w:gridCol w:w="45"/>
        <w:gridCol w:w="90"/>
        <w:gridCol w:w="810"/>
        <w:gridCol w:w="60"/>
        <w:gridCol w:w="45"/>
        <w:gridCol w:w="146"/>
        <w:gridCol w:w="874"/>
        <w:gridCol w:w="60"/>
        <w:gridCol w:w="45"/>
        <w:gridCol w:w="90"/>
        <w:gridCol w:w="720"/>
        <w:gridCol w:w="60"/>
      </w:tblGrid>
      <w:tr w:rsidR="00000000">
        <w:trPr>
          <w:divId w:val="1088308932"/>
        </w:trPr>
        <w:tc>
          <w:tcPr>
            <w:tcW w:w="0" w:type="auto"/>
            <w:vAlign w:val="bottom"/>
            <w:hideMark/>
          </w:tcPr>
          <w:p w:rsidR="00000000" w:rsidRDefault="00B46E81">
            <w:pPr>
              <w:jc w:val="center"/>
              <w:rPr>
                <w:rFonts w:eastAsia="Times New Roman"/>
                <w:sz w:val="20"/>
                <w:szCs w:val="20"/>
              </w:rPr>
            </w:pPr>
            <w:r>
              <w:rPr>
                <w:rFonts w:eastAsia="Times New Roman"/>
                <w:sz w:val="18"/>
                <w:szCs w:val="18"/>
              </w:rPr>
              <w:t> </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gridSpan w:val="6"/>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18"/>
                <w:szCs w:val="18"/>
              </w:rPr>
              <w:t xml:space="preserve">Series A </w:t>
            </w:r>
            <w:r>
              <w:rPr>
                <w:rFonts w:eastAsia="Times New Roman"/>
                <w:b/>
                <w:bCs/>
                <w:sz w:val="18"/>
                <w:szCs w:val="18"/>
              </w:rPr>
              <w:br/>
              <w:t>Preferred Stock</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gridSpan w:val="6"/>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18"/>
                <w:szCs w:val="18"/>
              </w:rPr>
              <w:t>Series B</w:t>
            </w:r>
            <w:r>
              <w:rPr>
                <w:rFonts w:eastAsia="Times New Roman"/>
                <w:b/>
                <w:bCs/>
                <w:sz w:val="18"/>
                <w:szCs w:val="18"/>
              </w:rPr>
              <w:br/>
              <w:t>Preferred Stock</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gridSpan w:val="6"/>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18"/>
                <w:szCs w:val="18"/>
              </w:rPr>
              <w:t>Common Stock</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gridSpan w:val="2"/>
            <w:vAlign w:val="bottom"/>
            <w:hideMark/>
          </w:tcPr>
          <w:p w:rsidR="00000000" w:rsidRDefault="00B46E81">
            <w:pPr>
              <w:jc w:val="center"/>
              <w:rPr>
                <w:rFonts w:eastAsia="Times New Roman"/>
                <w:b/>
                <w:bCs/>
                <w:sz w:val="20"/>
                <w:szCs w:val="20"/>
              </w:rPr>
            </w:pPr>
            <w:r>
              <w:rPr>
                <w:rFonts w:eastAsia="Times New Roman"/>
                <w:b/>
                <w:bCs/>
                <w:sz w:val="18"/>
                <w:szCs w:val="18"/>
              </w:rPr>
              <w:t>Discount to Common</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gridSpan w:val="2"/>
            <w:vAlign w:val="bottom"/>
            <w:hideMark/>
          </w:tcPr>
          <w:p w:rsidR="00000000" w:rsidRDefault="00B46E81">
            <w:pPr>
              <w:jc w:val="center"/>
              <w:rPr>
                <w:rFonts w:eastAsia="Times New Roman"/>
                <w:b/>
                <w:bCs/>
                <w:sz w:val="20"/>
                <w:szCs w:val="20"/>
              </w:rPr>
            </w:pPr>
            <w:r>
              <w:rPr>
                <w:rFonts w:eastAsia="Times New Roman"/>
                <w:b/>
                <w:bCs/>
                <w:sz w:val="18"/>
                <w:szCs w:val="18"/>
              </w:rPr>
              <w:t>Additional</w:t>
            </w:r>
            <w:r>
              <w:rPr>
                <w:rFonts w:eastAsia="Times New Roman"/>
                <w:b/>
                <w:bCs/>
                <w:sz w:val="18"/>
                <w:szCs w:val="18"/>
              </w:rPr>
              <w:br/>
              <w:t>Paid-in</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gridSpan w:val="2"/>
            <w:vAlign w:val="bottom"/>
            <w:hideMark/>
          </w:tcPr>
          <w:p w:rsidR="00000000" w:rsidRDefault="00B46E81">
            <w:pPr>
              <w:jc w:val="center"/>
              <w:rPr>
                <w:rFonts w:eastAsia="Times New Roman"/>
                <w:b/>
                <w:bCs/>
                <w:sz w:val="20"/>
                <w:szCs w:val="20"/>
              </w:rPr>
            </w:pPr>
            <w:r>
              <w:rPr>
                <w:rFonts w:eastAsia="Times New Roman"/>
                <w:b/>
                <w:bCs/>
                <w:sz w:val="18"/>
                <w:szCs w:val="18"/>
              </w:rPr>
              <w:t>Accumulated</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vAlign w:val="bottom"/>
            <w:hideMark/>
          </w:tcPr>
          <w:p w:rsidR="00000000" w:rsidRDefault="00B46E81">
            <w:pPr>
              <w:jc w:val="center"/>
              <w:rPr>
                <w:rFonts w:eastAsia="Times New Roman"/>
                <w:sz w:val="20"/>
                <w:szCs w:val="20"/>
              </w:rPr>
            </w:pPr>
            <w:r>
              <w:rPr>
                <w:rFonts w:eastAsia="Times New Roman"/>
                <w:sz w:val="18"/>
                <w:szCs w:val="18"/>
              </w:rPr>
              <w:t> </w:t>
            </w:r>
          </w:p>
        </w:tc>
        <w:tc>
          <w:tcPr>
            <w:tcW w:w="0" w:type="auto"/>
            <w:gridSpan w:val="2"/>
            <w:vAlign w:val="bottom"/>
            <w:hideMark/>
          </w:tcPr>
          <w:p w:rsidR="00000000" w:rsidRDefault="00B46E81">
            <w:pPr>
              <w:jc w:val="center"/>
              <w:rPr>
                <w:rFonts w:eastAsia="Times New Roman"/>
                <w:sz w:val="20"/>
                <w:szCs w:val="20"/>
              </w:rPr>
            </w:pPr>
            <w:r>
              <w:rPr>
                <w:rFonts w:eastAsia="Times New Roman"/>
                <w:sz w:val="18"/>
                <w:szCs w:val="18"/>
              </w:rPr>
              <w:t> </w:t>
            </w:r>
          </w:p>
        </w:tc>
        <w:tc>
          <w:tcPr>
            <w:tcW w:w="0" w:type="auto"/>
            <w:vAlign w:val="bottom"/>
            <w:hideMark/>
          </w:tcPr>
          <w:p w:rsidR="00000000" w:rsidRDefault="00B46E81">
            <w:pPr>
              <w:jc w:val="center"/>
              <w:rPr>
                <w:rFonts w:eastAsia="Times New Roman"/>
                <w:sz w:val="20"/>
                <w:szCs w:val="20"/>
              </w:rPr>
            </w:pPr>
            <w:r>
              <w:rPr>
                <w:rFonts w:eastAsia="Times New Roman"/>
                <w:sz w:val="18"/>
                <w:szCs w:val="18"/>
              </w:rPr>
              <w:t> </w:t>
            </w:r>
          </w:p>
        </w:tc>
      </w:tr>
      <w:tr w:rsidR="00000000">
        <w:trPr>
          <w:divId w:val="1088308932"/>
        </w:trPr>
        <w:tc>
          <w:tcPr>
            <w:tcW w:w="0" w:type="auto"/>
            <w:vAlign w:val="bottom"/>
            <w:hideMark/>
          </w:tcPr>
          <w:p w:rsidR="00000000" w:rsidRDefault="00B46E81">
            <w:pPr>
              <w:jc w:val="center"/>
              <w:rPr>
                <w:rFonts w:eastAsia="Times New Roman"/>
                <w:sz w:val="20"/>
                <w:szCs w:val="20"/>
              </w:rPr>
            </w:pPr>
            <w:r>
              <w:rPr>
                <w:rFonts w:eastAsia="Times New Roman"/>
                <w:sz w:val="18"/>
                <w:szCs w:val="18"/>
              </w:rPr>
              <w:t> </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18"/>
                <w:szCs w:val="18"/>
              </w:rPr>
              <w:t>Shares</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18"/>
                <w:szCs w:val="18"/>
              </w:rPr>
              <w:t>Amount</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18"/>
                <w:szCs w:val="18"/>
              </w:rPr>
              <w:t>Shares</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18"/>
                <w:szCs w:val="18"/>
              </w:rPr>
              <w:t>Amount</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18"/>
                <w:szCs w:val="18"/>
              </w:rPr>
              <w:t>Shares</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18"/>
                <w:szCs w:val="18"/>
              </w:rPr>
              <w:t>Amount</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vAlign w:val="bottom"/>
            <w:hideMark/>
          </w:tcPr>
          <w:p w:rsidR="00000000" w:rsidRDefault="00B46E81">
            <w:pPr>
              <w:jc w:val="center"/>
              <w:rPr>
                <w:rFonts w:eastAsia="Times New Roman"/>
                <w:b/>
                <w:bCs/>
                <w:sz w:val="20"/>
                <w:szCs w:val="20"/>
              </w:rPr>
            </w:pP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18"/>
                <w:szCs w:val="18"/>
              </w:rPr>
              <w:t>Stock</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18"/>
                <w:szCs w:val="18"/>
              </w:rPr>
              <w:t>Capital</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18"/>
                <w:szCs w:val="18"/>
              </w:rPr>
              <w:t>Deficit</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18"/>
                <w:szCs w:val="18"/>
              </w:rPr>
              <w:t>Total</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r>
      <w:tr w:rsidR="00B46E81">
        <w:trPr>
          <w:divId w:val="1088308932"/>
        </w:trPr>
        <w:tc>
          <w:tcPr>
            <w:tcW w:w="500" w:type="pct"/>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18"/>
                <w:szCs w:val="18"/>
              </w:rPr>
              <w:t>Balance, December 31, 2021</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300" w:type="pct"/>
            <w:shd w:val="clear" w:color="auto" w:fill="CCEEFF"/>
            <w:vAlign w:val="bottom"/>
            <w:hideMark/>
          </w:tcPr>
          <w:p w:rsidR="00000000" w:rsidRDefault="00B46E81">
            <w:pPr>
              <w:jc w:val="right"/>
              <w:rPr>
                <w:rFonts w:eastAsia="Times New Roman"/>
                <w:sz w:val="20"/>
                <w:szCs w:val="20"/>
              </w:rPr>
            </w:pPr>
            <w:r>
              <w:rPr>
                <w:rFonts w:eastAsia="Times New Roman"/>
                <w:sz w:val="18"/>
                <w:szCs w:val="18"/>
              </w:rPr>
              <w:t>5,000,000</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w:t>
            </w:r>
          </w:p>
        </w:tc>
        <w:tc>
          <w:tcPr>
            <w:tcW w:w="300" w:type="pct"/>
            <w:shd w:val="clear" w:color="auto" w:fill="CCEEFF"/>
            <w:vAlign w:val="bottom"/>
            <w:hideMark/>
          </w:tcPr>
          <w:p w:rsidR="00000000" w:rsidRDefault="00B46E81">
            <w:pPr>
              <w:jc w:val="right"/>
              <w:rPr>
                <w:rFonts w:eastAsia="Times New Roman"/>
                <w:sz w:val="20"/>
                <w:szCs w:val="20"/>
              </w:rPr>
            </w:pPr>
            <w:r>
              <w:rPr>
                <w:rFonts w:eastAsia="Times New Roman"/>
                <w:sz w:val="18"/>
                <w:szCs w:val="18"/>
              </w:rPr>
              <w:t>5,000</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300" w:type="pct"/>
            <w:shd w:val="clear" w:color="auto" w:fill="CCEEFF"/>
            <w:vAlign w:val="bottom"/>
            <w:hideMark/>
          </w:tcPr>
          <w:p w:rsidR="00000000" w:rsidRDefault="00B46E81">
            <w:pPr>
              <w:jc w:val="right"/>
              <w:rPr>
                <w:rFonts w:eastAsia="Times New Roman"/>
                <w:sz w:val="20"/>
                <w:szCs w:val="20"/>
              </w:rPr>
            </w:pPr>
            <w:r>
              <w:rPr>
                <w:rFonts w:eastAsia="Times New Roman"/>
                <w:sz w:val="18"/>
                <w:szCs w:val="18"/>
              </w:rPr>
              <w:t>500,000</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w:t>
            </w:r>
          </w:p>
        </w:tc>
        <w:tc>
          <w:tcPr>
            <w:tcW w:w="300" w:type="pct"/>
            <w:shd w:val="clear" w:color="auto" w:fill="CCEEFF"/>
            <w:vAlign w:val="bottom"/>
            <w:hideMark/>
          </w:tcPr>
          <w:p w:rsidR="00000000" w:rsidRDefault="00B46E81">
            <w:pPr>
              <w:jc w:val="right"/>
              <w:rPr>
                <w:rFonts w:eastAsia="Times New Roman"/>
                <w:sz w:val="20"/>
                <w:szCs w:val="20"/>
              </w:rPr>
            </w:pPr>
            <w:r>
              <w:rPr>
                <w:rFonts w:eastAsia="Times New Roman"/>
                <w:sz w:val="18"/>
                <w:szCs w:val="18"/>
              </w:rPr>
              <w:t>500</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300" w:type="pct"/>
            <w:shd w:val="clear" w:color="auto" w:fill="CCEEFF"/>
            <w:vAlign w:val="bottom"/>
            <w:hideMark/>
          </w:tcPr>
          <w:p w:rsidR="00000000" w:rsidRDefault="00B46E81">
            <w:pPr>
              <w:jc w:val="right"/>
              <w:rPr>
                <w:rFonts w:eastAsia="Times New Roman"/>
                <w:sz w:val="20"/>
                <w:szCs w:val="20"/>
              </w:rPr>
            </w:pPr>
            <w:r>
              <w:rPr>
                <w:rFonts w:eastAsia="Times New Roman"/>
                <w:sz w:val="18"/>
                <w:szCs w:val="18"/>
              </w:rPr>
              <w:t>1,234,008,735</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w:t>
            </w:r>
          </w:p>
        </w:tc>
        <w:tc>
          <w:tcPr>
            <w:tcW w:w="300" w:type="pct"/>
            <w:shd w:val="clear" w:color="auto" w:fill="CCEEFF"/>
            <w:vAlign w:val="bottom"/>
            <w:hideMark/>
          </w:tcPr>
          <w:p w:rsidR="00000000" w:rsidRDefault="00B46E81">
            <w:pPr>
              <w:jc w:val="right"/>
              <w:rPr>
                <w:rFonts w:eastAsia="Times New Roman"/>
                <w:sz w:val="20"/>
                <w:szCs w:val="20"/>
              </w:rPr>
            </w:pPr>
            <w:r>
              <w:rPr>
                <w:rFonts w:eastAsia="Times New Roman"/>
                <w:sz w:val="18"/>
                <w:szCs w:val="18"/>
              </w:rPr>
              <w:t>1,234,006</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w:t>
            </w:r>
          </w:p>
        </w:tc>
        <w:tc>
          <w:tcPr>
            <w:tcW w:w="300" w:type="pct"/>
            <w:shd w:val="clear" w:color="auto" w:fill="CCEEFF"/>
            <w:vAlign w:val="bottom"/>
            <w:hideMark/>
          </w:tcPr>
          <w:p w:rsidR="00000000" w:rsidRDefault="00B46E81">
            <w:pPr>
              <w:jc w:val="right"/>
              <w:rPr>
                <w:rFonts w:eastAsia="Times New Roman"/>
                <w:sz w:val="20"/>
                <w:szCs w:val="20"/>
              </w:rPr>
            </w:pPr>
            <w:r>
              <w:rPr>
                <w:rFonts w:eastAsia="Times New Roman"/>
                <w:sz w:val="18"/>
                <w:szCs w:val="18"/>
              </w:rPr>
              <w:t>   (94,708</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w:t>
            </w:r>
          </w:p>
        </w:tc>
        <w:tc>
          <w:tcPr>
            <w:tcW w:w="300" w:type="pct"/>
            <w:shd w:val="clear" w:color="auto" w:fill="CCEEFF"/>
            <w:vAlign w:val="bottom"/>
            <w:hideMark/>
          </w:tcPr>
          <w:p w:rsidR="00000000" w:rsidRDefault="00B46E81">
            <w:pPr>
              <w:jc w:val="right"/>
              <w:rPr>
                <w:rFonts w:eastAsia="Times New Roman"/>
                <w:sz w:val="20"/>
                <w:szCs w:val="20"/>
              </w:rPr>
            </w:pPr>
            <w:r>
              <w:rPr>
                <w:rFonts w:eastAsia="Times New Roman"/>
                <w:sz w:val="18"/>
                <w:szCs w:val="18"/>
              </w:rPr>
              <w:t>11,865,439</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w:t>
            </w:r>
          </w:p>
        </w:tc>
        <w:tc>
          <w:tcPr>
            <w:tcW w:w="300" w:type="pct"/>
            <w:shd w:val="clear" w:color="auto" w:fill="CCEEFF"/>
            <w:vAlign w:val="bottom"/>
            <w:hideMark/>
          </w:tcPr>
          <w:p w:rsidR="00000000" w:rsidRDefault="00B46E81">
            <w:pPr>
              <w:jc w:val="right"/>
              <w:rPr>
                <w:rFonts w:eastAsia="Times New Roman"/>
                <w:sz w:val="20"/>
                <w:szCs w:val="20"/>
              </w:rPr>
            </w:pPr>
            <w:r>
              <w:rPr>
                <w:rFonts w:eastAsia="Times New Roman"/>
                <w:sz w:val="18"/>
                <w:szCs w:val="18"/>
              </w:rPr>
              <w:t>(10,391,615</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w:t>
            </w:r>
          </w:p>
        </w:tc>
        <w:tc>
          <w:tcPr>
            <w:tcW w:w="300" w:type="pct"/>
            <w:shd w:val="clear" w:color="auto" w:fill="CCEEFF"/>
            <w:vAlign w:val="bottom"/>
            <w:hideMark/>
          </w:tcPr>
          <w:p w:rsidR="00000000" w:rsidRDefault="00B46E81">
            <w:pPr>
              <w:jc w:val="right"/>
              <w:rPr>
                <w:rFonts w:eastAsia="Times New Roman"/>
                <w:sz w:val="20"/>
                <w:szCs w:val="20"/>
              </w:rPr>
            </w:pPr>
            <w:r>
              <w:rPr>
                <w:rFonts w:eastAsia="Times New Roman"/>
                <w:sz w:val="18"/>
                <w:szCs w:val="18"/>
              </w:rPr>
              <w:t>2,618,622</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r>
      <w:tr w:rsidR="00000000">
        <w:trPr>
          <w:divId w:val="1088308932"/>
        </w:trPr>
        <w:tc>
          <w:tcPr>
            <w:tcW w:w="0" w:type="auto"/>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18"/>
                <w:szCs w:val="18"/>
              </w:rPr>
              <w:t>Common stock issued for conversion of debt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34,799,374</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34,801</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505,036</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539,837</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r>
      <w:tr w:rsidR="00B46E81">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18"/>
                <w:szCs w:val="18"/>
              </w:rPr>
              <w:t>Common stock issued for cash</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114,000,000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114,000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741,000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855,000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r>
      <w:tr w:rsidR="00000000">
        <w:trPr>
          <w:divId w:val="1088308932"/>
        </w:trPr>
        <w:tc>
          <w:tcPr>
            <w:tcW w:w="0" w:type="auto"/>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18"/>
                <w:szCs w:val="18"/>
              </w:rPr>
              <w:t>Warrants converted to common stock</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70,128,204</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70,128</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(70,128</w:t>
            </w:r>
          </w:p>
        </w:tc>
        <w:tc>
          <w:tcPr>
            <w:tcW w:w="0" w:type="auto"/>
            <w:vAlign w:val="bottom"/>
            <w:hideMark/>
          </w:tcPr>
          <w:p w:rsidR="00000000" w:rsidRDefault="00B46E81">
            <w:pPr>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r>
      <w:tr w:rsidR="00B46E81">
        <w:trPr>
          <w:divId w:val="1088308932"/>
        </w:trPr>
        <w:tc>
          <w:tcPr>
            <w:tcW w:w="0" w:type="auto"/>
            <w:shd w:val="clear" w:color="auto" w:fill="CCEEFF"/>
            <w:tcMar>
              <w:top w:w="0" w:type="dxa"/>
              <w:left w:w="180" w:type="dxa"/>
              <w:bottom w:w="30" w:type="dxa"/>
              <w:right w:w="0" w:type="dxa"/>
            </w:tcMar>
            <w:vAlign w:val="bottom"/>
            <w:hideMark/>
          </w:tcPr>
          <w:p w:rsidR="00000000" w:rsidRDefault="00B46E81">
            <w:pPr>
              <w:ind w:hanging="180"/>
              <w:rPr>
                <w:rFonts w:eastAsia="Times New Roman"/>
                <w:sz w:val="20"/>
                <w:szCs w:val="20"/>
              </w:rPr>
            </w:pPr>
            <w:r>
              <w:rPr>
                <w:rFonts w:eastAsia="Times New Roman"/>
                <w:sz w:val="18"/>
                <w:szCs w:val="18"/>
              </w:rPr>
              <w:t>Net Loss</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(316,299</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(316,299</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w:t>
            </w:r>
          </w:p>
        </w:tc>
      </w:tr>
      <w:tr w:rsidR="00000000">
        <w:trPr>
          <w:divId w:val="1088308932"/>
        </w:trPr>
        <w:tc>
          <w:tcPr>
            <w:tcW w:w="0" w:type="auto"/>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18"/>
                <w:szCs w:val="18"/>
              </w:rPr>
              <w:t>Balance, March 31, 2022</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5,000,000</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5,000</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500,000</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500</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1,452,936,313</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1,452,935</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(94,708</w:t>
            </w:r>
          </w:p>
        </w:tc>
        <w:tc>
          <w:tcPr>
            <w:tcW w:w="0" w:type="auto"/>
            <w:vAlign w:val="bottom"/>
            <w:hideMark/>
          </w:tcPr>
          <w:p w:rsidR="00000000" w:rsidRDefault="00B46E81">
            <w:pPr>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13,041,347</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(10,707,914</w:t>
            </w:r>
          </w:p>
        </w:tc>
        <w:tc>
          <w:tcPr>
            <w:tcW w:w="0" w:type="auto"/>
            <w:vAlign w:val="bottom"/>
            <w:hideMark/>
          </w:tcPr>
          <w:p w:rsidR="00000000" w:rsidRDefault="00B46E81">
            <w:pPr>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3,697,160</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r>
      <w:tr w:rsidR="00B46E81">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18"/>
                <w:szCs w:val="18"/>
              </w:rPr>
              <w:t xml:space="preserve">Common </w:t>
            </w:r>
            <w:r>
              <w:rPr>
                <w:rFonts w:eastAsia="Times New Roman"/>
                <w:sz w:val="18"/>
                <w:szCs w:val="18"/>
              </w:rPr>
              <w:t>stock issued for conversion of debt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8,680,288</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8,680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172,973</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181,653</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r>
      <w:tr w:rsidR="00000000">
        <w:trPr>
          <w:divId w:val="1088308932"/>
        </w:trPr>
        <w:tc>
          <w:tcPr>
            <w:tcW w:w="0" w:type="auto"/>
            <w:tcMar>
              <w:top w:w="0" w:type="dxa"/>
              <w:left w:w="180" w:type="dxa"/>
              <w:bottom w:w="30" w:type="dxa"/>
              <w:right w:w="0" w:type="dxa"/>
            </w:tcMar>
            <w:vAlign w:val="bottom"/>
            <w:hideMark/>
          </w:tcPr>
          <w:p w:rsidR="00000000" w:rsidRDefault="00B46E81">
            <w:pPr>
              <w:ind w:hanging="180"/>
              <w:rPr>
                <w:rFonts w:eastAsia="Times New Roman"/>
                <w:sz w:val="20"/>
                <w:szCs w:val="20"/>
              </w:rPr>
            </w:pPr>
            <w:r>
              <w:rPr>
                <w:rFonts w:eastAsia="Times New Roman"/>
                <w:sz w:val="18"/>
                <w:szCs w:val="18"/>
              </w:rPr>
              <w:t>Net Loss</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18"/>
                <w:szCs w:val="18"/>
              </w:rPr>
              <w:t>(440,292</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18"/>
                <w:szCs w:val="18"/>
              </w:rPr>
              <w:t>(440,292</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w:t>
            </w:r>
          </w:p>
        </w:tc>
      </w:tr>
      <w:tr w:rsidR="00B46E81">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18"/>
                <w:szCs w:val="18"/>
              </w:rPr>
              <w:t>Balance, June 30, 2022</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5,000,000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5,000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500,000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500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1,461,616,601</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1,461,615</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(94,708</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13,214,320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(11,148,206</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3,438,521</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r>
      <w:tr w:rsidR="00000000">
        <w:trPr>
          <w:divId w:val="1088308932"/>
        </w:trPr>
        <w:tc>
          <w:tcPr>
            <w:tcW w:w="0" w:type="auto"/>
            <w:tcMar>
              <w:top w:w="0" w:type="dxa"/>
              <w:left w:w="180" w:type="dxa"/>
              <w:bottom w:w="30" w:type="dxa"/>
              <w:right w:w="0" w:type="dxa"/>
            </w:tcMar>
            <w:vAlign w:val="bottom"/>
            <w:hideMark/>
          </w:tcPr>
          <w:p w:rsidR="00000000" w:rsidRDefault="00B46E81">
            <w:pPr>
              <w:ind w:hanging="180"/>
              <w:rPr>
                <w:rFonts w:eastAsia="Times New Roman"/>
                <w:sz w:val="20"/>
                <w:szCs w:val="20"/>
              </w:rPr>
            </w:pPr>
            <w:r>
              <w:rPr>
                <w:rFonts w:eastAsia="Times New Roman"/>
                <w:sz w:val="18"/>
                <w:szCs w:val="18"/>
              </w:rPr>
              <w:t>Net Loss</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18"/>
                <w:szCs w:val="18"/>
              </w:rPr>
              <w:t>(</w:t>
            </w:r>
            <w:r>
              <w:rPr>
                <w:rFonts w:eastAsia="Times New Roman"/>
                <w:sz w:val="18"/>
                <w:szCs w:val="18"/>
              </w:rPr>
              <w:t>312,160</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18"/>
                <w:szCs w:val="18"/>
              </w:rPr>
              <w:t>(312,160</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w:t>
            </w:r>
          </w:p>
        </w:tc>
      </w:tr>
      <w:tr w:rsidR="00B46E81">
        <w:trPr>
          <w:divId w:val="1088308932"/>
        </w:trPr>
        <w:tc>
          <w:tcPr>
            <w:tcW w:w="0" w:type="auto"/>
            <w:shd w:val="clear" w:color="auto" w:fill="CCEEFF"/>
            <w:tcMar>
              <w:top w:w="0" w:type="dxa"/>
              <w:left w:w="180" w:type="dxa"/>
              <w:bottom w:w="80" w:type="dxa"/>
              <w:right w:w="0" w:type="dxa"/>
            </w:tcMar>
            <w:vAlign w:val="bottom"/>
            <w:hideMark/>
          </w:tcPr>
          <w:p w:rsidR="00000000" w:rsidRDefault="00B46E81">
            <w:pPr>
              <w:ind w:hanging="180"/>
              <w:rPr>
                <w:rFonts w:eastAsia="Times New Roman"/>
                <w:sz w:val="20"/>
                <w:szCs w:val="20"/>
              </w:rPr>
            </w:pPr>
            <w:r>
              <w:rPr>
                <w:rFonts w:eastAsia="Times New Roman"/>
                <w:sz w:val="18"/>
                <w:szCs w:val="18"/>
              </w:rPr>
              <w:t>Balance, September 30, 2022</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doub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doub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5,000,000</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doub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w:t>
            </w:r>
          </w:p>
        </w:tc>
        <w:tc>
          <w:tcPr>
            <w:tcW w:w="0" w:type="auto"/>
            <w:tcBorders>
              <w:bottom w:val="doub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5,000</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doub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doub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500,000</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doub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w:t>
            </w:r>
          </w:p>
        </w:tc>
        <w:tc>
          <w:tcPr>
            <w:tcW w:w="0" w:type="auto"/>
            <w:tcBorders>
              <w:bottom w:val="doub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500</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doub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doub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1,461,616,601</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doub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w:t>
            </w:r>
          </w:p>
        </w:tc>
        <w:tc>
          <w:tcPr>
            <w:tcW w:w="0" w:type="auto"/>
            <w:tcBorders>
              <w:bottom w:val="doub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1,461,615</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doub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w:t>
            </w:r>
          </w:p>
        </w:tc>
        <w:tc>
          <w:tcPr>
            <w:tcW w:w="0" w:type="auto"/>
            <w:tcBorders>
              <w:bottom w:val="doub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(94,708</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doub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w:t>
            </w:r>
          </w:p>
        </w:tc>
        <w:tc>
          <w:tcPr>
            <w:tcW w:w="0" w:type="auto"/>
            <w:tcBorders>
              <w:bottom w:val="doub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13,214,320</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doub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w:t>
            </w:r>
          </w:p>
        </w:tc>
        <w:tc>
          <w:tcPr>
            <w:tcW w:w="0" w:type="auto"/>
            <w:tcBorders>
              <w:bottom w:val="doub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(11,460,366</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doub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w:t>
            </w:r>
          </w:p>
        </w:tc>
        <w:tc>
          <w:tcPr>
            <w:tcW w:w="0" w:type="auto"/>
            <w:tcBorders>
              <w:bottom w:val="doub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3,126,361</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r>
    </w:tbl>
    <w:p w:rsidR="00000000" w:rsidRDefault="00B46E81">
      <w:pPr>
        <w:pStyle w:val="a3"/>
        <w:spacing w:before="0" w:beforeAutospacing="0" w:after="0" w:afterAutospacing="0"/>
        <w:jc w:val="center"/>
        <w:divId w:val="10883089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990"/>
        <w:gridCol w:w="45"/>
        <w:gridCol w:w="45"/>
        <w:gridCol w:w="720"/>
        <w:gridCol w:w="45"/>
        <w:gridCol w:w="45"/>
        <w:gridCol w:w="90"/>
        <w:gridCol w:w="585"/>
        <w:gridCol w:w="45"/>
        <w:gridCol w:w="45"/>
        <w:gridCol w:w="45"/>
        <w:gridCol w:w="585"/>
        <w:gridCol w:w="45"/>
        <w:gridCol w:w="45"/>
        <w:gridCol w:w="91"/>
        <w:gridCol w:w="540"/>
        <w:gridCol w:w="45"/>
        <w:gridCol w:w="45"/>
        <w:gridCol w:w="45"/>
        <w:gridCol w:w="900"/>
        <w:gridCol w:w="45"/>
        <w:gridCol w:w="45"/>
        <w:gridCol w:w="90"/>
        <w:gridCol w:w="585"/>
        <w:gridCol w:w="45"/>
        <w:gridCol w:w="45"/>
        <w:gridCol w:w="90"/>
        <w:gridCol w:w="810"/>
        <w:gridCol w:w="60"/>
        <w:gridCol w:w="45"/>
        <w:gridCol w:w="146"/>
        <w:gridCol w:w="874"/>
        <w:gridCol w:w="60"/>
        <w:gridCol w:w="45"/>
        <w:gridCol w:w="90"/>
        <w:gridCol w:w="780"/>
        <w:gridCol w:w="60"/>
      </w:tblGrid>
      <w:tr w:rsidR="00000000">
        <w:trPr>
          <w:divId w:val="1088308932"/>
        </w:trPr>
        <w:tc>
          <w:tcPr>
            <w:tcW w:w="0" w:type="auto"/>
            <w:vAlign w:val="bottom"/>
            <w:hideMark/>
          </w:tcPr>
          <w:p w:rsidR="00000000" w:rsidRDefault="00B46E81">
            <w:pPr>
              <w:jc w:val="center"/>
              <w:rPr>
                <w:rFonts w:eastAsia="Times New Roman"/>
                <w:sz w:val="20"/>
                <w:szCs w:val="20"/>
              </w:rPr>
            </w:pPr>
            <w:r>
              <w:rPr>
                <w:rFonts w:eastAsia="Times New Roman"/>
                <w:sz w:val="18"/>
                <w:szCs w:val="18"/>
              </w:rPr>
              <w:t> </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gridSpan w:val="6"/>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18"/>
                <w:szCs w:val="18"/>
              </w:rPr>
              <w:t>Series A</w:t>
            </w:r>
            <w:r>
              <w:rPr>
                <w:rFonts w:eastAsia="Times New Roman"/>
                <w:b/>
                <w:bCs/>
                <w:sz w:val="18"/>
                <w:szCs w:val="18"/>
              </w:rPr>
              <w:br/>
              <w:t>Preferred Stock</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gridSpan w:val="6"/>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18"/>
                <w:szCs w:val="18"/>
              </w:rPr>
              <w:t>Series B</w:t>
            </w:r>
            <w:r>
              <w:rPr>
                <w:rFonts w:eastAsia="Times New Roman"/>
                <w:b/>
                <w:bCs/>
                <w:sz w:val="18"/>
                <w:szCs w:val="18"/>
              </w:rPr>
              <w:br/>
              <w:t>Preferred Stock</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gridSpan w:val="6"/>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18"/>
                <w:szCs w:val="18"/>
              </w:rPr>
              <w:t>Common Stock</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gridSpan w:val="2"/>
            <w:vAlign w:val="bottom"/>
            <w:hideMark/>
          </w:tcPr>
          <w:p w:rsidR="00000000" w:rsidRDefault="00B46E81">
            <w:pPr>
              <w:jc w:val="center"/>
              <w:rPr>
                <w:rFonts w:eastAsia="Times New Roman"/>
                <w:b/>
                <w:bCs/>
                <w:sz w:val="20"/>
                <w:szCs w:val="20"/>
              </w:rPr>
            </w:pPr>
            <w:r>
              <w:rPr>
                <w:rFonts w:eastAsia="Times New Roman"/>
                <w:b/>
                <w:bCs/>
                <w:sz w:val="18"/>
                <w:szCs w:val="18"/>
              </w:rPr>
              <w:t>Additional</w:t>
            </w:r>
            <w:r>
              <w:rPr>
                <w:rFonts w:eastAsia="Times New Roman"/>
                <w:b/>
                <w:bCs/>
                <w:sz w:val="18"/>
                <w:szCs w:val="18"/>
              </w:rPr>
              <w:br/>
              <w:t>Paid-in</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gridSpan w:val="2"/>
            <w:vAlign w:val="bottom"/>
            <w:hideMark/>
          </w:tcPr>
          <w:p w:rsidR="00000000" w:rsidRDefault="00B46E81">
            <w:pPr>
              <w:jc w:val="center"/>
              <w:rPr>
                <w:rFonts w:eastAsia="Times New Roman"/>
                <w:b/>
                <w:bCs/>
                <w:sz w:val="20"/>
                <w:szCs w:val="20"/>
              </w:rPr>
            </w:pPr>
            <w:r>
              <w:rPr>
                <w:rFonts w:eastAsia="Times New Roman"/>
                <w:b/>
                <w:bCs/>
                <w:sz w:val="18"/>
                <w:szCs w:val="18"/>
              </w:rPr>
              <w:t>Accumulated</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vAlign w:val="bottom"/>
            <w:hideMark/>
          </w:tcPr>
          <w:p w:rsidR="00000000" w:rsidRDefault="00B46E81">
            <w:pPr>
              <w:jc w:val="center"/>
              <w:rPr>
                <w:rFonts w:eastAsia="Times New Roman"/>
                <w:sz w:val="20"/>
                <w:szCs w:val="20"/>
              </w:rPr>
            </w:pPr>
            <w:r>
              <w:rPr>
                <w:rFonts w:eastAsia="Times New Roman"/>
                <w:sz w:val="18"/>
                <w:szCs w:val="18"/>
              </w:rPr>
              <w:t> </w:t>
            </w:r>
          </w:p>
        </w:tc>
        <w:tc>
          <w:tcPr>
            <w:tcW w:w="0" w:type="auto"/>
            <w:gridSpan w:val="2"/>
            <w:vAlign w:val="bottom"/>
            <w:hideMark/>
          </w:tcPr>
          <w:p w:rsidR="00000000" w:rsidRDefault="00B46E81">
            <w:pPr>
              <w:jc w:val="center"/>
              <w:rPr>
                <w:rFonts w:eastAsia="Times New Roman"/>
                <w:sz w:val="20"/>
                <w:szCs w:val="20"/>
              </w:rPr>
            </w:pPr>
            <w:r>
              <w:rPr>
                <w:rFonts w:eastAsia="Times New Roman"/>
                <w:sz w:val="18"/>
                <w:szCs w:val="18"/>
              </w:rPr>
              <w:t> </w:t>
            </w:r>
          </w:p>
        </w:tc>
        <w:tc>
          <w:tcPr>
            <w:tcW w:w="0" w:type="auto"/>
            <w:vAlign w:val="bottom"/>
            <w:hideMark/>
          </w:tcPr>
          <w:p w:rsidR="00000000" w:rsidRDefault="00B46E81">
            <w:pPr>
              <w:jc w:val="center"/>
              <w:rPr>
                <w:rFonts w:eastAsia="Times New Roman"/>
                <w:sz w:val="20"/>
                <w:szCs w:val="20"/>
              </w:rPr>
            </w:pPr>
            <w:r>
              <w:rPr>
                <w:rFonts w:eastAsia="Times New Roman"/>
                <w:sz w:val="18"/>
                <w:szCs w:val="18"/>
              </w:rPr>
              <w:t> </w:t>
            </w:r>
          </w:p>
        </w:tc>
      </w:tr>
      <w:tr w:rsidR="00000000">
        <w:trPr>
          <w:divId w:val="1088308932"/>
        </w:trPr>
        <w:tc>
          <w:tcPr>
            <w:tcW w:w="0" w:type="auto"/>
            <w:vAlign w:val="bottom"/>
            <w:hideMark/>
          </w:tcPr>
          <w:p w:rsidR="00000000" w:rsidRDefault="00B46E81">
            <w:pPr>
              <w:jc w:val="center"/>
              <w:rPr>
                <w:rFonts w:eastAsia="Times New Roman"/>
                <w:sz w:val="20"/>
                <w:szCs w:val="20"/>
              </w:rPr>
            </w:pPr>
            <w:r>
              <w:rPr>
                <w:rFonts w:eastAsia="Times New Roman"/>
                <w:sz w:val="18"/>
                <w:szCs w:val="18"/>
              </w:rPr>
              <w:t> </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18"/>
                <w:szCs w:val="18"/>
              </w:rPr>
              <w:t>Shares</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18"/>
                <w:szCs w:val="18"/>
              </w:rPr>
              <w:t>Amount</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18"/>
                <w:szCs w:val="18"/>
              </w:rPr>
              <w:t>Shares</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18"/>
                <w:szCs w:val="18"/>
              </w:rPr>
              <w:t>Amount</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18"/>
                <w:szCs w:val="18"/>
              </w:rPr>
              <w:t>Shares</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18"/>
                <w:szCs w:val="18"/>
              </w:rPr>
              <w:t>Amount</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18"/>
                <w:szCs w:val="18"/>
              </w:rPr>
              <w:t>Capital</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18"/>
                <w:szCs w:val="18"/>
              </w:rPr>
              <w:t>Deficit</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18"/>
                <w:szCs w:val="18"/>
              </w:rPr>
              <w:t>Total</w:t>
            </w:r>
          </w:p>
        </w:tc>
        <w:tc>
          <w:tcPr>
            <w:tcW w:w="0" w:type="auto"/>
            <w:vAlign w:val="bottom"/>
            <w:hideMark/>
          </w:tcPr>
          <w:p w:rsidR="00000000" w:rsidRDefault="00B46E81">
            <w:pPr>
              <w:jc w:val="center"/>
              <w:rPr>
                <w:rFonts w:eastAsia="Times New Roman"/>
                <w:b/>
                <w:bCs/>
                <w:sz w:val="20"/>
                <w:szCs w:val="20"/>
              </w:rPr>
            </w:pPr>
            <w:r>
              <w:rPr>
                <w:rFonts w:eastAsia="Times New Roman"/>
                <w:b/>
                <w:bCs/>
                <w:sz w:val="18"/>
                <w:szCs w:val="18"/>
              </w:rPr>
              <w:t> </w:t>
            </w:r>
          </w:p>
        </w:tc>
      </w:tr>
      <w:tr w:rsidR="00B46E81">
        <w:trPr>
          <w:divId w:val="1088308932"/>
        </w:trPr>
        <w:tc>
          <w:tcPr>
            <w:tcW w:w="950" w:type="pct"/>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18"/>
                <w:szCs w:val="18"/>
              </w:rPr>
              <w:t xml:space="preserve">Balance, </w:t>
            </w:r>
            <w:r>
              <w:rPr>
                <w:rFonts w:eastAsia="Times New Roman"/>
                <w:sz w:val="18"/>
                <w:szCs w:val="18"/>
              </w:rPr>
              <w:t>December 31, 2020</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300" w:type="pct"/>
            <w:shd w:val="clear" w:color="auto" w:fill="CCEEFF"/>
            <w:vAlign w:val="bottom"/>
            <w:hideMark/>
          </w:tcPr>
          <w:p w:rsidR="00000000" w:rsidRDefault="00B46E81">
            <w:pPr>
              <w:jc w:val="right"/>
              <w:rPr>
                <w:rFonts w:eastAsia="Times New Roman"/>
                <w:sz w:val="20"/>
                <w:szCs w:val="20"/>
              </w:rPr>
            </w:pPr>
            <w:r>
              <w:rPr>
                <w:rFonts w:eastAsia="Times New Roman"/>
                <w:sz w:val="18"/>
                <w:szCs w:val="18"/>
              </w:rPr>
              <w:t>5,000,000</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w:t>
            </w:r>
          </w:p>
        </w:tc>
        <w:tc>
          <w:tcPr>
            <w:tcW w:w="300" w:type="pct"/>
            <w:shd w:val="clear" w:color="auto" w:fill="CCEEFF"/>
            <w:vAlign w:val="bottom"/>
            <w:hideMark/>
          </w:tcPr>
          <w:p w:rsidR="00000000" w:rsidRDefault="00B46E81">
            <w:pPr>
              <w:jc w:val="right"/>
              <w:rPr>
                <w:rFonts w:eastAsia="Times New Roman"/>
                <w:sz w:val="20"/>
                <w:szCs w:val="20"/>
              </w:rPr>
            </w:pPr>
            <w:r>
              <w:rPr>
                <w:rFonts w:eastAsia="Times New Roman"/>
                <w:sz w:val="18"/>
                <w:szCs w:val="18"/>
              </w:rPr>
              <w:t>126,000</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300" w:type="pct"/>
            <w:shd w:val="clear" w:color="auto" w:fill="CCEEFF"/>
            <w:vAlign w:val="bottom"/>
            <w:hideMark/>
          </w:tcPr>
          <w:p w:rsidR="00000000" w:rsidRDefault="00B46E81">
            <w:pPr>
              <w:jc w:val="right"/>
              <w:rPr>
                <w:rFonts w:eastAsia="Times New Roman"/>
                <w:sz w:val="20"/>
                <w:szCs w:val="20"/>
              </w:rPr>
            </w:pPr>
            <w:r>
              <w:rPr>
                <w:rFonts w:eastAsia="Times New Roman"/>
                <w:sz w:val="18"/>
                <w:szCs w:val="18"/>
              </w:rPr>
              <w:t>500,000</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w:t>
            </w:r>
          </w:p>
        </w:tc>
        <w:tc>
          <w:tcPr>
            <w:tcW w:w="300" w:type="pct"/>
            <w:shd w:val="clear" w:color="auto" w:fill="CCEEFF"/>
            <w:vAlign w:val="bottom"/>
            <w:hideMark/>
          </w:tcPr>
          <w:p w:rsidR="00000000" w:rsidRDefault="00B46E81">
            <w:pPr>
              <w:jc w:val="right"/>
              <w:rPr>
                <w:rFonts w:eastAsia="Times New Roman"/>
                <w:sz w:val="20"/>
                <w:szCs w:val="20"/>
              </w:rPr>
            </w:pPr>
            <w:r>
              <w:rPr>
                <w:rFonts w:eastAsia="Times New Roman"/>
                <w:sz w:val="18"/>
                <w:szCs w:val="18"/>
              </w:rPr>
              <w:t>500</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300" w:type="pct"/>
            <w:shd w:val="clear" w:color="auto" w:fill="CCEEFF"/>
            <w:vAlign w:val="bottom"/>
            <w:hideMark/>
          </w:tcPr>
          <w:p w:rsidR="00000000" w:rsidRDefault="00B46E81">
            <w:pPr>
              <w:jc w:val="right"/>
              <w:rPr>
                <w:rFonts w:eastAsia="Times New Roman"/>
                <w:sz w:val="20"/>
                <w:szCs w:val="20"/>
              </w:rPr>
            </w:pPr>
            <w:r>
              <w:rPr>
                <w:rFonts w:eastAsia="Times New Roman"/>
                <w:sz w:val="18"/>
                <w:szCs w:val="18"/>
              </w:rPr>
              <w:t>368,063,606</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w:t>
            </w:r>
          </w:p>
        </w:tc>
        <w:tc>
          <w:tcPr>
            <w:tcW w:w="300" w:type="pct"/>
            <w:shd w:val="clear" w:color="auto" w:fill="CCEEFF"/>
            <w:vAlign w:val="bottom"/>
            <w:hideMark/>
          </w:tcPr>
          <w:p w:rsidR="00000000" w:rsidRDefault="00B46E81">
            <w:pPr>
              <w:jc w:val="right"/>
              <w:rPr>
                <w:rFonts w:eastAsia="Times New Roman"/>
                <w:sz w:val="20"/>
                <w:szCs w:val="20"/>
              </w:rPr>
            </w:pPr>
            <w:r>
              <w:rPr>
                <w:rFonts w:eastAsia="Times New Roman"/>
                <w:sz w:val="18"/>
                <w:szCs w:val="18"/>
              </w:rPr>
              <w:t>368,061</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w:t>
            </w:r>
          </w:p>
        </w:tc>
        <w:tc>
          <w:tcPr>
            <w:tcW w:w="300" w:type="pct"/>
            <w:shd w:val="clear" w:color="auto" w:fill="CCEEFF"/>
            <w:vAlign w:val="bottom"/>
            <w:hideMark/>
          </w:tcPr>
          <w:p w:rsidR="00000000" w:rsidRDefault="00B46E81">
            <w:pPr>
              <w:jc w:val="right"/>
              <w:rPr>
                <w:rFonts w:eastAsia="Times New Roman"/>
                <w:sz w:val="20"/>
                <w:szCs w:val="20"/>
              </w:rPr>
            </w:pPr>
            <w:r>
              <w:rPr>
                <w:rFonts w:eastAsia="Times New Roman"/>
                <w:sz w:val="18"/>
                <w:szCs w:val="18"/>
              </w:rPr>
              <w:t>5,200,885</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w:t>
            </w:r>
          </w:p>
        </w:tc>
        <w:tc>
          <w:tcPr>
            <w:tcW w:w="300" w:type="pct"/>
            <w:shd w:val="clear" w:color="auto" w:fill="CCEEFF"/>
            <w:vAlign w:val="bottom"/>
            <w:hideMark/>
          </w:tcPr>
          <w:p w:rsidR="00000000" w:rsidRDefault="00B46E81">
            <w:pPr>
              <w:jc w:val="right"/>
              <w:rPr>
                <w:rFonts w:eastAsia="Times New Roman"/>
                <w:sz w:val="20"/>
                <w:szCs w:val="20"/>
              </w:rPr>
            </w:pPr>
            <w:r>
              <w:rPr>
                <w:rFonts w:eastAsia="Times New Roman"/>
                <w:sz w:val="18"/>
                <w:szCs w:val="18"/>
              </w:rPr>
              <w:t>(6,565,942</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w:t>
            </w:r>
          </w:p>
        </w:tc>
        <w:tc>
          <w:tcPr>
            <w:tcW w:w="300" w:type="pct"/>
            <w:shd w:val="clear" w:color="auto" w:fill="CCEEFF"/>
            <w:vAlign w:val="bottom"/>
            <w:hideMark/>
          </w:tcPr>
          <w:p w:rsidR="00000000" w:rsidRDefault="00B46E81">
            <w:pPr>
              <w:jc w:val="right"/>
              <w:rPr>
                <w:rFonts w:eastAsia="Times New Roman"/>
                <w:sz w:val="20"/>
                <w:szCs w:val="20"/>
              </w:rPr>
            </w:pPr>
            <w:r>
              <w:rPr>
                <w:rFonts w:eastAsia="Times New Roman"/>
                <w:sz w:val="18"/>
                <w:szCs w:val="18"/>
              </w:rPr>
              <w:t>(870,496</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18"/>
                <w:szCs w:val="18"/>
              </w:rPr>
              <w:t>)</w:t>
            </w:r>
          </w:p>
        </w:tc>
      </w:tr>
      <w:tr w:rsidR="00000000">
        <w:trPr>
          <w:divId w:val="1088308932"/>
        </w:trPr>
        <w:tc>
          <w:tcPr>
            <w:tcW w:w="0" w:type="auto"/>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18"/>
                <w:szCs w:val="18"/>
              </w:rPr>
              <w:t>Common stock issued for conversion of debt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74,985,965</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74,986</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467,990</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542,976</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r>
      <w:tr w:rsidR="00B46E81">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18"/>
                <w:szCs w:val="18"/>
              </w:rPr>
              <w:lastRenderedPageBreak/>
              <w:t>Warrants issued with convertible debt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75,070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75,070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r>
      <w:tr w:rsidR="00000000">
        <w:trPr>
          <w:divId w:val="1088308932"/>
        </w:trPr>
        <w:tc>
          <w:tcPr>
            <w:tcW w:w="0" w:type="auto"/>
            <w:tcMar>
              <w:top w:w="0" w:type="dxa"/>
              <w:left w:w="180" w:type="dxa"/>
              <w:bottom w:w="30" w:type="dxa"/>
              <w:right w:w="0" w:type="dxa"/>
            </w:tcMar>
            <w:vAlign w:val="bottom"/>
            <w:hideMark/>
          </w:tcPr>
          <w:p w:rsidR="00000000" w:rsidRDefault="00B46E81">
            <w:pPr>
              <w:ind w:hanging="180"/>
              <w:rPr>
                <w:rFonts w:eastAsia="Times New Roman"/>
                <w:sz w:val="20"/>
                <w:szCs w:val="20"/>
              </w:rPr>
            </w:pPr>
            <w:r>
              <w:rPr>
                <w:rFonts w:eastAsia="Times New Roman"/>
                <w:sz w:val="18"/>
                <w:szCs w:val="18"/>
              </w:rPr>
              <w:t>Net Loss</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18"/>
                <w:szCs w:val="18"/>
              </w:rPr>
              <w:t>(471,466</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18"/>
                <w:szCs w:val="18"/>
              </w:rPr>
              <w:t>(</w:t>
            </w:r>
            <w:r>
              <w:rPr>
                <w:rFonts w:eastAsia="Times New Roman"/>
                <w:sz w:val="18"/>
                <w:szCs w:val="18"/>
              </w:rPr>
              <w:t>471,466</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w:t>
            </w:r>
          </w:p>
        </w:tc>
      </w:tr>
      <w:tr w:rsidR="00B46E81">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18"/>
                <w:szCs w:val="18"/>
              </w:rPr>
              <w:t>Balance, March 31, 2021</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5,000,000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126,000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500,000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500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443,049,571</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443,047</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5,743,945</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(7,037,408</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(723,916</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w:t>
            </w:r>
          </w:p>
        </w:tc>
      </w:tr>
      <w:tr w:rsidR="00000000">
        <w:trPr>
          <w:divId w:val="1088308932"/>
        </w:trPr>
        <w:tc>
          <w:tcPr>
            <w:tcW w:w="0" w:type="auto"/>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18"/>
                <w:szCs w:val="18"/>
              </w:rPr>
              <w:t>Common stock issued for conversion of debt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87,252,322</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87,252</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2,114,742</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2,201,994</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r>
      <w:tr w:rsidR="00B46E81">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18"/>
                <w:szCs w:val="18"/>
              </w:rPr>
              <w:t>Common stock issued for conversion of warrants</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43,478,695</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43,479</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(43,479</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r>
      <w:tr w:rsidR="00000000">
        <w:trPr>
          <w:divId w:val="1088308932"/>
        </w:trPr>
        <w:tc>
          <w:tcPr>
            <w:tcW w:w="0" w:type="auto"/>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18"/>
                <w:szCs w:val="18"/>
              </w:rPr>
              <w:t>Common stock issued for cash</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12,800,000</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12,800</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83,200</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96,000</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r>
      <w:tr w:rsidR="00B46E81">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18"/>
                <w:szCs w:val="18"/>
              </w:rPr>
              <w:t>Warrants issued with convertible debt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106,722</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106,722</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r>
      <w:tr w:rsidR="00000000">
        <w:trPr>
          <w:divId w:val="1088308932"/>
        </w:trPr>
        <w:tc>
          <w:tcPr>
            <w:tcW w:w="0" w:type="auto"/>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18"/>
                <w:szCs w:val="18"/>
              </w:rPr>
              <w:t>Beneficial conversion feature</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30,000</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30,000</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r>
      <w:tr w:rsidR="00B46E81">
        <w:trPr>
          <w:divId w:val="1088308932"/>
        </w:trPr>
        <w:tc>
          <w:tcPr>
            <w:tcW w:w="0" w:type="auto"/>
            <w:shd w:val="clear" w:color="auto" w:fill="CCEEFF"/>
            <w:tcMar>
              <w:top w:w="0" w:type="dxa"/>
              <w:left w:w="180" w:type="dxa"/>
              <w:bottom w:w="30" w:type="dxa"/>
              <w:right w:w="0" w:type="dxa"/>
            </w:tcMar>
            <w:vAlign w:val="bottom"/>
            <w:hideMark/>
          </w:tcPr>
          <w:p w:rsidR="00000000" w:rsidRDefault="00B46E81">
            <w:pPr>
              <w:ind w:hanging="180"/>
              <w:rPr>
                <w:rFonts w:eastAsia="Times New Roman"/>
                <w:sz w:val="20"/>
                <w:szCs w:val="20"/>
              </w:rPr>
            </w:pPr>
            <w:r>
              <w:rPr>
                <w:rFonts w:eastAsia="Times New Roman"/>
                <w:sz w:val="18"/>
                <w:szCs w:val="18"/>
              </w:rPr>
              <w:t>Net Loss</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(2,363,695</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(2,363,695</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w:t>
            </w:r>
          </w:p>
        </w:tc>
      </w:tr>
      <w:tr w:rsidR="00000000">
        <w:trPr>
          <w:divId w:val="1088308932"/>
        </w:trPr>
        <w:tc>
          <w:tcPr>
            <w:tcW w:w="0" w:type="auto"/>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18"/>
                <w:szCs w:val="18"/>
              </w:rPr>
              <w:t>Balance, June 30, 2021</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5,000,000</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126,000</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500,000</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500</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586,580,588</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586,578</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8,035,130</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(9,401,103</w:t>
            </w:r>
          </w:p>
        </w:tc>
        <w:tc>
          <w:tcPr>
            <w:tcW w:w="0" w:type="auto"/>
            <w:vAlign w:val="bottom"/>
            <w:hideMark/>
          </w:tcPr>
          <w:p w:rsidR="00000000" w:rsidRDefault="00B46E81">
            <w:pPr>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(652,895</w:t>
            </w:r>
          </w:p>
        </w:tc>
        <w:tc>
          <w:tcPr>
            <w:tcW w:w="0" w:type="auto"/>
            <w:vAlign w:val="bottom"/>
            <w:hideMark/>
          </w:tcPr>
          <w:p w:rsidR="00000000" w:rsidRDefault="00B46E81">
            <w:pPr>
              <w:rPr>
                <w:rFonts w:eastAsia="Times New Roman"/>
                <w:sz w:val="20"/>
                <w:szCs w:val="20"/>
              </w:rPr>
            </w:pPr>
            <w:r>
              <w:rPr>
                <w:rFonts w:eastAsia="Times New Roman"/>
                <w:sz w:val="18"/>
                <w:szCs w:val="18"/>
              </w:rPr>
              <w:t>)</w:t>
            </w:r>
          </w:p>
        </w:tc>
      </w:tr>
      <w:tr w:rsidR="00B46E81">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18"/>
                <w:szCs w:val="18"/>
              </w:rPr>
              <w:t>Common stock issued for conversion of debt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97,822,249</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97,822</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800,254</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18"/>
                <w:szCs w:val="18"/>
              </w:rPr>
              <w:t>898,076</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18"/>
                <w:szCs w:val="18"/>
              </w:rPr>
              <w:t> </w:t>
            </w:r>
          </w:p>
        </w:tc>
      </w:tr>
      <w:tr w:rsidR="00000000">
        <w:trPr>
          <w:divId w:val="1088308932"/>
        </w:trPr>
        <w:tc>
          <w:tcPr>
            <w:tcW w:w="0" w:type="auto"/>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18"/>
                <w:szCs w:val="18"/>
              </w:rPr>
              <w:t xml:space="preserve">Common </w:t>
            </w:r>
            <w:r>
              <w:rPr>
                <w:rFonts w:eastAsia="Times New Roman"/>
                <w:sz w:val="18"/>
                <w:szCs w:val="18"/>
              </w:rPr>
              <w:t>stock issued for cash</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260,000,000</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260,000</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1,690,000</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c>
          <w:tcPr>
            <w:tcW w:w="0" w:type="auto"/>
            <w:vAlign w:val="bottom"/>
            <w:hideMark/>
          </w:tcPr>
          <w:p w:rsidR="00000000" w:rsidRDefault="00B46E81">
            <w:pPr>
              <w:jc w:val="right"/>
              <w:rPr>
                <w:rFonts w:eastAsia="Times New Roman"/>
                <w:sz w:val="20"/>
                <w:szCs w:val="20"/>
              </w:rPr>
            </w:pPr>
            <w:r>
              <w:rPr>
                <w:rFonts w:eastAsia="Times New Roman"/>
                <w:sz w:val="18"/>
                <w:szCs w:val="18"/>
              </w:rPr>
              <w:t>1,950,000</w:t>
            </w:r>
          </w:p>
        </w:tc>
        <w:tc>
          <w:tcPr>
            <w:tcW w:w="0" w:type="auto"/>
            <w:vAlign w:val="bottom"/>
            <w:hideMark/>
          </w:tcPr>
          <w:p w:rsidR="00000000" w:rsidRDefault="00B46E81">
            <w:pPr>
              <w:rPr>
                <w:rFonts w:eastAsia="Times New Roman"/>
                <w:sz w:val="20"/>
                <w:szCs w:val="20"/>
              </w:rPr>
            </w:pPr>
            <w:r>
              <w:rPr>
                <w:rFonts w:eastAsia="Times New Roman"/>
                <w:sz w:val="18"/>
                <w:szCs w:val="18"/>
              </w:rPr>
              <w:t> </w:t>
            </w:r>
          </w:p>
        </w:tc>
      </w:tr>
      <w:tr w:rsidR="00B46E81">
        <w:trPr>
          <w:divId w:val="1088308932"/>
        </w:trPr>
        <w:tc>
          <w:tcPr>
            <w:tcW w:w="0" w:type="auto"/>
            <w:shd w:val="clear" w:color="auto" w:fill="CCEEFF"/>
            <w:tcMar>
              <w:top w:w="0" w:type="dxa"/>
              <w:left w:w="180" w:type="dxa"/>
              <w:bottom w:w="30" w:type="dxa"/>
              <w:right w:w="0" w:type="dxa"/>
            </w:tcMar>
            <w:vAlign w:val="bottom"/>
            <w:hideMark/>
          </w:tcPr>
          <w:p w:rsidR="00000000" w:rsidRDefault="00B46E81">
            <w:pPr>
              <w:ind w:hanging="180"/>
              <w:rPr>
                <w:rFonts w:eastAsia="Times New Roman"/>
                <w:sz w:val="20"/>
                <w:szCs w:val="20"/>
              </w:rPr>
            </w:pPr>
            <w:r>
              <w:rPr>
                <w:rFonts w:eastAsia="Times New Roman"/>
                <w:sz w:val="18"/>
                <w:szCs w:val="18"/>
              </w:rPr>
              <w:t>Net Loss</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(832,159</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18"/>
                <w:szCs w:val="18"/>
              </w:rPr>
              <w:t>(832,159</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18"/>
                <w:szCs w:val="18"/>
              </w:rPr>
              <w:t>)</w:t>
            </w:r>
          </w:p>
        </w:tc>
      </w:tr>
      <w:tr w:rsidR="00000000">
        <w:trPr>
          <w:divId w:val="1088308932"/>
        </w:trPr>
        <w:tc>
          <w:tcPr>
            <w:tcW w:w="0" w:type="auto"/>
            <w:tcMar>
              <w:top w:w="0" w:type="dxa"/>
              <w:left w:w="180" w:type="dxa"/>
              <w:bottom w:w="80" w:type="dxa"/>
              <w:right w:w="0" w:type="dxa"/>
            </w:tcMar>
            <w:vAlign w:val="bottom"/>
            <w:hideMark/>
          </w:tcPr>
          <w:p w:rsidR="00000000" w:rsidRDefault="00B46E81">
            <w:pPr>
              <w:ind w:hanging="180"/>
              <w:rPr>
                <w:rFonts w:eastAsia="Times New Roman"/>
                <w:sz w:val="20"/>
                <w:szCs w:val="20"/>
              </w:rPr>
            </w:pPr>
            <w:r>
              <w:rPr>
                <w:rFonts w:eastAsia="Times New Roman"/>
                <w:sz w:val="18"/>
                <w:szCs w:val="18"/>
              </w:rPr>
              <w:t xml:space="preserve">Balance, </w:t>
            </w:r>
            <w:r>
              <w:rPr>
                <w:rFonts w:eastAsia="Times New Roman"/>
                <w:sz w:val="18"/>
                <w:szCs w:val="18"/>
              </w:rPr>
              <w:t>September 30, 2021</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double" w:sz="12" w:space="0" w:color="000000"/>
            </w:tcBorders>
            <w:vAlign w:val="bottom"/>
            <w:hideMark/>
          </w:tcPr>
          <w:p w:rsidR="00000000" w:rsidRDefault="00B46E81">
            <w:pPr>
              <w:jc w:val="right"/>
              <w:rPr>
                <w:rFonts w:eastAsia="Times New Roman"/>
                <w:sz w:val="20"/>
                <w:szCs w:val="20"/>
              </w:rPr>
            </w:pPr>
            <w:r>
              <w:rPr>
                <w:rFonts w:eastAsia="Times New Roman"/>
                <w:sz w:val="18"/>
                <w:szCs w:val="18"/>
              </w:rPr>
              <w:t>5,000,000</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18"/>
                <w:szCs w:val="18"/>
              </w:rPr>
              <w:t>$</w:t>
            </w:r>
          </w:p>
        </w:tc>
        <w:tc>
          <w:tcPr>
            <w:tcW w:w="0" w:type="auto"/>
            <w:tcBorders>
              <w:bottom w:val="double" w:sz="12" w:space="0" w:color="000000"/>
            </w:tcBorders>
            <w:vAlign w:val="bottom"/>
            <w:hideMark/>
          </w:tcPr>
          <w:p w:rsidR="00000000" w:rsidRDefault="00B46E81">
            <w:pPr>
              <w:jc w:val="right"/>
              <w:rPr>
                <w:rFonts w:eastAsia="Times New Roman"/>
                <w:sz w:val="20"/>
                <w:szCs w:val="20"/>
              </w:rPr>
            </w:pPr>
            <w:r>
              <w:rPr>
                <w:rFonts w:eastAsia="Times New Roman"/>
                <w:sz w:val="18"/>
                <w:szCs w:val="18"/>
              </w:rPr>
              <w:t>126,000</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double" w:sz="12" w:space="0" w:color="000000"/>
            </w:tcBorders>
            <w:vAlign w:val="bottom"/>
            <w:hideMark/>
          </w:tcPr>
          <w:p w:rsidR="00000000" w:rsidRDefault="00B46E81">
            <w:pPr>
              <w:jc w:val="right"/>
              <w:rPr>
                <w:rFonts w:eastAsia="Times New Roman"/>
                <w:sz w:val="20"/>
                <w:szCs w:val="20"/>
              </w:rPr>
            </w:pPr>
            <w:r>
              <w:rPr>
                <w:rFonts w:eastAsia="Times New Roman"/>
                <w:sz w:val="18"/>
                <w:szCs w:val="18"/>
              </w:rPr>
              <w:t>500,000</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18"/>
                <w:szCs w:val="18"/>
              </w:rPr>
              <w:t>$</w:t>
            </w:r>
          </w:p>
        </w:tc>
        <w:tc>
          <w:tcPr>
            <w:tcW w:w="0" w:type="auto"/>
            <w:tcBorders>
              <w:bottom w:val="double" w:sz="12" w:space="0" w:color="000000"/>
            </w:tcBorders>
            <w:vAlign w:val="bottom"/>
            <w:hideMark/>
          </w:tcPr>
          <w:p w:rsidR="00000000" w:rsidRDefault="00B46E81">
            <w:pPr>
              <w:jc w:val="right"/>
              <w:rPr>
                <w:rFonts w:eastAsia="Times New Roman"/>
                <w:sz w:val="20"/>
                <w:szCs w:val="20"/>
              </w:rPr>
            </w:pPr>
            <w:r>
              <w:rPr>
                <w:rFonts w:eastAsia="Times New Roman"/>
                <w:sz w:val="18"/>
                <w:szCs w:val="18"/>
              </w:rPr>
              <w:t>500</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double" w:sz="12" w:space="0" w:color="000000"/>
            </w:tcBorders>
            <w:vAlign w:val="bottom"/>
            <w:hideMark/>
          </w:tcPr>
          <w:p w:rsidR="00000000" w:rsidRDefault="00B46E81">
            <w:pPr>
              <w:jc w:val="right"/>
              <w:rPr>
                <w:rFonts w:eastAsia="Times New Roman"/>
                <w:sz w:val="20"/>
                <w:szCs w:val="20"/>
              </w:rPr>
            </w:pPr>
            <w:r>
              <w:rPr>
                <w:rFonts w:eastAsia="Times New Roman"/>
                <w:sz w:val="18"/>
                <w:szCs w:val="18"/>
              </w:rPr>
              <w:t>944,402,837</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18"/>
                <w:szCs w:val="18"/>
              </w:rPr>
              <w:t>$</w:t>
            </w:r>
          </w:p>
        </w:tc>
        <w:tc>
          <w:tcPr>
            <w:tcW w:w="0" w:type="auto"/>
            <w:tcBorders>
              <w:bottom w:val="double" w:sz="12" w:space="0" w:color="000000"/>
            </w:tcBorders>
            <w:vAlign w:val="bottom"/>
            <w:hideMark/>
          </w:tcPr>
          <w:p w:rsidR="00000000" w:rsidRDefault="00B46E81">
            <w:pPr>
              <w:jc w:val="right"/>
              <w:rPr>
                <w:rFonts w:eastAsia="Times New Roman"/>
                <w:sz w:val="20"/>
                <w:szCs w:val="20"/>
              </w:rPr>
            </w:pPr>
            <w:r>
              <w:rPr>
                <w:rFonts w:eastAsia="Times New Roman"/>
                <w:sz w:val="18"/>
                <w:szCs w:val="18"/>
              </w:rPr>
              <w:t>944,400</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18"/>
                <w:szCs w:val="18"/>
              </w:rPr>
              <w:t>$</w:t>
            </w:r>
          </w:p>
        </w:tc>
        <w:tc>
          <w:tcPr>
            <w:tcW w:w="0" w:type="auto"/>
            <w:tcBorders>
              <w:bottom w:val="double" w:sz="12" w:space="0" w:color="000000"/>
            </w:tcBorders>
            <w:vAlign w:val="bottom"/>
            <w:hideMark/>
          </w:tcPr>
          <w:p w:rsidR="00000000" w:rsidRDefault="00B46E81">
            <w:pPr>
              <w:jc w:val="right"/>
              <w:rPr>
                <w:rFonts w:eastAsia="Times New Roman"/>
                <w:sz w:val="20"/>
                <w:szCs w:val="20"/>
              </w:rPr>
            </w:pPr>
            <w:r>
              <w:rPr>
                <w:rFonts w:eastAsia="Times New Roman"/>
                <w:sz w:val="18"/>
                <w:szCs w:val="18"/>
              </w:rPr>
              <w:t>10,525,384</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18"/>
                <w:szCs w:val="18"/>
              </w:rPr>
              <w:t>$</w:t>
            </w:r>
          </w:p>
        </w:tc>
        <w:tc>
          <w:tcPr>
            <w:tcW w:w="0" w:type="auto"/>
            <w:tcBorders>
              <w:bottom w:val="double" w:sz="12" w:space="0" w:color="000000"/>
            </w:tcBorders>
            <w:vAlign w:val="bottom"/>
            <w:hideMark/>
          </w:tcPr>
          <w:p w:rsidR="00000000" w:rsidRDefault="00B46E81">
            <w:pPr>
              <w:jc w:val="right"/>
              <w:rPr>
                <w:rFonts w:eastAsia="Times New Roman"/>
                <w:sz w:val="20"/>
                <w:szCs w:val="20"/>
              </w:rPr>
            </w:pPr>
            <w:r>
              <w:rPr>
                <w:rFonts w:eastAsia="Times New Roman"/>
                <w:sz w:val="18"/>
                <w:szCs w:val="18"/>
              </w:rPr>
              <w:t>(10,233,262</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18"/>
                <w:szCs w:val="18"/>
              </w:rPr>
              <w:t>$</w:t>
            </w:r>
          </w:p>
        </w:tc>
        <w:tc>
          <w:tcPr>
            <w:tcW w:w="0" w:type="auto"/>
            <w:tcBorders>
              <w:bottom w:val="double" w:sz="12" w:space="0" w:color="000000"/>
            </w:tcBorders>
            <w:vAlign w:val="bottom"/>
            <w:hideMark/>
          </w:tcPr>
          <w:p w:rsidR="00000000" w:rsidRDefault="00B46E81">
            <w:pPr>
              <w:jc w:val="right"/>
              <w:rPr>
                <w:rFonts w:eastAsia="Times New Roman"/>
                <w:sz w:val="20"/>
                <w:szCs w:val="20"/>
              </w:rPr>
            </w:pPr>
            <w:r>
              <w:rPr>
                <w:rFonts w:eastAsia="Times New Roman"/>
                <w:sz w:val="18"/>
                <w:szCs w:val="18"/>
              </w:rPr>
              <w:t>1,363,022</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18"/>
                <w:szCs w:val="18"/>
              </w:rPr>
              <w:t> </w:t>
            </w:r>
          </w:p>
        </w:tc>
      </w:tr>
    </w:tbl>
    <w:p w:rsidR="00000000" w:rsidRDefault="00B46E81">
      <w:pPr>
        <w:pStyle w:val="a3"/>
        <w:spacing w:before="0" w:beforeAutospacing="0" w:after="0" w:afterAutospacing="0"/>
        <w:jc w:val="center"/>
        <w:divId w:val="1088308932"/>
        <w:rPr>
          <w:sz w:val="20"/>
          <w:szCs w:val="20"/>
        </w:rPr>
      </w:pPr>
      <w:r>
        <w:rPr>
          <w:sz w:val="20"/>
          <w:szCs w:val="20"/>
        </w:rPr>
        <w:t> </w:t>
      </w:r>
    </w:p>
    <w:p w:rsidR="00000000" w:rsidRDefault="00B46E81">
      <w:pPr>
        <w:pStyle w:val="a3"/>
        <w:spacing w:before="0" w:beforeAutospacing="0" w:after="0" w:afterAutospacing="0"/>
        <w:jc w:val="center"/>
        <w:divId w:val="1088308932"/>
        <w:rPr>
          <w:sz w:val="20"/>
          <w:szCs w:val="20"/>
        </w:rPr>
      </w:pPr>
      <w:r>
        <w:rPr>
          <w:i/>
          <w:iCs/>
          <w:sz w:val="20"/>
          <w:szCs w:val="20"/>
        </w:rPr>
        <w:t xml:space="preserve">The </w:t>
      </w:r>
      <w:r>
        <w:rPr>
          <w:i/>
          <w:iCs/>
          <w:sz w:val="20"/>
          <w:szCs w:val="20"/>
        </w:rPr>
        <w:t>accompanying notes are an integral part of these unaudited condensed financial statements. </w:t>
      </w:r>
    </w:p>
    <w:p w:rsidR="00000000" w:rsidRDefault="00B46E81">
      <w:pPr>
        <w:pStyle w:val="a3"/>
        <w:spacing w:before="0" w:beforeAutospacing="0" w:after="0" w:afterAutospacing="0"/>
        <w:jc w:val="center"/>
        <w:divId w:val="1088308932"/>
        <w:rPr>
          <w:sz w:val="20"/>
          <w:szCs w:val="20"/>
        </w:rPr>
      </w:pPr>
      <w:r>
        <w:rPr>
          <w:b/>
          <w:bCs/>
          <w:sz w:val="20"/>
          <w:szCs w:val="20"/>
        </w:rPr>
        <w:t> </w:t>
      </w:r>
    </w:p>
    <w:p w:rsidR="00000000" w:rsidRDefault="00B46E81">
      <w:pPr>
        <w:pStyle w:val="a3"/>
        <w:spacing w:before="0" w:beforeAutospacing="0" w:after="0" w:afterAutospacing="0"/>
        <w:jc w:val="center"/>
        <w:divId w:val="1972595239"/>
        <w:rPr>
          <w:sz w:val="20"/>
          <w:szCs w:val="20"/>
        </w:rPr>
      </w:pPr>
      <w:r>
        <w:rPr>
          <w:sz w:val="20"/>
          <w:szCs w:val="20"/>
        </w:rPr>
        <w:t>4</w:t>
      </w:r>
    </w:p>
    <w:p w:rsidR="00000000" w:rsidRDefault="00B46E81">
      <w:pPr>
        <w:pStyle w:val="a3"/>
        <w:spacing w:before="0" w:beforeAutospacing="0" w:after="0" w:afterAutospacing="0"/>
        <w:divId w:val="225453498"/>
        <w:rPr>
          <w:sz w:val="20"/>
          <w:szCs w:val="20"/>
        </w:rPr>
      </w:pPr>
      <w:r>
        <w:rPr>
          <w:sz w:val="20"/>
          <w:szCs w:val="20"/>
        </w:rPr>
        <w:t> </w:t>
      </w:r>
    </w:p>
    <w:p w:rsidR="00000000" w:rsidRDefault="00B46E81">
      <w:pPr>
        <w:pStyle w:val="a3"/>
        <w:spacing w:before="0" w:beforeAutospacing="0" w:after="0" w:afterAutospacing="0"/>
        <w:jc w:val="center"/>
        <w:divId w:val="1088308932"/>
        <w:rPr>
          <w:sz w:val="20"/>
          <w:szCs w:val="20"/>
        </w:rPr>
      </w:pPr>
      <w:r>
        <w:rPr>
          <w:b/>
          <w:bCs/>
          <w:sz w:val="20"/>
          <w:szCs w:val="20"/>
        </w:rPr>
        <w:t> </w:t>
      </w:r>
    </w:p>
    <w:p w:rsidR="00000000" w:rsidRDefault="00B46E81">
      <w:pPr>
        <w:pStyle w:val="a3"/>
        <w:spacing w:before="0" w:beforeAutospacing="0" w:after="0" w:afterAutospacing="0"/>
        <w:jc w:val="center"/>
        <w:divId w:val="1088308932"/>
        <w:rPr>
          <w:sz w:val="20"/>
          <w:szCs w:val="20"/>
        </w:rPr>
      </w:pPr>
      <w:r>
        <w:rPr>
          <w:b/>
          <w:bCs/>
          <w:sz w:val="20"/>
          <w:szCs w:val="20"/>
        </w:rPr>
        <w:t>REMSLEEP HOLDINGS, INC.</w:t>
      </w:r>
    </w:p>
    <w:p w:rsidR="00000000" w:rsidRDefault="00B46E81">
      <w:pPr>
        <w:pStyle w:val="a3"/>
        <w:spacing w:before="0" w:beforeAutospacing="0" w:after="0" w:afterAutospacing="0"/>
        <w:jc w:val="center"/>
        <w:divId w:val="1088308932"/>
        <w:rPr>
          <w:sz w:val="20"/>
          <w:szCs w:val="20"/>
        </w:rPr>
      </w:pPr>
      <w:r>
        <w:rPr>
          <w:b/>
          <w:bCs/>
          <w:sz w:val="20"/>
          <w:szCs w:val="20"/>
        </w:rPr>
        <w:t>CONDENSED STATEMENTS OF CASH FLOWS</w:t>
      </w:r>
    </w:p>
    <w:p w:rsidR="00000000" w:rsidRDefault="00B46E81">
      <w:pPr>
        <w:pStyle w:val="a3"/>
        <w:pBdr>
          <w:bottom w:val="single" w:sz="12" w:space="0" w:color="000000"/>
        </w:pBdr>
        <w:spacing w:before="0" w:beforeAutospacing="0" w:after="0" w:afterAutospacing="0"/>
        <w:jc w:val="center"/>
        <w:divId w:val="1088308932"/>
        <w:rPr>
          <w:sz w:val="20"/>
          <w:szCs w:val="20"/>
        </w:rPr>
      </w:pPr>
      <w:r>
        <w:rPr>
          <w:b/>
          <w:bCs/>
          <w:sz w:val="20"/>
          <w:szCs w:val="20"/>
        </w:rPr>
        <w:t>(UNAUDITED)</w:t>
      </w:r>
    </w:p>
    <w:p w:rsidR="00000000" w:rsidRDefault="00B46E81">
      <w:pPr>
        <w:pStyle w:val="a3"/>
        <w:spacing w:before="0" w:beforeAutospacing="0" w:after="0" w:afterAutospacing="0"/>
        <w:divId w:val="10883089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138"/>
        <w:gridCol w:w="50"/>
        <w:gridCol w:w="100"/>
        <w:gridCol w:w="867"/>
        <w:gridCol w:w="67"/>
        <w:gridCol w:w="50"/>
        <w:gridCol w:w="100"/>
        <w:gridCol w:w="867"/>
        <w:gridCol w:w="67"/>
      </w:tblGrid>
      <w:tr w:rsidR="00000000">
        <w:trPr>
          <w:divId w:val="1088308932"/>
        </w:trPr>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B46E81">
            <w:pPr>
              <w:jc w:val="center"/>
              <w:rPr>
                <w:rFonts w:eastAsia="Times New Roman"/>
                <w:sz w:val="20"/>
                <w:szCs w:val="20"/>
              </w:rPr>
            </w:pPr>
            <w:r>
              <w:rPr>
                <w:rFonts w:eastAsia="Times New Roman"/>
                <w:sz w:val="20"/>
                <w:szCs w:val="20"/>
              </w:rPr>
              <w:t>For the</w:t>
            </w:r>
            <w:r>
              <w:rPr>
                <w:rFonts w:eastAsia="Times New Roman"/>
                <w:sz w:val="20"/>
                <w:szCs w:val="20"/>
              </w:rPr>
              <w:br/>
              <w:t>Nine Months</w:t>
            </w:r>
            <w:r>
              <w:rPr>
                <w:rFonts w:eastAsia="Times New Roman"/>
                <w:sz w:val="20"/>
                <w:szCs w:val="20"/>
              </w:rPr>
              <w:br/>
              <w:t>Ended</w:t>
            </w:r>
            <w:r>
              <w:rPr>
                <w:rFonts w:eastAsia="Times New Roman"/>
                <w:sz w:val="20"/>
                <w:szCs w:val="20"/>
              </w:rPr>
              <w:t> </w:t>
            </w:r>
            <w:r>
              <w:rPr>
                <w:rFonts w:eastAsia="Times New Roman"/>
                <w:sz w:val="20"/>
                <w:szCs w:val="20"/>
              </w:rPr>
              <w:t>September 30,</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vAlign w:val="bottom"/>
            <w:hideMark/>
          </w:tcPr>
          <w:p w:rsidR="00000000" w:rsidRDefault="00B46E8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46E81">
            <w:pPr>
              <w:jc w:val="center"/>
              <w:rPr>
                <w:rFonts w:eastAsia="Times New Roman"/>
                <w:sz w:val="20"/>
                <w:szCs w:val="20"/>
              </w:rPr>
            </w:pPr>
            <w:r>
              <w:rPr>
                <w:rFonts w:eastAsia="Times New Roman"/>
                <w:sz w:val="20"/>
                <w:szCs w:val="20"/>
              </w:rPr>
              <w:t>2022</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46E81">
            <w:pPr>
              <w:jc w:val="center"/>
              <w:rPr>
                <w:rFonts w:eastAsia="Times New Roman"/>
                <w:sz w:val="20"/>
                <w:szCs w:val="20"/>
              </w:rPr>
            </w:pPr>
            <w:r>
              <w:rPr>
                <w:rFonts w:eastAsia="Times New Roman"/>
                <w:sz w:val="20"/>
                <w:szCs w:val="20"/>
              </w:rPr>
              <w:t>2021</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vAlign w:val="bottom"/>
            <w:hideMark/>
          </w:tcPr>
          <w:p w:rsidR="00000000" w:rsidRDefault="00B46E81">
            <w:pPr>
              <w:rPr>
                <w:rFonts w:eastAsia="Times New Roman"/>
                <w:sz w:val="20"/>
                <w:szCs w:val="20"/>
              </w:rPr>
            </w:pPr>
            <w:r>
              <w:rPr>
                <w:rFonts w:eastAsia="Times New Roman"/>
                <w:sz w:val="20"/>
                <w:szCs w:val="20"/>
              </w:rPr>
              <w:t>Cash Flows from Operating Activities:</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gridSpan w:val="2"/>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gridSpan w:val="2"/>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3800" w:type="pct"/>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Net loss</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46E81">
            <w:pPr>
              <w:jc w:val="right"/>
              <w:rPr>
                <w:rFonts w:eastAsia="Times New Roman"/>
                <w:sz w:val="20"/>
                <w:szCs w:val="20"/>
              </w:rPr>
            </w:pPr>
            <w:r>
              <w:rPr>
                <w:rFonts w:eastAsia="Times New Roman"/>
                <w:sz w:val="20"/>
                <w:szCs w:val="20"/>
              </w:rPr>
              <w:t>(1,068,751</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46E81">
            <w:pPr>
              <w:jc w:val="right"/>
              <w:rPr>
                <w:rFonts w:eastAsia="Times New Roman"/>
                <w:sz w:val="20"/>
                <w:szCs w:val="20"/>
              </w:rPr>
            </w:pPr>
            <w:r>
              <w:rPr>
                <w:rFonts w:eastAsia="Times New Roman"/>
                <w:sz w:val="20"/>
                <w:szCs w:val="20"/>
              </w:rPr>
              <w:t>(3,667,320</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w:t>
            </w:r>
          </w:p>
        </w:tc>
      </w:tr>
      <w:tr w:rsidR="00000000">
        <w:trPr>
          <w:divId w:val="1088308932"/>
        </w:trPr>
        <w:tc>
          <w:tcPr>
            <w:tcW w:w="0" w:type="auto"/>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Adjustments to reconcile net loss to net cash used in operations:</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36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Depreciation expense</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46,606</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41,208</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36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Change in fair value of derivative</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3,048</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1,934,083</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36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Discount amortization</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206,157</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559,732</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36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Loss on issuance of convertible debt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divId w:val="1829637309"/>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612,844</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36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Loss on disposal of fixed assets</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28,264</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divId w:val="1275943125"/>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36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Default penalty of convertible note</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divId w:val="53743230"/>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162,798</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36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Operating lease expense</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10,100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divId w:val="25594483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Changes in Operating Assets and Liabilities:</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0" w:type="dxa"/>
              <w:right w:w="0" w:type="dxa"/>
            </w:tcMar>
            <w:vAlign w:val="bottom"/>
            <w:hideMark/>
          </w:tcPr>
          <w:p w:rsidR="00000000" w:rsidRDefault="00B46E81">
            <w:pPr>
              <w:rPr>
                <w:rFonts w:eastAsia="Times New Roman"/>
                <w:sz w:val="20"/>
                <w:szCs w:val="20"/>
              </w:rPr>
            </w:pPr>
            <w:r>
              <w:rPr>
                <w:rFonts w:eastAsia="Times New Roman"/>
                <w:sz w:val="20"/>
                <w:szCs w:val="20"/>
              </w:rPr>
              <w:t>Accounts receivable</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(15,200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divId w:val="1132405634"/>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36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Prepaid expenses</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(70,656</w:t>
            </w:r>
          </w:p>
        </w:tc>
        <w:tc>
          <w:tcPr>
            <w:tcW w:w="0" w:type="auto"/>
            <w:vAlign w:val="bottom"/>
            <w:hideMark/>
          </w:tcPr>
          <w:p w:rsidR="00000000" w:rsidRDefault="00B46E81">
            <w:pPr>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divId w:val="953634751"/>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36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Inventory</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(1,128,423</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(8,022</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w:t>
            </w:r>
          </w:p>
        </w:tc>
      </w:tr>
      <w:tr w:rsidR="00000000">
        <w:trPr>
          <w:divId w:val="1088308932"/>
        </w:trPr>
        <w:tc>
          <w:tcPr>
            <w:tcW w:w="0" w:type="auto"/>
            <w:tcMar>
              <w:top w:w="0" w:type="dxa"/>
              <w:left w:w="36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Accounts payable</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17,734</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(3,184</w:t>
            </w:r>
          </w:p>
        </w:tc>
        <w:tc>
          <w:tcPr>
            <w:tcW w:w="0" w:type="auto"/>
            <w:vAlign w:val="bottom"/>
            <w:hideMark/>
          </w:tcPr>
          <w:p w:rsidR="00000000" w:rsidRDefault="00B46E81">
            <w:pPr>
              <w:rPr>
                <w:rFonts w:eastAsia="Times New Roman"/>
                <w:sz w:val="20"/>
                <w:szCs w:val="20"/>
              </w:rPr>
            </w:pPr>
            <w:r>
              <w:rPr>
                <w:rFonts w:eastAsia="Times New Roman"/>
                <w:sz w:val="20"/>
                <w:szCs w:val="20"/>
              </w:rPr>
              <w:t>)</w:t>
            </w:r>
          </w:p>
        </w:tc>
      </w:tr>
      <w:tr w:rsidR="00000000">
        <w:trPr>
          <w:divId w:val="1088308932"/>
        </w:trPr>
        <w:tc>
          <w:tcPr>
            <w:tcW w:w="0" w:type="auto"/>
            <w:shd w:val="clear" w:color="auto" w:fill="CCEEFF"/>
            <w:tcMar>
              <w:top w:w="0" w:type="dxa"/>
              <w:left w:w="36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Accrued officer compensation</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5,000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12,000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36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Accrued interest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(13,521</w:t>
            </w:r>
          </w:p>
        </w:tc>
        <w:tc>
          <w:tcPr>
            <w:tcW w:w="0" w:type="auto"/>
            <w:vAlign w:val="bottom"/>
            <w:hideMark/>
          </w:tcPr>
          <w:p w:rsidR="00000000" w:rsidRDefault="00B46E81">
            <w:pPr>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69,554</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360" w:type="dxa"/>
              <w:bottom w:w="30" w:type="dxa"/>
              <w:right w:w="0" w:type="dxa"/>
            </w:tcMar>
            <w:vAlign w:val="bottom"/>
            <w:hideMark/>
          </w:tcPr>
          <w:p w:rsidR="00000000" w:rsidRDefault="00B46E81">
            <w:pPr>
              <w:ind w:hanging="180"/>
              <w:rPr>
                <w:rFonts w:eastAsia="Times New Roman"/>
                <w:sz w:val="20"/>
                <w:szCs w:val="20"/>
              </w:rPr>
            </w:pPr>
            <w:r>
              <w:rPr>
                <w:rFonts w:eastAsia="Times New Roman"/>
                <w:sz w:val="20"/>
                <w:szCs w:val="20"/>
              </w:rPr>
              <w:t>Accrued interest – related party</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16,958</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16,938</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30" w:type="dxa"/>
              <w:right w:w="0" w:type="dxa"/>
            </w:tcMar>
            <w:vAlign w:val="bottom"/>
            <w:hideMark/>
          </w:tcPr>
          <w:p w:rsidR="00000000" w:rsidRDefault="00B46E81">
            <w:pPr>
              <w:ind w:hanging="180"/>
              <w:rPr>
                <w:rFonts w:eastAsia="Times New Roman"/>
                <w:sz w:val="20"/>
                <w:szCs w:val="20"/>
              </w:rPr>
            </w:pPr>
            <w:r>
              <w:rPr>
                <w:rFonts w:eastAsia="Times New Roman"/>
                <w:sz w:val="20"/>
                <w:szCs w:val="20"/>
              </w:rPr>
              <w:t>Net cash used in operating activities</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(1,962,684</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(269,369</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w:t>
            </w:r>
          </w:p>
        </w:tc>
      </w:tr>
      <w:tr w:rsidR="00000000">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Cash Flows from Investing Activities:</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540" w:type="dxa"/>
              <w:bottom w:w="30" w:type="dxa"/>
              <w:right w:w="0" w:type="dxa"/>
            </w:tcMar>
            <w:vAlign w:val="bottom"/>
            <w:hideMark/>
          </w:tcPr>
          <w:p w:rsidR="00000000" w:rsidRDefault="00B46E81">
            <w:pPr>
              <w:ind w:hanging="180"/>
              <w:rPr>
                <w:rFonts w:eastAsia="Times New Roman"/>
                <w:sz w:val="20"/>
                <w:szCs w:val="20"/>
              </w:rPr>
            </w:pPr>
            <w:r>
              <w:rPr>
                <w:rFonts w:eastAsia="Times New Roman"/>
                <w:sz w:val="20"/>
                <w:szCs w:val="20"/>
              </w:rPr>
              <w:t>Purchase of equipment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(71,462</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(38,444</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w:t>
            </w:r>
          </w:p>
        </w:tc>
      </w:tr>
      <w:tr w:rsidR="00000000">
        <w:trPr>
          <w:divId w:val="1088308932"/>
        </w:trPr>
        <w:tc>
          <w:tcPr>
            <w:tcW w:w="0" w:type="auto"/>
            <w:tcMar>
              <w:top w:w="0" w:type="dxa"/>
              <w:left w:w="360" w:type="dxa"/>
              <w:bottom w:w="30" w:type="dxa"/>
              <w:right w:w="0" w:type="dxa"/>
            </w:tcMar>
            <w:vAlign w:val="bottom"/>
            <w:hideMark/>
          </w:tcPr>
          <w:p w:rsidR="00000000" w:rsidRDefault="00B46E81">
            <w:pPr>
              <w:ind w:hanging="180"/>
              <w:rPr>
                <w:rFonts w:eastAsia="Times New Roman"/>
                <w:sz w:val="20"/>
                <w:szCs w:val="20"/>
              </w:rPr>
            </w:pPr>
            <w:r>
              <w:rPr>
                <w:rFonts w:eastAsia="Times New Roman"/>
                <w:sz w:val="20"/>
                <w:szCs w:val="20"/>
              </w:rPr>
              <w:t>Net cash used by investing activities</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(71,462</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(38,444</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w:t>
            </w:r>
          </w:p>
        </w:tc>
      </w:tr>
      <w:tr w:rsidR="00000000">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Cash Flows from Financing Activities:</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36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Repayment of loans</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(45,000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(4,770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w:t>
            </w:r>
          </w:p>
        </w:tc>
      </w:tr>
      <w:tr w:rsidR="00000000">
        <w:trPr>
          <w:divId w:val="1088308932"/>
        </w:trPr>
        <w:tc>
          <w:tcPr>
            <w:tcW w:w="0" w:type="auto"/>
            <w:tcMar>
              <w:top w:w="0" w:type="dxa"/>
              <w:left w:w="36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Proceeds from convertible notes payable</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divId w:val="1835485321"/>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516,300</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36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Cash advance – related party</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1,523</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divId w:val="116139117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360" w:type="dxa"/>
              <w:bottom w:w="30" w:type="dxa"/>
              <w:right w:w="0" w:type="dxa"/>
            </w:tcMar>
            <w:vAlign w:val="bottom"/>
            <w:hideMark/>
          </w:tcPr>
          <w:p w:rsidR="00000000" w:rsidRDefault="00B46E81">
            <w:pPr>
              <w:ind w:hanging="180"/>
              <w:rPr>
                <w:rFonts w:eastAsia="Times New Roman"/>
                <w:sz w:val="20"/>
                <w:szCs w:val="20"/>
              </w:rPr>
            </w:pPr>
            <w:r>
              <w:rPr>
                <w:rFonts w:eastAsia="Times New Roman"/>
                <w:sz w:val="20"/>
                <w:szCs w:val="20"/>
              </w:rPr>
              <w:t>Common stock sold for cash</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855,000</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2,046,000</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30" w:type="dxa"/>
              <w:right w:w="0" w:type="dxa"/>
            </w:tcMar>
            <w:vAlign w:val="bottom"/>
            <w:hideMark/>
          </w:tcPr>
          <w:p w:rsidR="00000000" w:rsidRDefault="00B46E81">
            <w:pPr>
              <w:ind w:hanging="180"/>
              <w:rPr>
                <w:rFonts w:eastAsia="Times New Roman"/>
                <w:sz w:val="20"/>
                <w:szCs w:val="20"/>
              </w:rPr>
            </w:pPr>
            <w:r>
              <w:rPr>
                <w:rFonts w:eastAsia="Times New Roman"/>
                <w:sz w:val="20"/>
                <w:szCs w:val="20"/>
              </w:rPr>
              <w:t>Net cash provided by financing activities</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811,523</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2,557,530</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Net change in cash</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(1,222,623</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2,249,717</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30" w:type="dxa"/>
              <w:right w:w="0" w:type="dxa"/>
            </w:tcMar>
            <w:vAlign w:val="bottom"/>
            <w:hideMark/>
          </w:tcPr>
          <w:p w:rsidR="00000000" w:rsidRDefault="00B46E81">
            <w:pPr>
              <w:ind w:hanging="180"/>
              <w:rPr>
                <w:rFonts w:eastAsia="Times New Roman"/>
                <w:sz w:val="20"/>
                <w:szCs w:val="20"/>
              </w:rPr>
            </w:pPr>
            <w:r>
              <w:rPr>
                <w:rFonts w:eastAsia="Times New Roman"/>
                <w:sz w:val="20"/>
                <w:szCs w:val="20"/>
              </w:rPr>
              <w:t>Cash at beginning of the period</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3,383,568</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114,227</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80" w:type="dxa"/>
              <w:right w:w="0" w:type="dxa"/>
            </w:tcMar>
            <w:vAlign w:val="bottom"/>
            <w:hideMark/>
          </w:tcPr>
          <w:p w:rsidR="00000000" w:rsidRDefault="00B46E81">
            <w:pPr>
              <w:ind w:hanging="180"/>
              <w:rPr>
                <w:rFonts w:eastAsia="Times New Roman"/>
                <w:sz w:val="20"/>
                <w:szCs w:val="20"/>
              </w:rPr>
            </w:pPr>
            <w:r>
              <w:rPr>
                <w:rFonts w:eastAsia="Times New Roman"/>
                <w:sz w:val="20"/>
                <w:szCs w:val="20"/>
              </w:rPr>
              <w:t>Cash at end of the period</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2,160,945</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2,363,944</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Supplemental cash flow information:</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360" w:type="dxa"/>
              <w:bottom w:w="80" w:type="dxa"/>
              <w:right w:w="0" w:type="dxa"/>
            </w:tcMar>
            <w:vAlign w:val="bottom"/>
            <w:hideMark/>
          </w:tcPr>
          <w:p w:rsidR="00000000" w:rsidRDefault="00B46E81">
            <w:pPr>
              <w:ind w:hanging="180"/>
              <w:rPr>
                <w:rFonts w:eastAsia="Times New Roman"/>
                <w:sz w:val="20"/>
                <w:szCs w:val="20"/>
              </w:rPr>
            </w:pPr>
            <w:r>
              <w:rPr>
                <w:rFonts w:eastAsia="Times New Roman"/>
                <w:sz w:val="20"/>
                <w:szCs w:val="20"/>
              </w:rPr>
              <w:t>Interest paid in cash</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B46E81">
            <w:pPr>
              <w:jc w:val="right"/>
              <w:rPr>
                <w:rFonts w:eastAsia="Times New Roman"/>
                <w:sz w:val="20"/>
                <w:szCs w:val="20"/>
              </w:rPr>
            </w:pPr>
            <w:r>
              <w:rPr>
                <w:rFonts w:eastAsia="Times New Roman"/>
                <w:sz w:val="20"/>
                <w:szCs w:val="20"/>
              </w:rPr>
              <w:t>22,140</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B46E81">
            <w:pPr>
              <w:jc w:val="right"/>
              <w:rPr>
                <w:rFonts w:eastAsia="Times New Roman"/>
                <w:sz w:val="20"/>
                <w:szCs w:val="20"/>
              </w:rPr>
            </w:pPr>
            <w:r>
              <w:rPr>
                <w:rFonts w:eastAsia="Times New Roman"/>
                <w:sz w:val="20"/>
                <w:szCs w:val="20"/>
              </w:rPr>
              <w:t>306</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360" w:type="dxa"/>
              <w:bottom w:w="80" w:type="dxa"/>
              <w:right w:w="0" w:type="dxa"/>
            </w:tcMar>
            <w:vAlign w:val="bottom"/>
            <w:hideMark/>
          </w:tcPr>
          <w:p w:rsidR="00000000" w:rsidRDefault="00B46E81">
            <w:pPr>
              <w:ind w:hanging="180"/>
              <w:rPr>
                <w:rFonts w:eastAsia="Times New Roman"/>
                <w:sz w:val="20"/>
                <w:szCs w:val="20"/>
              </w:rPr>
            </w:pPr>
            <w:r>
              <w:rPr>
                <w:rFonts w:eastAsia="Times New Roman"/>
                <w:sz w:val="20"/>
                <w:szCs w:val="20"/>
              </w:rPr>
              <w:t>Taxes paid</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B46E81">
            <w:pPr>
              <w:jc w:val="right"/>
              <w:divId w:val="914971470"/>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B46E81">
            <w:pPr>
              <w:jc w:val="right"/>
              <w:divId w:val="1669017337"/>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Supplemental non-cash disclosure:</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360" w:type="dxa"/>
              <w:bottom w:w="80" w:type="dxa"/>
              <w:right w:w="0" w:type="dxa"/>
            </w:tcMar>
            <w:vAlign w:val="bottom"/>
            <w:hideMark/>
          </w:tcPr>
          <w:p w:rsidR="00000000" w:rsidRDefault="00B46E81">
            <w:pPr>
              <w:ind w:hanging="180"/>
              <w:rPr>
                <w:rFonts w:eastAsia="Times New Roman"/>
                <w:sz w:val="20"/>
                <w:szCs w:val="20"/>
              </w:rPr>
            </w:pPr>
            <w:r>
              <w:rPr>
                <w:rFonts w:eastAsia="Times New Roman"/>
                <w:sz w:val="20"/>
                <w:szCs w:val="20"/>
              </w:rPr>
              <w:t>Common stock issued for conversion of debt</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427,730</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517,724</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360" w:type="dxa"/>
              <w:bottom w:w="80" w:type="dxa"/>
              <w:right w:w="0" w:type="dxa"/>
            </w:tcMar>
            <w:vAlign w:val="bottom"/>
            <w:hideMark/>
          </w:tcPr>
          <w:p w:rsidR="00000000" w:rsidRDefault="00B46E81">
            <w:pPr>
              <w:ind w:hanging="180"/>
              <w:rPr>
                <w:rFonts w:eastAsia="Times New Roman"/>
                <w:sz w:val="20"/>
                <w:szCs w:val="20"/>
              </w:rPr>
            </w:pPr>
            <w:r>
              <w:rPr>
                <w:rFonts w:eastAsia="Times New Roman"/>
                <w:sz w:val="20"/>
                <w:szCs w:val="20"/>
              </w:rPr>
              <w:t>Establish right of use asset</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B46E81">
            <w:pPr>
              <w:jc w:val="right"/>
              <w:rPr>
                <w:rFonts w:eastAsia="Times New Roman"/>
                <w:sz w:val="20"/>
                <w:szCs w:val="20"/>
              </w:rPr>
            </w:pPr>
            <w:r>
              <w:rPr>
                <w:rFonts w:eastAsia="Times New Roman"/>
                <w:sz w:val="20"/>
                <w:szCs w:val="20"/>
              </w:rPr>
              <w:t>328,803</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B46E81">
            <w:pPr>
              <w:jc w:val="right"/>
              <w:divId w:val="749079227"/>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bl>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center"/>
        <w:divId w:val="1088308932"/>
        <w:rPr>
          <w:sz w:val="20"/>
          <w:szCs w:val="20"/>
        </w:rPr>
      </w:pPr>
      <w:r>
        <w:rPr>
          <w:i/>
          <w:iCs/>
          <w:sz w:val="20"/>
          <w:szCs w:val="20"/>
        </w:rPr>
        <w:t xml:space="preserve">The </w:t>
      </w:r>
      <w:r>
        <w:rPr>
          <w:i/>
          <w:iCs/>
          <w:sz w:val="20"/>
          <w:szCs w:val="20"/>
        </w:rPr>
        <w:t>accompanying notes are an integral part of these unaudited condensed financial statements.</w:t>
      </w:r>
      <w:r>
        <w:rPr>
          <w:b/>
          <w:bCs/>
          <w:sz w:val="20"/>
          <w:szCs w:val="20"/>
        </w:rPr>
        <w:t> </w:t>
      </w:r>
    </w:p>
    <w:p w:rsidR="00000000" w:rsidRDefault="00B46E81">
      <w:pPr>
        <w:pStyle w:val="a3"/>
        <w:spacing w:before="0" w:beforeAutospacing="0" w:after="0" w:afterAutospacing="0"/>
        <w:jc w:val="center"/>
        <w:divId w:val="1088308932"/>
        <w:rPr>
          <w:sz w:val="20"/>
          <w:szCs w:val="20"/>
        </w:rPr>
      </w:pPr>
      <w:r>
        <w:rPr>
          <w:sz w:val="20"/>
          <w:szCs w:val="20"/>
        </w:rPr>
        <w:t> </w:t>
      </w:r>
    </w:p>
    <w:p w:rsidR="00000000" w:rsidRDefault="00B46E81">
      <w:pPr>
        <w:pStyle w:val="a3"/>
        <w:spacing w:before="0" w:beforeAutospacing="0" w:after="0" w:afterAutospacing="0"/>
        <w:jc w:val="center"/>
        <w:divId w:val="1550920146"/>
        <w:rPr>
          <w:sz w:val="20"/>
          <w:szCs w:val="20"/>
        </w:rPr>
      </w:pPr>
      <w:r>
        <w:rPr>
          <w:sz w:val="20"/>
          <w:szCs w:val="20"/>
        </w:rPr>
        <w:t>5</w:t>
      </w:r>
    </w:p>
    <w:p w:rsidR="00000000" w:rsidRDefault="00B46E81">
      <w:pPr>
        <w:pStyle w:val="a3"/>
        <w:spacing w:before="0" w:beforeAutospacing="0" w:after="0" w:afterAutospacing="0"/>
        <w:divId w:val="1928879174"/>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center"/>
        <w:divId w:val="1088308932"/>
        <w:rPr>
          <w:sz w:val="20"/>
          <w:szCs w:val="20"/>
        </w:rPr>
      </w:pPr>
      <w:r>
        <w:rPr>
          <w:b/>
          <w:bCs/>
          <w:sz w:val="20"/>
          <w:szCs w:val="20"/>
        </w:rPr>
        <w:t>REMSLEEP HOLDINGS, INC.</w:t>
      </w:r>
    </w:p>
    <w:p w:rsidR="00000000" w:rsidRDefault="00B46E81">
      <w:pPr>
        <w:pStyle w:val="a3"/>
        <w:spacing w:before="0" w:beforeAutospacing="0" w:after="0" w:afterAutospacing="0"/>
        <w:jc w:val="center"/>
        <w:divId w:val="1088308932"/>
        <w:rPr>
          <w:sz w:val="20"/>
          <w:szCs w:val="20"/>
        </w:rPr>
      </w:pPr>
      <w:r>
        <w:rPr>
          <w:b/>
          <w:bCs/>
          <w:sz w:val="20"/>
          <w:szCs w:val="20"/>
        </w:rPr>
        <w:t> NOTES TO CONDENSED FINANCIAL STATEMENTS</w:t>
      </w:r>
    </w:p>
    <w:p w:rsidR="00000000" w:rsidRDefault="00B46E81">
      <w:pPr>
        <w:pStyle w:val="a3"/>
        <w:spacing w:before="0" w:beforeAutospacing="0" w:after="0" w:afterAutospacing="0"/>
        <w:jc w:val="center"/>
        <w:divId w:val="1088308932"/>
        <w:rPr>
          <w:sz w:val="20"/>
          <w:szCs w:val="20"/>
        </w:rPr>
      </w:pPr>
      <w:r>
        <w:rPr>
          <w:b/>
          <w:bCs/>
          <w:sz w:val="20"/>
          <w:szCs w:val="20"/>
        </w:rPr>
        <w:t>September 30, 2022</w:t>
      </w:r>
    </w:p>
    <w:p w:rsidR="00000000" w:rsidRDefault="00B46E81">
      <w:pPr>
        <w:pStyle w:val="a3"/>
        <w:spacing w:before="0" w:beforeAutospacing="0" w:after="0" w:afterAutospacing="0"/>
        <w:jc w:val="center"/>
        <w:divId w:val="1088308932"/>
        <w:rPr>
          <w:sz w:val="20"/>
          <w:szCs w:val="20"/>
        </w:rPr>
      </w:pPr>
      <w:r>
        <w:rPr>
          <w:b/>
          <w:bCs/>
          <w:sz w:val="20"/>
          <w:szCs w:val="20"/>
        </w:rPr>
        <w:t>(Unaudited)</w:t>
      </w:r>
    </w:p>
    <w:p w:rsidR="00000000" w:rsidRDefault="00B46E81">
      <w:pPr>
        <w:pStyle w:val="a3"/>
        <w:spacing w:before="0" w:beforeAutospacing="0" w:after="0" w:afterAutospacing="0"/>
        <w:jc w:val="center"/>
        <w:divId w:val="1088308932"/>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b/>
          <w:bCs/>
          <w:sz w:val="20"/>
          <w:szCs w:val="20"/>
        </w:rPr>
        <w:t>NOTE 1 - BACKGROUND</w:t>
      </w:r>
    </w:p>
    <w:p w:rsidR="00000000" w:rsidRDefault="00B46E81">
      <w:pPr>
        <w:pStyle w:val="a3"/>
        <w:spacing w:before="0" w:beforeAutospacing="0" w:after="0" w:afterAutospacing="0"/>
        <w:divId w:val="1088308932"/>
        <w:rPr>
          <w:sz w:val="20"/>
          <w:szCs w:val="20"/>
        </w:rPr>
      </w:pPr>
      <w:r>
        <w:rPr>
          <w:b/>
          <w:bCs/>
          <w:sz w:val="20"/>
          <w:szCs w:val="20"/>
        </w:rPr>
        <w:t> </w:t>
      </w:r>
    </w:p>
    <w:p w:rsidR="00000000" w:rsidRDefault="00B46E81">
      <w:pPr>
        <w:pStyle w:val="a3"/>
        <w:spacing w:before="0" w:beforeAutospacing="0" w:after="0" w:afterAutospacing="0"/>
        <w:divId w:val="1088308932"/>
        <w:rPr>
          <w:sz w:val="20"/>
          <w:szCs w:val="20"/>
        </w:rPr>
      </w:pPr>
      <w:r>
        <w:rPr>
          <w:i/>
          <w:iCs/>
          <w:sz w:val="20"/>
          <w:szCs w:val="20"/>
          <w:u w:val="single"/>
        </w:rPr>
        <w:t>Business Activity</w:t>
      </w:r>
    </w:p>
    <w:p w:rsidR="00000000" w:rsidRDefault="00B46E81">
      <w:pPr>
        <w:pStyle w:val="a3"/>
        <w:spacing w:before="0" w:beforeAutospacing="0" w:after="0" w:afterAutospacing="0"/>
        <w:divId w:val="1088308932"/>
        <w:rPr>
          <w:sz w:val="20"/>
          <w:szCs w:val="20"/>
        </w:rPr>
      </w:pPr>
      <w:r>
        <w:rPr>
          <w:i/>
          <w:iCs/>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REMSleep </w:t>
      </w:r>
      <w:r>
        <w:rPr>
          <w:sz w:val="20"/>
          <w:szCs w:val="20"/>
        </w:rPr>
        <w:t>Holdings, Inc., (the “Company”) was incorporated in the State of Nevada on June 6, 2007. On January 5, 2015 the name of the Company was changed to REMSleep Holdings, Inc. and the business model was changed to reflect the new direction of the Company; to de</w:t>
      </w:r>
      <w:r>
        <w:rPr>
          <w:sz w:val="20"/>
          <w:szCs w:val="20"/>
        </w:rPr>
        <w:t>velop and distribute products to help people affected by sleep apnea. On May 30, 2015 REMSleep LLC was formally merged into REMSleep Holdings, Inc.</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b/>
          <w:bCs/>
          <w:sz w:val="20"/>
          <w:szCs w:val="20"/>
        </w:rPr>
        <w:t xml:space="preserve">NOTE 2 - SUMMARY OF SIGNIFICANT ACCOUNTING POLICIES </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i/>
          <w:iCs/>
          <w:sz w:val="20"/>
          <w:szCs w:val="20"/>
          <w:u w:val="single"/>
        </w:rPr>
        <w:t>Basis of Presentation</w:t>
      </w:r>
    </w:p>
    <w:p w:rsidR="00000000" w:rsidRDefault="00B46E81">
      <w:pPr>
        <w:pStyle w:val="a3"/>
        <w:spacing w:before="0" w:beforeAutospacing="0" w:after="0" w:afterAutospacing="0"/>
        <w:divId w:val="1088308932"/>
        <w:rPr>
          <w:sz w:val="20"/>
          <w:szCs w:val="20"/>
        </w:rPr>
      </w:pPr>
      <w:r>
        <w:rPr>
          <w:i/>
          <w:iCs/>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These </w:t>
      </w:r>
      <w:r>
        <w:rPr>
          <w:sz w:val="20"/>
          <w:szCs w:val="20"/>
        </w:rPr>
        <w:t>unaudited condensed financial statements have been prepared in accordance with accounting principles generally accepted in the United States of America (“US GAAP”) and the rules and regulations of the Securities and Exchange Commission (“SEC”). These finan</w:t>
      </w:r>
      <w:r>
        <w:rPr>
          <w:sz w:val="20"/>
          <w:szCs w:val="20"/>
        </w:rPr>
        <w:t>cial statements and the notes attached hereto should be read in conjunction with the financial statements and notes included in the Company’s 10-K for its fiscal year ended December 31, 2021. In the opinion of the Company, all adjustments, including normal</w:t>
      </w:r>
      <w:r>
        <w:rPr>
          <w:sz w:val="20"/>
          <w:szCs w:val="20"/>
        </w:rPr>
        <w:t xml:space="preserve"> recurring adjustments necessary to present fairly the financial position of the Company, as of September 30, 2022, and the results of its operations and cash flows for the nine months then ended have been included. The results of operations for the interi</w:t>
      </w:r>
      <w:r>
        <w:rPr>
          <w:sz w:val="20"/>
          <w:szCs w:val="20"/>
        </w:rPr>
        <w:t>m period are not necessarily indicative of the results for the full year ending December 31, 2022.</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i/>
          <w:iCs/>
          <w:sz w:val="20"/>
          <w:szCs w:val="20"/>
          <w:u w:val="single"/>
        </w:rPr>
        <w:t>Use of Estimates</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The preparation of financial statements in conformity with accounting principles generally accepted in the United States of America requ</w:t>
      </w:r>
      <w:r>
        <w:rPr>
          <w:sz w:val="20"/>
          <w:szCs w:val="20"/>
        </w:rPr>
        <w:t>ires management to make estimates and assumptions that affect the reported amounts of assets and liabilities at the date of the financial statements and the reported amounts of revenues and expenses during the reporting periods. Actual results could differ</w:t>
      </w:r>
      <w:r>
        <w:rPr>
          <w:sz w:val="20"/>
          <w:szCs w:val="20"/>
        </w:rPr>
        <w:t xml:space="preserve"> from those estimates.</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i/>
          <w:iCs/>
          <w:sz w:val="20"/>
          <w:szCs w:val="20"/>
          <w:u w:val="single"/>
        </w:rPr>
        <w:t>Fair Value of Financial Instruments</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The Company follows paragraph 825-10-50-10 of the FASB Accounting Standards Codification for disclosures about fair value of its financial instruments and paragraph 820-10-35-37 of the FASB Acc</w:t>
      </w:r>
      <w:r>
        <w:rPr>
          <w:sz w:val="20"/>
          <w:szCs w:val="20"/>
        </w:rPr>
        <w:t>ounting Standards Codification (“Paragraph 820-10-35-37”) to measure the fair value of its financial instruments. Paragraph 820-10-35-37 establishes a framework for measuring fair value in accounting principles generally accepted in the United States of Am</w:t>
      </w:r>
      <w:r>
        <w:rPr>
          <w:sz w:val="20"/>
          <w:szCs w:val="20"/>
        </w:rPr>
        <w:t>erica (U.S. GAAP), and expands disclosures about fair value measurements. To increase consistency and comparability in fair value measurements and related disclosures, Paragraph 820-10-35-37 establishes a fair value hierarchy which prioritizes the inputs t</w:t>
      </w:r>
      <w:r>
        <w:rPr>
          <w:sz w:val="20"/>
          <w:szCs w:val="20"/>
        </w:rPr>
        <w:t>o valuation techniques used to measure fair value into three broad levels. The fair value hierarchy gives the highest priority to quoted prices (unadjusted) in active markets for identical assets or liabilities and the lowest priority to unobservable input</w:t>
      </w:r>
      <w:r>
        <w:rPr>
          <w:sz w:val="20"/>
          <w:szCs w:val="20"/>
        </w:rPr>
        <w:t>s. The three levels of fair value hierarchy defined by Paragraph 820-10-35-37 are described below:</w:t>
      </w:r>
    </w:p>
    <w:p w:rsidR="00000000" w:rsidRDefault="00B46E81">
      <w:pPr>
        <w:pStyle w:val="a3"/>
        <w:spacing w:before="0" w:beforeAutospacing="0" w:after="0" w:afterAutospacing="0"/>
        <w:divId w:val="10883089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36"/>
        <w:gridCol w:w="7210"/>
      </w:tblGrid>
      <w:tr w:rsidR="00000000">
        <w:trPr>
          <w:divId w:val="1088308932"/>
        </w:trPr>
        <w:tc>
          <w:tcPr>
            <w:tcW w:w="360" w:type="dxa"/>
            <w:hideMark/>
          </w:tcPr>
          <w:p w:rsidR="00000000" w:rsidRDefault="00B46E81">
            <w:pPr>
              <w:rPr>
                <w:rFonts w:eastAsia="Times New Roman"/>
                <w:sz w:val="20"/>
                <w:szCs w:val="20"/>
              </w:rPr>
            </w:pPr>
            <w:r>
              <w:rPr>
                <w:rFonts w:eastAsia="Times New Roman"/>
                <w:sz w:val="20"/>
                <w:szCs w:val="20"/>
              </w:rPr>
              <w:t> </w:t>
            </w:r>
          </w:p>
        </w:tc>
        <w:tc>
          <w:tcPr>
            <w:tcW w:w="720" w:type="dxa"/>
            <w:noWrap/>
            <w:hideMark/>
          </w:tcPr>
          <w:p w:rsidR="00000000" w:rsidRDefault="00B46E81">
            <w:pPr>
              <w:jc w:val="both"/>
              <w:rPr>
                <w:rFonts w:eastAsia="Times New Roman"/>
                <w:sz w:val="20"/>
                <w:szCs w:val="20"/>
              </w:rPr>
            </w:pPr>
            <w:r>
              <w:rPr>
                <w:rFonts w:eastAsia="Times New Roman"/>
                <w:sz w:val="20"/>
                <w:szCs w:val="20"/>
              </w:rPr>
              <w:t>Level 1:</w:t>
            </w:r>
          </w:p>
        </w:tc>
        <w:tc>
          <w:tcPr>
            <w:tcW w:w="0" w:type="auto"/>
            <w:hideMark/>
          </w:tcPr>
          <w:p w:rsidR="00000000" w:rsidRDefault="00B46E81">
            <w:pPr>
              <w:jc w:val="both"/>
              <w:rPr>
                <w:rFonts w:eastAsia="Times New Roman"/>
                <w:sz w:val="20"/>
                <w:szCs w:val="20"/>
              </w:rPr>
            </w:pPr>
            <w:r>
              <w:rPr>
                <w:rFonts w:eastAsia="Times New Roman"/>
                <w:sz w:val="20"/>
                <w:szCs w:val="20"/>
              </w:rPr>
              <w:t xml:space="preserve">Quoted market prices available </w:t>
            </w:r>
            <w:r>
              <w:rPr>
                <w:rFonts w:eastAsia="Times New Roman"/>
                <w:sz w:val="20"/>
                <w:szCs w:val="20"/>
              </w:rPr>
              <w:t>in active markets for identical assets or liabilities as of the reporting date.</w:t>
            </w:r>
          </w:p>
        </w:tc>
      </w:tr>
      <w:tr w:rsidR="00000000">
        <w:trPr>
          <w:divId w:val="1088308932"/>
        </w:trPr>
        <w:tc>
          <w:tcPr>
            <w:tcW w:w="0" w:type="auto"/>
            <w:hideMark/>
          </w:tcPr>
          <w:p w:rsidR="00000000" w:rsidRDefault="00B46E81">
            <w:pPr>
              <w:rPr>
                <w:rFonts w:eastAsia="Times New Roman"/>
                <w:sz w:val="20"/>
                <w:szCs w:val="20"/>
              </w:rPr>
            </w:pPr>
            <w:r>
              <w:rPr>
                <w:rFonts w:eastAsia="Times New Roman"/>
                <w:sz w:val="20"/>
                <w:szCs w:val="20"/>
              </w:rPr>
              <w:t> </w:t>
            </w:r>
          </w:p>
        </w:tc>
        <w:tc>
          <w:tcPr>
            <w:tcW w:w="0" w:type="auto"/>
            <w:hideMark/>
          </w:tcPr>
          <w:p w:rsidR="00000000" w:rsidRDefault="00B46E81">
            <w:pPr>
              <w:jc w:val="both"/>
              <w:rPr>
                <w:rFonts w:eastAsia="Times New Roman"/>
                <w:sz w:val="20"/>
                <w:szCs w:val="20"/>
              </w:rPr>
            </w:pPr>
            <w:r>
              <w:rPr>
                <w:rFonts w:eastAsia="Times New Roman"/>
                <w:sz w:val="20"/>
                <w:szCs w:val="20"/>
              </w:rPr>
              <w:t> </w:t>
            </w:r>
          </w:p>
        </w:tc>
        <w:tc>
          <w:tcPr>
            <w:tcW w:w="0" w:type="auto"/>
            <w:hideMark/>
          </w:tcPr>
          <w:p w:rsidR="00000000" w:rsidRDefault="00B46E81">
            <w:pPr>
              <w:jc w:val="both"/>
              <w:rPr>
                <w:rFonts w:eastAsia="Times New Roman"/>
                <w:sz w:val="20"/>
                <w:szCs w:val="20"/>
              </w:rPr>
            </w:pPr>
            <w:r>
              <w:rPr>
                <w:rFonts w:eastAsia="Times New Roman"/>
                <w:sz w:val="20"/>
                <w:szCs w:val="20"/>
              </w:rPr>
              <w:t> </w:t>
            </w:r>
          </w:p>
        </w:tc>
      </w:tr>
      <w:tr w:rsidR="00000000">
        <w:trPr>
          <w:divId w:val="1088308932"/>
        </w:trPr>
        <w:tc>
          <w:tcPr>
            <w:tcW w:w="0" w:type="auto"/>
            <w:hideMark/>
          </w:tcPr>
          <w:p w:rsidR="00000000" w:rsidRDefault="00B46E81">
            <w:pPr>
              <w:rPr>
                <w:rFonts w:eastAsia="Times New Roman"/>
                <w:sz w:val="20"/>
                <w:szCs w:val="20"/>
              </w:rPr>
            </w:pPr>
            <w:r>
              <w:rPr>
                <w:rFonts w:eastAsia="Times New Roman"/>
                <w:sz w:val="20"/>
                <w:szCs w:val="20"/>
              </w:rPr>
              <w:t> </w:t>
            </w:r>
          </w:p>
        </w:tc>
        <w:tc>
          <w:tcPr>
            <w:tcW w:w="0" w:type="auto"/>
            <w:hideMark/>
          </w:tcPr>
          <w:p w:rsidR="00000000" w:rsidRDefault="00B46E81">
            <w:pPr>
              <w:jc w:val="both"/>
              <w:rPr>
                <w:rFonts w:eastAsia="Times New Roman"/>
                <w:sz w:val="20"/>
                <w:szCs w:val="20"/>
              </w:rPr>
            </w:pPr>
            <w:r>
              <w:rPr>
                <w:rFonts w:eastAsia="Times New Roman"/>
                <w:sz w:val="20"/>
                <w:szCs w:val="20"/>
              </w:rPr>
              <w:t>Level 2:</w:t>
            </w:r>
          </w:p>
        </w:tc>
        <w:tc>
          <w:tcPr>
            <w:tcW w:w="0" w:type="auto"/>
            <w:hideMark/>
          </w:tcPr>
          <w:p w:rsidR="00000000" w:rsidRDefault="00B46E81">
            <w:pPr>
              <w:jc w:val="both"/>
              <w:rPr>
                <w:rFonts w:eastAsia="Times New Roman"/>
                <w:sz w:val="20"/>
                <w:szCs w:val="20"/>
              </w:rPr>
            </w:pPr>
            <w:r>
              <w:rPr>
                <w:rFonts w:eastAsia="Times New Roman"/>
                <w:sz w:val="20"/>
                <w:szCs w:val="20"/>
              </w:rPr>
              <w:t>Pricing inputs other than quoted prices in active markets included in Level 1, which are either directly or indirectly observable as of the reporting date.</w:t>
            </w:r>
          </w:p>
        </w:tc>
      </w:tr>
      <w:tr w:rsidR="00000000">
        <w:trPr>
          <w:divId w:val="1088308932"/>
        </w:trPr>
        <w:tc>
          <w:tcPr>
            <w:tcW w:w="0" w:type="auto"/>
            <w:hideMark/>
          </w:tcPr>
          <w:p w:rsidR="00000000" w:rsidRDefault="00B46E81">
            <w:pPr>
              <w:rPr>
                <w:rFonts w:eastAsia="Times New Roman"/>
                <w:sz w:val="20"/>
                <w:szCs w:val="20"/>
              </w:rPr>
            </w:pPr>
            <w:r>
              <w:rPr>
                <w:rFonts w:eastAsia="Times New Roman"/>
                <w:sz w:val="20"/>
                <w:szCs w:val="20"/>
              </w:rPr>
              <w:t> </w:t>
            </w:r>
          </w:p>
        </w:tc>
        <w:tc>
          <w:tcPr>
            <w:tcW w:w="0" w:type="auto"/>
            <w:hideMark/>
          </w:tcPr>
          <w:p w:rsidR="00000000" w:rsidRDefault="00B46E81">
            <w:pPr>
              <w:jc w:val="both"/>
              <w:rPr>
                <w:rFonts w:eastAsia="Times New Roman"/>
                <w:sz w:val="20"/>
                <w:szCs w:val="20"/>
              </w:rPr>
            </w:pPr>
            <w:r>
              <w:rPr>
                <w:rFonts w:eastAsia="Times New Roman"/>
                <w:sz w:val="20"/>
                <w:szCs w:val="20"/>
              </w:rPr>
              <w:t> </w:t>
            </w:r>
          </w:p>
        </w:tc>
        <w:tc>
          <w:tcPr>
            <w:tcW w:w="0" w:type="auto"/>
            <w:hideMark/>
          </w:tcPr>
          <w:p w:rsidR="00000000" w:rsidRDefault="00B46E81">
            <w:pPr>
              <w:jc w:val="both"/>
              <w:rPr>
                <w:rFonts w:eastAsia="Times New Roman"/>
                <w:sz w:val="20"/>
                <w:szCs w:val="20"/>
              </w:rPr>
            </w:pPr>
            <w:r>
              <w:rPr>
                <w:rFonts w:eastAsia="Times New Roman"/>
                <w:sz w:val="20"/>
                <w:szCs w:val="20"/>
              </w:rPr>
              <w:t> </w:t>
            </w:r>
          </w:p>
        </w:tc>
      </w:tr>
      <w:tr w:rsidR="00000000">
        <w:trPr>
          <w:divId w:val="1088308932"/>
        </w:trPr>
        <w:tc>
          <w:tcPr>
            <w:tcW w:w="0" w:type="auto"/>
            <w:hideMark/>
          </w:tcPr>
          <w:p w:rsidR="00000000" w:rsidRDefault="00B46E81">
            <w:pPr>
              <w:rPr>
                <w:rFonts w:eastAsia="Times New Roman"/>
                <w:sz w:val="20"/>
                <w:szCs w:val="20"/>
              </w:rPr>
            </w:pPr>
            <w:r>
              <w:rPr>
                <w:rFonts w:eastAsia="Times New Roman"/>
                <w:sz w:val="20"/>
                <w:szCs w:val="20"/>
              </w:rPr>
              <w:t> </w:t>
            </w:r>
          </w:p>
        </w:tc>
        <w:tc>
          <w:tcPr>
            <w:tcW w:w="0" w:type="auto"/>
            <w:hideMark/>
          </w:tcPr>
          <w:p w:rsidR="00000000" w:rsidRDefault="00B46E81">
            <w:pPr>
              <w:jc w:val="both"/>
              <w:rPr>
                <w:rFonts w:eastAsia="Times New Roman"/>
                <w:sz w:val="20"/>
                <w:szCs w:val="20"/>
              </w:rPr>
            </w:pPr>
            <w:r>
              <w:rPr>
                <w:rFonts w:eastAsia="Times New Roman"/>
                <w:sz w:val="20"/>
                <w:szCs w:val="20"/>
              </w:rPr>
              <w:t>Level 3:</w:t>
            </w:r>
          </w:p>
        </w:tc>
        <w:tc>
          <w:tcPr>
            <w:tcW w:w="0" w:type="auto"/>
            <w:hideMark/>
          </w:tcPr>
          <w:p w:rsidR="00000000" w:rsidRDefault="00B46E81">
            <w:pPr>
              <w:jc w:val="both"/>
              <w:rPr>
                <w:rFonts w:eastAsia="Times New Roman"/>
                <w:sz w:val="20"/>
                <w:szCs w:val="20"/>
              </w:rPr>
            </w:pPr>
            <w:r>
              <w:rPr>
                <w:rFonts w:eastAsia="Times New Roman"/>
                <w:sz w:val="20"/>
                <w:szCs w:val="20"/>
              </w:rPr>
              <w:t>Pricing inputs that are generally unobservable inputs and not corroborated by market data.</w:t>
            </w:r>
          </w:p>
        </w:tc>
      </w:tr>
    </w:tbl>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center"/>
        <w:divId w:val="1997027956"/>
        <w:rPr>
          <w:sz w:val="20"/>
          <w:szCs w:val="20"/>
        </w:rPr>
      </w:pPr>
      <w:r>
        <w:rPr>
          <w:sz w:val="20"/>
          <w:szCs w:val="20"/>
        </w:rPr>
        <w:t>6</w:t>
      </w:r>
    </w:p>
    <w:p w:rsidR="00000000" w:rsidRDefault="00B46E81">
      <w:pPr>
        <w:pStyle w:val="a3"/>
        <w:spacing w:before="0" w:beforeAutospacing="0" w:after="0" w:afterAutospacing="0"/>
        <w:divId w:val="2098552096"/>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The carrying amount of the Company’</w:t>
      </w:r>
      <w:r>
        <w:rPr>
          <w:sz w:val="20"/>
          <w:szCs w:val="20"/>
        </w:rPr>
        <w:t>s financial assets and liabilities, such as cash, prepaid expenses and accrued expenses approximate their fair value because of the short maturity of those instruments. The Company’s notes payable approximates the fair value of such instruments as the note</w:t>
      </w:r>
      <w:r>
        <w:rPr>
          <w:sz w:val="20"/>
          <w:szCs w:val="20"/>
        </w:rPr>
        <w:t>s bear interest rates that are consistent with current market rates.</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sz w:val="20"/>
          <w:szCs w:val="20"/>
        </w:rPr>
        <w:t>The following table classifies the Company’s liabilities measured at fair value on a recurring basis into the fair value hierarchy as of September 30, 2022 and December 31, 2021:</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sz w:val="20"/>
          <w:szCs w:val="20"/>
        </w:rPr>
        <w:t>Sept</w:t>
      </w:r>
      <w:r>
        <w:rPr>
          <w:sz w:val="20"/>
          <w:szCs w:val="20"/>
        </w:rPr>
        <w:t>ember 30, 2022:</w:t>
      </w:r>
    </w:p>
    <w:p w:rsidR="00000000" w:rsidRDefault="00B46E81">
      <w:pPr>
        <w:pStyle w:val="a3"/>
        <w:spacing w:before="0" w:beforeAutospacing="0" w:after="0" w:afterAutospacing="0"/>
        <w:divId w:val="10883089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0"/>
        <w:gridCol w:w="77"/>
        <w:gridCol w:w="100"/>
        <w:gridCol w:w="742"/>
        <w:gridCol w:w="78"/>
        <w:gridCol w:w="78"/>
        <w:gridCol w:w="100"/>
        <w:gridCol w:w="743"/>
        <w:gridCol w:w="78"/>
        <w:gridCol w:w="78"/>
        <w:gridCol w:w="101"/>
        <w:gridCol w:w="743"/>
        <w:gridCol w:w="78"/>
      </w:tblGrid>
      <w:tr w:rsidR="00000000">
        <w:trPr>
          <w:divId w:val="1088308932"/>
        </w:trPr>
        <w:tc>
          <w:tcPr>
            <w:tcW w:w="0" w:type="auto"/>
            <w:tcBorders>
              <w:bottom w:val="single" w:sz="12" w:space="0" w:color="000000"/>
            </w:tcBorders>
            <w:vAlign w:val="bottom"/>
            <w:hideMark/>
          </w:tcPr>
          <w:p w:rsidR="00000000" w:rsidRDefault="00B46E81">
            <w:pPr>
              <w:rPr>
                <w:rFonts w:eastAsia="Times New Roman"/>
                <w:b/>
                <w:bCs/>
                <w:sz w:val="20"/>
                <w:szCs w:val="20"/>
              </w:rPr>
            </w:pPr>
            <w:r>
              <w:rPr>
                <w:rFonts w:eastAsia="Times New Roman"/>
                <w:b/>
                <w:bCs/>
                <w:sz w:val="20"/>
                <w:szCs w:val="20"/>
              </w:rPr>
              <w:t>Description</w:t>
            </w:r>
          </w:p>
        </w:tc>
        <w:tc>
          <w:tcPr>
            <w:tcW w:w="0" w:type="auto"/>
            <w:tcMar>
              <w:top w:w="0" w:type="dxa"/>
              <w:left w:w="0" w:type="dxa"/>
              <w:bottom w:w="30" w:type="dxa"/>
              <w:right w:w="0" w:type="dxa"/>
            </w:tcMar>
            <w:vAlign w:val="bottom"/>
            <w:hideMark/>
          </w:tcPr>
          <w:p w:rsidR="00000000" w:rsidRDefault="00B46E8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20"/>
                <w:szCs w:val="20"/>
              </w:rPr>
              <w:t>Level 1</w:t>
            </w:r>
          </w:p>
        </w:tc>
        <w:tc>
          <w:tcPr>
            <w:tcW w:w="0" w:type="auto"/>
            <w:tcMar>
              <w:top w:w="0" w:type="dxa"/>
              <w:left w:w="0" w:type="dxa"/>
              <w:bottom w:w="30" w:type="dxa"/>
              <w:right w:w="0" w:type="dxa"/>
            </w:tcMar>
            <w:vAlign w:val="bottom"/>
            <w:hideMark/>
          </w:tcPr>
          <w:p w:rsidR="00000000" w:rsidRDefault="00B46E8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46E8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20"/>
                <w:szCs w:val="20"/>
              </w:rPr>
              <w:t>Level 2</w:t>
            </w:r>
          </w:p>
        </w:tc>
        <w:tc>
          <w:tcPr>
            <w:tcW w:w="0" w:type="auto"/>
            <w:tcMar>
              <w:top w:w="0" w:type="dxa"/>
              <w:left w:w="0" w:type="dxa"/>
              <w:bottom w:w="30" w:type="dxa"/>
              <w:right w:w="0" w:type="dxa"/>
            </w:tcMar>
            <w:vAlign w:val="bottom"/>
            <w:hideMark/>
          </w:tcPr>
          <w:p w:rsidR="00000000" w:rsidRDefault="00B46E8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46E8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20"/>
                <w:szCs w:val="20"/>
              </w:rPr>
              <w:t>Level 3</w:t>
            </w:r>
          </w:p>
        </w:tc>
        <w:tc>
          <w:tcPr>
            <w:tcW w:w="0" w:type="auto"/>
            <w:tcMar>
              <w:top w:w="0" w:type="dxa"/>
              <w:left w:w="0" w:type="dxa"/>
              <w:bottom w:w="30" w:type="dxa"/>
              <w:right w:w="0" w:type="dxa"/>
            </w:tcMar>
            <w:vAlign w:val="bottom"/>
            <w:hideMark/>
          </w:tcPr>
          <w:p w:rsidR="00000000" w:rsidRDefault="00B46E81">
            <w:pPr>
              <w:jc w:val="center"/>
              <w:rPr>
                <w:rFonts w:eastAsia="Times New Roman"/>
                <w:b/>
                <w:bCs/>
                <w:sz w:val="20"/>
                <w:szCs w:val="20"/>
              </w:rPr>
            </w:pPr>
            <w:r>
              <w:rPr>
                <w:rFonts w:eastAsia="Times New Roman"/>
                <w:b/>
                <w:bCs/>
                <w:sz w:val="20"/>
                <w:szCs w:val="20"/>
              </w:rPr>
              <w:t> </w:t>
            </w:r>
          </w:p>
        </w:tc>
      </w:tr>
      <w:tr w:rsidR="00000000">
        <w:trPr>
          <w:divId w:val="1088308932"/>
        </w:trPr>
        <w:tc>
          <w:tcPr>
            <w:tcW w:w="3200" w:type="pct"/>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Derivative</w:t>
            </w:r>
          </w:p>
        </w:tc>
        <w:tc>
          <w:tcPr>
            <w:tcW w:w="50" w:type="pct"/>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B46E81">
            <w:pPr>
              <w:jc w:val="right"/>
              <w:divId w:val="1129670734"/>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Total</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B46E81">
            <w:pPr>
              <w:jc w:val="right"/>
              <w:divId w:val="211423169"/>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B46E81">
            <w:pPr>
              <w:jc w:val="right"/>
              <w:divId w:val="1536426515"/>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B46E81">
            <w:pPr>
              <w:jc w:val="right"/>
              <w:divId w:val="613286863"/>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bl>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sz w:val="20"/>
          <w:szCs w:val="20"/>
        </w:rPr>
        <w:t>December 31, 2021:</w:t>
      </w:r>
    </w:p>
    <w:p w:rsidR="00000000" w:rsidRDefault="00B46E81">
      <w:pPr>
        <w:pStyle w:val="a3"/>
        <w:spacing w:before="0" w:beforeAutospacing="0" w:after="0" w:afterAutospacing="0"/>
        <w:divId w:val="10883089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0"/>
        <w:gridCol w:w="77"/>
        <w:gridCol w:w="101"/>
        <w:gridCol w:w="742"/>
        <w:gridCol w:w="77"/>
        <w:gridCol w:w="78"/>
        <w:gridCol w:w="101"/>
        <w:gridCol w:w="743"/>
        <w:gridCol w:w="78"/>
        <w:gridCol w:w="78"/>
        <w:gridCol w:w="100"/>
        <w:gridCol w:w="743"/>
        <w:gridCol w:w="78"/>
      </w:tblGrid>
      <w:tr w:rsidR="00000000">
        <w:trPr>
          <w:divId w:val="1088308932"/>
        </w:trPr>
        <w:tc>
          <w:tcPr>
            <w:tcW w:w="0" w:type="auto"/>
            <w:tcBorders>
              <w:bottom w:val="single" w:sz="12" w:space="0" w:color="000000"/>
            </w:tcBorders>
            <w:vAlign w:val="bottom"/>
            <w:hideMark/>
          </w:tcPr>
          <w:p w:rsidR="00000000" w:rsidRDefault="00B46E81">
            <w:pPr>
              <w:rPr>
                <w:rFonts w:eastAsia="Times New Roman"/>
                <w:b/>
                <w:bCs/>
                <w:sz w:val="20"/>
                <w:szCs w:val="20"/>
              </w:rPr>
            </w:pPr>
            <w:r>
              <w:rPr>
                <w:rFonts w:eastAsia="Times New Roman"/>
                <w:b/>
                <w:bCs/>
                <w:sz w:val="20"/>
                <w:szCs w:val="20"/>
              </w:rPr>
              <w:t>Description</w:t>
            </w:r>
          </w:p>
        </w:tc>
        <w:tc>
          <w:tcPr>
            <w:tcW w:w="0" w:type="auto"/>
            <w:tcMar>
              <w:top w:w="0" w:type="dxa"/>
              <w:left w:w="0" w:type="dxa"/>
              <w:bottom w:w="30" w:type="dxa"/>
              <w:right w:w="0" w:type="dxa"/>
            </w:tcMar>
            <w:vAlign w:val="bottom"/>
            <w:hideMark/>
          </w:tcPr>
          <w:p w:rsidR="00000000" w:rsidRDefault="00B46E8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20"/>
                <w:szCs w:val="20"/>
              </w:rPr>
              <w:t>Level 1</w:t>
            </w:r>
          </w:p>
        </w:tc>
        <w:tc>
          <w:tcPr>
            <w:tcW w:w="0" w:type="auto"/>
            <w:tcMar>
              <w:top w:w="0" w:type="dxa"/>
              <w:left w:w="0" w:type="dxa"/>
              <w:bottom w:w="30" w:type="dxa"/>
              <w:right w:w="0" w:type="dxa"/>
            </w:tcMar>
            <w:vAlign w:val="bottom"/>
            <w:hideMark/>
          </w:tcPr>
          <w:p w:rsidR="00000000" w:rsidRDefault="00B46E8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46E8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20"/>
                <w:szCs w:val="20"/>
              </w:rPr>
              <w:t>Level 2</w:t>
            </w:r>
          </w:p>
        </w:tc>
        <w:tc>
          <w:tcPr>
            <w:tcW w:w="0" w:type="auto"/>
            <w:tcMar>
              <w:top w:w="0" w:type="dxa"/>
              <w:left w:w="0" w:type="dxa"/>
              <w:bottom w:w="30" w:type="dxa"/>
              <w:right w:w="0" w:type="dxa"/>
            </w:tcMar>
            <w:vAlign w:val="bottom"/>
            <w:hideMark/>
          </w:tcPr>
          <w:p w:rsidR="00000000" w:rsidRDefault="00B46E8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46E8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20"/>
                <w:szCs w:val="20"/>
              </w:rPr>
              <w:t>Level 3</w:t>
            </w:r>
          </w:p>
        </w:tc>
        <w:tc>
          <w:tcPr>
            <w:tcW w:w="0" w:type="auto"/>
            <w:tcMar>
              <w:top w:w="0" w:type="dxa"/>
              <w:left w:w="0" w:type="dxa"/>
              <w:bottom w:w="30" w:type="dxa"/>
              <w:right w:w="0" w:type="dxa"/>
            </w:tcMar>
            <w:vAlign w:val="bottom"/>
            <w:hideMark/>
          </w:tcPr>
          <w:p w:rsidR="00000000" w:rsidRDefault="00B46E81">
            <w:pPr>
              <w:jc w:val="center"/>
              <w:rPr>
                <w:rFonts w:eastAsia="Times New Roman"/>
                <w:b/>
                <w:bCs/>
                <w:sz w:val="20"/>
                <w:szCs w:val="20"/>
              </w:rPr>
            </w:pPr>
            <w:r>
              <w:rPr>
                <w:rFonts w:eastAsia="Times New Roman"/>
                <w:b/>
                <w:bCs/>
                <w:sz w:val="20"/>
                <w:szCs w:val="20"/>
              </w:rPr>
              <w:t> </w:t>
            </w:r>
          </w:p>
        </w:tc>
      </w:tr>
      <w:tr w:rsidR="00000000">
        <w:trPr>
          <w:divId w:val="1088308932"/>
        </w:trPr>
        <w:tc>
          <w:tcPr>
            <w:tcW w:w="3200" w:type="pct"/>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Derivative</w:t>
            </w:r>
          </w:p>
        </w:tc>
        <w:tc>
          <w:tcPr>
            <w:tcW w:w="50" w:type="pct"/>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B46E81">
            <w:pPr>
              <w:jc w:val="right"/>
              <w:divId w:val="588662423"/>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B46E81">
            <w:pPr>
              <w:jc w:val="right"/>
              <w:divId w:val="850339182"/>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290,712</w:t>
            </w:r>
          </w:p>
        </w:tc>
        <w:tc>
          <w:tcPr>
            <w:tcW w:w="50" w:type="pct"/>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Total</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B46E81">
            <w:pPr>
              <w:jc w:val="right"/>
              <w:divId w:val="1834949795"/>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B46E81">
            <w:pPr>
              <w:jc w:val="right"/>
              <w:divId w:val="502353550"/>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B46E81">
            <w:pPr>
              <w:jc w:val="right"/>
              <w:rPr>
                <w:rFonts w:eastAsia="Times New Roman"/>
                <w:sz w:val="20"/>
                <w:szCs w:val="20"/>
              </w:rPr>
            </w:pPr>
            <w:r>
              <w:rPr>
                <w:rFonts w:eastAsia="Times New Roman"/>
                <w:sz w:val="20"/>
                <w:szCs w:val="20"/>
              </w:rPr>
              <w:t>290,712</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bl>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i/>
          <w:iCs/>
          <w:sz w:val="20"/>
          <w:szCs w:val="20"/>
          <w:u w:val="single"/>
        </w:rPr>
        <w:t>Revenue Recognition</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The Company recognizes revenue under ASC 606, “Revenue from Contracts with Customers” (“ASC 606”). The Company determines </w:t>
      </w:r>
      <w:r>
        <w:rPr>
          <w:sz w:val="20"/>
          <w:szCs w:val="20"/>
        </w:rPr>
        <w:t>revenue recognition through the following steps:</w:t>
      </w:r>
    </w:p>
    <w:p w:rsidR="00000000" w:rsidRDefault="00B46E81">
      <w:pPr>
        <w:pStyle w:val="a3"/>
        <w:spacing w:before="0" w:beforeAutospacing="0" w:after="0" w:afterAutospacing="0"/>
        <w:jc w:val="both"/>
        <w:divId w:val="10883089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rPr>
          <w:divId w:val="1088308932"/>
        </w:trPr>
        <w:tc>
          <w:tcPr>
            <w:tcW w:w="360" w:type="dxa"/>
            <w:hideMark/>
          </w:tcPr>
          <w:p w:rsidR="00000000" w:rsidRDefault="00B46E81">
            <w:pPr>
              <w:jc w:val="both"/>
              <w:rPr>
                <w:rFonts w:eastAsia="Times New Roman"/>
                <w:sz w:val="20"/>
                <w:szCs w:val="20"/>
              </w:rPr>
            </w:pPr>
            <w:r>
              <w:rPr>
                <w:rFonts w:eastAsia="Times New Roman"/>
                <w:sz w:val="20"/>
                <w:szCs w:val="20"/>
              </w:rPr>
              <w:t> </w:t>
            </w:r>
          </w:p>
        </w:tc>
        <w:tc>
          <w:tcPr>
            <w:tcW w:w="360" w:type="dxa"/>
            <w:hideMark/>
          </w:tcPr>
          <w:p w:rsidR="00000000" w:rsidRDefault="00B46E81">
            <w:pPr>
              <w:jc w:val="both"/>
              <w:rPr>
                <w:rFonts w:eastAsia="Times New Roman"/>
                <w:sz w:val="20"/>
                <w:szCs w:val="20"/>
              </w:rPr>
            </w:pPr>
            <w:r>
              <w:rPr>
                <w:rFonts w:eastAsia="Times New Roman"/>
                <w:sz w:val="20"/>
                <w:szCs w:val="20"/>
              </w:rPr>
              <w:t>●</w:t>
            </w:r>
          </w:p>
        </w:tc>
        <w:tc>
          <w:tcPr>
            <w:tcW w:w="0" w:type="auto"/>
            <w:hideMark/>
          </w:tcPr>
          <w:p w:rsidR="00000000" w:rsidRDefault="00B46E81">
            <w:pPr>
              <w:jc w:val="both"/>
              <w:rPr>
                <w:rFonts w:eastAsia="Times New Roman"/>
                <w:sz w:val="20"/>
                <w:szCs w:val="20"/>
              </w:rPr>
            </w:pPr>
            <w:r>
              <w:rPr>
                <w:rFonts w:eastAsia="Times New Roman"/>
                <w:sz w:val="20"/>
                <w:szCs w:val="20"/>
              </w:rPr>
              <w:t>Identification of a contract with a customer;</w:t>
            </w:r>
          </w:p>
        </w:tc>
      </w:tr>
      <w:tr w:rsidR="00000000">
        <w:trPr>
          <w:divId w:val="1088308932"/>
        </w:trPr>
        <w:tc>
          <w:tcPr>
            <w:tcW w:w="0" w:type="auto"/>
            <w:hideMark/>
          </w:tcPr>
          <w:p w:rsidR="00000000" w:rsidRDefault="00B46E81">
            <w:pPr>
              <w:jc w:val="both"/>
              <w:rPr>
                <w:rFonts w:eastAsia="Times New Roman"/>
                <w:sz w:val="20"/>
                <w:szCs w:val="20"/>
              </w:rPr>
            </w:pPr>
            <w:r>
              <w:rPr>
                <w:rFonts w:eastAsia="Times New Roman"/>
                <w:sz w:val="20"/>
                <w:szCs w:val="20"/>
              </w:rPr>
              <w:t> </w:t>
            </w:r>
          </w:p>
        </w:tc>
        <w:tc>
          <w:tcPr>
            <w:tcW w:w="0" w:type="auto"/>
            <w:hideMark/>
          </w:tcPr>
          <w:p w:rsidR="00000000" w:rsidRDefault="00B46E81">
            <w:pPr>
              <w:jc w:val="both"/>
              <w:rPr>
                <w:rFonts w:eastAsia="Times New Roman"/>
                <w:sz w:val="20"/>
                <w:szCs w:val="20"/>
              </w:rPr>
            </w:pPr>
            <w:r>
              <w:rPr>
                <w:rFonts w:eastAsia="Times New Roman"/>
                <w:sz w:val="20"/>
                <w:szCs w:val="20"/>
              </w:rPr>
              <w:t> </w:t>
            </w:r>
          </w:p>
        </w:tc>
        <w:tc>
          <w:tcPr>
            <w:tcW w:w="0" w:type="auto"/>
            <w:hideMark/>
          </w:tcPr>
          <w:p w:rsidR="00000000" w:rsidRDefault="00B46E81">
            <w:pPr>
              <w:jc w:val="both"/>
              <w:rPr>
                <w:rFonts w:eastAsia="Times New Roman"/>
                <w:sz w:val="20"/>
                <w:szCs w:val="20"/>
              </w:rPr>
            </w:pPr>
            <w:r>
              <w:rPr>
                <w:rFonts w:eastAsia="Times New Roman"/>
                <w:sz w:val="20"/>
                <w:szCs w:val="20"/>
              </w:rPr>
              <w:t> </w:t>
            </w:r>
          </w:p>
        </w:tc>
      </w:tr>
      <w:tr w:rsidR="00000000">
        <w:trPr>
          <w:divId w:val="1088308932"/>
        </w:trPr>
        <w:tc>
          <w:tcPr>
            <w:tcW w:w="0" w:type="auto"/>
            <w:hideMark/>
          </w:tcPr>
          <w:p w:rsidR="00000000" w:rsidRDefault="00B46E81">
            <w:pPr>
              <w:jc w:val="both"/>
              <w:rPr>
                <w:rFonts w:eastAsia="Times New Roman"/>
                <w:sz w:val="20"/>
                <w:szCs w:val="20"/>
              </w:rPr>
            </w:pPr>
            <w:r>
              <w:rPr>
                <w:rFonts w:eastAsia="Times New Roman"/>
                <w:sz w:val="20"/>
                <w:szCs w:val="20"/>
              </w:rPr>
              <w:t> </w:t>
            </w:r>
          </w:p>
        </w:tc>
        <w:tc>
          <w:tcPr>
            <w:tcW w:w="0" w:type="auto"/>
            <w:hideMark/>
          </w:tcPr>
          <w:p w:rsidR="00000000" w:rsidRDefault="00B46E81">
            <w:pPr>
              <w:jc w:val="both"/>
              <w:rPr>
                <w:rFonts w:eastAsia="Times New Roman"/>
                <w:sz w:val="20"/>
                <w:szCs w:val="20"/>
              </w:rPr>
            </w:pPr>
            <w:r>
              <w:rPr>
                <w:rFonts w:eastAsia="Times New Roman"/>
                <w:sz w:val="20"/>
                <w:szCs w:val="20"/>
              </w:rPr>
              <w:t>●</w:t>
            </w:r>
          </w:p>
        </w:tc>
        <w:tc>
          <w:tcPr>
            <w:tcW w:w="0" w:type="auto"/>
            <w:hideMark/>
          </w:tcPr>
          <w:p w:rsidR="00000000" w:rsidRDefault="00B46E81">
            <w:pPr>
              <w:jc w:val="both"/>
              <w:rPr>
                <w:rFonts w:eastAsia="Times New Roman"/>
                <w:sz w:val="20"/>
                <w:szCs w:val="20"/>
              </w:rPr>
            </w:pPr>
            <w:r>
              <w:rPr>
                <w:rFonts w:eastAsia="Times New Roman"/>
                <w:sz w:val="20"/>
                <w:szCs w:val="20"/>
              </w:rPr>
              <w:t>Identification of the performance obligations in the contract;</w:t>
            </w:r>
          </w:p>
        </w:tc>
      </w:tr>
      <w:tr w:rsidR="00000000">
        <w:trPr>
          <w:divId w:val="1088308932"/>
        </w:trPr>
        <w:tc>
          <w:tcPr>
            <w:tcW w:w="0" w:type="auto"/>
            <w:hideMark/>
          </w:tcPr>
          <w:p w:rsidR="00000000" w:rsidRDefault="00B46E81">
            <w:pPr>
              <w:jc w:val="both"/>
              <w:rPr>
                <w:rFonts w:eastAsia="Times New Roman"/>
                <w:sz w:val="20"/>
                <w:szCs w:val="20"/>
              </w:rPr>
            </w:pPr>
            <w:r>
              <w:rPr>
                <w:rFonts w:eastAsia="Times New Roman"/>
                <w:sz w:val="20"/>
                <w:szCs w:val="20"/>
              </w:rPr>
              <w:t> </w:t>
            </w:r>
          </w:p>
        </w:tc>
        <w:tc>
          <w:tcPr>
            <w:tcW w:w="0" w:type="auto"/>
            <w:hideMark/>
          </w:tcPr>
          <w:p w:rsidR="00000000" w:rsidRDefault="00B46E81">
            <w:pPr>
              <w:jc w:val="both"/>
              <w:rPr>
                <w:rFonts w:eastAsia="Times New Roman"/>
                <w:sz w:val="20"/>
                <w:szCs w:val="20"/>
              </w:rPr>
            </w:pPr>
            <w:r>
              <w:rPr>
                <w:rFonts w:eastAsia="Times New Roman"/>
                <w:sz w:val="20"/>
                <w:szCs w:val="20"/>
              </w:rPr>
              <w:t> </w:t>
            </w:r>
          </w:p>
        </w:tc>
        <w:tc>
          <w:tcPr>
            <w:tcW w:w="0" w:type="auto"/>
            <w:hideMark/>
          </w:tcPr>
          <w:p w:rsidR="00000000" w:rsidRDefault="00B46E81">
            <w:pPr>
              <w:jc w:val="both"/>
              <w:rPr>
                <w:rFonts w:eastAsia="Times New Roman"/>
                <w:sz w:val="20"/>
                <w:szCs w:val="20"/>
              </w:rPr>
            </w:pPr>
            <w:r>
              <w:rPr>
                <w:rFonts w:eastAsia="Times New Roman"/>
                <w:sz w:val="20"/>
                <w:szCs w:val="20"/>
              </w:rPr>
              <w:t> </w:t>
            </w:r>
          </w:p>
        </w:tc>
      </w:tr>
      <w:tr w:rsidR="00000000">
        <w:trPr>
          <w:divId w:val="1088308932"/>
        </w:trPr>
        <w:tc>
          <w:tcPr>
            <w:tcW w:w="0" w:type="auto"/>
            <w:hideMark/>
          </w:tcPr>
          <w:p w:rsidR="00000000" w:rsidRDefault="00B46E81">
            <w:pPr>
              <w:jc w:val="both"/>
              <w:rPr>
                <w:rFonts w:eastAsia="Times New Roman"/>
                <w:sz w:val="20"/>
                <w:szCs w:val="20"/>
              </w:rPr>
            </w:pPr>
            <w:r>
              <w:rPr>
                <w:rFonts w:eastAsia="Times New Roman"/>
                <w:sz w:val="20"/>
                <w:szCs w:val="20"/>
              </w:rPr>
              <w:t> </w:t>
            </w:r>
          </w:p>
        </w:tc>
        <w:tc>
          <w:tcPr>
            <w:tcW w:w="0" w:type="auto"/>
            <w:hideMark/>
          </w:tcPr>
          <w:p w:rsidR="00000000" w:rsidRDefault="00B46E81">
            <w:pPr>
              <w:jc w:val="both"/>
              <w:rPr>
                <w:rFonts w:eastAsia="Times New Roman"/>
                <w:sz w:val="20"/>
                <w:szCs w:val="20"/>
              </w:rPr>
            </w:pPr>
            <w:r>
              <w:rPr>
                <w:rFonts w:eastAsia="Times New Roman"/>
                <w:sz w:val="20"/>
                <w:szCs w:val="20"/>
              </w:rPr>
              <w:t>●</w:t>
            </w:r>
          </w:p>
        </w:tc>
        <w:tc>
          <w:tcPr>
            <w:tcW w:w="0" w:type="auto"/>
            <w:hideMark/>
          </w:tcPr>
          <w:p w:rsidR="00000000" w:rsidRDefault="00B46E81">
            <w:pPr>
              <w:jc w:val="both"/>
              <w:rPr>
                <w:rFonts w:eastAsia="Times New Roman"/>
                <w:sz w:val="20"/>
                <w:szCs w:val="20"/>
              </w:rPr>
            </w:pPr>
            <w:r>
              <w:rPr>
                <w:rFonts w:eastAsia="Times New Roman"/>
                <w:sz w:val="20"/>
                <w:szCs w:val="20"/>
              </w:rPr>
              <w:t>Determination of the transaction price;</w:t>
            </w:r>
          </w:p>
        </w:tc>
      </w:tr>
      <w:tr w:rsidR="00000000">
        <w:trPr>
          <w:divId w:val="1088308932"/>
        </w:trPr>
        <w:tc>
          <w:tcPr>
            <w:tcW w:w="0" w:type="auto"/>
            <w:hideMark/>
          </w:tcPr>
          <w:p w:rsidR="00000000" w:rsidRDefault="00B46E81">
            <w:pPr>
              <w:jc w:val="both"/>
              <w:rPr>
                <w:rFonts w:eastAsia="Times New Roman"/>
                <w:sz w:val="20"/>
                <w:szCs w:val="20"/>
              </w:rPr>
            </w:pPr>
            <w:r>
              <w:rPr>
                <w:rFonts w:eastAsia="Times New Roman"/>
                <w:sz w:val="20"/>
                <w:szCs w:val="20"/>
              </w:rPr>
              <w:t> </w:t>
            </w:r>
          </w:p>
        </w:tc>
        <w:tc>
          <w:tcPr>
            <w:tcW w:w="0" w:type="auto"/>
            <w:hideMark/>
          </w:tcPr>
          <w:p w:rsidR="00000000" w:rsidRDefault="00B46E81">
            <w:pPr>
              <w:jc w:val="both"/>
              <w:rPr>
                <w:rFonts w:eastAsia="Times New Roman"/>
                <w:sz w:val="20"/>
                <w:szCs w:val="20"/>
              </w:rPr>
            </w:pPr>
            <w:r>
              <w:rPr>
                <w:rFonts w:eastAsia="Times New Roman"/>
                <w:sz w:val="20"/>
                <w:szCs w:val="20"/>
              </w:rPr>
              <w:t> </w:t>
            </w:r>
          </w:p>
        </w:tc>
        <w:tc>
          <w:tcPr>
            <w:tcW w:w="0" w:type="auto"/>
            <w:hideMark/>
          </w:tcPr>
          <w:p w:rsidR="00000000" w:rsidRDefault="00B46E81">
            <w:pPr>
              <w:jc w:val="both"/>
              <w:rPr>
                <w:rFonts w:eastAsia="Times New Roman"/>
                <w:sz w:val="20"/>
                <w:szCs w:val="20"/>
              </w:rPr>
            </w:pPr>
            <w:r>
              <w:rPr>
                <w:rFonts w:eastAsia="Times New Roman"/>
                <w:sz w:val="20"/>
                <w:szCs w:val="20"/>
              </w:rPr>
              <w:t> </w:t>
            </w:r>
          </w:p>
        </w:tc>
      </w:tr>
      <w:tr w:rsidR="00000000">
        <w:trPr>
          <w:divId w:val="1088308932"/>
        </w:trPr>
        <w:tc>
          <w:tcPr>
            <w:tcW w:w="0" w:type="auto"/>
            <w:hideMark/>
          </w:tcPr>
          <w:p w:rsidR="00000000" w:rsidRDefault="00B46E81">
            <w:pPr>
              <w:jc w:val="both"/>
              <w:rPr>
                <w:rFonts w:eastAsia="Times New Roman"/>
                <w:sz w:val="20"/>
                <w:szCs w:val="20"/>
              </w:rPr>
            </w:pPr>
            <w:r>
              <w:rPr>
                <w:rFonts w:eastAsia="Times New Roman"/>
                <w:sz w:val="20"/>
                <w:szCs w:val="20"/>
              </w:rPr>
              <w:t> </w:t>
            </w:r>
          </w:p>
        </w:tc>
        <w:tc>
          <w:tcPr>
            <w:tcW w:w="0" w:type="auto"/>
            <w:hideMark/>
          </w:tcPr>
          <w:p w:rsidR="00000000" w:rsidRDefault="00B46E81">
            <w:pPr>
              <w:jc w:val="both"/>
              <w:rPr>
                <w:rFonts w:eastAsia="Times New Roman"/>
                <w:sz w:val="20"/>
                <w:szCs w:val="20"/>
              </w:rPr>
            </w:pPr>
            <w:r>
              <w:rPr>
                <w:rFonts w:eastAsia="Times New Roman"/>
                <w:sz w:val="20"/>
                <w:szCs w:val="20"/>
              </w:rPr>
              <w:t>●</w:t>
            </w:r>
          </w:p>
        </w:tc>
        <w:tc>
          <w:tcPr>
            <w:tcW w:w="0" w:type="auto"/>
            <w:hideMark/>
          </w:tcPr>
          <w:p w:rsidR="00000000" w:rsidRDefault="00B46E81">
            <w:pPr>
              <w:jc w:val="both"/>
              <w:rPr>
                <w:rFonts w:eastAsia="Times New Roman"/>
                <w:sz w:val="20"/>
                <w:szCs w:val="20"/>
              </w:rPr>
            </w:pPr>
            <w:r>
              <w:rPr>
                <w:rFonts w:eastAsia="Times New Roman"/>
                <w:sz w:val="20"/>
                <w:szCs w:val="20"/>
              </w:rPr>
              <w:t>Allocation of the transaction price to the performance obligations in the contract; and</w:t>
            </w:r>
          </w:p>
        </w:tc>
      </w:tr>
      <w:tr w:rsidR="00000000">
        <w:trPr>
          <w:divId w:val="1088308932"/>
        </w:trPr>
        <w:tc>
          <w:tcPr>
            <w:tcW w:w="0" w:type="auto"/>
            <w:hideMark/>
          </w:tcPr>
          <w:p w:rsidR="00000000" w:rsidRDefault="00B46E81">
            <w:pPr>
              <w:jc w:val="both"/>
              <w:rPr>
                <w:rFonts w:eastAsia="Times New Roman"/>
                <w:sz w:val="20"/>
                <w:szCs w:val="20"/>
              </w:rPr>
            </w:pPr>
            <w:r>
              <w:rPr>
                <w:rFonts w:eastAsia="Times New Roman"/>
                <w:sz w:val="20"/>
                <w:szCs w:val="20"/>
              </w:rPr>
              <w:t> </w:t>
            </w:r>
          </w:p>
        </w:tc>
        <w:tc>
          <w:tcPr>
            <w:tcW w:w="0" w:type="auto"/>
            <w:hideMark/>
          </w:tcPr>
          <w:p w:rsidR="00000000" w:rsidRDefault="00B46E81">
            <w:pPr>
              <w:jc w:val="both"/>
              <w:rPr>
                <w:rFonts w:eastAsia="Times New Roman"/>
                <w:sz w:val="20"/>
                <w:szCs w:val="20"/>
              </w:rPr>
            </w:pPr>
            <w:r>
              <w:rPr>
                <w:rFonts w:eastAsia="Times New Roman"/>
                <w:sz w:val="20"/>
                <w:szCs w:val="20"/>
              </w:rPr>
              <w:t> </w:t>
            </w:r>
          </w:p>
        </w:tc>
        <w:tc>
          <w:tcPr>
            <w:tcW w:w="0" w:type="auto"/>
            <w:hideMark/>
          </w:tcPr>
          <w:p w:rsidR="00000000" w:rsidRDefault="00B46E81">
            <w:pPr>
              <w:jc w:val="both"/>
              <w:rPr>
                <w:rFonts w:eastAsia="Times New Roman"/>
                <w:sz w:val="20"/>
                <w:szCs w:val="20"/>
              </w:rPr>
            </w:pPr>
            <w:r>
              <w:rPr>
                <w:rFonts w:eastAsia="Times New Roman"/>
                <w:sz w:val="20"/>
                <w:szCs w:val="20"/>
              </w:rPr>
              <w:t> </w:t>
            </w:r>
          </w:p>
        </w:tc>
      </w:tr>
      <w:tr w:rsidR="00000000">
        <w:trPr>
          <w:divId w:val="1088308932"/>
        </w:trPr>
        <w:tc>
          <w:tcPr>
            <w:tcW w:w="0" w:type="auto"/>
            <w:hideMark/>
          </w:tcPr>
          <w:p w:rsidR="00000000" w:rsidRDefault="00B46E81">
            <w:pPr>
              <w:jc w:val="both"/>
              <w:rPr>
                <w:rFonts w:eastAsia="Times New Roman"/>
                <w:sz w:val="20"/>
                <w:szCs w:val="20"/>
              </w:rPr>
            </w:pPr>
            <w:r>
              <w:rPr>
                <w:rFonts w:eastAsia="Times New Roman"/>
                <w:sz w:val="20"/>
                <w:szCs w:val="20"/>
              </w:rPr>
              <w:t> </w:t>
            </w:r>
          </w:p>
        </w:tc>
        <w:tc>
          <w:tcPr>
            <w:tcW w:w="0" w:type="auto"/>
            <w:hideMark/>
          </w:tcPr>
          <w:p w:rsidR="00000000" w:rsidRDefault="00B46E81">
            <w:pPr>
              <w:jc w:val="both"/>
              <w:rPr>
                <w:rFonts w:eastAsia="Times New Roman"/>
                <w:sz w:val="20"/>
                <w:szCs w:val="20"/>
              </w:rPr>
            </w:pPr>
            <w:r>
              <w:rPr>
                <w:rFonts w:eastAsia="Times New Roman"/>
                <w:sz w:val="20"/>
                <w:szCs w:val="20"/>
              </w:rPr>
              <w:t>●</w:t>
            </w:r>
          </w:p>
        </w:tc>
        <w:tc>
          <w:tcPr>
            <w:tcW w:w="0" w:type="auto"/>
            <w:hideMark/>
          </w:tcPr>
          <w:p w:rsidR="00000000" w:rsidRDefault="00B46E81">
            <w:pPr>
              <w:jc w:val="both"/>
              <w:rPr>
                <w:rFonts w:eastAsia="Times New Roman"/>
                <w:sz w:val="20"/>
                <w:szCs w:val="20"/>
              </w:rPr>
            </w:pPr>
            <w:r>
              <w:rPr>
                <w:rFonts w:eastAsia="Times New Roman"/>
                <w:sz w:val="20"/>
                <w:szCs w:val="20"/>
              </w:rPr>
              <w:t>Recognition of revenue when or as the performance obligations are satisfied.</w:t>
            </w:r>
          </w:p>
        </w:tc>
      </w:tr>
    </w:tbl>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Revenue is recognized when control of the promised goods or services is tran</w:t>
      </w:r>
      <w:r>
        <w:rPr>
          <w:sz w:val="20"/>
          <w:szCs w:val="20"/>
        </w:rPr>
        <w:t>sferred to customers, in an amount that reflects the consideration the Company expects to be entitled to in exchange for those goods or services. As a practical expedient, the Company does not adjust the transaction price for the effects of a significant f</w:t>
      </w:r>
      <w:r>
        <w:rPr>
          <w:sz w:val="20"/>
          <w:szCs w:val="20"/>
        </w:rPr>
        <w:t>inancing component if, at contract inception, the period between customer payment and the transfer of goods or services is expected to be one year or less.</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i/>
          <w:iCs/>
          <w:sz w:val="20"/>
          <w:szCs w:val="20"/>
          <w:u w:val="single"/>
        </w:rPr>
        <w:t>Accounts Receivable</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Revenues that have been recognized but not yet received are recorded as acco</w:t>
      </w:r>
      <w:r>
        <w:rPr>
          <w:sz w:val="20"/>
          <w:szCs w:val="20"/>
        </w:rPr>
        <w:t>unts receivable. Losses on receivables will be recognized when it is more likely than not that a receivable will not be collected. An allowance for estimated uncollectible amounts will be recognized to reduce the amount of receivables to its net realizable</w:t>
      </w:r>
      <w:r>
        <w:rPr>
          <w:sz w:val="20"/>
          <w:szCs w:val="20"/>
        </w:rPr>
        <w:t xml:space="preserve"> value when needed.</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i/>
          <w:iCs/>
          <w:sz w:val="20"/>
          <w:szCs w:val="20"/>
          <w:u w:val="single"/>
        </w:rPr>
        <w:t>Inventories</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Inventories are stated at the lower of cost or net realizable value. Inventory on hand consists of finished goods purchased from third parties. When there is evidence that the inventory’s value is less than original cost</w:t>
      </w:r>
      <w:r>
        <w:rPr>
          <w:sz w:val="20"/>
          <w:szCs w:val="20"/>
        </w:rPr>
        <w:t>, the inventory is reduced to market value. We determine market value on current resale amounts and whether technological obsolescence exists.</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center"/>
        <w:divId w:val="1464152157"/>
        <w:rPr>
          <w:sz w:val="20"/>
          <w:szCs w:val="20"/>
        </w:rPr>
      </w:pPr>
      <w:r>
        <w:rPr>
          <w:sz w:val="20"/>
          <w:szCs w:val="20"/>
        </w:rPr>
        <w:t>7</w:t>
      </w:r>
    </w:p>
    <w:p w:rsidR="00000000" w:rsidRDefault="00B46E81">
      <w:pPr>
        <w:pStyle w:val="a3"/>
        <w:spacing w:before="0" w:beforeAutospacing="0" w:after="0" w:afterAutospacing="0"/>
        <w:divId w:val="48699430"/>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i/>
          <w:iCs/>
          <w:sz w:val="20"/>
          <w:szCs w:val="20"/>
          <w:u w:val="single"/>
        </w:rPr>
        <w:t>Basic and Diluted Earnings Per Share</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Net </w:t>
      </w:r>
      <w:r>
        <w:rPr>
          <w:sz w:val="20"/>
          <w:szCs w:val="20"/>
        </w:rPr>
        <w:t>income (loss) per common share is computed pursuant to section 260-10-45 of the FASB Accounting Standards Codification. Basic net income (loss) per common share is computed by dividing net income (loss) by the weighted average number of shares of common st</w:t>
      </w:r>
      <w:r>
        <w:rPr>
          <w:sz w:val="20"/>
          <w:szCs w:val="20"/>
        </w:rPr>
        <w:t>ock outstanding during the period. Diluted net income (loss) per common share is computed by dividing net income (loss) by the weighted average number of shares of common stock and potentially outstanding shares of common stock during the period. The weigh</w:t>
      </w:r>
      <w:r>
        <w:rPr>
          <w:sz w:val="20"/>
          <w:szCs w:val="20"/>
        </w:rPr>
        <w:t>ted average number of common shares outstanding and potentially outstanding common shares assumes that the Company incorporated as of the beginning of the first period presented. </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As of September 30, 2022, the Company had 139,714,286 potentially dilutive</w:t>
      </w:r>
      <w:r>
        <w:rPr>
          <w:sz w:val="20"/>
          <w:szCs w:val="20"/>
        </w:rPr>
        <w:t xml:space="preserve"> shares of common stock warrants, 5,000,000 shares from Series A preferred stock and 50,000,000 from Series B preferred stock.</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As of September 30, 2021, the Company had 34,158,048 of potentially dilutive shares of common stock from convertible debt, 217,</w:t>
      </w:r>
      <w:r>
        <w:rPr>
          <w:sz w:val="20"/>
          <w:szCs w:val="20"/>
        </w:rPr>
        <w:t>474,026 potentially dilutive shares of common stock warrants and 55,000,000 potentially dilutive shares of common stock from Series A and B preferred stock.</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The Company’s diluted loss per share is the same as the basic loss per share for all periods, as </w:t>
      </w:r>
      <w:r>
        <w:rPr>
          <w:sz w:val="20"/>
          <w:szCs w:val="20"/>
        </w:rPr>
        <w:t>the inclusion of any potential shares would have had an anti-dilutive effect due to the Company generating a loss in those periods.</w:t>
      </w:r>
    </w:p>
    <w:p w:rsidR="00000000" w:rsidRDefault="00B46E81">
      <w:pPr>
        <w:pStyle w:val="a3"/>
        <w:spacing w:before="0" w:beforeAutospacing="0" w:after="0" w:afterAutospacing="0"/>
        <w:divId w:val="1088308932"/>
        <w:rPr>
          <w:sz w:val="20"/>
          <w:szCs w:val="20"/>
        </w:rPr>
      </w:pPr>
      <w:r>
        <w:rPr>
          <w:i/>
          <w:iCs/>
          <w:sz w:val="20"/>
          <w:szCs w:val="20"/>
        </w:rPr>
        <w:t> </w:t>
      </w:r>
    </w:p>
    <w:p w:rsidR="00000000" w:rsidRDefault="00B46E81">
      <w:pPr>
        <w:pStyle w:val="a3"/>
        <w:spacing w:before="0" w:beforeAutospacing="0" w:after="0" w:afterAutospacing="0"/>
        <w:divId w:val="1088308932"/>
        <w:rPr>
          <w:sz w:val="20"/>
          <w:szCs w:val="20"/>
        </w:rPr>
      </w:pPr>
      <w:r>
        <w:rPr>
          <w:i/>
          <w:iCs/>
          <w:sz w:val="20"/>
          <w:szCs w:val="20"/>
          <w:u w:val="single"/>
        </w:rPr>
        <w:t>Recently Adopted Accounting Pronouncements</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The Company has implemented all new accounting pronouncements that are in eff</w:t>
      </w:r>
      <w:r>
        <w:rPr>
          <w:sz w:val="20"/>
          <w:szCs w:val="20"/>
        </w:rPr>
        <w:t>ect. These pronouncements did not have any material impact on the financial statements unless otherwise disclosed, and the Company does not believe that there are any other new accounting pronouncements that have been issued that might have a material impa</w:t>
      </w:r>
      <w:r>
        <w:rPr>
          <w:sz w:val="20"/>
          <w:szCs w:val="20"/>
        </w:rPr>
        <w:t>ct on its financial position or results of operations.</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b/>
          <w:bCs/>
          <w:sz w:val="20"/>
          <w:szCs w:val="20"/>
        </w:rPr>
        <w:t>NOTE 3 - GOING CONCERN</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The accompanying unaudited financial statements have been prepared on a going concern basis, which contemplates the realization of assets and the satisfaction of liabilities </w:t>
      </w:r>
      <w:r>
        <w:rPr>
          <w:sz w:val="20"/>
          <w:szCs w:val="20"/>
        </w:rPr>
        <w:t>in the normal course of business. The Company has an accumulated deficit of $11,460,336 at September 30, 2022, had a net loss of $1,068,751, and net cash used in operating activities of $1,962,684 for the nine months ended September 30, 2022. The Company’s</w:t>
      </w:r>
      <w:r>
        <w:rPr>
          <w:sz w:val="20"/>
          <w:szCs w:val="20"/>
        </w:rPr>
        <w:t xml:space="preserve"> ability to raise additional capital through the future issuances of common stock and/or debt financing is unknown. The obtainment of additional financing, the successful development of the Company’s contemplated plan of operations, and its transition, ult</w:t>
      </w:r>
      <w:r>
        <w:rPr>
          <w:sz w:val="20"/>
          <w:szCs w:val="20"/>
        </w:rPr>
        <w:t>imately, to the attainment of profitable operations are necessary for the Company to continue operations. These conditions and the ability to successfully resolve these factors over the next twelve months raise substantial doubt about the Company’s ability</w:t>
      </w:r>
      <w:r>
        <w:rPr>
          <w:sz w:val="20"/>
          <w:szCs w:val="20"/>
        </w:rPr>
        <w:t xml:space="preserve"> to continue as a going concern. The financial statements of the Company do not include any adjustments that may result from the outcome of these aforementioned uncertainties.</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The Company has completed its product development and has begun selling its pr</w:t>
      </w:r>
      <w:r>
        <w:rPr>
          <w:sz w:val="20"/>
          <w:szCs w:val="20"/>
        </w:rPr>
        <w:t>oduct in Q2 of 2022. The Company will continue to finance its operations through debt and/or equity financing as needed.</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The industry in which we operate depends heavily upon our ability to obtain raw material and manufacture our product as well as the o</w:t>
      </w:r>
      <w:r>
        <w:rPr>
          <w:sz w:val="20"/>
          <w:szCs w:val="20"/>
        </w:rPr>
        <w:t>verall level of consumer and business spending. A sustained deterioration in general economic conditions (including distress in financial markets, turmoil in specific economies around the world, public health crises, and additional government intervention)</w:t>
      </w:r>
      <w:r>
        <w:rPr>
          <w:sz w:val="20"/>
          <w:szCs w:val="20"/>
        </w:rPr>
        <w:t>, particularly in the United States, may have a negative financial impact to our Company. Adverse conditions as a result of the global COVID-19 outbreak, have and may continue to impact our manufacturing processes and ultimately our ability to sell our pro</w:t>
      </w:r>
      <w:r>
        <w:rPr>
          <w:sz w:val="20"/>
          <w:szCs w:val="20"/>
        </w:rPr>
        <w:t>duct.</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center"/>
        <w:divId w:val="1752578040"/>
        <w:rPr>
          <w:sz w:val="20"/>
          <w:szCs w:val="20"/>
        </w:rPr>
      </w:pPr>
      <w:r>
        <w:rPr>
          <w:sz w:val="20"/>
          <w:szCs w:val="20"/>
        </w:rPr>
        <w:t>8</w:t>
      </w:r>
    </w:p>
    <w:p w:rsidR="00000000" w:rsidRDefault="00B46E81">
      <w:pPr>
        <w:pStyle w:val="a3"/>
        <w:spacing w:before="0" w:beforeAutospacing="0" w:after="0" w:afterAutospacing="0"/>
        <w:divId w:val="754864066"/>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b/>
          <w:bCs/>
          <w:sz w:val="20"/>
          <w:szCs w:val="20"/>
        </w:rPr>
        <w:t>NOTE 4 - PROPERTY &amp; EQUIPMENT</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Long </w:t>
      </w:r>
      <w:r>
        <w:rPr>
          <w:sz w:val="20"/>
          <w:szCs w:val="20"/>
        </w:rPr>
        <w:t>lived assets, including property and equipment and certain intangible assets to be held and used by the Company are reviewed for impairment whenever events or changes in circumstances indicate that the carrying value of the assets may not be recoverable. I</w:t>
      </w:r>
      <w:r>
        <w:rPr>
          <w:sz w:val="20"/>
          <w:szCs w:val="20"/>
        </w:rPr>
        <w:t>mpairment losses are recognized if expected future cash flows of the related assets are less than their carrying values. Measurement of an impairment loss is based on the fair value of the asset. Long-lived assets and certain identifiable intangibles to be</w:t>
      </w:r>
      <w:r>
        <w:rPr>
          <w:sz w:val="20"/>
          <w:szCs w:val="20"/>
        </w:rPr>
        <w:t xml:space="preserve"> disposed of are reported at the lower of carrying amount or fair value less cost to sell.</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Property and Equipment and intangible assets are first recorded at cost. Depreciation and/or amortization is computed using the straight-line method over the estim</w:t>
      </w:r>
      <w:r>
        <w:rPr>
          <w:sz w:val="20"/>
          <w:szCs w:val="20"/>
        </w:rPr>
        <w:t>ated useful lives of the various classes of assets as follows between three and five years.</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Maintenance and repair expenses, as incurred, are charged to expense. Betterments and renewals are capitalized in plant and equipment accounts. Cost and accumulat</w:t>
      </w:r>
      <w:r>
        <w:rPr>
          <w:sz w:val="20"/>
          <w:szCs w:val="20"/>
        </w:rPr>
        <w:t>ed depreciation applicable to items replaced or retired are eliminated from the related accounts with any gain or loss on the disposition included as income.</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sz w:val="20"/>
          <w:szCs w:val="20"/>
        </w:rPr>
        <w:t>Property and equipment, stated at cost, less accumulated depreciation consisted of the following</w:t>
      </w:r>
      <w:r>
        <w:rPr>
          <w:sz w:val="20"/>
          <w:szCs w:val="20"/>
        </w:rPr>
        <w:t>:</w:t>
      </w:r>
    </w:p>
    <w:p w:rsidR="00000000" w:rsidRDefault="00B46E81">
      <w:pPr>
        <w:pStyle w:val="a3"/>
        <w:spacing w:before="0" w:beforeAutospacing="0" w:after="0" w:afterAutospacing="0"/>
        <w:divId w:val="10883089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33"/>
        <w:gridCol w:w="50"/>
        <w:gridCol w:w="128"/>
        <w:gridCol w:w="1144"/>
        <w:gridCol w:w="67"/>
        <w:gridCol w:w="50"/>
        <w:gridCol w:w="117"/>
        <w:gridCol w:w="1050"/>
        <w:gridCol w:w="67"/>
      </w:tblGrid>
      <w:tr w:rsidR="00000000">
        <w:trPr>
          <w:divId w:val="1088308932"/>
        </w:trPr>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46E81">
            <w:pPr>
              <w:pStyle w:val="a3"/>
              <w:spacing w:before="0" w:beforeAutospacing="0" w:after="0" w:afterAutospacing="0"/>
              <w:jc w:val="center"/>
              <w:rPr>
                <w:b/>
                <w:bCs/>
                <w:sz w:val="20"/>
                <w:szCs w:val="20"/>
              </w:rPr>
            </w:pPr>
            <w:r>
              <w:rPr>
                <w:b/>
                <w:bCs/>
                <w:sz w:val="20"/>
                <w:szCs w:val="20"/>
              </w:rPr>
              <w:t>September 30, </w:t>
            </w:r>
            <w:r>
              <w:rPr>
                <w:b/>
                <w:bCs/>
                <w:sz w:val="20"/>
                <w:szCs w:val="20"/>
              </w:rPr>
              <w:br/>
              <w:t>2022</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20"/>
                <w:szCs w:val="20"/>
              </w:rPr>
              <w:t>December 31,</w:t>
            </w:r>
            <w:r>
              <w:rPr>
                <w:rFonts w:eastAsia="Times New Roman"/>
                <w:b/>
                <w:bCs/>
                <w:sz w:val="20"/>
                <w:szCs w:val="20"/>
              </w:rPr>
              <w:br/>
              <w:t>2021</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r>
      <w:tr w:rsidR="00000000">
        <w:trPr>
          <w:divId w:val="1088308932"/>
        </w:trPr>
        <w:tc>
          <w:tcPr>
            <w:tcW w:w="3800" w:type="pct"/>
            <w:shd w:val="clear" w:color="auto" w:fill="CCEEFF"/>
            <w:vAlign w:val="bottom"/>
            <w:hideMark/>
          </w:tcPr>
          <w:p w:rsidR="00000000" w:rsidRDefault="00B46E81">
            <w:pPr>
              <w:rPr>
                <w:rFonts w:eastAsia="Times New Roman"/>
                <w:sz w:val="20"/>
                <w:szCs w:val="20"/>
              </w:rPr>
            </w:pPr>
            <w:r>
              <w:rPr>
                <w:rFonts w:eastAsia="Times New Roman"/>
                <w:sz w:val="20"/>
                <w:szCs w:val="20"/>
              </w:rPr>
              <w:t>Furniture/fixtures</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46E81">
            <w:pPr>
              <w:jc w:val="right"/>
              <w:rPr>
                <w:rFonts w:eastAsia="Times New Roman"/>
                <w:sz w:val="20"/>
                <w:szCs w:val="20"/>
              </w:rPr>
            </w:pPr>
            <w:r>
              <w:rPr>
                <w:rFonts w:eastAsia="Times New Roman"/>
                <w:sz w:val="20"/>
                <w:szCs w:val="20"/>
              </w:rPr>
              <w:t>39,746</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46E81">
            <w:pPr>
              <w:jc w:val="right"/>
              <w:rPr>
                <w:rFonts w:eastAsia="Times New Roman"/>
                <w:sz w:val="20"/>
                <w:szCs w:val="20"/>
              </w:rPr>
            </w:pPr>
            <w:r>
              <w:rPr>
                <w:rFonts w:eastAsia="Times New Roman"/>
                <w:sz w:val="20"/>
                <w:szCs w:val="20"/>
              </w:rPr>
              <w:t>14,904</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vAlign w:val="bottom"/>
            <w:hideMark/>
          </w:tcPr>
          <w:p w:rsidR="00000000" w:rsidRDefault="00B46E81">
            <w:pPr>
              <w:rPr>
                <w:rFonts w:eastAsia="Times New Roman"/>
                <w:sz w:val="20"/>
                <w:szCs w:val="20"/>
              </w:rPr>
            </w:pPr>
            <w:r>
              <w:rPr>
                <w:rFonts w:eastAsia="Times New Roman"/>
                <w:sz w:val="20"/>
                <w:szCs w:val="20"/>
              </w:rPr>
              <w:t>Office equipment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43,780</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14,522</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Automobile</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29,905</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29,905</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vAlign w:val="bottom"/>
            <w:hideMark/>
          </w:tcPr>
          <w:p w:rsidR="00000000" w:rsidRDefault="00B46E81">
            <w:pPr>
              <w:rPr>
                <w:rFonts w:eastAsia="Times New Roman"/>
                <w:sz w:val="20"/>
                <w:szCs w:val="20"/>
              </w:rPr>
            </w:pPr>
            <w:r>
              <w:rPr>
                <w:rFonts w:eastAsia="Times New Roman"/>
                <w:sz w:val="20"/>
                <w:szCs w:val="20"/>
              </w:rPr>
              <w:t>Tooling/Molds</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35,205</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176,990</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Less: accumulated depreciation</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(46,983</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(131,260</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w:t>
            </w:r>
          </w:p>
        </w:tc>
      </w:tr>
      <w:tr w:rsidR="00000000">
        <w:trPr>
          <w:divId w:val="1088308932"/>
        </w:trPr>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Property and equipment, net</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B46E81">
            <w:pPr>
              <w:jc w:val="right"/>
              <w:rPr>
                <w:rFonts w:eastAsia="Times New Roman"/>
                <w:sz w:val="20"/>
                <w:szCs w:val="20"/>
              </w:rPr>
            </w:pPr>
            <w:r>
              <w:rPr>
                <w:rFonts w:eastAsia="Times New Roman"/>
                <w:sz w:val="20"/>
                <w:szCs w:val="20"/>
              </w:rPr>
              <w:t>101,653</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B46E81">
            <w:pPr>
              <w:jc w:val="right"/>
              <w:rPr>
                <w:rFonts w:eastAsia="Times New Roman"/>
                <w:sz w:val="20"/>
                <w:szCs w:val="20"/>
              </w:rPr>
            </w:pPr>
            <w:r>
              <w:rPr>
                <w:rFonts w:eastAsia="Times New Roman"/>
                <w:sz w:val="20"/>
                <w:szCs w:val="20"/>
              </w:rPr>
              <w:t>105,061</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bl>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i/>
          <w:iCs/>
          <w:sz w:val="20"/>
          <w:szCs w:val="20"/>
          <w:u w:val="single"/>
        </w:rPr>
        <w:t>Depreciation expense</w:t>
      </w:r>
    </w:p>
    <w:p w:rsidR="00000000" w:rsidRDefault="00B46E81">
      <w:pPr>
        <w:pStyle w:val="a3"/>
        <w:spacing w:before="0" w:beforeAutospacing="0" w:after="0" w:afterAutospacing="0"/>
        <w:jc w:val="both"/>
        <w:divId w:val="1088308932"/>
        <w:rPr>
          <w:sz w:val="20"/>
          <w:szCs w:val="20"/>
        </w:rPr>
      </w:pPr>
      <w:r>
        <w:rPr>
          <w:i/>
          <w:iCs/>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Depreciation </w:t>
      </w:r>
      <w:r>
        <w:rPr>
          <w:sz w:val="20"/>
          <w:szCs w:val="20"/>
        </w:rPr>
        <w:t>expense for the nine months ended September 30, 2022 and 2021 was $46,606 and $41,208, respectively.</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During the nine months ended September 30, 2022, the Company disposed of certain property and equipment it was no longer using, resulting in a loss on di</w:t>
      </w:r>
      <w:r>
        <w:rPr>
          <w:sz w:val="20"/>
          <w:szCs w:val="20"/>
        </w:rPr>
        <w:t>sposal of $28,264.</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b/>
          <w:bCs/>
          <w:sz w:val="20"/>
          <w:szCs w:val="20"/>
        </w:rPr>
        <w:t>NOTE 5 - LOANS PAYABLE</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On October 24, 2017, the Company was notified that a petition had been filed in the Iowa District Court for Polk County by a Mr. John M. Wesson for failure to repay a loan. Mr. Wesson had loaned the Company $30</w:t>
      </w:r>
      <w:r>
        <w:rPr>
          <w:sz w:val="20"/>
          <w:szCs w:val="20"/>
        </w:rPr>
        <w:t>,000 and $20,000 on October 24, 2012 and June 12, 2013, respectively. The loans were to accrue interest at 5%. On April 26, 2018, the Company agreed to repay the loan in full including accrued interest and $5,000 for legal fees. As of December 31, 2021, th</w:t>
      </w:r>
      <w:r>
        <w:rPr>
          <w:sz w:val="20"/>
          <w:szCs w:val="20"/>
        </w:rPr>
        <w:t>ere is $45,000 and $21,549 of principal and interest due on this loan. On June 9, 2022, the Company repaid this loan in full.</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center"/>
        <w:divId w:val="1763991788"/>
        <w:rPr>
          <w:sz w:val="20"/>
          <w:szCs w:val="20"/>
        </w:rPr>
      </w:pPr>
      <w:r>
        <w:rPr>
          <w:sz w:val="20"/>
          <w:szCs w:val="20"/>
        </w:rPr>
        <w:t>9</w:t>
      </w:r>
    </w:p>
    <w:p w:rsidR="00000000" w:rsidRDefault="00B46E81">
      <w:pPr>
        <w:pStyle w:val="a3"/>
        <w:spacing w:before="0" w:beforeAutospacing="0" w:after="0" w:afterAutospacing="0"/>
        <w:divId w:val="1352955150"/>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b/>
          <w:bCs/>
          <w:sz w:val="20"/>
          <w:szCs w:val="20"/>
        </w:rPr>
        <w:t>NOTE 6 - CONVERTIBLE NOTES</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The </w:t>
      </w:r>
      <w:r>
        <w:rPr>
          <w:sz w:val="20"/>
          <w:szCs w:val="20"/>
        </w:rPr>
        <w:t>following table summarizes the convertible notes and related activity as of September 30, 2022:</w:t>
      </w:r>
    </w:p>
    <w:p w:rsidR="00000000" w:rsidRDefault="00B46E81">
      <w:pPr>
        <w:pStyle w:val="a3"/>
        <w:spacing w:before="0" w:beforeAutospacing="0" w:after="0" w:afterAutospacing="0"/>
        <w:jc w:val="both"/>
        <w:divId w:val="10883089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147"/>
        <w:gridCol w:w="50"/>
        <w:gridCol w:w="912"/>
        <w:gridCol w:w="50"/>
        <w:gridCol w:w="912"/>
        <w:gridCol w:w="50"/>
        <w:gridCol w:w="67"/>
        <w:gridCol w:w="600"/>
        <w:gridCol w:w="167"/>
        <w:gridCol w:w="50"/>
        <w:gridCol w:w="117"/>
        <w:gridCol w:w="1050"/>
        <w:gridCol w:w="67"/>
        <w:gridCol w:w="50"/>
        <w:gridCol w:w="101"/>
        <w:gridCol w:w="750"/>
        <w:gridCol w:w="50"/>
        <w:gridCol w:w="50"/>
        <w:gridCol w:w="112"/>
        <w:gridCol w:w="1000"/>
        <w:gridCol w:w="67"/>
        <w:gridCol w:w="50"/>
        <w:gridCol w:w="101"/>
        <w:gridCol w:w="829"/>
        <w:gridCol w:w="50"/>
      </w:tblGrid>
      <w:tr w:rsidR="00000000">
        <w:trPr>
          <w:divId w:val="1088308932"/>
        </w:trPr>
        <w:tc>
          <w:tcPr>
            <w:tcW w:w="0" w:type="auto"/>
            <w:tcBorders>
              <w:bottom w:val="single" w:sz="12" w:space="0" w:color="000000"/>
            </w:tcBorders>
            <w:vAlign w:val="bottom"/>
            <w:hideMark/>
          </w:tcPr>
          <w:p w:rsidR="00000000" w:rsidRDefault="00B46E81">
            <w:pPr>
              <w:rPr>
                <w:rFonts w:eastAsia="Times New Roman"/>
                <w:b/>
                <w:bCs/>
                <w:sz w:val="20"/>
                <w:szCs w:val="20"/>
              </w:rPr>
            </w:pPr>
            <w:r>
              <w:rPr>
                <w:rFonts w:eastAsia="Times New Roman"/>
                <w:b/>
                <w:bCs/>
                <w:sz w:val="20"/>
                <w:szCs w:val="20"/>
              </w:rPr>
              <w:t>Note Holder</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20"/>
                <w:szCs w:val="20"/>
              </w:rPr>
              <w:t>Date</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20"/>
                <w:szCs w:val="20"/>
              </w:rPr>
              <w:t>Maturity</w:t>
            </w:r>
            <w:r>
              <w:rPr>
                <w:rFonts w:eastAsia="Times New Roman"/>
                <w:b/>
                <w:bCs/>
                <w:sz w:val="20"/>
                <w:szCs w:val="20"/>
              </w:rPr>
              <w:br/>
              <w:t>Date</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20"/>
                <w:szCs w:val="20"/>
              </w:rPr>
              <w:t>Interest</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20"/>
                <w:szCs w:val="20"/>
              </w:rPr>
              <w:t>Balance</w:t>
            </w:r>
            <w:r>
              <w:rPr>
                <w:rFonts w:eastAsia="Times New Roman"/>
                <w:b/>
                <w:bCs/>
                <w:sz w:val="20"/>
                <w:szCs w:val="20"/>
              </w:rPr>
              <w:br/>
              <w:t>December 31,</w:t>
            </w:r>
            <w:r>
              <w:rPr>
                <w:rFonts w:eastAsia="Times New Roman"/>
                <w:b/>
                <w:bCs/>
                <w:sz w:val="20"/>
                <w:szCs w:val="20"/>
              </w:rPr>
              <w:br/>
              <w:t>2021</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20"/>
                <w:szCs w:val="20"/>
              </w:rPr>
              <w:t>Additions</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20"/>
                <w:szCs w:val="20"/>
              </w:rPr>
              <w:t xml:space="preserve">Conversions/ </w:t>
            </w:r>
            <w:r>
              <w:rPr>
                <w:rFonts w:eastAsia="Times New Roman"/>
                <w:b/>
                <w:bCs/>
                <w:sz w:val="20"/>
                <w:szCs w:val="20"/>
              </w:rPr>
              <w:br/>
              <w:t>Repayments</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20"/>
                <w:szCs w:val="20"/>
              </w:rPr>
              <w:t>Balance</w:t>
            </w:r>
            <w:r>
              <w:rPr>
                <w:rFonts w:eastAsia="Times New Roman"/>
                <w:b/>
                <w:bCs/>
                <w:sz w:val="20"/>
                <w:szCs w:val="20"/>
              </w:rPr>
              <w:br/>
              <w:t>September 30,</w:t>
            </w:r>
            <w:r>
              <w:rPr>
                <w:rFonts w:eastAsia="Times New Roman"/>
                <w:b/>
                <w:bCs/>
                <w:sz w:val="20"/>
                <w:szCs w:val="20"/>
              </w:rPr>
              <w:br/>
              <w:t>2022</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r>
      <w:tr w:rsidR="00000000">
        <w:trPr>
          <w:divId w:val="1088308932"/>
        </w:trPr>
        <w:tc>
          <w:tcPr>
            <w:tcW w:w="800" w:type="pct"/>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Granite Global Investments Ltd</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B46E81">
            <w:pPr>
              <w:jc w:val="center"/>
              <w:rPr>
                <w:rFonts w:eastAsia="Times New Roman"/>
                <w:sz w:val="20"/>
                <w:szCs w:val="20"/>
              </w:rPr>
            </w:pPr>
            <w:r>
              <w:rPr>
                <w:rFonts w:eastAsia="Times New Roman"/>
                <w:sz w:val="20"/>
                <w:szCs w:val="20"/>
              </w:rPr>
              <w:t>4/7/2021</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B46E81">
            <w:pPr>
              <w:jc w:val="center"/>
              <w:rPr>
                <w:rFonts w:eastAsia="Times New Roman"/>
                <w:sz w:val="20"/>
                <w:szCs w:val="20"/>
              </w:rPr>
            </w:pPr>
            <w:r>
              <w:rPr>
                <w:rFonts w:eastAsia="Times New Roman"/>
                <w:sz w:val="20"/>
                <w:szCs w:val="20"/>
              </w:rPr>
              <w:t>4/7/2022</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46E81">
            <w:pPr>
              <w:jc w:val="right"/>
              <w:rPr>
                <w:rFonts w:eastAsia="Times New Roman"/>
                <w:sz w:val="20"/>
                <w:szCs w:val="20"/>
              </w:rPr>
            </w:pPr>
            <w:r>
              <w:rPr>
                <w:rFonts w:eastAsia="Times New Roman"/>
                <w:sz w:val="20"/>
                <w:szCs w:val="20"/>
              </w:rPr>
              <w:t>10</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46E81">
            <w:pPr>
              <w:jc w:val="right"/>
              <w:rPr>
                <w:rFonts w:eastAsia="Times New Roman"/>
                <w:sz w:val="20"/>
                <w:szCs w:val="20"/>
              </w:rPr>
            </w:pPr>
            <w:r>
              <w:rPr>
                <w:rFonts w:eastAsia="Times New Roman"/>
                <w:sz w:val="20"/>
                <w:szCs w:val="20"/>
              </w:rPr>
              <w:t>36,500</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46E81">
            <w:pPr>
              <w:jc w:val="right"/>
              <w:divId w:val="1367291966"/>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46E81">
            <w:pPr>
              <w:jc w:val="right"/>
              <w:rPr>
                <w:rFonts w:eastAsia="Times New Roman"/>
                <w:sz w:val="20"/>
                <w:szCs w:val="20"/>
              </w:rPr>
            </w:pPr>
            <w:r>
              <w:rPr>
                <w:rFonts w:eastAsia="Times New Roman"/>
                <w:sz w:val="20"/>
                <w:szCs w:val="20"/>
              </w:rPr>
              <w:t>(36,500</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46E81">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Granite Global Investments Ltd</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center"/>
              <w:rPr>
                <w:rFonts w:eastAsia="Times New Roman"/>
                <w:sz w:val="20"/>
                <w:szCs w:val="20"/>
              </w:rPr>
            </w:pPr>
            <w:r>
              <w:rPr>
                <w:rFonts w:eastAsia="Times New Roman"/>
                <w:sz w:val="20"/>
                <w:szCs w:val="20"/>
              </w:rPr>
              <w:t>4/9/2021</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center"/>
              <w:rPr>
                <w:rFonts w:eastAsia="Times New Roman"/>
                <w:sz w:val="20"/>
                <w:szCs w:val="20"/>
              </w:rPr>
            </w:pPr>
            <w:r>
              <w:rPr>
                <w:rFonts w:eastAsia="Times New Roman"/>
                <w:sz w:val="20"/>
                <w:szCs w:val="20"/>
              </w:rPr>
              <w:t>4/9/2022</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10</w:t>
            </w:r>
          </w:p>
        </w:tc>
        <w:tc>
          <w:tcPr>
            <w:tcW w:w="0" w:type="auto"/>
            <w:vAlign w:val="bottom"/>
            <w:hideMark/>
          </w:tcPr>
          <w:p w:rsidR="00000000" w:rsidRDefault="00B46E81">
            <w:pPr>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100,000</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divId w:val="846603297"/>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(100,000</w:t>
            </w:r>
          </w:p>
        </w:tc>
        <w:tc>
          <w:tcPr>
            <w:tcW w:w="0" w:type="auto"/>
            <w:vAlign w:val="bottom"/>
            <w:hideMark/>
          </w:tcPr>
          <w:p w:rsidR="00000000" w:rsidRDefault="00B46E81">
            <w:pPr>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Power Up Lending Group LTD</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center"/>
              <w:rPr>
                <w:rFonts w:eastAsia="Times New Roman"/>
                <w:sz w:val="20"/>
                <w:szCs w:val="20"/>
              </w:rPr>
            </w:pPr>
            <w:r>
              <w:rPr>
                <w:rFonts w:eastAsia="Times New Roman"/>
                <w:sz w:val="20"/>
                <w:szCs w:val="20"/>
              </w:rPr>
              <w:t>7/22/2021</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center"/>
              <w:rPr>
                <w:rFonts w:eastAsia="Times New Roman"/>
                <w:sz w:val="20"/>
                <w:szCs w:val="20"/>
              </w:rPr>
            </w:pPr>
            <w:r>
              <w:rPr>
                <w:rFonts w:eastAsia="Times New Roman"/>
                <w:sz w:val="20"/>
                <w:szCs w:val="20"/>
              </w:rPr>
              <w:t>7/22/2022</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58,850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divId w:val="570696943"/>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(58,850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Power Up Lending Group LTD</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center"/>
              <w:rPr>
                <w:rFonts w:eastAsia="Times New Roman"/>
                <w:sz w:val="20"/>
                <w:szCs w:val="20"/>
              </w:rPr>
            </w:pPr>
            <w:r>
              <w:rPr>
                <w:rFonts w:eastAsia="Times New Roman"/>
                <w:sz w:val="20"/>
                <w:szCs w:val="20"/>
              </w:rPr>
              <w:t>8/26/2021</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center"/>
              <w:rPr>
                <w:rFonts w:eastAsia="Times New Roman"/>
                <w:sz w:val="20"/>
                <w:szCs w:val="20"/>
              </w:rPr>
            </w:pPr>
            <w:r>
              <w:rPr>
                <w:rFonts w:eastAsia="Times New Roman"/>
                <w:sz w:val="20"/>
                <w:szCs w:val="20"/>
              </w:rPr>
              <w:t>8/26/2022</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10</w:t>
            </w:r>
          </w:p>
        </w:tc>
        <w:tc>
          <w:tcPr>
            <w:tcW w:w="0" w:type="auto"/>
            <w:vAlign w:val="bottom"/>
            <w:hideMark/>
          </w:tcPr>
          <w:p w:rsidR="00000000" w:rsidRDefault="00B46E81">
            <w:pPr>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58,850</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divId w:val="2132363567"/>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(58,850</w:t>
            </w:r>
          </w:p>
        </w:tc>
        <w:tc>
          <w:tcPr>
            <w:tcW w:w="0" w:type="auto"/>
            <w:vAlign w:val="bottom"/>
            <w:hideMark/>
          </w:tcPr>
          <w:p w:rsidR="00000000" w:rsidRDefault="00B46E81">
            <w:pPr>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Power Up Lending Group LTD</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center"/>
              <w:rPr>
                <w:rFonts w:eastAsia="Times New Roman"/>
                <w:sz w:val="20"/>
                <w:szCs w:val="20"/>
              </w:rPr>
            </w:pPr>
            <w:r>
              <w:rPr>
                <w:rFonts w:eastAsia="Times New Roman"/>
                <w:sz w:val="20"/>
                <w:szCs w:val="20"/>
              </w:rPr>
              <w:t>9/22/2021</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center"/>
              <w:rPr>
                <w:rFonts w:eastAsia="Times New Roman"/>
                <w:sz w:val="20"/>
                <w:szCs w:val="20"/>
              </w:rPr>
            </w:pPr>
            <w:r>
              <w:rPr>
                <w:rFonts w:eastAsia="Times New Roman"/>
                <w:sz w:val="20"/>
                <w:szCs w:val="20"/>
              </w:rPr>
              <w:t>9/22/2022</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58,850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divId w:val="90972708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(58,850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30" w:type="dxa"/>
              <w:right w:w="0" w:type="dxa"/>
            </w:tcMar>
            <w:vAlign w:val="bottom"/>
            <w:hideMark/>
          </w:tcPr>
          <w:p w:rsidR="00000000" w:rsidRDefault="00B46E81">
            <w:pPr>
              <w:ind w:hanging="180"/>
              <w:rPr>
                <w:rFonts w:eastAsia="Times New Roman"/>
                <w:sz w:val="20"/>
                <w:szCs w:val="20"/>
              </w:rPr>
            </w:pPr>
            <w:r>
              <w:rPr>
                <w:rFonts w:eastAsia="Times New Roman"/>
                <w:sz w:val="20"/>
                <w:szCs w:val="20"/>
              </w:rPr>
              <w:t>Power Up Lending Group LTD</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jc w:val="center"/>
              <w:rPr>
                <w:rFonts w:eastAsia="Times New Roman"/>
                <w:sz w:val="20"/>
                <w:szCs w:val="20"/>
              </w:rPr>
            </w:pPr>
            <w:r>
              <w:rPr>
                <w:rFonts w:eastAsia="Times New Roman"/>
                <w:sz w:val="20"/>
                <w:szCs w:val="20"/>
              </w:rPr>
              <w:t>10/12/2021</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jc w:val="center"/>
              <w:rPr>
                <w:rFonts w:eastAsia="Times New Roman"/>
                <w:sz w:val="20"/>
                <w:szCs w:val="20"/>
              </w:rPr>
            </w:pPr>
            <w:r>
              <w:rPr>
                <w:rFonts w:eastAsia="Times New Roman"/>
                <w:sz w:val="20"/>
                <w:szCs w:val="20"/>
              </w:rPr>
              <w:t>10/12/2022</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jc w:val="right"/>
              <w:rPr>
                <w:rFonts w:eastAsia="Times New Roman"/>
                <w:sz w:val="20"/>
                <w:szCs w:val="20"/>
              </w:rPr>
            </w:pPr>
            <w:r>
              <w:rPr>
                <w:rFonts w:eastAsia="Times New Roman"/>
                <w:sz w:val="20"/>
                <w:szCs w:val="20"/>
              </w:rPr>
              <w:t>10</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86,350</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divId w:val="2127960547"/>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(86,350</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Total</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399,400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jc w:val="right"/>
              <w:divId w:val="961887561"/>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(339,400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30" w:type="dxa"/>
              <w:right w:w="0" w:type="dxa"/>
            </w:tcMar>
            <w:vAlign w:val="bottom"/>
            <w:hideMark/>
          </w:tcPr>
          <w:p w:rsidR="00000000" w:rsidRDefault="00B46E81">
            <w:pPr>
              <w:ind w:hanging="180"/>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gridSpan w:val="4"/>
            <w:tcMar>
              <w:top w:w="0" w:type="dxa"/>
              <w:left w:w="0" w:type="dxa"/>
              <w:bottom w:w="30" w:type="dxa"/>
              <w:right w:w="0" w:type="dxa"/>
            </w:tcMar>
            <w:vAlign w:val="bottom"/>
            <w:hideMark/>
          </w:tcPr>
          <w:p w:rsidR="00000000" w:rsidRDefault="00B46E81">
            <w:pPr>
              <w:jc w:val="right"/>
              <w:rPr>
                <w:rFonts w:eastAsia="Times New Roman"/>
                <w:sz w:val="20"/>
                <w:szCs w:val="20"/>
              </w:rPr>
            </w:pPr>
            <w:r>
              <w:rPr>
                <w:rFonts w:eastAsia="Times New Roman"/>
                <w:sz w:val="20"/>
                <w:szCs w:val="20"/>
              </w:rPr>
              <w:t>Less debt discount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(206,157</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80" w:type="dxa"/>
              <w:right w:w="0" w:type="dxa"/>
            </w:tcMar>
            <w:vAlign w:val="bottom"/>
            <w:hideMark/>
          </w:tcPr>
          <w:p w:rsidR="00000000" w:rsidRDefault="00B46E81">
            <w:pPr>
              <w:ind w:hanging="180"/>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B46E81">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B46E81">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193,243</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bl>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A </w:t>
      </w:r>
      <w:r>
        <w:rPr>
          <w:sz w:val="20"/>
          <w:szCs w:val="20"/>
        </w:rPr>
        <w:t>summary of the activity of the derivative liability for the notes above is as follows:</w:t>
      </w:r>
    </w:p>
    <w:p w:rsidR="00000000" w:rsidRDefault="00B46E81">
      <w:pPr>
        <w:pStyle w:val="a3"/>
        <w:spacing w:before="0" w:beforeAutospacing="0" w:after="0" w:afterAutospacing="0"/>
        <w:jc w:val="both"/>
        <w:divId w:val="10883089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22"/>
        <w:gridCol w:w="50"/>
        <w:gridCol w:w="100"/>
        <w:gridCol w:w="867"/>
        <w:gridCol w:w="67"/>
      </w:tblGrid>
      <w:tr w:rsidR="00000000">
        <w:trPr>
          <w:divId w:val="1088308932"/>
        </w:trPr>
        <w:tc>
          <w:tcPr>
            <w:tcW w:w="4400" w:type="pct"/>
            <w:shd w:val="clear" w:color="auto" w:fill="CCEEFF"/>
            <w:vAlign w:val="bottom"/>
            <w:hideMark/>
          </w:tcPr>
          <w:p w:rsidR="00000000" w:rsidRDefault="00B46E81">
            <w:pPr>
              <w:rPr>
                <w:rFonts w:eastAsia="Times New Roman"/>
                <w:sz w:val="20"/>
                <w:szCs w:val="20"/>
              </w:rPr>
            </w:pPr>
            <w:r>
              <w:rPr>
                <w:rFonts w:eastAsia="Times New Roman"/>
                <w:sz w:val="20"/>
                <w:szCs w:val="20"/>
              </w:rPr>
              <w:t>Balance at December 31, 2020</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46E81">
            <w:pPr>
              <w:jc w:val="right"/>
              <w:rPr>
                <w:rFonts w:eastAsia="Times New Roman"/>
                <w:sz w:val="20"/>
                <w:szCs w:val="20"/>
              </w:rPr>
            </w:pPr>
            <w:r>
              <w:rPr>
                <w:rFonts w:eastAsia="Times New Roman"/>
                <w:sz w:val="20"/>
                <w:szCs w:val="20"/>
              </w:rPr>
              <w:t>700,719</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auto"/>
            <w:vAlign w:val="bottom"/>
            <w:hideMark/>
          </w:tcPr>
          <w:p w:rsidR="00000000" w:rsidRDefault="00B46E81">
            <w:pPr>
              <w:rPr>
                <w:rFonts w:eastAsia="Times New Roman"/>
                <w:sz w:val="20"/>
                <w:szCs w:val="20"/>
              </w:rPr>
            </w:pPr>
            <w:r>
              <w:rPr>
                <w:rFonts w:eastAsia="Times New Roman"/>
                <w:sz w:val="20"/>
                <w:szCs w:val="20"/>
              </w:rPr>
              <w:t>Increase to derivative due to new issuances</w:t>
            </w:r>
          </w:p>
        </w:tc>
        <w:tc>
          <w:tcPr>
            <w:tcW w:w="0" w:type="auto"/>
            <w:shd w:val="clear" w:color="auto" w:fill="auto"/>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auto"/>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auto"/>
            <w:vAlign w:val="bottom"/>
            <w:hideMark/>
          </w:tcPr>
          <w:p w:rsidR="00000000" w:rsidRDefault="00B46E81">
            <w:pPr>
              <w:jc w:val="right"/>
              <w:rPr>
                <w:rFonts w:eastAsia="Times New Roman"/>
                <w:sz w:val="20"/>
                <w:szCs w:val="20"/>
              </w:rPr>
            </w:pPr>
            <w:r>
              <w:rPr>
                <w:rFonts w:eastAsia="Times New Roman"/>
                <w:sz w:val="20"/>
                <w:szCs w:val="20"/>
              </w:rPr>
              <w:t>1,087,302</w:t>
            </w:r>
          </w:p>
        </w:tc>
        <w:tc>
          <w:tcPr>
            <w:tcW w:w="0" w:type="auto"/>
            <w:shd w:val="clear" w:color="auto" w:fill="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Decrease to derivative due to conversion/repayments</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(3,098,325</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w:t>
            </w:r>
          </w:p>
        </w:tc>
      </w:tr>
      <w:tr w:rsidR="00000000">
        <w:trPr>
          <w:divId w:val="1088308932"/>
        </w:trPr>
        <w:tc>
          <w:tcPr>
            <w:tcW w:w="0" w:type="auto"/>
            <w:shd w:val="clear" w:color="auto" w:fill="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Derivative loss due to mark to market adjustment</w:t>
            </w:r>
          </w:p>
        </w:tc>
        <w:tc>
          <w:tcPr>
            <w:tcW w:w="0" w:type="auto"/>
            <w:shd w:val="clear" w:color="auto" w:fill="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auto"/>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auto"/>
            <w:vAlign w:val="bottom"/>
            <w:hideMark/>
          </w:tcPr>
          <w:p w:rsidR="00000000" w:rsidRDefault="00B46E81">
            <w:pPr>
              <w:jc w:val="right"/>
              <w:rPr>
                <w:rFonts w:eastAsia="Times New Roman"/>
                <w:sz w:val="20"/>
                <w:szCs w:val="20"/>
              </w:rPr>
            </w:pPr>
            <w:r>
              <w:rPr>
                <w:rFonts w:eastAsia="Times New Roman"/>
                <w:sz w:val="20"/>
                <w:szCs w:val="20"/>
              </w:rPr>
              <w:t>1,601,016</w:t>
            </w:r>
          </w:p>
        </w:tc>
        <w:tc>
          <w:tcPr>
            <w:tcW w:w="0" w:type="auto"/>
            <w:shd w:val="clear" w:color="auto" w:fill="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Balance at December 31, 2021</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290,712</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auto"/>
            <w:vAlign w:val="bottom"/>
            <w:hideMark/>
          </w:tcPr>
          <w:p w:rsidR="00000000" w:rsidRDefault="00B46E81">
            <w:pPr>
              <w:rPr>
                <w:rFonts w:eastAsia="Times New Roman"/>
                <w:sz w:val="20"/>
                <w:szCs w:val="20"/>
              </w:rPr>
            </w:pPr>
            <w:r>
              <w:rPr>
                <w:rFonts w:eastAsia="Times New Roman"/>
                <w:sz w:val="20"/>
                <w:szCs w:val="20"/>
              </w:rPr>
              <w:t>Decrease to derivative due to conversion/repayments</w:t>
            </w:r>
          </w:p>
        </w:tc>
        <w:tc>
          <w:tcPr>
            <w:tcW w:w="0" w:type="auto"/>
            <w:shd w:val="clear" w:color="auto" w:fill="auto"/>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auto"/>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auto"/>
            <w:vAlign w:val="bottom"/>
            <w:hideMark/>
          </w:tcPr>
          <w:p w:rsidR="00000000" w:rsidRDefault="00B46E81">
            <w:pPr>
              <w:jc w:val="right"/>
              <w:rPr>
                <w:rFonts w:eastAsia="Times New Roman"/>
                <w:sz w:val="20"/>
                <w:szCs w:val="20"/>
              </w:rPr>
            </w:pPr>
            <w:r>
              <w:rPr>
                <w:rFonts w:eastAsia="Times New Roman"/>
                <w:sz w:val="20"/>
                <w:szCs w:val="20"/>
              </w:rPr>
              <w:t>(287,664</w:t>
            </w:r>
          </w:p>
        </w:tc>
        <w:tc>
          <w:tcPr>
            <w:tcW w:w="0" w:type="auto"/>
            <w:shd w:val="clear" w:color="auto" w:fill="auto"/>
            <w:vAlign w:val="bottom"/>
            <w:hideMark/>
          </w:tcPr>
          <w:p w:rsidR="00000000" w:rsidRDefault="00B46E81">
            <w:pPr>
              <w:rPr>
                <w:rFonts w:eastAsia="Times New Roman"/>
                <w:sz w:val="20"/>
                <w:szCs w:val="20"/>
              </w:rPr>
            </w:pPr>
            <w:r>
              <w:rPr>
                <w:rFonts w:eastAsia="Times New Roman"/>
                <w:sz w:val="20"/>
                <w:szCs w:val="20"/>
              </w:rPr>
              <w:t>)</w:t>
            </w:r>
          </w:p>
        </w:tc>
      </w:tr>
      <w:tr w:rsidR="00000000">
        <w:trPr>
          <w:divId w:val="1088308932"/>
        </w:trPr>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Derivative loss due to mark to market adjustment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(3,048</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w:t>
            </w:r>
          </w:p>
        </w:tc>
      </w:tr>
      <w:tr w:rsidR="00000000">
        <w:trPr>
          <w:divId w:val="1088308932"/>
        </w:trPr>
        <w:tc>
          <w:tcPr>
            <w:tcW w:w="0" w:type="auto"/>
            <w:shd w:val="clear" w:color="auto" w:fill="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Balance at September 30, 2022</w:t>
            </w:r>
          </w:p>
        </w:tc>
        <w:tc>
          <w:tcPr>
            <w:tcW w:w="0" w:type="auto"/>
            <w:shd w:val="clear" w:color="auto" w:fill="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auto"/>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auto"/>
            <w:vAlign w:val="bottom"/>
            <w:hideMark/>
          </w:tcPr>
          <w:p w:rsidR="00000000" w:rsidRDefault="00B46E81">
            <w:pPr>
              <w:jc w:val="right"/>
              <w:divId w:val="371074818"/>
              <w:rPr>
                <w:rFonts w:eastAsia="Times New Roman"/>
                <w:sz w:val="20"/>
                <w:szCs w:val="20"/>
              </w:rPr>
            </w:pPr>
            <w:r>
              <w:rPr>
                <w:rFonts w:eastAsia="Times New Roman"/>
                <w:sz w:val="20"/>
                <w:szCs w:val="20"/>
              </w:rPr>
              <w:t>—</w:t>
            </w:r>
          </w:p>
        </w:tc>
        <w:tc>
          <w:tcPr>
            <w:tcW w:w="0" w:type="auto"/>
            <w:shd w:val="clear" w:color="auto" w:fill="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bl>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A summary of quantitative information about significant unobservable inputs (Level 3</w:t>
      </w:r>
      <w:r>
        <w:rPr>
          <w:sz w:val="20"/>
          <w:szCs w:val="20"/>
        </w:rPr>
        <w:t xml:space="preserve"> inputs) used in measuring the Company’s derivative liability that are categorized within Level 3 of the fair value hierarchy at the time of conversion is as follows:</w:t>
      </w:r>
    </w:p>
    <w:p w:rsidR="00000000" w:rsidRDefault="00B46E81">
      <w:pPr>
        <w:pStyle w:val="a3"/>
        <w:spacing w:before="0" w:beforeAutospacing="0" w:after="0" w:afterAutospacing="0"/>
        <w:jc w:val="both"/>
        <w:divId w:val="10883089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472"/>
        <w:gridCol w:w="50"/>
        <w:gridCol w:w="100"/>
        <w:gridCol w:w="1634"/>
        <w:gridCol w:w="50"/>
      </w:tblGrid>
      <w:tr w:rsidR="00000000">
        <w:trPr>
          <w:divId w:val="1088308932"/>
        </w:trPr>
        <w:tc>
          <w:tcPr>
            <w:tcW w:w="0" w:type="auto"/>
            <w:vAlign w:val="bottom"/>
            <w:hideMark/>
          </w:tcPr>
          <w:p w:rsidR="00000000" w:rsidRDefault="00B46E81">
            <w:pPr>
              <w:rPr>
                <w:rFonts w:eastAsia="Times New Roman"/>
                <w:b/>
                <w:bCs/>
                <w:sz w:val="20"/>
                <w:szCs w:val="20"/>
                <w:u w:val="single"/>
              </w:rPr>
            </w:pPr>
            <w:r>
              <w:rPr>
                <w:rFonts w:eastAsia="Times New Roman"/>
                <w:b/>
                <w:bCs/>
                <w:sz w:val="20"/>
                <w:szCs w:val="20"/>
                <w:u w:val="single"/>
              </w:rPr>
              <w:t>Inputs</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4400" w:type="pct"/>
            <w:shd w:val="clear" w:color="auto" w:fill="CCEEFF"/>
            <w:vAlign w:val="bottom"/>
            <w:hideMark/>
          </w:tcPr>
          <w:p w:rsidR="00000000" w:rsidRDefault="00B46E81">
            <w:pPr>
              <w:rPr>
                <w:rFonts w:eastAsia="Times New Roman"/>
                <w:sz w:val="20"/>
                <w:szCs w:val="20"/>
              </w:rPr>
            </w:pPr>
            <w:r>
              <w:rPr>
                <w:rFonts w:eastAsia="Times New Roman"/>
                <w:sz w:val="20"/>
                <w:szCs w:val="20"/>
              </w:rPr>
              <w:t>Stock price</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46E81">
            <w:pPr>
              <w:jc w:val="right"/>
              <w:rPr>
                <w:rFonts w:eastAsia="Times New Roman"/>
                <w:sz w:val="20"/>
                <w:szCs w:val="20"/>
              </w:rPr>
            </w:pPr>
            <w:r>
              <w:rPr>
                <w:rFonts w:eastAsia="Times New Roman"/>
                <w:sz w:val="20"/>
                <w:szCs w:val="20"/>
              </w:rPr>
              <w:t>0.01 - 0.0175</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vAlign w:val="bottom"/>
            <w:hideMark/>
          </w:tcPr>
          <w:p w:rsidR="00000000" w:rsidRDefault="00B46E81">
            <w:pPr>
              <w:rPr>
                <w:rFonts w:eastAsia="Times New Roman"/>
                <w:sz w:val="20"/>
                <w:szCs w:val="20"/>
              </w:rPr>
            </w:pPr>
            <w:r>
              <w:rPr>
                <w:rFonts w:eastAsia="Times New Roman"/>
                <w:sz w:val="20"/>
                <w:szCs w:val="20"/>
              </w:rPr>
              <w:t>Conversion price</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xml:space="preserve">0.0097 - </w:t>
            </w:r>
            <w:r>
              <w:rPr>
                <w:rFonts w:eastAsia="Times New Roman"/>
                <w:sz w:val="20"/>
                <w:szCs w:val="20"/>
              </w:rPr>
              <w:t>0.0175</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Volatility (annual)</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169.37% – 177.63%</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vAlign w:val="bottom"/>
            <w:hideMark/>
          </w:tcPr>
          <w:p w:rsidR="00000000" w:rsidRDefault="00B46E81">
            <w:pPr>
              <w:rPr>
                <w:rFonts w:eastAsia="Times New Roman"/>
                <w:sz w:val="20"/>
                <w:szCs w:val="20"/>
              </w:rPr>
            </w:pPr>
            <w:r>
              <w:rPr>
                <w:rFonts w:eastAsia="Times New Roman"/>
                <w:sz w:val="20"/>
                <w:szCs w:val="20"/>
              </w:rPr>
              <w:t>Risk-free rate</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.39% - 1.25</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vAlign w:val="bottom"/>
            <w:hideMark/>
          </w:tcPr>
          <w:p w:rsidR="00000000" w:rsidRDefault="00B46E81">
            <w:pPr>
              <w:rPr>
                <w:rFonts w:eastAsia="Times New Roman"/>
                <w:sz w:val="20"/>
                <w:szCs w:val="20"/>
              </w:rPr>
            </w:pPr>
            <w:r>
              <w:rPr>
                <w:rFonts w:eastAsia="Times New Roman"/>
                <w:sz w:val="20"/>
                <w:szCs w:val="20"/>
              </w:rPr>
              <w:t>Years to maturity</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.49 - .50</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bl>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The </w:t>
      </w:r>
      <w:r>
        <w:rPr>
          <w:sz w:val="20"/>
          <w:szCs w:val="20"/>
        </w:rPr>
        <w:t>development and determination of the unobservable inputs for Level 3 fair value measurements and fair value calculations are the responsibility of the Company’s management. </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center"/>
        <w:divId w:val="2053924398"/>
        <w:rPr>
          <w:sz w:val="20"/>
          <w:szCs w:val="20"/>
        </w:rPr>
      </w:pPr>
      <w:r>
        <w:rPr>
          <w:sz w:val="20"/>
          <w:szCs w:val="20"/>
        </w:rPr>
        <w:t>1</w:t>
      </w:r>
      <w:r>
        <w:rPr>
          <w:sz w:val="20"/>
          <w:szCs w:val="20"/>
        </w:rPr>
        <w:t>0</w:t>
      </w:r>
    </w:p>
    <w:p w:rsidR="00000000" w:rsidRDefault="00B46E81">
      <w:pPr>
        <w:pStyle w:val="a3"/>
        <w:spacing w:before="0" w:beforeAutospacing="0" w:after="0" w:afterAutospacing="0"/>
        <w:divId w:val="224100315"/>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b/>
          <w:bCs/>
          <w:sz w:val="20"/>
          <w:szCs w:val="20"/>
        </w:rPr>
        <w:t>NOTE 7 - RELATED PARTY TRANSACTIONS</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The Company has received support fr</w:t>
      </w:r>
      <w:r>
        <w:rPr>
          <w:sz w:val="20"/>
          <w:szCs w:val="20"/>
        </w:rPr>
        <w:t>om its Chairman, Russell Bird through a series of loans prior to 2019. These loans are unsecured, and due on demand. As of September 30, 2022, and December 31, 2021, the balance due on these loans is $179,191 and $179,191, respectively. Beginning on Januar</w:t>
      </w:r>
      <w:r>
        <w:rPr>
          <w:sz w:val="20"/>
          <w:szCs w:val="20"/>
        </w:rPr>
        <w:t>y 1, 2019, the balance due accrues interest at 12.5%. As of September 30, 2022, total accrued interest is $84,463. During the third quarter Mr. Bird, advanced the Company an additional $1,523.</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The Company executed a new employment agreement with Mr. Wood</w:t>
      </w:r>
      <w:r>
        <w:rPr>
          <w:sz w:val="20"/>
          <w:szCs w:val="20"/>
        </w:rPr>
        <w:t xml:space="preserve"> on April 1, 2022. Per the terms of the agreement Mr. Wood is to be compensated $8,000 per month. As of September 30, 2022 and December 31, 2021, there is $2,000 and $2,000 of accrued compensation, respectively, due to Mr. Wood. During the nine months ende</w:t>
      </w:r>
      <w:r>
        <w:rPr>
          <w:sz w:val="20"/>
          <w:szCs w:val="20"/>
        </w:rPr>
        <w:t>d September 30, 2022 and 2021, cash payments of $60,000 and $36,000, respectively, were paid to Mr. Wood.</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The Company executed a new employment agreement with its Chairman, Russell Bird, on April 1, 2022. Per the terms of the agreement, which is effectiv</w:t>
      </w:r>
      <w:r>
        <w:rPr>
          <w:sz w:val="20"/>
          <w:szCs w:val="20"/>
        </w:rPr>
        <w:t>e for one year, Mr. Bird is to be compensated $8,000 per month. As of September 30, 2022 and December 31, 2021, there is $50,000 and $45,000 of accrued compensation, respectively, due to Mr. Bird. During the nine months ended September 30, 2022 and 2021, c</w:t>
      </w:r>
      <w:r>
        <w:rPr>
          <w:sz w:val="20"/>
          <w:szCs w:val="20"/>
        </w:rPr>
        <w:t>ash payments of $52,000 and $15,000, respectively, were paid to Mr. Bird.</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The Company has entered into an at-will consulting agreement with Jonathan Lane to serve as Chief Technology Officer. During the nine months ended September 30, 2022 and 2021, the </w:t>
      </w:r>
      <w:r>
        <w:rPr>
          <w:sz w:val="20"/>
          <w:szCs w:val="20"/>
        </w:rPr>
        <w:t>Company made cash payments to Mr. Lane of $48,000 and $17,000, respectively.</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During the nine months ended September 30, 2022 and, 2021, the Company paid $21,500 and $15,000, respectively, to the brother of the CEO for services related to development of t</w:t>
      </w:r>
      <w:r>
        <w:rPr>
          <w:sz w:val="20"/>
          <w:szCs w:val="20"/>
        </w:rPr>
        <w:t>he Company’s product.</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During the nine months ended September 30, 2022 and 2021, the Company paid $1,000 and $5,000, respectively, to the son of the CEO for website design services.</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b/>
          <w:bCs/>
          <w:sz w:val="20"/>
          <w:szCs w:val="20"/>
        </w:rPr>
        <w:t>NOTE 8 – OPERATING LEASES</w:t>
      </w:r>
    </w:p>
    <w:p w:rsidR="00000000" w:rsidRDefault="00B46E81">
      <w:pPr>
        <w:pStyle w:val="a3"/>
        <w:spacing w:before="0" w:beforeAutospacing="0" w:after="0" w:afterAutospacing="0"/>
        <w:divId w:val="1088308932"/>
        <w:rPr>
          <w:sz w:val="20"/>
          <w:szCs w:val="20"/>
        </w:rPr>
      </w:pPr>
      <w:r>
        <w:rPr>
          <w:b/>
          <w:bCs/>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The Company entered into a Lease Agreement </w:t>
      </w:r>
      <w:r>
        <w:rPr>
          <w:sz w:val="20"/>
          <w:szCs w:val="20"/>
        </w:rPr>
        <w:t>(the “Lease”) with 14175 Icot Blvd, LLC (the “Lessor”), effective May 1, 2022, relating to approximately 9,677 square feet of property located at 14175 Icot Blvd, Clearwater, FL 33760. The term of the Lease is for thirty-six (36) months commencing May 1, 2</w:t>
      </w:r>
      <w:r>
        <w:rPr>
          <w:sz w:val="20"/>
          <w:szCs w:val="20"/>
        </w:rPr>
        <w:t>022. The monthly base rent, including tax is $8,686.71 for the first twelve (12) months increasing thereafter to $9,034.17 for the next 12 months and to $12,287.63 for the last 12 months. The Company paid $69,494 of advanced rent. The advance rent is to be</w:t>
      </w:r>
      <w:r>
        <w:rPr>
          <w:sz w:val="20"/>
          <w:szCs w:val="20"/>
        </w:rPr>
        <w:t xml:space="preserve"> allocated equally over the first two years of the lease.</w:t>
      </w:r>
    </w:p>
    <w:p w:rsidR="00000000" w:rsidRDefault="00B46E81">
      <w:pPr>
        <w:pStyle w:val="a3"/>
        <w:spacing w:before="0" w:beforeAutospacing="0" w:after="0" w:afterAutospacing="0"/>
        <w:divId w:val="1088308932"/>
        <w:rPr>
          <w:sz w:val="20"/>
          <w:szCs w:val="20"/>
        </w:rPr>
      </w:pPr>
      <w:r>
        <w:rPr>
          <w:b/>
          <w:bCs/>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In February 2016, the FASB issued Accounting Standard Update (“ASU”) 2016-02, </w:t>
      </w:r>
      <w:r>
        <w:rPr>
          <w:i/>
          <w:iCs/>
          <w:sz w:val="20"/>
          <w:szCs w:val="20"/>
        </w:rPr>
        <w:t>Leases</w:t>
      </w:r>
      <w:r>
        <w:rPr>
          <w:sz w:val="20"/>
          <w:szCs w:val="20"/>
        </w:rPr>
        <w:t xml:space="preserve"> (Topic 842), which superseded guidance in ASC 840, </w:t>
      </w:r>
      <w:r>
        <w:rPr>
          <w:i/>
          <w:iCs/>
          <w:sz w:val="20"/>
          <w:szCs w:val="20"/>
        </w:rPr>
        <w:t>Leases</w:t>
      </w:r>
      <w:r>
        <w:rPr>
          <w:sz w:val="20"/>
          <w:szCs w:val="20"/>
        </w:rPr>
        <w:t>, which we adopted for the year ended December 31, 201</w:t>
      </w:r>
      <w:r>
        <w:rPr>
          <w:sz w:val="20"/>
          <w:szCs w:val="20"/>
        </w:rPr>
        <w:t xml:space="preserve">9, under the modified retrospective transition approach by applying the new standard to all leases existing at the date of initial application. We account for short-term leases, those lasting fewer than 12 months, using the practical expedient as outlined </w:t>
      </w:r>
      <w:r>
        <w:rPr>
          <w:sz w:val="20"/>
          <w:szCs w:val="20"/>
        </w:rPr>
        <w:t>in the guidance, which does not include recording such leases on the balance sheet.</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center"/>
        <w:divId w:val="566186259"/>
        <w:rPr>
          <w:sz w:val="20"/>
          <w:szCs w:val="20"/>
        </w:rPr>
      </w:pPr>
      <w:r>
        <w:rPr>
          <w:sz w:val="20"/>
          <w:szCs w:val="20"/>
        </w:rPr>
        <w:t>1</w:t>
      </w:r>
      <w:r>
        <w:rPr>
          <w:sz w:val="20"/>
          <w:szCs w:val="20"/>
        </w:rPr>
        <w:t>1</w:t>
      </w:r>
    </w:p>
    <w:p w:rsidR="00000000" w:rsidRDefault="00B46E81">
      <w:pPr>
        <w:pStyle w:val="a3"/>
        <w:spacing w:before="0" w:beforeAutospacing="0" w:after="0" w:afterAutospacing="0"/>
        <w:divId w:val="1731733677"/>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Adoption of Accounting Standard Update (“ASU”) 2016-02, </w:t>
      </w:r>
      <w:r>
        <w:rPr>
          <w:i/>
          <w:iCs/>
          <w:sz w:val="20"/>
          <w:szCs w:val="20"/>
        </w:rPr>
        <w:t>Leases</w:t>
      </w:r>
      <w:r>
        <w:rPr>
          <w:sz w:val="20"/>
          <w:szCs w:val="20"/>
        </w:rPr>
        <w:t xml:space="preserve"> </w:t>
      </w:r>
      <w:r>
        <w:rPr>
          <w:sz w:val="20"/>
          <w:szCs w:val="20"/>
        </w:rPr>
        <w:t>(Topic 842), resulted in recording an initial right-of-use (“ROU”) assets and operating lease liabilities of $328,803 on May 1, 2022.</w:t>
      </w:r>
    </w:p>
    <w:p w:rsidR="00000000" w:rsidRDefault="00B46E81">
      <w:pPr>
        <w:pStyle w:val="a3"/>
        <w:spacing w:before="0" w:beforeAutospacing="0" w:after="0" w:afterAutospacing="0"/>
        <w:divId w:val="10883089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531"/>
        <w:gridCol w:w="50"/>
        <w:gridCol w:w="3403"/>
        <w:gridCol w:w="50"/>
        <w:gridCol w:w="123"/>
        <w:gridCol w:w="1099"/>
        <w:gridCol w:w="50"/>
      </w:tblGrid>
      <w:tr w:rsidR="00000000">
        <w:trPr>
          <w:divId w:val="1088308932"/>
        </w:trPr>
        <w:tc>
          <w:tcPr>
            <w:tcW w:w="0" w:type="auto"/>
            <w:tcBorders>
              <w:bottom w:val="single" w:sz="12" w:space="0" w:color="000000"/>
            </w:tcBorders>
            <w:vAlign w:val="bottom"/>
            <w:hideMark/>
          </w:tcPr>
          <w:p w:rsidR="00000000" w:rsidRDefault="00B46E81">
            <w:pPr>
              <w:rPr>
                <w:rFonts w:eastAsia="Times New Roman"/>
                <w:b/>
                <w:bCs/>
                <w:sz w:val="20"/>
                <w:szCs w:val="20"/>
              </w:rPr>
            </w:pPr>
            <w:r>
              <w:rPr>
                <w:rFonts w:eastAsia="Times New Roman"/>
                <w:b/>
                <w:bCs/>
                <w:sz w:val="20"/>
                <w:szCs w:val="20"/>
              </w:rPr>
              <w:t>Asset</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20"/>
                <w:szCs w:val="20"/>
              </w:rPr>
              <w:t>Balance Sheet Classification</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20"/>
                <w:szCs w:val="20"/>
              </w:rPr>
              <w:t>September 30,</w:t>
            </w:r>
            <w:r>
              <w:rPr>
                <w:rFonts w:eastAsia="Times New Roman"/>
                <w:b/>
                <w:bCs/>
                <w:sz w:val="20"/>
                <w:szCs w:val="20"/>
              </w:rPr>
              <w:br/>
              <w:t>2022</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r>
      <w:tr w:rsidR="00000000">
        <w:trPr>
          <w:divId w:val="1088308932"/>
        </w:trPr>
        <w:tc>
          <w:tcPr>
            <w:tcW w:w="2200" w:type="pct"/>
            <w:shd w:val="clear" w:color="auto" w:fill="CCEEFF"/>
            <w:tcMar>
              <w:top w:w="0" w:type="dxa"/>
              <w:left w:w="180" w:type="dxa"/>
              <w:bottom w:w="30" w:type="dxa"/>
              <w:right w:w="0" w:type="dxa"/>
            </w:tcMar>
            <w:vAlign w:val="bottom"/>
            <w:hideMark/>
          </w:tcPr>
          <w:p w:rsidR="00000000" w:rsidRDefault="00B46E81">
            <w:pPr>
              <w:ind w:hanging="180"/>
              <w:rPr>
                <w:rFonts w:eastAsia="Times New Roman"/>
                <w:sz w:val="20"/>
                <w:szCs w:val="20"/>
              </w:rPr>
            </w:pPr>
            <w:r>
              <w:rPr>
                <w:rFonts w:eastAsia="Times New Roman"/>
                <w:sz w:val="20"/>
                <w:szCs w:val="20"/>
              </w:rPr>
              <w:t>Operating lease asset</w:t>
            </w:r>
          </w:p>
        </w:tc>
        <w:tc>
          <w:tcPr>
            <w:tcW w:w="50" w:type="pct"/>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2150" w:type="pct"/>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Right of use asset</w:t>
            </w:r>
          </w:p>
        </w:tc>
        <w:tc>
          <w:tcPr>
            <w:tcW w:w="50" w:type="pct"/>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283,136</w:t>
            </w:r>
          </w:p>
        </w:tc>
        <w:tc>
          <w:tcPr>
            <w:tcW w:w="50" w:type="pct"/>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30" w:type="dxa"/>
              <w:right w:w="0" w:type="dxa"/>
            </w:tcMar>
            <w:vAlign w:val="bottom"/>
            <w:hideMark/>
          </w:tcPr>
          <w:p w:rsidR="00000000" w:rsidRDefault="00B46E81">
            <w:pPr>
              <w:ind w:hanging="180"/>
              <w:rPr>
                <w:rFonts w:eastAsia="Times New Roman"/>
                <w:sz w:val="20"/>
                <w:szCs w:val="20"/>
              </w:rPr>
            </w:pPr>
            <w:r>
              <w:rPr>
                <w:rFonts w:eastAsia="Times New Roman"/>
                <w:sz w:val="20"/>
                <w:szCs w:val="20"/>
              </w:rPr>
              <w:t>Total lease asset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108"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283,136</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108" w:type="dxa"/>
              <w:bottom w:w="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0" w:type="dxa"/>
              <w:right w:w="0" w:type="dxa"/>
            </w:tcMar>
            <w:vAlign w:val="bottom"/>
            <w:hideMark/>
          </w:tcPr>
          <w:p w:rsidR="00000000" w:rsidRDefault="00B46E81">
            <w:pPr>
              <w:ind w:hanging="180"/>
              <w:rPr>
                <w:rFonts w:eastAsia="Times New Roman"/>
                <w:sz w:val="20"/>
                <w:szCs w:val="20"/>
                <w:u w:val="single"/>
              </w:rPr>
            </w:pPr>
            <w:r>
              <w:rPr>
                <w:rFonts w:eastAsia="Times New Roman"/>
                <w:sz w:val="20"/>
                <w:szCs w:val="20"/>
                <w:u w:val="single"/>
              </w:rPr>
              <w:t>Liability</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108" w:type="dxa"/>
              <w:bottom w:w="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0" w:type="dxa"/>
              <w:right w:w="0" w:type="dxa"/>
            </w:tcMar>
            <w:vAlign w:val="bottom"/>
            <w:hideMark/>
          </w:tcPr>
          <w:p w:rsidR="00000000" w:rsidRDefault="00B46E81">
            <w:pPr>
              <w:ind w:hanging="180"/>
              <w:rPr>
                <w:rFonts w:eastAsia="Times New Roman"/>
                <w:sz w:val="20"/>
                <w:szCs w:val="20"/>
              </w:rPr>
            </w:pPr>
            <w:r>
              <w:rPr>
                <w:rFonts w:eastAsia="Times New Roman"/>
                <w:sz w:val="20"/>
                <w:szCs w:val="20"/>
              </w:rPr>
              <w:t>Operating lease liability – current portion</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Current operating lease liability</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90,824</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30" w:type="dxa"/>
              <w:right w:w="0" w:type="dxa"/>
            </w:tcMar>
            <w:vAlign w:val="bottom"/>
            <w:hideMark/>
          </w:tcPr>
          <w:p w:rsidR="00000000" w:rsidRDefault="00B46E81">
            <w:pPr>
              <w:ind w:hanging="180"/>
              <w:rPr>
                <w:rFonts w:eastAsia="Times New Roman"/>
                <w:sz w:val="20"/>
                <w:szCs w:val="20"/>
              </w:rPr>
            </w:pPr>
            <w:r>
              <w:rPr>
                <w:rFonts w:eastAsia="Times New Roman"/>
                <w:sz w:val="20"/>
                <w:szCs w:val="20"/>
              </w:rPr>
              <w:t>Operating lease liability – noncurrent portion</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Long-term operating lease liability</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202,412</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80" w:type="dxa"/>
              <w:right w:w="0" w:type="dxa"/>
            </w:tcMar>
            <w:vAlign w:val="bottom"/>
            <w:hideMark/>
          </w:tcPr>
          <w:p w:rsidR="00000000" w:rsidRDefault="00B46E81">
            <w:pPr>
              <w:ind w:hanging="180"/>
              <w:rPr>
                <w:rFonts w:eastAsia="Times New Roman"/>
                <w:sz w:val="20"/>
                <w:szCs w:val="20"/>
              </w:rPr>
            </w:pPr>
            <w:r>
              <w:rPr>
                <w:rFonts w:eastAsia="Times New Roman"/>
                <w:sz w:val="20"/>
                <w:szCs w:val="20"/>
              </w:rPr>
              <w:t>Total lease liability</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108"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293,236</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bl>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sz w:val="20"/>
          <w:szCs w:val="20"/>
        </w:rPr>
        <w:t>Lease obligations at September 30, 2022 consisted of the following:</w:t>
      </w:r>
    </w:p>
    <w:p w:rsidR="00000000" w:rsidRDefault="00B46E81">
      <w:pPr>
        <w:pStyle w:val="a3"/>
        <w:spacing w:before="0" w:beforeAutospacing="0" w:after="0" w:afterAutospacing="0"/>
        <w:divId w:val="10883089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304"/>
        <w:gridCol w:w="79"/>
        <w:gridCol w:w="100"/>
        <w:gridCol w:w="744"/>
        <w:gridCol w:w="79"/>
      </w:tblGrid>
      <w:tr w:rsidR="00000000">
        <w:trPr>
          <w:divId w:val="1088308932"/>
        </w:trPr>
        <w:tc>
          <w:tcPr>
            <w:tcW w:w="0" w:type="auto"/>
            <w:vAlign w:val="bottom"/>
            <w:hideMark/>
          </w:tcPr>
          <w:p w:rsidR="00000000" w:rsidRDefault="00B46E81">
            <w:pPr>
              <w:rPr>
                <w:rFonts w:eastAsia="Times New Roman"/>
                <w:sz w:val="20"/>
                <w:szCs w:val="20"/>
              </w:rPr>
            </w:pPr>
            <w:r>
              <w:rPr>
                <w:rFonts w:eastAsia="Times New Roman"/>
                <w:sz w:val="20"/>
                <w:szCs w:val="20"/>
                <w:u w:val="single"/>
              </w:rPr>
              <w:t>For the year ended December 31:</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gridSpan w:val="2"/>
            <w:vAlign w:val="bottom"/>
            <w:hideMark/>
          </w:tcPr>
          <w:p w:rsidR="00000000" w:rsidRDefault="00B46E8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4400" w:type="pct"/>
            <w:shd w:val="clear" w:color="auto" w:fill="CCEEFF"/>
            <w:vAlign w:val="bottom"/>
            <w:hideMark/>
          </w:tcPr>
          <w:p w:rsidR="00000000" w:rsidRDefault="00B46E81">
            <w:pPr>
              <w:rPr>
                <w:rFonts w:eastAsia="Times New Roman"/>
                <w:sz w:val="20"/>
                <w:szCs w:val="20"/>
              </w:rPr>
            </w:pPr>
            <w:r>
              <w:rPr>
                <w:rFonts w:eastAsia="Times New Roman"/>
                <w:sz w:val="20"/>
                <w:szCs w:val="20"/>
              </w:rPr>
              <w:t>2022</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46E81">
            <w:pPr>
              <w:jc w:val="right"/>
              <w:rPr>
                <w:rFonts w:eastAsia="Times New Roman"/>
                <w:sz w:val="20"/>
                <w:szCs w:val="20"/>
              </w:rPr>
            </w:pPr>
            <w:r>
              <w:rPr>
                <w:rFonts w:eastAsia="Times New Roman"/>
                <w:sz w:val="20"/>
                <w:szCs w:val="20"/>
              </w:rPr>
              <w:t>28,861</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vAlign w:val="bottom"/>
            <w:hideMark/>
          </w:tcPr>
          <w:p w:rsidR="00000000" w:rsidRDefault="00B46E81">
            <w:pPr>
              <w:rPr>
                <w:rFonts w:eastAsia="Times New Roman"/>
                <w:sz w:val="20"/>
                <w:szCs w:val="20"/>
              </w:rPr>
            </w:pPr>
            <w:r>
              <w:rPr>
                <w:rFonts w:eastAsia="Times New Roman"/>
                <w:sz w:val="20"/>
                <w:szCs w:val="20"/>
              </w:rPr>
              <w:t>2023</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107,020</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2024</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134,438</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2025</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49,151</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Total payments</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319,470</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Amount representing interest</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(26,234</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w:t>
            </w:r>
          </w:p>
        </w:tc>
      </w:tr>
      <w:tr w:rsidR="00000000">
        <w:trPr>
          <w:divId w:val="1088308932"/>
        </w:trPr>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Lease obligation, net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rPr>
                <w:rFonts w:eastAsia="Times New Roman"/>
                <w:sz w:val="20"/>
                <w:szCs w:val="20"/>
              </w:rPr>
            </w:pPr>
            <w:r>
              <w:rPr>
                <w:rFonts w:eastAsia="Times New Roman"/>
                <w:sz w:val="20"/>
                <w:szCs w:val="20"/>
              </w:rPr>
              <w:t>293,236</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Less current portion</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46E81">
            <w:pPr>
              <w:jc w:val="right"/>
              <w:rPr>
                <w:rFonts w:eastAsia="Times New Roman"/>
                <w:sz w:val="20"/>
                <w:szCs w:val="20"/>
              </w:rPr>
            </w:pPr>
            <w:r>
              <w:rPr>
                <w:rFonts w:eastAsia="Times New Roman"/>
                <w:sz w:val="20"/>
                <w:szCs w:val="20"/>
              </w:rPr>
              <w:t>(90,824</w:t>
            </w:r>
          </w:p>
        </w:tc>
        <w:tc>
          <w:tcPr>
            <w:tcW w:w="0" w:type="auto"/>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w:t>
            </w:r>
          </w:p>
        </w:tc>
      </w:tr>
      <w:tr w:rsidR="00000000">
        <w:trPr>
          <w:divId w:val="1088308932"/>
        </w:trPr>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Lease obligation – long term</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202,412</w:t>
            </w:r>
          </w:p>
        </w:tc>
        <w:tc>
          <w:tcPr>
            <w:tcW w:w="0" w:type="auto"/>
            <w:shd w:val="clear" w:color="auto" w:fill="CCEEFF"/>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bl>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The </w:t>
      </w:r>
      <w:r>
        <w:rPr>
          <w:sz w:val="20"/>
          <w:szCs w:val="20"/>
        </w:rPr>
        <w:t>lease expense for the above agreement for the nine months ended September 30, 2022 was $51,160 which consisted of amortization expense of $41,828 and interest expense of $9,332.</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b/>
          <w:bCs/>
          <w:sz w:val="20"/>
          <w:szCs w:val="20"/>
        </w:rPr>
        <w:t>NOTE 9 - COMMON STOCK</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During </w:t>
      </w:r>
      <w:r>
        <w:rPr>
          <w:sz w:val="20"/>
          <w:szCs w:val="20"/>
        </w:rPr>
        <w:t>Q1 2022, Granite Global Value converted $152,880 of principal and interest into 16,146,666 shares of common stock.</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During Q1 2022, the Company issued 70,128,204 shares of common stock for the conversion of warrants.</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During Q1 2022, the Company sold 114</w:t>
      </w:r>
      <w:r>
        <w:rPr>
          <w:sz w:val="20"/>
          <w:szCs w:val="20"/>
        </w:rPr>
        <w:t>,000,000 shares of common stock for total cash proceeds of $855,000. The shares were sold pursuant to its Tier 2 of Regulation A Offering Statement.</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During Q2 2022, Power Up Lending Group LTD converted $274,850 of principal and interest into 27,332,996 s</w:t>
      </w:r>
      <w:r>
        <w:rPr>
          <w:sz w:val="20"/>
          <w:szCs w:val="20"/>
        </w:rPr>
        <w:t>hares of common stock.</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center"/>
        <w:divId w:val="1869222092"/>
        <w:rPr>
          <w:sz w:val="20"/>
          <w:szCs w:val="20"/>
        </w:rPr>
      </w:pPr>
      <w:r>
        <w:rPr>
          <w:sz w:val="20"/>
          <w:szCs w:val="20"/>
        </w:rPr>
        <w:t>1</w:t>
      </w:r>
      <w:r>
        <w:rPr>
          <w:sz w:val="20"/>
          <w:szCs w:val="20"/>
        </w:rPr>
        <w:t>2</w:t>
      </w:r>
    </w:p>
    <w:p w:rsidR="00000000" w:rsidRDefault="00B46E81">
      <w:pPr>
        <w:pStyle w:val="a3"/>
        <w:spacing w:before="0" w:beforeAutospacing="0" w:after="0" w:afterAutospacing="0"/>
        <w:divId w:val="1557428761"/>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b/>
          <w:bCs/>
          <w:sz w:val="20"/>
          <w:szCs w:val="20"/>
        </w:rPr>
        <w:t>NOTE 10 - PREFERRED STOCK</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The Company is currently authorized to issue 5,000,000 shares of Series A Preferred Stock, par value $0.001 per share value with 1:25 voting rights. The Series A Preferred Stock ranks equal to th</w:t>
      </w:r>
      <w:r>
        <w:rPr>
          <w:sz w:val="20"/>
          <w:szCs w:val="20"/>
        </w:rPr>
        <w:t>e common stock on liquidation, pays no dividend and is convertible to common stock for one share of common for one share of Series A Preferred Stock.</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The Company is currently authorized to issue 5,000,000 shares of Series B Preferred Stock, par value $0.</w:t>
      </w:r>
      <w:r>
        <w:rPr>
          <w:sz w:val="20"/>
          <w:szCs w:val="20"/>
        </w:rPr>
        <w:t>001 per share. Each share of Series B Preferred Stock has a 1:100 voting right and is convertible into 100 shares of common stock. No dividends will be paid and in the event of liquidation all shares of Series B will automatically convert into common stock</w:t>
      </w:r>
      <w:r>
        <w:rPr>
          <w:sz w:val="20"/>
          <w:szCs w:val="20"/>
        </w:rPr>
        <w:t>. There are 500,000 shares of Series B Preferred Stock issued and outstanding.</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The Company is currently authorized to issue 5,000,000 shares of Series C Preferred Stock, par value $0.001 per share value. Each share of Series C Preferred Stock has a 1:50 </w:t>
      </w:r>
      <w:r>
        <w:rPr>
          <w:sz w:val="20"/>
          <w:szCs w:val="20"/>
        </w:rPr>
        <w:t>voting right and is convertible into 50 shares of common stock. No dividends will be paid and in the event of liquidation all shares of Series C will automatically convert into common stock. There are no shares of Series C Preferred Stock issued and outsta</w:t>
      </w:r>
      <w:r>
        <w:rPr>
          <w:sz w:val="20"/>
          <w:szCs w:val="20"/>
        </w:rPr>
        <w:t>nding.</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b/>
          <w:bCs/>
          <w:sz w:val="20"/>
          <w:szCs w:val="20"/>
        </w:rPr>
        <w:t>NOTE 11 - WARRANTS</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A summary of the status of the Company’s outstanding stock warrants and changes during the year is presented below:</w:t>
      </w:r>
    </w:p>
    <w:p w:rsidR="00000000" w:rsidRDefault="00B46E81">
      <w:pPr>
        <w:pStyle w:val="a3"/>
        <w:spacing w:before="0" w:beforeAutospacing="0" w:after="0" w:afterAutospacing="0"/>
        <w:jc w:val="both"/>
        <w:divId w:val="10883089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64"/>
        <w:gridCol w:w="50"/>
        <w:gridCol w:w="50"/>
        <w:gridCol w:w="1000"/>
        <w:gridCol w:w="67"/>
        <w:gridCol w:w="50"/>
        <w:gridCol w:w="101"/>
        <w:gridCol w:w="740"/>
        <w:gridCol w:w="50"/>
        <w:gridCol w:w="50"/>
        <w:gridCol w:w="94"/>
        <w:gridCol w:w="840"/>
        <w:gridCol w:w="50"/>
        <w:gridCol w:w="50"/>
        <w:gridCol w:w="100"/>
        <w:gridCol w:w="800"/>
        <w:gridCol w:w="50"/>
      </w:tblGrid>
      <w:tr w:rsidR="00000000">
        <w:trPr>
          <w:divId w:val="1088308932"/>
        </w:trPr>
        <w:tc>
          <w:tcPr>
            <w:tcW w:w="0" w:type="auto"/>
            <w:vAlign w:val="bottom"/>
            <w:hideMark/>
          </w:tcPr>
          <w:p w:rsidR="00000000" w:rsidRDefault="00B46E8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20"/>
                <w:szCs w:val="20"/>
              </w:rPr>
              <w:t>Number of</w:t>
            </w:r>
            <w:r>
              <w:rPr>
                <w:rFonts w:eastAsia="Times New Roman"/>
                <w:b/>
                <w:bCs/>
                <w:sz w:val="20"/>
                <w:szCs w:val="20"/>
              </w:rPr>
              <w:br/>
              <w:t>Warrants</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20"/>
                <w:szCs w:val="20"/>
              </w:rPr>
              <w:t>Weighted</w:t>
            </w:r>
            <w:r>
              <w:rPr>
                <w:rFonts w:eastAsia="Times New Roman"/>
                <w:b/>
                <w:bCs/>
                <w:sz w:val="20"/>
                <w:szCs w:val="20"/>
              </w:rPr>
              <w:br/>
              <w:t>Average</w:t>
            </w:r>
            <w:r>
              <w:rPr>
                <w:rFonts w:eastAsia="Times New Roman"/>
                <w:b/>
                <w:bCs/>
                <w:sz w:val="20"/>
                <w:szCs w:val="20"/>
              </w:rPr>
              <w:br/>
              <w:t>Exercise</w:t>
            </w:r>
            <w:r>
              <w:rPr>
                <w:rFonts w:eastAsia="Times New Roman"/>
                <w:b/>
                <w:bCs/>
                <w:sz w:val="20"/>
                <w:szCs w:val="20"/>
              </w:rPr>
              <w:br/>
              <w:t>Price</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20"/>
                <w:szCs w:val="20"/>
              </w:rPr>
              <w:t>Weighted</w:t>
            </w:r>
            <w:r>
              <w:rPr>
                <w:rFonts w:eastAsia="Times New Roman"/>
                <w:b/>
                <w:bCs/>
                <w:sz w:val="20"/>
                <w:szCs w:val="20"/>
              </w:rPr>
              <w:br/>
              <w:t>Average</w:t>
            </w:r>
            <w:r>
              <w:rPr>
                <w:rFonts w:eastAsia="Times New Roman"/>
                <w:b/>
                <w:bCs/>
                <w:sz w:val="20"/>
                <w:szCs w:val="20"/>
              </w:rPr>
              <w:br/>
              <w:t>Remaining</w:t>
            </w:r>
            <w:r>
              <w:rPr>
                <w:rFonts w:eastAsia="Times New Roman"/>
                <w:b/>
                <w:bCs/>
                <w:sz w:val="20"/>
                <w:szCs w:val="20"/>
              </w:rPr>
              <w:br/>
              <w:t>Contract</w:t>
            </w:r>
            <w:r>
              <w:rPr>
                <w:rFonts w:eastAsia="Times New Roman"/>
                <w:b/>
                <w:bCs/>
                <w:sz w:val="20"/>
                <w:szCs w:val="20"/>
              </w:rPr>
              <w:br/>
            </w:r>
            <w:r>
              <w:rPr>
                <w:rFonts w:eastAsia="Times New Roman"/>
                <w:b/>
                <w:bCs/>
                <w:sz w:val="20"/>
                <w:szCs w:val="20"/>
              </w:rPr>
              <w:t>Term</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20"/>
                <w:szCs w:val="20"/>
              </w:rPr>
              <w:t>Aggregate</w:t>
            </w:r>
            <w:r>
              <w:rPr>
                <w:rFonts w:eastAsia="Times New Roman"/>
                <w:b/>
                <w:bCs/>
                <w:sz w:val="20"/>
                <w:szCs w:val="20"/>
              </w:rPr>
              <w:br/>
              <w:t>Intrinsic</w:t>
            </w:r>
            <w:r>
              <w:rPr>
                <w:rFonts w:eastAsia="Times New Roman"/>
                <w:b/>
                <w:bCs/>
                <w:sz w:val="20"/>
                <w:szCs w:val="20"/>
              </w:rPr>
              <w:br/>
              <w:t>Value</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r>
      <w:tr w:rsidR="00000000">
        <w:trPr>
          <w:divId w:val="1088308932"/>
        </w:trPr>
        <w:tc>
          <w:tcPr>
            <w:tcW w:w="2600" w:type="pct"/>
            <w:shd w:val="clear" w:color="auto" w:fill="CCEEFF"/>
            <w:vAlign w:val="bottom"/>
            <w:hideMark/>
          </w:tcPr>
          <w:p w:rsidR="00000000" w:rsidRDefault="00B46E81">
            <w:pPr>
              <w:rPr>
                <w:rFonts w:eastAsia="Times New Roman"/>
                <w:sz w:val="20"/>
                <w:szCs w:val="20"/>
              </w:rPr>
            </w:pPr>
            <w:r>
              <w:rPr>
                <w:rFonts w:eastAsia="Times New Roman"/>
                <w:sz w:val="20"/>
                <w:szCs w:val="20"/>
              </w:rPr>
              <w:t>Exercisable at December 31, 2020</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46E81">
            <w:pPr>
              <w:jc w:val="right"/>
              <w:rPr>
                <w:rFonts w:eastAsia="Times New Roman"/>
                <w:sz w:val="20"/>
                <w:szCs w:val="20"/>
              </w:rPr>
            </w:pPr>
            <w:r>
              <w:rPr>
                <w:rFonts w:eastAsia="Times New Roman"/>
                <w:sz w:val="20"/>
                <w:szCs w:val="20"/>
              </w:rPr>
              <w:t>15,974,026</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46E81">
            <w:pPr>
              <w:jc w:val="right"/>
              <w:rPr>
                <w:rFonts w:eastAsia="Times New Roman"/>
                <w:sz w:val="20"/>
                <w:szCs w:val="20"/>
              </w:rPr>
            </w:pPr>
            <w:r>
              <w:rPr>
                <w:rFonts w:eastAsia="Times New Roman"/>
                <w:sz w:val="20"/>
                <w:szCs w:val="20"/>
              </w:rPr>
              <w:t>0.00385</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46E81">
            <w:pPr>
              <w:jc w:val="right"/>
              <w:rPr>
                <w:rFonts w:eastAsia="Times New Roman"/>
                <w:sz w:val="20"/>
                <w:szCs w:val="20"/>
              </w:rPr>
            </w:pPr>
            <w:r>
              <w:rPr>
                <w:rFonts w:eastAsia="Times New Roman"/>
                <w:sz w:val="20"/>
                <w:szCs w:val="20"/>
              </w:rPr>
              <w:t>2.06</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46E81">
            <w:pPr>
              <w:jc w:val="right"/>
              <w:divId w:val="1129784450"/>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0" w:type="dxa"/>
              <w:right w:w="0" w:type="dxa"/>
            </w:tcMar>
            <w:vAlign w:val="bottom"/>
            <w:hideMark/>
          </w:tcPr>
          <w:p w:rsidR="00000000" w:rsidRDefault="00B46E81">
            <w:pPr>
              <w:rPr>
                <w:rFonts w:eastAsia="Times New Roman"/>
                <w:sz w:val="20"/>
                <w:szCs w:val="20"/>
              </w:rPr>
            </w:pPr>
            <w:r>
              <w:rPr>
                <w:rFonts w:eastAsia="Times New Roman"/>
                <w:sz w:val="20"/>
                <w:szCs w:val="20"/>
              </w:rPr>
              <w:t>Granted</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201,500,000</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0.0029</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4.62</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w:t>
            </w:r>
          </w:p>
        </w:tc>
        <w:tc>
          <w:tcPr>
            <w:tcW w:w="0" w:type="auto"/>
            <w:vAlign w:val="bottom"/>
            <w:hideMark/>
          </w:tcPr>
          <w:p w:rsidR="00000000" w:rsidRDefault="00B46E81">
            <w:pPr>
              <w:jc w:val="right"/>
              <w:divId w:val="314840567"/>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0" w:type="dxa"/>
              <w:right w:w="0" w:type="dxa"/>
            </w:tcMar>
            <w:vAlign w:val="bottom"/>
            <w:hideMark/>
          </w:tcPr>
          <w:p w:rsidR="00000000" w:rsidRDefault="00B46E81">
            <w:pPr>
              <w:rPr>
                <w:rFonts w:eastAsia="Times New Roman"/>
                <w:sz w:val="20"/>
                <w:szCs w:val="20"/>
              </w:rPr>
            </w:pPr>
            <w:r>
              <w:rPr>
                <w:rFonts w:eastAsia="Times New Roman"/>
                <w:sz w:val="20"/>
                <w:szCs w:val="20"/>
              </w:rPr>
              <w:t>Expired</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divId w:val="720519938"/>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jc w:val="right"/>
              <w:divId w:val="1159539723"/>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divId w:val="797836944"/>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jc w:val="right"/>
              <w:divId w:val="128588663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0" w:type="dxa"/>
              <w:right w:w="0" w:type="dxa"/>
            </w:tcMar>
            <w:vAlign w:val="bottom"/>
            <w:hideMark/>
          </w:tcPr>
          <w:p w:rsidR="00000000" w:rsidRDefault="00B46E81">
            <w:pPr>
              <w:rPr>
                <w:rFonts w:eastAsia="Times New Roman"/>
                <w:sz w:val="20"/>
                <w:szCs w:val="20"/>
              </w:rPr>
            </w:pPr>
            <w:r>
              <w:rPr>
                <w:rFonts w:eastAsia="Times New Roman"/>
                <w:sz w:val="20"/>
                <w:szCs w:val="20"/>
              </w:rPr>
              <w:t>Increased for adjustment</w:t>
            </w:r>
            <w:r>
              <w:rPr>
                <w:rFonts w:eastAsia="Times New Roman"/>
                <w:sz w:val="20"/>
                <w:szCs w:val="20"/>
                <w:vertAlign w:val="superscript"/>
              </w:rPr>
              <w:t>(1)</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12,012,987</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w:t>
            </w:r>
          </w:p>
        </w:tc>
        <w:tc>
          <w:tcPr>
            <w:tcW w:w="0" w:type="auto"/>
            <w:vAlign w:val="bottom"/>
            <w:hideMark/>
          </w:tcPr>
          <w:p w:rsidR="00000000" w:rsidRDefault="00B46E81">
            <w:pPr>
              <w:jc w:val="right"/>
              <w:divId w:val="1744067124"/>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divId w:val="251858946"/>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w:t>
            </w:r>
          </w:p>
        </w:tc>
        <w:tc>
          <w:tcPr>
            <w:tcW w:w="0" w:type="auto"/>
            <w:vAlign w:val="bottom"/>
            <w:hideMark/>
          </w:tcPr>
          <w:p w:rsidR="00000000" w:rsidRDefault="00B46E81">
            <w:pPr>
              <w:jc w:val="right"/>
              <w:divId w:val="899904088"/>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Exercised</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(2,987,013</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B46E81">
            <w:pPr>
              <w:jc w:val="right"/>
              <w:divId w:val="1362586994"/>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jc w:val="right"/>
              <w:divId w:val="1541629880"/>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B46E81">
            <w:pPr>
              <w:jc w:val="right"/>
              <w:divId w:val="334577818"/>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vAlign w:val="bottom"/>
            <w:hideMark/>
          </w:tcPr>
          <w:p w:rsidR="00000000" w:rsidRDefault="00B46E81">
            <w:pPr>
              <w:rPr>
                <w:rFonts w:eastAsia="Times New Roman"/>
                <w:sz w:val="20"/>
                <w:szCs w:val="20"/>
              </w:rPr>
            </w:pPr>
            <w:r>
              <w:rPr>
                <w:rFonts w:eastAsia="Times New Roman"/>
                <w:sz w:val="20"/>
                <w:szCs w:val="20"/>
              </w:rPr>
              <w:t>Exercisable at December 31, 2021</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226,500,000</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0.0013</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rPr>
                <w:rFonts w:eastAsia="Times New Roman"/>
                <w:sz w:val="20"/>
                <w:szCs w:val="20"/>
              </w:rPr>
            </w:pPr>
            <w:r>
              <w:rPr>
                <w:rFonts w:eastAsia="Times New Roman"/>
                <w:sz w:val="20"/>
                <w:szCs w:val="20"/>
              </w:rPr>
              <w:t>3.78</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w:t>
            </w:r>
          </w:p>
        </w:tc>
        <w:tc>
          <w:tcPr>
            <w:tcW w:w="0" w:type="auto"/>
            <w:vAlign w:val="bottom"/>
            <w:hideMark/>
          </w:tcPr>
          <w:p w:rsidR="00000000" w:rsidRDefault="00B46E81">
            <w:pPr>
              <w:jc w:val="right"/>
              <w:divId w:val="1743286187"/>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0" w:type="dxa"/>
              <w:right w:w="0" w:type="dxa"/>
            </w:tcMar>
            <w:vAlign w:val="bottom"/>
            <w:hideMark/>
          </w:tcPr>
          <w:p w:rsidR="00000000" w:rsidRDefault="00B46E81">
            <w:pPr>
              <w:rPr>
                <w:rFonts w:eastAsia="Times New Roman"/>
                <w:sz w:val="20"/>
                <w:szCs w:val="20"/>
              </w:rPr>
            </w:pPr>
            <w:r>
              <w:rPr>
                <w:rFonts w:eastAsia="Times New Roman"/>
                <w:sz w:val="20"/>
                <w:szCs w:val="20"/>
              </w:rPr>
              <w:t>Granted</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divId w:val="55281263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jc w:val="right"/>
              <w:divId w:val="1360161111"/>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jc w:val="right"/>
              <w:divId w:val="1200974312"/>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jc w:val="right"/>
              <w:divId w:val="211979250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180" w:type="dxa"/>
              <w:bottom w:w="0" w:type="dxa"/>
              <w:right w:w="0" w:type="dxa"/>
            </w:tcMar>
            <w:vAlign w:val="bottom"/>
            <w:hideMark/>
          </w:tcPr>
          <w:p w:rsidR="00000000" w:rsidRDefault="00B46E81">
            <w:pPr>
              <w:rPr>
                <w:rFonts w:eastAsia="Times New Roman"/>
                <w:sz w:val="20"/>
                <w:szCs w:val="20"/>
              </w:rPr>
            </w:pPr>
            <w:r>
              <w:rPr>
                <w:rFonts w:eastAsia="Times New Roman"/>
                <w:sz w:val="20"/>
                <w:szCs w:val="20"/>
              </w:rPr>
              <w:t>Expired</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divId w:val="665210586"/>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w:t>
            </w:r>
          </w:p>
        </w:tc>
        <w:tc>
          <w:tcPr>
            <w:tcW w:w="0" w:type="auto"/>
            <w:vAlign w:val="bottom"/>
            <w:hideMark/>
          </w:tcPr>
          <w:p w:rsidR="00000000" w:rsidRDefault="00B46E81">
            <w:pPr>
              <w:jc w:val="right"/>
              <w:divId w:val="723413716"/>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jc w:val="right"/>
              <w:divId w:val="1567761189"/>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c>
          <w:tcPr>
            <w:tcW w:w="0" w:type="auto"/>
            <w:vAlign w:val="bottom"/>
            <w:hideMark/>
          </w:tcPr>
          <w:p w:rsidR="00000000" w:rsidRDefault="00B46E81">
            <w:pPr>
              <w:rPr>
                <w:rFonts w:eastAsia="Times New Roman"/>
                <w:sz w:val="20"/>
                <w:szCs w:val="20"/>
              </w:rPr>
            </w:pPr>
            <w:r>
              <w:rPr>
                <w:rFonts w:eastAsia="Times New Roman"/>
                <w:sz w:val="20"/>
                <w:szCs w:val="20"/>
              </w:rPr>
              <w:t>$</w:t>
            </w:r>
          </w:p>
        </w:tc>
        <w:tc>
          <w:tcPr>
            <w:tcW w:w="0" w:type="auto"/>
            <w:vAlign w:val="bottom"/>
            <w:hideMark/>
          </w:tcPr>
          <w:p w:rsidR="00000000" w:rsidRDefault="00B46E81">
            <w:pPr>
              <w:jc w:val="right"/>
              <w:divId w:val="1385593773"/>
              <w:rPr>
                <w:rFonts w:eastAsia="Times New Roman"/>
                <w:sz w:val="20"/>
                <w:szCs w:val="20"/>
              </w:rPr>
            </w:pPr>
            <w:r>
              <w:rPr>
                <w:rFonts w:eastAsia="Times New Roman"/>
                <w:sz w:val="20"/>
                <w:szCs w:val="20"/>
              </w:rPr>
              <w:t>—</w:t>
            </w:r>
          </w:p>
        </w:tc>
        <w:tc>
          <w:tcPr>
            <w:tcW w:w="0" w:type="auto"/>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shd w:val="clear" w:color="auto" w:fill="CCEEFF"/>
            <w:tcMar>
              <w:top w:w="0" w:type="dxa"/>
              <w:left w:w="18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Exercised</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jc w:val="right"/>
              <w:rPr>
                <w:rFonts w:eastAsia="Times New Roman"/>
                <w:sz w:val="20"/>
                <w:szCs w:val="20"/>
              </w:rPr>
            </w:pPr>
            <w:r>
              <w:rPr>
                <w:rFonts w:eastAsia="Times New Roman"/>
                <w:sz w:val="20"/>
                <w:szCs w:val="20"/>
              </w:rPr>
              <w:t>(60,000,000</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B46E81">
            <w:pPr>
              <w:jc w:val="right"/>
              <w:divId w:val="1533032257"/>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jc w:val="right"/>
              <w:divId w:val="1235815793"/>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B46E81">
            <w:pPr>
              <w:jc w:val="right"/>
              <w:divId w:val="1024282414"/>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Exercisable at September 30, 2022</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jc w:val="right"/>
              <w:rPr>
                <w:rFonts w:eastAsia="Times New Roman"/>
                <w:sz w:val="20"/>
                <w:szCs w:val="20"/>
              </w:rPr>
            </w:pPr>
            <w:r>
              <w:rPr>
                <w:rFonts w:eastAsia="Times New Roman"/>
                <w:sz w:val="20"/>
                <w:szCs w:val="20"/>
              </w:rPr>
              <w:t>166,500,000</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B46E81">
            <w:pPr>
              <w:jc w:val="right"/>
              <w:rPr>
                <w:rFonts w:eastAsia="Times New Roman"/>
                <w:sz w:val="20"/>
                <w:szCs w:val="20"/>
              </w:rPr>
            </w:pPr>
            <w:r>
              <w:rPr>
                <w:rFonts w:eastAsia="Times New Roman"/>
                <w:sz w:val="20"/>
                <w:szCs w:val="20"/>
              </w:rPr>
              <w:t>0.0104</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jc w:val="right"/>
              <w:rPr>
                <w:rFonts w:eastAsia="Times New Roman"/>
                <w:sz w:val="20"/>
                <w:szCs w:val="20"/>
              </w:rPr>
            </w:pPr>
            <w:r>
              <w:rPr>
                <w:rFonts w:eastAsia="Times New Roman"/>
                <w:sz w:val="20"/>
                <w:szCs w:val="20"/>
              </w:rPr>
              <w:t>3.39</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B46E8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B46E81">
            <w:pPr>
              <w:pStyle w:val="a3"/>
              <w:spacing w:before="0" w:beforeAutospacing="0" w:after="0" w:afterAutospacing="0"/>
              <w:jc w:val="right"/>
              <w:rPr>
                <w:sz w:val="20"/>
                <w:szCs w:val="20"/>
              </w:rPr>
            </w:pPr>
            <w:r>
              <w:rPr>
                <w:sz w:val="20"/>
                <w:szCs w:val="20"/>
              </w:rPr>
              <w:t>1,739,550</w:t>
            </w:r>
          </w:p>
        </w:tc>
        <w:tc>
          <w:tcPr>
            <w:tcW w:w="0" w:type="auto"/>
            <w:tcMar>
              <w:top w:w="0" w:type="dxa"/>
              <w:left w:w="0" w:type="dxa"/>
              <w:bottom w:w="80" w:type="dxa"/>
              <w:right w:w="0" w:type="dxa"/>
            </w:tcMar>
            <w:vAlign w:val="bottom"/>
            <w:hideMark/>
          </w:tcPr>
          <w:p w:rsidR="00000000" w:rsidRDefault="00B46E81">
            <w:pPr>
              <w:rPr>
                <w:rFonts w:eastAsia="Times New Roman"/>
                <w:sz w:val="20"/>
                <w:szCs w:val="20"/>
              </w:rPr>
            </w:pPr>
            <w:r>
              <w:rPr>
                <w:rFonts w:eastAsia="Times New Roman"/>
                <w:sz w:val="20"/>
                <w:szCs w:val="20"/>
              </w:rPr>
              <w:t> </w:t>
            </w:r>
          </w:p>
        </w:tc>
      </w:tr>
    </w:tbl>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center"/>
        <w:divId w:val="485165901"/>
        <w:rPr>
          <w:sz w:val="20"/>
          <w:szCs w:val="20"/>
        </w:rPr>
      </w:pPr>
      <w:r>
        <w:rPr>
          <w:sz w:val="20"/>
          <w:szCs w:val="20"/>
        </w:rPr>
        <w:t>1</w:t>
      </w:r>
      <w:r>
        <w:rPr>
          <w:sz w:val="20"/>
          <w:szCs w:val="20"/>
        </w:rPr>
        <w:t>3</w:t>
      </w:r>
    </w:p>
    <w:p w:rsidR="00000000" w:rsidRDefault="00B46E81">
      <w:pPr>
        <w:pStyle w:val="a3"/>
        <w:spacing w:before="0" w:beforeAutospacing="0" w:after="0" w:afterAutospacing="0"/>
        <w:divId w:val="75984258"/>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0"/>
        <w:gridCol w:w="1907"/>
        <w:gridCol w:w="80"/>
        <w:gridCol w:w="80"/>
        <w:gridCol w:w="80"/>
        <w:gridCol w:w="1824"/>
        <w:gridCol w:w="80"/>
        <w:gridCol w:w="80"/>
        <w:gridCol w:w="81"/>
        <w:gridCol w:w="1825"/>
        <w:gridCol w:w="81"/>
        <w:gridCol w:w="81"/>
        <w:gridCol w:w="101"/>
        <w:gridCol w:w="1825"/>
        <w:gridCol w:w="81"/>
      </w:tblGrid>
      <w:tr w:rsidR="00000000">
        <w:trPr>
          <w:divId w:val="1088308932"/>
        </w:trPr>
        <w:tc>
          <w:tcPr>
            <w:tcW w:w="0" w:type="auto"/>
            <w:gridSpan w:val="2"/>
            <w:tcBorders>
              <w:bottom w:val="single" w:sz="12" w:space="0" w:color="000000"/>
            </w:tcBorders>
            <w:vAlign w:val="bottom"/>
            <w:hideMark/>
          </w:tcPr>
          <w:p w:rsidR="00000000" w:rsidRDefault="00B46E81">
            <w:pPr>
              <w:rPr>
                <w:rFonts w:eastAsia="Times New Roman"/>
                <w:b/>
                <w:bCs/>
                <w:sz w:val="20"/>
                <w:szCs w:val="20"/>
              </w:rPr>
            </w:pPr>
            <w:r>
              <w:rPr>
                <w:rFonts w:eastAsia="Times New Roman"/>
                <w:b/>
                <w:bCs/>
                <w:sz w:val="20"/>
                <w:szCs w:val="20"/>
              </w:rPr>
              <w:t>Range of Exercise Prices</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20"/>
                <w:szCs w:val="20"/>
              </w:rPr>
              <w:t>Number Outstanding</w:t>
            </w:r>
            <w:r>
              <w:rPr>
                <w:rFonts w:eastAsia="Times New Roman"/>
                <w:b/>
                <w:bCs/>
                <w:sz w:val="20"/>
                <w:szCs w:val="20"/>
              </w:rPr>
              <w:br/>
              <w:t>9/30/2022</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20"/>
                <w:szCs w:val="20"/>
              </w:rPr>
              <w:t>Weighted Average</w:t>
            </w:r>
            <w:r>
              <w:rPr>
                <w:rFonts w:eastAsia="Times New Roman"/>
                <w:b/>
                <w:bCs/>
                <w:sz w:val="20"/>
                <w:szCs w:val="20"/>
              </w:rPr>
              <w:br/>
              <w:t>Remaining Contractual</w:t>
            </w:r>
            <w:r>
              <w:rPr>
                <w:rFonts w:eastAsia="Times New Roman"/>
                <w:b/>
                <w:bCs/>
                <w:sz w:val="20"/>
                <w:szCs w:val="20"/>
              </w:rPr>
              <w:br/>
              <w:t>Life</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46E81">
            <w:pPr>
              <w:jc w:val="center"/>
              <w:rPr>
                <w:rFonts w:eastAsia="Times New Roman"/>
                <w:b/>
                <w:bCs/>
                <w:sz w:val="20"/>
                <w:szCs w:val="20"/>
              </w:rPr>
            </w:pPr>
            <w:r>
              <w:rPr>
                <w:rFonts w:eastAsia="Times New Roman"/>
                <w:b/>
                <w:bCs/>
                <w:sz w:val="20"/>
                <w:szCs w:val="20"/>
              </w:rPr>
              <w:t>Weighted Average</w:t>
            </w:r>
            <w:r>
              <w:rPr>
                <w:rFonts w:eastAsia="Times New Roman"/>
                <w:b/>
                <w:bCs/>
                <w:sz w:val="20"/>
                <w:szCs w:val="20"/>
              </w:rPr>
              <w:br/>
              <w:t>Exercise Price</w:t>
            </w:r>
          </w:p>
        </w:tc>
        <w:tc>
          <w:tcPr>
            <w:tcW w:w="0" w:type="auto"/>
            <w:tcMar>
              <w:top w:w="0" w:type="dxa"/>
              <w:left w:w="0" w:type="dxa"/>
              <w:bottom w:w="30" w:type="dxa"/>
              <w:right w:w="0" w:type="dxa"/>
            </w:tcMar>
            <w:vAlign w:val="bottom"/>
            <w:hideMark/>
          </w:tcPr>
          <w:p w:rsidR="00000000" w:rsidRDefault="00B46E81">
            <w:pPr>
              <w:rPr>
                <w:rFonts w:eastAsia="Times New Roman"/>
                <w:b/>
                <w:bCs/>
                <w:sz w:val="20"/>
                <w:szCs w:val="20"/>
              </w:rPr>
            </w:pPr>
            <w:r>
              <w:rPr>
                <w:rFonts w:eastAsia="Times New Roman"/>
                <w:b/>
                <w:bCs/>
                <w:sz w:val="20"/>
                <w:szCs w:val="20"/>
              </w:rPr>
              <w:t> </w:t>
            </w:r>
          </w:p>
        </w:tc>
      </w:tr>
      <w:tr w:rsidR="00000000">
        <w:trPr>
          <w:divId w:val="1088308932"/>
        </w:trPr>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1150" w:type="pct"/>
            <w:shd w:val="clear" w:color="auto" w:fill="CCEEFF"/>
            <w:vAlign w:val="bottom"/>
            <w:hideMark/>
          </w:tcPr>
          <w:p w:rsidR="00000000" w:rsidRDefault="00B46E81">
            <w:pPr>
              <w:jc w:val="right"/>
              <w:rPr>
                <w:rFonts w:eastAsia="Times New Roman"/>
                <w:sz w:val="20"/>
                <w:szCs w:val="20"/>
              </w:rPr>
            </w:pPr>
            <w:r>
              <w:rPr>
                <w:rFonts w:eastAsia="Times New Roman"/>
                <w:sz w:val="20"/>
                <w:szCs w:val="20"/>
              </w:rPr>
              <w:t>0.002 - 0.014</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B46E81">
            <w:pPr>
              <w:jc w:val="right"/>
              <w:rPr>
                <w:rFonts w:eastAsia="Times New Roman"/>
                <w:sz w:val="20"/>
                <w:szCs w:val="20"/>
              </w:rPr>
            </w:pPr>
            <w:r>
              <w:rPr>
                <w:rFonts w:eastAsia="Times New Roman"/>
                <w:sz w:val="20"/>
                <w:szCs w:val="20"/>
              </w:rPr>
              <w:t>166,500,000</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B46E81">
            <w:pPr>
              <w:jc w:val="right"/>
              <w:rPr>
                <w:rFonts w:eastAsia="Times New Roman"/>
                <w:sz w:val="20"/>
                <w:szCs w:val="20"/>
              </w:rPr>
            </w:pPr>
            <w:r>
              <w:rPr>
                <w:rFonts w:eastAsia="Times New Roman"/>
                <w:sz w:val="20"/>
                <w:szCs w:val="20"/>
              </w:rPr>
              <w:t>3.64 years</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w:t>
            </w:r>
          </w:p>
        </w:tc>
        <w:tc>
          <w:tcPr>
            <w:tcW w:w="1100" w:type="pct"/>
            <w:shd w:val="clear" w:color="auto" w:fill="CCEEFF"/>
            <w:vAlign w:val="bottom"/>
            <w:hideMark/>
          </w:tcPr>
          <w:p w:rsidR="00000000" w:rsidRDefault="00B46E81">
            <w:pPr>
              <w:jc w:val="right"/>
              <w:rPr>
                <w:rFonts w:eastAsia="Times New Roman"/>
                <w:sz w:val="20"/>
                <w:szCs w:val="20"/>
              </w:rPr>
            </w:pPr>
            <w:r>
              <w:rPr>
                <w:rFonts w:eastAsia="Times New Roman"/>
                <w:sz w:val="20"/>
                <w:szCs w:val="20"/>
              </w:rPr>
              <w:t>0.0117</w:t>
            </w:r>
          </w:p>
        </w:tc>
        <w:tc>
          <w:tcPr>
            <w:tcW w:w="50" w:type="pct"/>
            <w:shd w:val="clear" w:color="auto" w:fill="CCEEFF"/>
            <w:vAlign w:val="bottom"/>
            <w:hideMark/>
          </w:tcPr>
          <w:p w:rsidR="00000000" w:rsidRDefault="00B46E81">
            <w:pPr>
              <w:rPr>
                <w:rFonts w:eastAsia="Times New Roman"/>
                <w:sz w:val="20"/>
                <w:szCs w:val="20"/>
              </w:rPr>
            </w:pPr>
            <w:r>
              <w:rPr>
                <w:rFonts w:eastAsia="Times New Roman"/>
                <w:sz w:val="20"/>
                <w:szCs w:val="20"/>
              </w:rPr>
              <w:t> </w:t>
            </w:r>
          </w:p>
        </w:tc>
      </w:tr>
    </w:tbl>
    <w:p w:rsidR="00000000" w:rsidRDefault="00B46E81">
      <w:pPr>
        <w:pStyle w:val="a3"/>
        <w:spacing w:before="0" w:beforeAutospacing="0" w:after="0" w:afterAutospacing="0"/>
        <w:jc w:val="both"/>
        <w:divId w:val="10883089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rPr>
          <w:divId w:val="1088308932"/>
        </w:trPr>
        <w:tc>
          <w:tcPr>
            <w:tcW w:w="360" w:type="dxa"/>
            <w:hideMark/>
          </w:tcPr>
          <w:p w:rsidR="00000000" w:rsidRDefault="00B46E81">
            <w:pPr>
              <w:rPr>
                <w:rFonts w:eastAsia="Times New Roman"/>
                <w:sz w:val="20"/>
                <w:szCs w:val="20"/>
              </w:rPr>
            </w:pPr>
            <w:r>
              <w:rPr>
                <w:rFonts w:eastAsia="Times New Roman"/>
                <w:sz w:val="20"/>
                <w:szCs w:val="20"/>
                <w:vertAlign w:val="superscript"/>
              </w:rPr>
              <w:t>(1)</w:t>
            </w:r>
          </w:p>
        </w:tc>
        <w:tc>
          <w:tcPr>
            <w:tcW w:w="0" w:type="auto"/>
            <w:hideMark/>
          </w:tcPr>
          <w:p w:rsidR="00000000" w:rsidRDefault="00B46E81">
            <w:pPr>
              <w:jc w:val="both"/>
              <w:rPr>
                <w:rFonts w:eastAsia="Times New Roman"/>
                <w:sz w:val="20"/>
                <w:szCs w:val="20"/>
              </w:rPr>
            </w:pPr>
            <w:r>
              <w:rPr>
                <w:rFonts w:eastAsia="Times New Roman"/>
                <w:sz w:val="20"/>
                <w:szCs w:val="20"/>
              </w:rPr>
              <w:t xml:space="preserve">Pursuant to the terms of </w:t>
            </w:r>
            <w:r>
              <w:rPr>
                <w:rFonts w:eastAsia="Times New Roman"/>
                <w:sz w:val="20"/>
                <w:szCs w:val="20"/>
              </w:rPr>
              <w:t>certain warrant agreements, when the exercise price is reduced for any reason outlined in the agreement, the number of warrant shares is increased so that the aggregated exercise price is equal to the original exercise price.</w:t>
            </w:r>
          </w:p>
        </w:tc>
      </w:tr>
    </w:tbl>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The aggregate intrinsic val</w:t>
      </w:r>
      <w:r>
        <w:rPr>
          <w:sz w:val="20"/>
          <w:szCs w:val="20"/>
        </w:rPr>
        <w:t>ue represents the total pretax intrinsic value, based on warrants with an exercise price less than the Company’s stock price as of September 30, 2022, which would have been received by the warrant holder had the warrant holder exercised their warrants as o</w:t>
      </w:r>
      <w:r>
        <w:rPr>
          <w:sz w:val="20"/>
          <w:szCs w:val="20"/>
        </w:rPr>
        <w:t>f that date.</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b/>
          <w:bCs/>
          <w:sz w:val="20"/>
          <w:szCs w:val="20"/>
        </w:rPr>
        <w:t>NOTE 12 - COMMITMENTS AND CONTINGENCIES</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The </w:t>
      </w:r>
      <w:r>
        <w:rPr>
          <w:sz w:val="20"/>
          <w:szCs w:val="20"/>
        </w:rPr>
        <w:t xml:space="preserve">Company has been in the process of obtaining its 510k for DeltaWave. This requires a myriad of tests to prove to the FDA that the device is safe and effective. The company has diligently carried out these tests through independent testing labs. There have </w:t>
      </w:r>
      <w:r>
        <w:rPr>
          <w:sz w:val="20"/>
          <w:szCs w:val="20"/>
        </w:rPr>
        <w:t>been no issues aside from a negative result on a cytotoxicity test due to incorrect procedures performed by a third-party lab. This roadblock has required the company to perform a retest. The company has failed the retest due to what is believed to be a fa</w:t>
      </w:r>
      <w:r>
        <w:rPr>
          <w:sz w:val="20"/>
          <w:szCs w:val="20"/>
        </w:rPr>
        <w:t xml:space="preserve">ulty analysis by the testing company. The company believes they can narrow down the exact part of the device that is failing the test and quickly resolve this matter. They have committed to a new third party lab to redo the test and provide results within </w:t>
      </w:r>
      <w:r>
        <w:rPr>
          <w:sz w:val="20"/>
          <w:szCs w:val="20"/>
        </w:rPr>
        <w:t>the next few weeks.  If the Company were to fail the next test it would re-apply for its 510K resulting in additional time and expense. The Company is reliant upon passing the required test and receiving its 510K in order to continue with operations and ac</w:t>
      </w:r>
      <w:r>
        <w:rPr>
          <w:sz w:val="20"/>
          <w:szCs w:val="20"/>
        </w:rPr>
        <w:t>knowledges that there is the possibility of this not occurring.</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b/>
          <w:bCs/>
          <w:sz w:val="20"/>
          <w:szCs w:val="20"/>
        </w:rPr>
        <w:t>NOTE 13 - SUBSEQUENT EVENTS</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In accordance with SFAS 165 (ASC 855-10) management has performed an evaluation of subsequent events through the date that the financial statements were availab</w:t>
      </w:r>
      <w:r>
        <w:rPr>
          <w:sz w:val="20"/>
          <w:szCs w:val="20"/>
        </w:rPr>
        <w:t>le to be issued and has determined that it does not have any material subsequent events to disclose in these unaudited financial statements.</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center"/>
        <w:divId w:val="1554807129"/>
        <w:rPr>
          <w:sz w:val="20"/>
          <w:szCs w:val="20"/>
        </w:rPr>
      </w:pPr>
      <w:r>
        <w:rPr>
          <w:sz w:val="20"/>
          <w:szCs w:val="20"/>
        </w:rPr>
        <w:t>1</w:t>
      </w:r>
      <w:r>
        <w:rPr>
          <w:sz w:val="20"/>
          <w:szCs w:val="20"/>
        </w:rPr>
        <w:t>4</w:t>
      </w:r>
    </w:p>
    <w:p w:rsidR="00000000" w:rsidRDefault="00B46E81">
      <w:pPr>
        <w:pStyle w:val="a3"/>
        <w:spacing w:before="0" w:beforeAutospacing="0" w:after="0" w:afterAutospacing="0"/>
        <w:divId w:val="1725788333"/>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b/>
          <w:bCs/>
          <w:sz w:val="20"/>
          <w:szCs w:val="20"/>
        </w:rPr>
        <w:t>ITEM 2. MANAGEMENT’S DISCUSSION AND ANALYSIS OF FINANCIAL CONDITION AND PLAN OF OPERATIONS.</w:t>
      </w:r>
    </w:p>
    <w:p w:rsidR="00000000" w:rsidRDefault="00B46E81">
      <w:pPr>
        <w:pStyle w:val="a3"/>
        <w:spacing w:before="0" w:beforeAutospacing="0" w:after="0" w:afterAutospacing="0"/>
        <w:ind w:left="810" w:hanging="810"/>
        <w:divId w:val="1088308932"/>
        <w:rPr>
          <w:sz w:val="20"/>
          <w:szCs w:val="20"/>
        </w:rPr>
      </w:pPr>
      <w:r>
        <w:rPr>
          <w:b/>
          <w:bCs/>
          <w:sz w:val="20"/>
          <w:szCs w:val="20"/>
        </w:rPr>
        <w:t> </w:t>
      </w:r>
    </w:p>
    <w:p w:rsidR="00000000" w:rsidRDefault="00B46E81">
      <w:pPr>
        <w:pStyle w:val="a3"/>
        <w:spacing w:before="0" w:beforeAutospacing="0" w:after="0" w:afterAutospacing="0"/>
        <w:jc w:val="center"/>
        <w:divId w:val="1088308932"/>
        <w:rPr>
          <w:sz w:val="20"/>
          <w:szCs w:val="20"/>
        </w:rPr>
      </w:pPr>
      <w:r>
        <w:rPr>
          <w:b/>
          <w:bCs/>
          <w:sz w:val="20"/>
          <w:szCs w:val="20"/>
        </w:rPr>
        <w:t>Forward-look</w:t>
      </w:r>
      <w:r>
        <w:rPr>
          <w:b/>
          <w:bCs/>
          <w:sz w:val="20"/>
          <w:szCs w:val="20"/>
        </w:rPr>
        <w:t>ing Statements</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Except for statements of historical fact, the information presented herein constitutes forward-looking statements. These forward-looking statements generally can be identified by phrases such as “anticipates,” “believes,” “estimates,” “exp</w:t>
      </w:r>
      <w:r>
        <w:rPr>
          <w:sz w:val="20"/>
          <w:szCs w:val="20"/>
        </w:rPr>
        <w:t>ects,” “forecasts,” “foresees,” “intends,” “plans,” or other words of similar import.  Similarly, statements herein that describe our business strategy, outlook, objectives, plans, intentions or goals also are forward-looking statements.  Such forward-look</w:t>
      </w:r>
      <w:r>
        <w:rPr>
          <w:sz w:val="20"/>
          <w:szCs w:val="20"/>
        </w:rPr>
        <w:t>ing statements involve known and unknown risks, uncertainties and other factors which may cause our actual results, performance or achievements to be materially different from any future results, performance or achievements expressed or implied by such for</w:t>
      </w:r>
      <w:r>
        <w:rPr>
          <w:sz w:val="20"/>
          <w:szCs w:val="20"/>
        </w:rPr>
        <w:t>ward-looking statements.  Such factors include, but are not limited to, our ability to: successfully commercialize our technology; generate revenues and achieve profitability in an intensely competitive industry; compete in products and prices with substan</w:t>
      </w:r>
      <w:r>
        <w:rPr>
          <w:sz w:val="20"/>
          <w:szCs w:val="20"/>
        </w:rPr>
        <w:t>tially larger  and better capitalized competitors; secure, maintain and enforce a strong intellectual property portfolio; attract additional capital sufficient to finance our working capital requirements, as well as any investment of plant, property and eq</w:t>
      </w:r>
      <w:r>
        <w:rPr>
          <w:sz w:val="20"/>
          <w:szCs w:val="20"/>
        </w:rPr>
        <w:t xml:space="preserve">uipment; develop a sales and marketing infrastructure; identify and maintain relationships with third party suppliers who can provide us a reliable source of raw materials; acquire, develop, or identify for our own use, a manufacturing capability; attract </w:t>
      </w:r>
      <w:r>
        <w:rPr>
          <w:sz w:val="20"/>
          <w:szCs w:val="20"/>
        </w:rPr>
        <w:t>and retain talented individuals; continue operations during periods of uncertain general economic or market conditions, and; other events, factors and risks previously and from time to time disclosed in our filings with the Securities and Exchange Commissi</w:t>
      </w:r>
      <w:r>
        <w:rPr>
          <w:sz w:val="20"/>
          <w:szCs w:val="20"/>
        </w:rPr>
        <w:t>on, including, specifically, the “Risk Factors” enumerated herein. Although we believe the expectations reflected in our forward-looking statements are reasonable, we cannot guarantee future results, levels of activity, performance or achievements. You sho</w:t>
      </w:r>
      <w:r>
        <w:rPr>
          <w:sz w:val="20"/>
          <w:szCs w:val="20"/>
        </w:rPr>
        <w:t>uld not place undue reliance on our forward-looking statements, which speak only as of the date of this report. Except as required by law, we do not undertake to update or revise any forward-looking statement, whether as a result of new information, future</w:t>
      </w:r>
      <w:r>
        <w:rPr>
          <w:sz w:val="20"/>
          <w:szCs w:val="20"/>
        </w:rPr>
        <w:t xml:space="preserve"> events or otherwise.</w:t>
      </w:r>
    </w:p>
    <w:p w:rsidR="00000000" w:rsidRDefault="00B46E81">
      <w:pPr>
        <w:pStyle w:val="a3"/>
        <w:spacing w:before="0" w:beforeAutospacing="0" w:after="0" w:afterAutospacing="0"/>
        <w:jc w:val="both"/>
        <w:divId w:val="1088308932"/>
        <w:rPr>
          <w:sz w:val="20"/>
          <w:szCs w:val="20"/>
        </w:rPr>
      </w:pPr>
      <w:r>
        <w:rPr>
          <w:b/>
          <w:bCs/>
          <w:sz w:val="20"/>
          <w:szCs w:val="20"/>
        </w:rPr>
        <w:t> </w:t>
      </w:r>
    </w:p>
    <w:p w:rsidR="00000000" w:rsidRDefault="00B46E81">
      <w:pPr>
        <w:pStyle w:val="a3"/>
        <w:spacing w:before="0" w:beforeAutospacing="0" w:after="0" w:afterAutospacing="0"/>
        <w:jc w:val="both"/>
        <w:divId w:val="1088308932"/>
        <w:rPr>
          <w:sz w:val="20"/>
          <w:szCs w:val="20"/>
        </w:rPr>
      </w:pPr>
      <w:r>
        <w:rPr>
          <w:b/>
          <w:bCs/>
          <w:sz w:val="20"/>
          <w:szCs w:val="20"/>
        </w:rPr>
        <w:t>Overview</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We </w:t>
      </w:r>
      <w:r>
        <w:rPr>
          <w:sz w:val="20"/>
          <w:szCs w:val="20"/>
        </w:rPr>
        <w:t>were incorporated in the State of Nevada on June 6, 2007. On August 2, 2010, we changed our name from Bella Viaggio, Inc. to Kat Gold Holdings Corp. Effective January 1, 2015, we completed an exchange agreement to purchase 100% of the outstanding interests</w:t>
      </w:r>
      <w:r>
        <w:rPr>
          <w:sz w:val="20"/>
          <w:szCs w:val="20"/>
        </w:rPr>
        <w:t xml:space="preserve"> of REMSleep LLC in exchange for 50,000,000 common shares of REMSleep Holdings, Inc.’s stock, at which time REMSleep LLC became our wholly-owned subsidiary and adopted their business of developing and distributing our sleep apnea products. On January 5, 20</w:t>
      </w:r>
      <w:r>
        <w:rPr>
          <w:sz w:val="20"/>
          <w:szCs w:val="20"/>
        </w:rPr>
        <w:t>15, we changed our name to REMSleep Holdings, Inc. to reflect our new business model.</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Our officers have 35 years of sleep-industry experience, including having been employed at sleep industry companies. Our officers invented our DeltaWave CPAP interface </w:t>
      </w:r>
      <w:r>
        <w:rPr>
          <w:sz w:val="20"/>
          <w:szCs w:val="20"/>
        </w:rPr>
        <w:t>(the “DeltaWave”) as an innovative new device to treat patients with sleep apnea. The patent-pending DeltaWave product is a nasal-pillows type interface that will result in better comfort and, therefore, better compliance since it was specifically designed</w:t>
      </w:r>
      <w:r>
        <w:rPr>
          <w:sz w:val="20"/>
          <w:szCs w:val="20"/>
        </w:rPr>
        <w:t xml:space="preserve"> with unique airflow characteristics to enable patients with sleep apnea to breathe normally. A survey that appeared in DME Business found that 89% of patients stated that mask-interface comfort was their primary concern. The primary issue that we have add</w:t>
      </w:r>
      <w:r>
        <w:rPr>
          <w:sz w:val="20"/>
          <w:szCs w:val="20"/>
        </w:rPr>
        <w:t>ressed with the DeltaWave is the “work of breathing” component. We believe that our DeltaWave is designed to effectively address the stubborn issues that continue to affect a patient’s ability to comply with treatment, as follows:</w:t>
      </w:r>
    </w:p>
    <w:p w:rsidR="00000000" w:rsidRDefault="00B46E81">
      <w:pPr>
        <w:pStyle w:val="a3"/>
        <w:spacing w:before="0" w:beforeAutospacing="0" w:after="0" w:afterAutospacing="0"/>
        <w:jc w:val="both"/>
        <w:divId w:val="10883089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rPr>
          <w:divId w:val="1088308932"/>
        </w:trPr>
        <w:tc>
          <w:tcPr>
            <w:tcW w:w="360" w:type="dxa"/>
            <w:hideMark/>
          </w:tcPr>
          <w:p w:rsidR="00000000" w:rsidRDefault="00B46E81">
            <w:pPr>
              <w:rPr>
                <w:rFonts w:eastAsia="Times New Roman"/>
                <w:sz w:val="20"/>
                <w:szCs w:val="20"/>
              </w:rPr>
            </w:pPr>
            <w:r>
              <w:rPr>
                <w:rFonts w:eastAsia="Times New Roman"/>
                <w:sz w:val="20"/>
                <w:szCs w:val="20"/>
              </w:rPr>
              <w:t> </w:t>
            </w:r>
          </w:p>
        </w:tc>
        <w:tc>
          <w:tcPr>
            <w:tcW w:w="360" w:type="dxa"/>
            <w:hideMark/>
          </w:tcPr>
          <w:p w:rsidR="00000000" w:rsidRDefault="00B46E81">
            <w:pPr>
              <w:rPr>
                <w:rFonts w:eastAsia="Times New Roman"/>
                <w:sz w:val="20"/>
                <w:szCs w:val="20"/>
              </w:rPr>
            </w:pPr>
            <w:r>
              <w:rPr>
                <w:rFonts w:eastAsia="Times New Roman"/>
                <w:sz w:val="20"/>
                <w:szCs w:val="20"/>
              </w:rPr>
              <w:t>●</w:t>
            </w:r>
          </w:p>
        </w:tc>
        <w:tc>
          <w:tcPr>
            <w:tcW w:w="0" w:type="auto"/>
            <w:hideMark/>
          </w:tcPr>
          <w:p w:rsidR="00000000" w:rsidRDefault="00B46E81">
            <w:pPr>
              <w:jc w:val="both"/>
              <w:rPr>
                <w:rFonts w:eastAsia="Times New Roman"/>
                <w:sz w:val="20"/>
                <w:szCs w:val="20"/>
              </w:rPr>
            </w:pPr>
            <w:r>
              <w:rPr>
                <w:rFonts w:eastAsia="Times New Roman"/>
                <w:sz w:val="20"/>
                <w:szCs w:val="20"/>
              </w:rPr>
              <w:t>Does not disrupt normal breathing mechanics;</w:t>
            </w:r>
          </w:p>
        </w:tc>
      </w:tr>
      <w:tr w:rsidR="00000000">
        <w:trPr>
          <w:divId w:val="1088308932"/>
        </w:trPr>
        <w:tc>
          <w:tcPr>
            <w:tcW w:w="0" w:type="auto"/>
            <w:hideMark/>
          </w:tcPr>
          <w:p w:rsidR="00000000" w:rsidRDefault="00B46E81">
            <w:pPr>
              <w:rPr>
                <w:rFonts w:eastAsia="Times New Roman"/>
                <w:sz w:val="20"/>
                <w:szCs w:val="20"/>
              </w:rPr>
            </w:pPr>
            <w:r>
              <w:rPr>
                <w:rFonts w:eastAsia="Times New Roman"/>
                <w:sz w:val="20"/>
                <w:szCs w:val="20"/>
              </w:rPr>
              <w:t> </w:t>
            </w:r>
          </w:p>
        </w:tc>
        <w:tc>
          <w:tcPr>
            <w:tcW w:w="0" w:type="auto"/>
            <w:hideMark/>
          </w:tcPr>
          <w:p w:rsidR="00000000" w:rsidRDefault="00B46E81">
            <w:pPr>
              <w:rPr>
                <w:rFonts w:eastAsia="Times New Roman"/>
                <w:sz w:val="20"/>
                <w:szCs w:val="20"/>
              </w:rPr>
            </w:pPr>
            <w:r>
              <w:rPr>
                <w:rFonts w:eastAsia="Times New Roman"/>
                <w:sz w:val="20"/>
                <w:szCs w:val="20"/>
              </w:rPr>
              <w:t> </w:t>
            </w:r>
          </w:p>
        </w:tc>
        <w:tc>
          <w:tcPr>
            <w:tcW w:w="0" w:type="auto"/>
            <w:hideMark/>
          </w:tcPr>
          <w:p w:rsidR="00000000" w:rsidRDefault="00B46E81">
            <w:pPr>
              <w:jc w:val="both"/>
              <w:rPr>
                <w:rFonts w:eastAsia="Times New Roman"/>
                <w:sz w:val="20"/>
                <w:szCs w:val="20"/>
              </w:rPr>
            </w:pPr>
            <w:r>
              <w:rPr>
                <w:rFonts w:eastAsia="Times New Roman"/>
                <w:sz w:val="20"/>
                <w:szCs w:val="20"/>
              </w:rPr>
              <w:t> </w:t>
            </w:r>
          </w:p>
        </w:tc>
      </w:tr>
      <w:tr w:rsidR="00000000">
        <w:trPr>
          <w:divId w:val="1088308932"/>
        </w:trPr>
        <w:tc>
          <w:tcPr>
            <w:tcW w:w="0" w:type="auto"/>
            <w:hideMark/>
          </w:tcPr>
          <w:p w:rsidR="00000000" w:rsidRDefault="00B46E81">
            <w:pPr>
              <w:rPr>
                <w:rFonts w:eastAsia="Times New Roman"/>
                <w:sz w:val="20"/>
                <w:szCs w:val="20"/>
              </w:rPr>
            </w:pPr>
            <w:r>
              <w:rPr>
                <w:rFonts w:eastAsia="Times New Roman"/>
                <w:sz w:val="20"/>
                <w:szCs w:val="20"/>
              </w:rPr>
              <w:t> </w:t>
            </w:r>
          </w:p>
        </w:tc>
        <w:tc>
          <w:tcPr>
            <w:tcW w:w="0" w:type="auto"/>
            <w:hideMark/>
          </w:tcPr>
          <w:p w:rsidR="00000000" w:rsidRDefault="00B46E81">
            <w:pPr>
              <w:rPr>
                <w:rFonts w:eastAsia="Times New Roman"/>
                <w:sz w:val="20"/>
                <w:szCs w:val="20"/>
              </w:rPr>
            </w:pPr>
            <w:r>
              <w:rPr>
                <w:rFonts w:eastAsia="Times New Roman"/>
                <w:sz w:val="20"/>
                <w:szCs w:val="20"/>
              </w:rPr>
              <w:t>●</w:t>
            </w:r>
          </w:p>
        </w:tc>
        <w:tc>
          <w:tcPr>
            <w:tcW w:w="0" w:type="auto"/>
            <w:hideMark/>
          </w:tcPr>
          <w:p w:rsidR="00000000" w:rsidRDefault="00B46E81">
            <w:pPr>
              <w:jc w:val="both"/>
              <w:rPr>
                <w:rFonts w:eastAsia="Times New Roman"/>
                <w:sz w:val="20"/>
                <w:szCs w:val="20"/>
              </w:rPr>
            </w:pPr>
            <w:r>
              <w:rPr>
                <w:rFonts w:eastAsia="Times New Roman"/>
                <w:sz w:val="20"/>
                <w:szCs w:val="20"/>
              </w:rPr>
              <w:t>Is not claustrophobic;</w:t>
            </w:r>
          </w:p>
        </w:tc>
      </w:tr>
    </w:tbl>
    <w:p w:rsidR="00000000" w:rsidRDefault="00B46E81">
      <w:pPr>
        <w:pStyle w:val="a3"/>
        <w:spacing w:before="0" w:beforeAutospacing="0" w:after="0" w:afterAutospacing="0"/>
        <w:divId w:val="10883089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rPr>
          <w:divId w:val="1088308932"/>
        </w:trPr>
        <w:tc>
          <w:tcPr>
            <w:tcW w:w="360" w:type="dxa"/>
            <w:hideMark/>
          </w:tcPr>
          <w:p w:rsidR="00000000" w:rsidRDefault="00B46E81">
            <w:pPr>
              <w:rPr>
                <w:rFonts w:eastAsia="Times New Roman"/>
                <w:sz w:val="20"/>
                <w:szCs w:val="20"/>
              </w:rPr>
            </w:pPr>
            <w:r>
              <w:rPr>
                <w:rFonts w:eastAsia="Times New Roman"/>
                <w:sz w:val="20"/>
                <w:szCs w:val="20"/>
              </w:rPr>
              <w:t> </w:t>
            </w:r>
          </w:p>
        </w:tc>
        <w:tc>
          <w:tcPr>
            <w:tcW w:w="360" w:type="dxa"/>
            <w:hideMark/>
          </w:tcPr>
          <w:p w:rsidR="00000000" w:rsidRDefault="00B46E81">
            <w:pPr>
              <w:rPr>
                <w:rFonts w:eastAsia="Times New Roman"/>
                <w:sz w:val="20"/>
                <w:szCs w:val="20"/>
              </w:rPr>
            </w:pPr>
            <w:r>
              <w:rPr>
                <w:rFonts w:eastAsia="Times New Roman"/>
                <w:sz w:val="20"/>
                <w:szCs w:val="20"/>
              </w:rPr>
              <w:t>●</w:t>
            </w:r>
          </w:p>
        </w:tc>
        <w:tc>
          <w:tcPr>
            <w:tcW w:w="0" w:type="auto"/>
            <w:hideMark/>
          </w:tcPr>
          <w:p w:rsidR="00000000" w:rsidRDefault="00B46E81">
            <w:pPr>
              <w:jc w:val="both"/>
              <w:rPr>
                <w:rFonts w:eastAsia="Times New Roman"/>
                <w:sz w:val="20"/>
                <w:szCs w:val="20"/>
              </w:rPr>
            </w:pPr>
            <w:r>
              <w:rPr>
                <w:rFonts w:eastAsia="Times New Roman"/>
                <w:sz w:val="20"/>
                <w:szCs w:val="20"/>
              </w:rPr>
              <w:t>Causes zero work of breathing (WOB);</w:t>
            </w:r>
          </w:p>
        </w:tc>
      </w:tr>
      <w:tr w:rsidR="00000000">
        <w:trPr>
          <w:divId w:val="1088308932"/>
        </w:trPr>
        <w:tc>
          <w:tcPr>
            <w:tcW w:w="0" w:type="auto"/>
            <w:hideMark/>
          </w:tcPr>
          <w:p w:rsidR="00000000" w:rsidRDefault="00B46E81">
            <w:pPr>
              <w:rPr>
                <w:rFonts w:eastAsia="Times New Roman"/>
                <w:sz w:val="20"/>
                <w:szCs w:val="20"/>
              </w:rPr>
            </w:pPr>
            <w:r>
              <w:rPr>
                <w:rFonts w:eastAsia="Times New Roman"/>
                <w:sz w:val="20"/>
                <w:szCs w:val="20"/>
              </w:rPr>
              <w:t> </w:t>
            </w:r>
          </w:p>
        </w:tc>
        <w:tc>
          <w:tcPr>
            <w:tcW w:w="0" w:type="auto"/>
            <w:hideMark/>
          </w:tcPr>
          <w:p w:rsidR="00000000" w:rsidRDefault="00B46E81">
            <w:pPr>
              <w:rPr>
                <w:rFonts w:eastAsia="Times New Roman"/>
                <w:sz w:val="20"/>
                <w:szCs w:val="20"/>
              </w:rPr>
            </w:pPr>
            <w:r>
              <w:rPr>
                <w:rFonts w:eastAsia="Times New Roman"/>
                <w:sz w:val="20"/>
                <w:szCs w:val="20"/>
              </w:rPr>
              <w:t> </w:t>
            </w:r>
          </w:p>
        </w:tc>
        <w:tc>
          <w:tcPr>
            <w:tcW w:w="0" w:type="auto"/>
            <w:hideMark/>
          </w:tcPr>
          <w:p w:rsidR="00000000" w:rsidRDefault="00B46E81">
            <w:pPr>
              <w:jc w:val="both"/>
              <w:rPr>
                <w:rFonts w:eastAsia="Times New Roman"/>
                <w:sz w:val="20"/>
                <w:szCs w:val="20"/>
              </w:rPr>
            </w:pPr>
            <w:r>
              <w:rPr>
                <w:rFonts w:eastAsia="Times New Roman"/>
                <w:sz w:val="20"/>
                <w:szCs w:val="20"/>
              </w:rPr>
              <w:t> </w:t>
            </w:r>
          </w:p>
        </w:tc>
      </w:tr>
      <w:tr w:rsidR="00000000">
        <w:trPr>
          <w:divId w:val="1088308932"/>
        </w:trPr>
        <w:tc>
          <w:tcPr>
            <w:tcW w:w="0" w:type="auto"/>
            <w:hideMark/>
          </w:tcPr>
          <w:p w:rsidR="00000000" w:rsidRDefault="00B46E81">
            <w:pPr>
              <w:rPr>
                <w:rFonts w:eastAsia="Times New Roman"/>
                <w:sz w:val="20"/>
                <w:szCs w:val="20"/>
              </w:rPr>
            </w:pPr>
            <w:r>
              <w:rPr>
                <w:rFonts w:eastAsia="Times New Roman"/>
                <w:sz w:val="20"/>
                <w:szCs w:val="20"/>
              </w:rPr>
              <w:t> </w:t>
            </w:r>
          </w:p>
        </w:tc>
        <w:tc>
          <w:tcPr>
            <w:tcW w:w="0" w:type="auto"/>
            <w:hideMark/>
          </w:tcPr>
          <w:p w:rsidR="00000000" w:rsidRDefault="00B46E81">
            <w:pPr>
              <w:rPr>
                <w:rFonts w:eastAsia="Times New Roman"/>
                <w:sz w:val="20"/>
                <w:szCs w:val="20"/>
              </w:rPr>
            </w:pPr>
            <w:r>
              <w:rPr>
                <w:rFonts w:eastAsia="Times New Roman"/>
                <w:sz w:val="20"/>
                <w:szCs w:val="20"/>
              </w:rPr>
              <w:t>●</w:t>
            </w:r>
          </w:p>
        </w:tc>
        <w:tc>
          <w:tcPr>
            <w:tcW w:w="0" w:type="auto"/>
            <w:hideMark/>
          </w:tcPr>
          <w:p w:rsidR="00000000" w:rsidRDefault="00B46E81">
            <w:pPr>
              <w:jc w:val="both"/>
              <w:rPr>
                <w:rFonts w:eastAsia="Times New Roman"/>
                <w:sz w:val="20"/>
                <w:szCs w:val="20"/>
              </w:rPr>
            </w:pPr>
            <w:r>
              <w:rPr>
                <w:rFonts w:eastAsia="Times New Roman"/>
                <w:sz w:val="20"/>
                <w:szCs w:val="20"/>
              </w:rPr>
              <w:t>Minimizes or eliminates drying of the sinuses;</w:t>
            </w:r>
          </w:p>
        </w:tc>
      </w:tr>
      <w:tr w:rsidR="00000000">
        <w:trPr>
          <w:divId w:val="1088308932"/>
        </w:trPr>
        <w:tc>
          <w:tcPr>
            <w:tcW w:w="0" w:type="auto"/>
            <w:hideMark/>
          </w:tcPr>
          <w:p w:rsidR="00000000" w:rsidRDefault="00B46E81">
            <w:pPr>
              <w:rPr>
                <w:rFonts w:eastAsia="Times New Roman"/>
                <w:sz w:val="20"/>
                <w:szCs w:val="20"/>
              </w:rPr>
            </w:pPr>
            <w:r>
              <w:rPr>
                <w:rFonts w:eastAsia="Times New Roman"/>
                <w:sz w:val="20"/>
                <w:szCs w:val="20"/>
              </w:rPr>
              <w:t> </w:t>
            </w:r>
          </w:p>
        </w:tc>
        <w:tc>
          <w:tcPr>
            <w:tcW w:w="0" w:type="auto"/>
            <w:hideMark/>
          </w:tcPr>
          <w:p w:rsidR="00000000" w:rsidRDefault="00B46E81">
            <w:pPr>
              <w:rPr>
                <w:rFonts w:eastAsia="Times New Roman"/>
                <w:sz w:val="20"/>
                <w:szCs w:val="20"/>
              </w:rPr>
            </w:pPr>
            <w:r>
              <w:rPr>
                <w:rFonts w:eastAsia="Times New Roman"/>
                <w:sz w:val="20"/>
                <w:szCs w:val="20"/>
              </w:rPr>
              <w:t> </w:t>
            </w:r>
          </w:p>
        </w:tc>
        <w:tc>
          <w:tcPr>
            <w:tcW w:w="0" w:type="auto"/>
            <w:hideMark/>
          </w:tcPr>
          <w:p w:rsidR="00000000" w:rsidRDefault="00B46E81">
            <w:pPr>
              <w:jc w:val="both"/>
              <w:rPr>
                <w:rFonts w:eastAsia="Times New Roman"/>
                <w:sz w:val="20"/>
                <w:szCs w:val="20"/>
              </w:rPr>
            </w:pPr>
            <w:r>
              <w:rPr>
                <w:rFonts w:eastAsia="Times New Roman"/>
                <w:sz w:val="20"/>
                <w:szCs w:val="20"/>
              </w:rPr>
              <w:t> </w:t>
            </w:r>
          </w:p>
        </w:tc>
      </w:tr>
      <w:tr w:rsidR="00000000">
        <w:trPr>
          <w:divId w:val="1088308932"/>
        </w:trPr>
        <w:tc>
          <w:tcPr>
            <w:tcW w:w="0" w:type="auto"/>
            <w:hideMark/>
          </w:tcPr>
          <w:p w:rsidR="00000000" w:rsidRDefault="00B46E81">
            <w:pPr>
              <w:rPr>
                <w:rFonts w:eastAsia="Times New Roman"/>
                <w:sz w:val="20"/>
                <w:szCs w:val="20"/>
              </w:rPr>
            </w:pPr>
            <w:r>
              <w:rPr>
                <w:rFonts w:eastAsia="Times New Roman"/>
                <w:sz w:val="20"/>
                <w:szCs w:val="20"/>
              </w:rPr>
              <w:t> </w:t>
            </w:r>
          </w:p>
        </w:tc>
        <w:tc>
          <w:tcPr>
            <w:tcW w:w="0" w:type="auto"/>
            <w:hideMark/>
          </w:tcPr>
          <w:p w:rsidR="00000000" w:rsidRDefault="00B46E81">
            <w:pPr>
              <w:rPr>
                <w:rFonts w:eastAsia="Times New Roman"/>
                <w:sz w:val="20"/>
                <w:szCs w:val="20"/>
              </w:rPr>
            </w:pPr>
            <w:r>
              <w:rPr>
                <w:rFonts w:eastAsia="Times New Roman"/>
                <w:sz w:val="20"/>
                <w:szCs w:val="20"/>
              </w:rPr>
              <w:t>●</w:t>
            </w:r>
          </w:p>
        </w:tc>
        <w:tc>
          <w:tcPr>
            <w:tcW w:w="0" w:type="auto"/>
            <w:hideMark/>
          </w:tcPr>
          <w:p w:rsidR="00000000" w:rsidRDefault="00B46E81">
            <w:pPr>
              <w:jc w:val="both"/>
              <w:rPr>
                <w:rFonts w:eastAsia="Times New Roman"/>
                <w:sz w:val="20"/>
                <w:szCs w:val="20"/>
              </w:rPr>
            </w:pPr>
            <w:r>
              <w:rPr>
                <w:rFonts w:eastAsia="Times New Roman"/>
                <w:sz w:val="20"/>
                <w:szCs w:val="20"/>
              </w:rPr>
              <w:t>Uses less driving pressure; and</w:t>
            </w:r>
          </w:p>
        </w:tc>
      </w:tr>
      <w:tr w:rsidR="00000000">
        <w:trPr>
          <w:divId w:val="1088308932"/>
        </w:trPr>
        <w:tc>
          <w:tcPr>
            <w:tcW w:w="0" w:type="auto"/>
            <w:hideMark/>
          </w:tcPr>
          <w:p w:rsidR="00000000" w:rsidRDefault="00B46E81">
            <w:pPr>
              <w:rPr>
                <w:rFonts w:eastAsia="Times New Roman"/>
                <w:sz w:val="20"/>
                <w:szCs w:val="20"/>
              </w:rPr>
            </w:pPr>
            <w:r>
              <w:rPr>
                <w:rFonts w:eastAsia="Times New Roman"/>
                <w:sz w:val="20"/>
                <w:szCs w:val="20"/>
              </w:rPr>
              <w:t> </w:t>
            </w:r>
          </w:p>
        </w:tc>
        <w:tc>
          <w:tcPr>
            <w:tcW w:w="0" w:type="auto"/>
            <w:hideMark/>
          </w:tcPr>
          <w:p w:rsidR="00000000" w:rsidRDefault="00B46E81">
            <w:pPr>
              <w:rPr>
                <w:rFonts w:eastAsia="Times New Roman"/>
                <w:sz w:val="20"/>
                <w:szCs w:val="20"/>
              </w:rPr>
            </w:pPr>
            <w:r>
              <w:rPr>
                <w:rFonts w:eastAsia="Times New Roman"/>
                <w:sz w:val="20"/>
                <w:szCs w:val="20"/>
              </w:rPr>
              <w:t> </w:t>
            </w:r>
          </w:p>
        </w:tc>
        <w:tc>
          <w:tcPr>
            <w:tcW w:w="0" w:type="auto"/>
            <w:hideMark/>
          </w:tcPr>
          <w:p w:rsidR="00000000" w:rsidRDefault="00B46E81">
            <w:pPr>
              <w:jc w:val="both"/>
              <w:rPr>
                <w:rFonts w:eastAsia="Times New Roman"/>
                <w:sz w:val="20"/>
                <w:szCs w:val="20"/>
              </w:rPr>
            </w:pPr>
            <w:r>
              <w:rPr>
                <w:rFonts w:eastAsia="Times New Roman"/>
                <w:sz w:val="20"/>
                <w:szCs w:val="20"/>
              </w:rPr>
              <w:t> </w:t>
            </w:r>
          </w:p>
        </w:tc>
      </w:tr>
      <w:tr w:rsidR="00000000">
        <w:trPr>
          <w:divId w:val="1088308932"/>
        </w:trPr>
        <w:tc>
          <w:tcPr>
            <w:tcW w:w="0" w:type="auto"/>
            <w:hideMark/>
          </w:tcPr>
          <w:p w:rsidR="00000000" w:rsidRDefault="00B46E81">
            <w:pPr>
              <w:rPr>
                <w:rFonts w:eastAsia="Times New Roman"/>
                <w:sz w:val="20"/>
                <w:szCs w:val="20"/>
              </w:rPr>
            </w:pPr>
            <w:r>
              <w:rPr>
                <w:rFonts w:eastAsia="Times New Roman"/>
                <w:sz w:val="20"/>
                <w:szCs w:val="20"/>
              </w:rPr>
              <w:t> </w:t>
            </w:r>
          </w:p>
        </w:tc>
        <w:tc>
          <w:tcPr>
            <w:tcW w:w="0" w:type="auto"/>
            <w:hideMark/>
          </w:tcPr>
          <w:p w:rsidR="00000000" w:rsidRDefault="00B46E81">
            <w:pPr>
              <w:rPr>
                <w:rFonts w:eastAsia="Times New Roman"/>
                <w:sz w:val="20"/>
                <w:szCs w:val="20"/>
              </w:rPr>
            </w:pPr>
            <w:r>
              <w:rPr>
                <w:rFonts w:eastAsia="Times New Roman"/>
                <w:sz w:val="20"/>
                <w:szCs w:val="20"/>
              </w:rPr>
              <w:t>●</w:t>
            </w:r>
          </w:p>
        </w:tc>
        <w:tc>
          <w:tcPr>
            <w:tcW w:w="0" w:type="auto"/>
            <w:hideMark/>
          </w:tcPr>
          <w:p w:rsidR="00000000" w:rsidRDefault="00B46E81">
            <w:pPr>
              <w:jc w:val="both"/>
              <w:rPr>
                <w:rFonts w:eastAsia="Times New Roman"/>
                <w:sz w:val="20"/>
                <w:szCs w:val="20"/>
              </w:rPr>
            </w:pPr>
            <w:r>
              <w:rPr>
                <w:rFonts w:eastAsia="Times New Roman"/>
                <w:sz w:val="20"/>
                <w:szCs w:val="20"/>
              </w:rPr>
              <w:t>Allows users to feel safe and secure while sleeping.</w:t>
            </w:r>
          </w:p>
        </w:tc>
      </w:tr>
    </w:tbl>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center"/>
        <w:divId w:val="1284189513"/>
        <w:rPr>
          <w:sz w:val="20"/>
          <w:szCs w:val="20"/>
        </w:rPr>
      </w:pPr>
      <w:r>
        <w:rPr>
          <w:sz w:val="20"/>
          <w:szCs w:val="20"/>
        </w:rPr>
        <w:t>1</w:t>
      </w:r>
      <w:r>
        <w:rPr>
          <w:sz w:val="20"/>
          <w:szCs w:val="20"/>
        </w:rPr>
        <w:t>5</w:t>
      </w:r>
    </w:p>
    <w:p w:rsidR="00000000" w:rsidRDefault="00B46E81">
      <w:pPr>
        <w:pStyle w:val="a3"/>
        <w:spacing w:before="0" w:beforeAutospacing="0" w:after="0" w:afterAutospacing="0"/>
        <w:divId w:val="1665820473"/>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Pending adequate financing, we plan to conduct clinical trials to test product effectiveness.</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On </w:t>
      </w:r>
      <w:r>
        <w:rPr>
          <w:sz w:val="20"/>
          <w:szCs w:val="20"/>
        </w:rPr>
        <w:t>June 28, 2016, we applied for a patent for a new, innovative sleep apnea product that serves as an interface for the delivery of CPAP therapy and other respiratory needs. Our goal is to develop sleep products that achieve optimum compliance and comfort for</w:t>
      </w:r>
      <w:r>
        <w:rPr>
          <w:sz w:val="20"/>
          <w:szCs w:val="20"/>
        </w:rPr>
        <w:t xml:space="preserve"> CPAP patients.</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Our website is located at: </w:t>
      </w:r>
      <w:r>
        <w:rPr>
          <w:sz w:val="20"/>
          <w:szCs w:val="20"/>
          <w:u w:val="single"/>
        </w:rPr>
        <w:t>http://remsleep.com</w:t>
      </w:r>
      <w:r>
        <w:rPr>
          <w:sz w:val="20"/>
          <w:szCs w:val="20"/>
        </w:rPr>
        <w:t>.</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b/>
          <w:bCs/>
          <w:sz w:val="20"/>
          <w:szCs w:val="20"/>
        </w:rPr>
        <w:t>Results of Operations</w:t>
      </w:r>
    </w:p>
    <w:p w:rsidR="00000000" w:rsidRDefault="00B46E81">
      <w:pPr>
        <w:pStyle w:val="a3"/>
        <w:spacing w:before="0" w:beforeAutospacing="0" w:after="0" w:afterAutospacing="0"/>
        <w:divId w:val="1088308932"/>
        <w:rPr>
          <w:sz w:val="20"/>
          <w:szCs w:val="20"/>
        </w:rPr>
      </w:pPr>
      <w:r>
        <w:rPr>
          <w:b/>
          <w:bCs/>
          <w:sz w:val="20"/>
          <w:szCs w:val="20"/>
        </w:rPr>
        <w:t> </w:t>
      </w:r>
    </w:p>
    <w:p w:rsidR="00000000" w:rsidRDefault="00B46E81">
      <w:pPr>
        <w:pStyle w:val="a3"/>
        <w:spacing w:before="0" w:beforeAutospacing="0" w:after="0" w:afterAutospacing="0"/>
        <w:divId w:val="1088308932"/>
        <w:rPr>
          <w:sz w:val="20"/>
          <w:szCs w:val="20"/>
        </w:rPr>
      </w:pPr>
      <w:r>
        <w:rPr>
          <w:b/>
          <w:bCs/>
          <w:i/>
          <w:iCs/>
          <w:sz w:val="20"/>
          <w:szCs w:val="20"/>
          <w:u w:val="single"/>
        </w:rPr>
        <w:t>The three months ended September 30, 2022 compared to the three months ended September 30, 2021</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We began to sell our ResPlus CPAP system in the second quarter. We</w:t>
      </w:r>
      <w:r>
        <w:rPr>
          <w:sz w:val="20"/>
          <w:szCs w:val="20"/>
        </w:rPr>
        <w:t xml:space="preserve"> recognized revenue and cost of goods of $137,568 and $86,250, respectively for the three months ended September 30, 2022.</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Professional fees were $14,200 compared to $7,500 for the three months ended September 30, 2022 and 2021, respectively, an increase</w:t>
      </w:r>
      <w:r>
        <w:rPr>
          <w:sz w:val="20"/>
          <w:szCs w:val="20"/>
        </w:rPr>
        <w:t xml:space="preserve"> of $6,700, or 89.3%. Professional fees consist mostly of accounting, audit and legal fees. The increase is attributed to an increase in legal fees of approximately $5,700.</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Compensation expense was $72,000 and $21,000 for the three months ended September</w:t>
      </w:r>
      <w:r>
        <w:rPr>
          <w:sz w:val="20"/>
          <w:szCs w:val="20"/>
        </w:rPr>
        <w:t xml:space="preserve"> 30, 2022 and 2021, respectively, an increase of $51,000, or 242.9%. On April 1, 2022, compensation expense for our CEO and Chairman increased.</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Development expense related to our CPAP systems was $121,170 and $16,666 for the three months ended September </w:t>
      </w:r>
      <w:r>
        <w:rPr>
          <w:sz w:val="20"/>
          <w:szCs w:val="20"/>
        </w:rPr>
        <w:t>30, 2022 and 2021, respectively, an increase of $104,504. Development expense increased over the prior period as we continue to work to bring new products to market.</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Lease expense was $21,296 and $0 for the three months ended September 30, 2022 and 2021,</w:t>
      </w:r>
      <w:r>
        <w:rPr>
          <w:sz w:val="20"/>
          <w:szCs w:val="20"/>
        </w:rPr>
        <w:t xml:space="preserve"> respectively. In May 2022, we began to incur lease/rent expense for both our corporate office and short term apartment rental for employees to stay at when in town.</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General and administrative expense (“G&amp;A”) was $129,156 and $36,697 for the three months</w:t>
      </w:r>
      <w:r>
        <w:rPr>
          <w:sz w:val="20"/>
          <w:szCs w:val="20"/>
        </w:rPr>
        <w:t xml:space="preserve"> ended September 30, 2022 and 2021, respectively, an increase of $92,459, or 252%. During the current period we incurred additional expense related to the process of obtaining our 510k for DeltaWave (~$38,200), OTC fees of $14,220 and other compensation ex</w:t>
      </w:r>
      <w:r>
        <w:rPr>
          <w:sz w:val="20"/>
          <w:szCs w:val="20"/>
        </w:rPr>
        <w:t>pense of $27,500 We also incurred additional expense involved with moving our corporate headquarters and setting up our offices.</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Our </w:t>
      </w:r>
      <w:r>
        <w:rPr>
          <w:sz w:val="20"/>
          <w:szCs w:val="20"/>
        </w:rPr>
        <w:t>loss from operations increased $224,641 to $306,504 in the current period from $81,863 in the prior period</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Total other expense for the three months ended September 30, 2022, was $5,656 for interest expense Total other expense for the three months ended S</w:t>
      </w:r>
      <w:r>
        <w:rPr>
          <w:sz w:val="20"/>
          <w:szCs w:val="20"/>
        </w:rPr>
        <w:t>eptember 30, 2021, was $750,000. Other expense in the prior period includes a loss in the change of fair value of $438,824, a loss on the issuance of convertible debt of $70,675, and interest expense of $240,797 (includes $213,037 amortization of debt disc</w:t>
      </w:r>
      <w:r>
        <w:rPr>
          <w:sz w:val="20"/>
          <w:szCs w:val="20"/>
        </w:rPr>
        <w:t>ount).</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i/>
          <w:iCs/>
          <w:sz w:val="20"/>
          <w:szCs w:val="20"/>
          <w:u w:val="single"/>
        </w:rPr>
        <w:t>Net Loss</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For the three months ended September 30, 2022, we had a net loss of $312,160 as compared to a net loss of $832,159 for the three months ended September 30, 2021. Our net loss decreased due to the decrease in other expense during the per</w:t>
      </w:r>
      <w:r>
        <w:rPr>
          <w:sz w:val="20"/>
          <w:szCs w:val="20"/>
        </w:rPr>
        <w:t>iod, which consists mostly of non-cash expense related to our convertible debt.</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center"/>
        <w:divId w:val="562326036"/>
        <w:rPr>
          <w:sz w:val="20"/>
          <w:szCs w:val="20"/>
        </w:rPr>
      </w:pPr>
      <w:r>
        <w:rPr>
          <w:sz w:val="20"/>
          <w:szCs w:val="20"/>
        </w:rPr>
        <w:t>1</w:t>
      </w:r>
      <w:r>
        <w:rPr>
          <w:sz w:val="20"/>
          <w:szCs w:val="20"/>
        </w:rPr>
        <w:t>6</w:t>
      </w:r>
    </w:p>
    <w:p w:rsidR="00000000" w:rsidRDefault="00B46E81">
      <w:pPr>
        <w:pStyle w:val="a3"/>
        <w:spacing w:before="0" w:beforeAutospacing="0" w:after="0" w:afterAutospacing="0"/>
        <w:divId w:val="404106225"/>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b/>
          <w:bCs/>
          <w:i/>
          <w:iCs/>
          <w:sz w:val="20"/>
          <w:szCs w:val="20"/>
          <w:u w:val="single"/>
        </w:rPr>
        <w:t>The nine months ended September 30, 2022 compared to the nine months ended September 30, 2021</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We began to sell our ResPlus CPAP system in the second quarter. We reco</w:t>
      </w:r>
      <w:r>
        <w:rPr>
          <w:sz w:val="20"/>
          <w:szCs w:val="20"/>
        </w:rPr>
        <w:t>gnized revenue and cost of goods of $257,238 and $176,010, respectively for the nine months ended September 30, 2022.</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Professional fees were $100,165 compared to $59,643 for the nine months ended September 30, 2022 and 2021, respectively, an increase of </w:t>
      </w:r>
      <w:r>
        <w:rPr>
          <w:sz w:val="20"/>
          <w:szCs w:val="20"/>
        </w:rPr>
        <w:t>$40,522, or 67.9.%. Professional fees consist mostly of accounting, audit and legal fees. The increase is attributed to an increase in legal fees of approximately $36,700.</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Compensation expense was $165,000 and $63,000 for the nine months ended September </w:t>
      </w:r>
      <w:r>
        <w:rPr>
          <w:sz w:val="20"/>
          <w:szCs w:val="20"/>
        </w:rPr>
        <w:t>30, 2022 and 2021, respectively, an increase of $102,000 or 161.9.%. On April 1, 2022, compensation expense for our CEO and Chairman increased.</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Development expense related to our CPAP systems was $184,888 and $95,608 for the nine months ended September 3</w:t>
      </w:r>
      <w:r>
        <w:rPr>
          <w:sz w:val="20"/>
          <w:szCs w:val="20"/>
        </w:rPr>
        <w:t>0, 2022 and 2021, respectively, an increase of $89,280 or 93.4%. Development expense increased over the prior period as we work to bring our new products to market.</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Lease expense was $51,160 and $0 for the nine months ended September 30, 2022 and 2021, r</w:t>
      </w:r>
      <w:r>
        <w:rPr>
          <w:sz w:val="20"/>
          <w:szCs w:val="20"/>
        </w:rPr>
        <w:t>espectively. During the nine months ended September 30, 2022, we began to incur lease/rent expense for both our corporate office and short term apartment rental for employees to stay at when in town.</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G&amp;A expense was $385,720 and $92,962 for the nine mont</w:t>
      </w:r>
      <w:r>
        <w:rPr>
          <w:sz w:val="20"/>
          <w:szCs w:val="20"/>
        </w:rPr>
        <w:t>hs ended September 30, 2022 and 2021, respectively, an increase of $292,758 or 314.9%. During the current period we incurred additional expense related to the process of obtaining our 510k for DeltaWave (~$69,000), travel expense of $24,400 and other compe</w:t>
      </w:r>
      <w:r>
        <w:rPr>
          <w:sz w:val="20"/>
          <w:szCs w:val="20"/>
        </w:rPr>
        <w:t>nsation expense of $59,950, We also incurred additional expense involved with moving our corporate headquarters and setting up our offices.</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Our </w:t>
      </w:r>
      <w:r>
        <w:rPr>
          <w:sz w:val="20"/>
          <w:szCs w:val="20"/>
        </w:rPr>
        <w:t>loss from operations increased $494,493 to $805,706 in the current period from $311,213 in the prior period.</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Total other expense for the nine months ended September 30, 2022, was $263,046. Other expense includes a loss in the change of fair value of $3,0</w:t>
      </w:r>
      <w:r>
        <w:rPr>
          <w:sz w:val="20"/>
          <w:szCs w:val="20"/>
        </w:rPr>
        <w:t>48, a loss on disposal of fixed assets of $28,264 and interest expense of $231,734 (includes $206,157 amortization of debt discount). Total other expense for the nine months ended September 30, 2021, was $3,356,107. Other expense in the prior period includ</w:t>
      </w:r>
      <w:r>
        <w:rPr>
          <w:sz w:val="20"/>
          <w:szCs w:val="20"/>
        </w:rPr>
        <w:t>es a loss in the change of fair value of $1,934,083, a loss on the issuance of convertible debt of $612,844, a penalty for default on convertible debt of $162,798 and interest expense of $646,382 (includes $559,732 amortization of debt discount).</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i/>
          <w:iCs/>
          <w:sz w:val="20"/>
          <w:szCs w:val="20"/>
          <w:u w:val="single"/>
        </w:rPr>
        <w:t>Net Los</w:t>
      </w:r>
      <w:r>
        <w:rPr>
          <w:i/>
          <w:iCs/>
          <w:sz w:val="20"/>
          <w:szCs w:val="20"/>
          <w:u w:val="single"/>
        </w:rPr>
        <w:t>s</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For the nine months ended September 30, 2022, we had a net loss of $1,068,751 as compared to a net loss of $3,667,320 for the nine months ended September 30, 2021. Our net loss decreased due to the decrease in other expense during the period, which con</w:t>
      </w:r>
      <w:r>
        <w:rPr>
          <w:sz w:val="20"/>
          <w:szCs w:val="20"/>
        </w:rPr>
        <w:t>sists mostly of non-cash expense related to our convertible debt.</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b/>
          <w:bCs/>
          <w:sz w:val="20"/>
          <w:szCs w:val="20"/>
        </w:rPr>
        <w:t>Liquidity and Capital Resources</w:t>
      </w:r>
    </w:p>
    <w:p w:rsidR="00000000" w:rsidRDefault="00B46E81">
      <w:pPr>
        <w:pStyle w:val="a3"/>
        <w:spacing w:before="0" w:beforeAutospacing="0" w:after="0" w:afterAutospacing="0"/>
        <w:divId w:val="1088308932"/>
        <w:rPr>
          <w:sz w:val="20"/>
          <w:szCs w:val="20"/>
        </w:rPr>
      </w:pPr>
      <w:r>
        <w:rPr>
          <w:b/>
          <w:bCs/>
          <w:sz w:val="20"/>
          <w:szCs w:val="20"/>
        </w:rPr>
        <w:t> </w:t>
      </w:r>
    </w:p>
    <w:p w:rsidR="00000000" w:rsidRDefault="00B46E81">
      <w:pPr>
        <w:pStyle w:val="a3"/>
        <w:spacing w:before="0" w:beforeAutospacing="0" w:after="0" w:afterAutospacing="0"/>
        <w:jc w:val="both"/>
        <w:divId w:val="1088308932"/>
        <w:rPr>
          <w:sz w:val="20"/>
          <w:szCs w:val="20"/>
        </w:rPr>
      </w:pPr>
      <w:r>
        <w:rPr>
          <w:i/>
          <w:iCs/>
          <w:sz w:val="20"/>
          <w:szCs w:val="20"/>
          <w:u w:val="single"/>
        </w:rPr>
        <w:t>Cash flow from operations</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Cash used in operating activities for the nine months ended September 30, 2022 was $1,962,684 compared to $269,369 of cash use</w:t>
      </w:r>
      <w:r>
        <w:rPr>
          <w:sz w:val="20"/>
          <w:szCs w:val="20"/>
        </w:rPr>
        <w:t>d in operating activities for the nine months ended September 30, 2021. During the current period the Company used more cash for activities related to bringing its product to market. Our largest cash expenditures were for inventory, an advance payment on o</w:t>
      </w:r>
      <w:r>
        <w:rPr>
          <w:sz w:val="20"/>
          <w:szCs w:val="20"/>
        </w:rPr>
        <w:t>ur new lease and compensation expense.</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center"/>
        <w:divId w:val="1653369289"/>
        <w:rPr>
          <w:sz w:val="20"/>
          <w:szCs w:val="20"/>
        </w:rPr>
      </w:pPr>
      <w:r>
        <w:rPr>
          <w:sz w:val="20"/>
          <w:szCs w:val="20"/>
        </w:rPr>
        <w:t>1</w:t>
      </w:r>
      <w:r>
        <w:rPr>
          <w:sz w:val="20"/>
          <w:szCs w:val="20"/>
        </w:rPr>
        <w:t>7</w:t>
      </w:r>
    </w:p>
    <w:p w:rsidR="00000000" w:rsidRDefault="00B46E81">
      <w:pPr>
        <w:pStyle w:val="a3"/>
        <w:spacing w:before="0" w:beforeAutospacing="0" w:after="0" w:afterAutospacing="0"/>
        <w:divId w:val="1929657957"/>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i/>
          <w:iCs/>
          <w:sz w:val="20"/>
          <w:szCs w:val="20"/>
          <w:u w:val="single"/>
        </w:rPr>
        <w:t>Cash Flows from Investing</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Cash used in investing activities for the purchase of equipment and tooling for the nine months ended September 30, 2022 was $71,462 as compared to $38,444 of cash used in investin</w:t>
      </w:r>
      <w:r>
        <w:rPr>
          <w:sz w:val="20"/>
          <w:szCs w:val="20"/>
        </w:rPr>
        <w:t>g activities for the nine months ended September 30, 2021.</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i/>
          <w:iCs/>
          <w:sz w:val="20"/>
          <w:szCs w:val="20"/>
          <w:u w:val="single"/>
        </w:rPr>
        <w:t>Cash Flows from Financing</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For the nine months ended September 30, 2022, we received $855,000 from the sale of common stock and repaid a $45,000 loan. We also received a short term cash advance </w:t>
      </w:r>
      <w:r>
        <w:rPr>
          <w:sz w:val="20"/>
          <w:szCs w:val="20"/>
        </w:rPr>
        <w:t>from a related party of $1,523 for the payment of expenses. For the nine months ended September 30, 2021, we received $516,300 from the issuance of convertible loans, $2,046,000 from the sale of common stock and we repaid $4,770 on other loans.</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As </w:t>
      </w:r>
      <w:r>
        <w:rPr>
          <w:sz w:val="20"/>
          <w:szCs w:val="20"/>
        </w:rPr>
        <w:t>of September 30, 2022, we have current assets of $3,685,535, which includes $2,393,372 of cash and $1,214,637 of recently purchased inventory. As of September 30, 2022, we no longer have any outstanding convertible notes payable.</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b/>
          <w:bCs/>
          <w:sz w:val="20"/>
          <w:szCs w:val="20"/>
        </w:rPr>
        <w:t>Going Concern</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As of Se</w:t>
      </w:r>
      <w:r>
        <w:rPr>
          <w:sz w:val="20"/>
          <w:szCs w:val="20"/>
        </w:rPr>
        <w:t>ptember 30, 2022, there is substantial doubt regarding our ability to continue as a going concern as we have not generated sufficient cash flow to fund our proposed business.</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We have suffered recurring losses from operations since our inception. In addit</w:t>
      </w:r>
      <w:r>
        <w:rPr>
          <w:sz w:val="20"/>
          <w:szCs w:val="20"/>
        </w:rPr>
        <w:t xml:space="preserve">ion, we have yet to generate an internal cash flow from our business operations or successfully raised the financing required to develop our proposed business. As a result of these and other factors, our independent auditor has expressed substantial doubt </w:t>
      </w:r>
      <w:r>
        <w:rPr>
          <w:sz w:val="20"/>
          <w:szCs w:val="20"/>
        </w:rPr>
        <w:t>about our ability to continue as a going concern. Our future success and viability, therefore, are dependent upon our ability to generate capital financing. The failure to generate sufficient revenues or raise additional capital may have a material and adv</w:t>
      </w:r>
      <w:r>
        <w:rPr>
          <w:sz w:val="20"/>
          <w:szCs w:val="20"/>
        </w:rPr>
        <w:t>erse effect upon us and our shareholders.</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Management’s plans with regard to these matters encompass the following actions: (i) obtaining funding from new investors to alleviate our working capital deficiency, and (ii) implementing a plan to generate sale</w:t>
      </w:r>
      <w:r>
        <w:rPr>
          <w:sz w:val="20"/>
          <w:szCs w:val="20"/>
        </w:rPr>
        <w:t>s. Our continued existence is dependent upon our ability to resolve our liquidity problems and increase profitability in our current business operations. However, the outcome of management’s plans cannot be ascertained with any degree of certainty. Our fin</w:t>
      </w:r>
      <w:r>
        <w:rPr>
          <w:sz w:val="20"/>
          <w:szCs w:val="20"/>
        </w:rPr>
        <w:t>ancial statements do not include any adjustments that might result from the outcome of these risks and uncertainties.</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The industry in which we operate depends heavily upon our ability to obtain raw material and manufacture our product as well as the over</w:t>
      </w:r>
      <w:r>
        <w:rPr>
          <w:sz w:val="20"/>
          <w:szCs w:val="20"/>
        </w:rPr>
        <w:t>all level of consumer and business spending. A sustained deterioration in general economic conditions (including distress in financial markets, turmoil in specific economies around the world, public health crises, and additional government intervention), p</w:t>
      </w:r>
      <w:r>
        <w:rPr>
          <w:sz w:val="20"/>
          <w:szCs w:val="20"/>
        </w:rPr>
        <w:t>articularly in the United States, may have a negative financial impact to our Company. Adverse conditions as a result of the global COVID-19 outbreak, will and may continue to impact our manufacturing processes and ultimately our ability to sell our produc</w:t>
      </w:r>
      <w:r>
        <w:rPr>
          <w:sz w:val="20"/>
          <w:szCs w:val="20"/>
        </w:rPr>
        <w:t>t.</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b/>
          <w:bCs/>
          <w:sz w:val="20"/>
          <w:szCs w:val="20"/>
        </w:rPr>
        <w:t>Off Balance Sheet Arrangements</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We have no off-balance sheet arrangements that have or are reasonably likely to have a current or future effect on our financial condition, changes in financial condition, revenues or expenses, results of operations, l</w:t>
      </w:r>
      <w:r>
        <w:rPr>
          <w:sz w:val="20"/>
          <w:szCs w:val="20"/>
        </w:rPr>
        <w:t>iquidity, capital expenditures or capital resources that are material to investors.</w:t>
      </w:r>
    </w:p>
    <w:p w:rsidR="00000000" w:rsidRDefault="00B46E81">
      <w:pPr>
        <w:pStyle w:val="a3"/>
        <w:spacing w:before="0" w:beforeAutospacing="0" w:after="0" w:afterAutospacing="0"/>
        <w:jc w:val="both"/>
        <w:divId w:val="1088308932"/>
        <w:rPr>
          <w:sz w:val="20"/>
          <w:szCs w:val="20"/>
        </w:rPr>
      </w:pPr>
      <w:r>
        <w:rPr>
          <w:b/>
          <w:bCs/>
          <w:sz w:val="20"/>
          <w:szCs w:val="20"/>
        </w:rPr>
        <w:t> </w:t>
      </w:r>
    </w:p>
    <w:p w:rsidR="00000000" w:rsidRDefault="00B46E81">
      <w:pPr>
        <w:pStyle w:val="a3"/>
        <w:spacing w:before="0" w:beforeAutospacing="0" w:after="0" w:afterAutospacing="0"/>
        <w:jc w:val="center"/>
        <w:divId w:val="1246694722"/>
        <w:rPr>
          <w:sz w:val="20"/>
          <w:szCs w:val="20"/>
        </w:rPr>
      </w:pPr>
      <w:r>
        <w:rPr>
          <w:sz w:val="20"/>
          <w:szCs w:val="20"/>
        </w:rPr>
        <w:t>1</w:t>
      </w:r>
      <w:r>
        <w:rPr>
          <w:sz w:val="20"/>
          <w:szCs w:val="20"/>
        </w:rPr>
        <w:t>8</w:t>
      </w:r>
    </w:p>
    <w:p w:rsidR="00000000" w:rsidRDefault="00B46E81">
      <w:pPr>
        <w:pStyle w:val="a3"/>
        <w:spacing w:before="0" w:beforeAutospacing="0" w:after="0" w:afterAutospacing="0"/>
        <w:divId w:val="700205615"/>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b/>
          <w:bCs/>
          <w:sz w:val="20"/>
          <w:szCs w:val="20"/>
        </w:rPr>
        <w:t> </w:t>
      </w:r>
    </w:p>
    <w:p w:rsidR="00000000" w:rsidRDefault="00B46E81">
      <w:pPr>
        <w:pStyle w:val="a3"/>
        <w:spacing w:before="0" w:beforeAutospacing="0" w:after="0" w:afterAutospacing="0"/>
        <w:divId w:val="1088308932"/>
        <w:rPr>
          <w:sz w:val="20"/>
          <w:szCs w:val="20"/>
        </w:rPr>
      </w:pPr>
      <w:r>
        <w:rPr>
          <w:b/>
          <w:bCs/>
          <w:sz w:val="20"/>
          <w:szCs w:val="20"/>
        </w:rPr>
        <w:t>Critical Accounting Policies</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Refer to Note 2 to the Financial Statements for the nine months ended September 30, 2022, for a condensed discussion of our critical</w:t>
      </w:r>
      <w:r>
        <w:rPr>
          <w:sz w:val="20"/>
          <w:szCs w:val="20"/>
        </w:rPr>
        <w:t xml:space="preserve"> accounting policies and our Form 10-K for the year ended December 31, 2021, for a full discussion of our critical accounting policies and procedures.</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b/>
          <w:bCs/>
          <w:sz w:val="20"/>
          <w:szCs w:val="20"/>
        </w:rPr>
        <w:t>ITEM 3. QUANTITATIVE AND QUALITATIVE DISCLOSURES ABOUT MARKET RISK.</w:t>
      </w:r>
    </w:p>
    <w:p w:rsidR="00000000" w:rsidRDefault="00B46E81">
      <w:pPr>
        <w:pStyle w:val="a3"/>
        <w:spacing w:before="0" w:beforeAutospacing="0" w:after="0" w:afterAutospacing="0"/>
        <w:divId w:val="1088308932"/>
        <w:rPr>
          <w:sz w:val="20"/>
          <w:szCs w:val="20"/>
        </w:rPr>
      </w:pPr>
      <w:r>
        <w:rPr>
          <w:b/>
          <w:bCs/>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We </w:t>
      </w:r>
      <w:r>
        <w:rPr>
          <w:sz w:val="20"/>
          <w:szCs w:val="20"/>
        </w:rPr>
        <w:t>are a smaller reporting company as defined by Rule 12b-2 of the Exchange Act and, as such, are not required to provide the information under this Item.</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b/>
          <w:bCs/>
          <w:sz w:val="20"/>
          <w:szCs w:val="20"/>
        </w:rPr>
        <w:t>ITEM 4. CONTROLS AND PROCEDURES</w:t>
      </w:r>
    </w:p>
    <w:p w:rsidR="00000000" w:rsidRDefault="00B46E81">
      <w:pPr>
        <w:pStyle w:val="a3"/>
        <w:spacing w:before="0" w:beforeAutospacing="0" w:after="0" w:afterAutospacing="0"/>
        <w:divId w:val="1088308932"/>
        <w:rPr>
          <w:sz w:val="20"/>
          <w:szCs w:val="20"/>
        </w:rPr>
      </w:pPr>
      <w:r>
        <w:rPr>
          <w:b/>
          <w:bCs/>
          <w:sz w:val="20"/>
          <w:szCs w:val="20"/>
        </w:rPr>
        <w:t> </w:t>
      </w:r>
    </w:p>
    <w:p w:rsidR="00000000" w:rsidRDefault="00B46E81">
      <w:pPr>
        <w:pStyle w:val="a3"/>
        <w:spacing w:before="0" w:beforeAutospacing="0" w:after="0" w:afterAutospacing="0"/>
        <w:divId w:val="1088308932"/>
        <w:rPr>
          <w:sz w:val="20"/>
          <w:szCs w:val="20"/>
        </w:rPr>
      </w:pPr>
      <w:r>
        <w:rPr>
          <w:i/>
          <w:iCs/>
          <w:sz w:val="20"/>
          <w:szCs w:val="20"/>
          <w:u w:val="single"/>
        </w:rPr>
        <w:t>Disclosure Controls and Procedures</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Each of our principal executive</w:t>
      </w:r>
      <w:r>
        <w:rPr>
          <w:sz w:val="20"/>
          <w:szCs w:val="20"/>
        </w:rPr>
        <w:t xml:space="preserve"> and principal financial officer has evaluated the effectiveness of our disclosure controls and procedures, as defined in Rules 13a - 15(e) and 15d - 15(e) under the Securities Exchange Act of 1934, as amended (the “Exchange Act”), as of the end of the per</w:t>
      </w:r>
      <w:r>
        <w:rPr>
          <w:sz w:val="20"/>
          <w:szCs w:val="20"/>
        </w:rPr>
        <w:t>iod covered by this quarterly report. Based on their evaluation, each such person concluded that our disclosure controls and procedures were not effective as of September 30, 2022 due to a lack of segregation of duties.</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In designing and evaluating disclo</w:t>
      </w:r>
      <w:r>
        <w:rPr>
          <w:sz w:val="20"/>
          <w:szCs w:val="20"/>
        </w:rPr>
        <w:t>sure controls and procedures, management recognizes that any controls and procedures, no matter how well designed and operated, can provide only reasonable, not absolute assurance of achieving the desired objectives. Also, the design of a control system mu</w:t>
      </w:r>
      <w:r>
        <w:rPr>
          <w:sz w:val="20"/>
          <w:szCs w:val="20"/>
        </w:rPr>
        <w:t>st reflect the fact that there are resource constraints and the benefits of controls must be considered relative to their costs.</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i/>
          <w:iCs/>
          <w:sz w:val="20"/>
          <w:szCs w:val="20"/>
          <w:u w:val="single"/>
        </w:rPr>
        <w:t>Changes in Internal Control over Financial Reporting.</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Our management has evaluated whether any change in our internal contr</w:t>
      </w:r>
      <w:r>
        <w:rPr>
          <w:sz w:val="20"/>
          <w:szCs w:val="20"/>
        </w:rPr>
        <w:t>ol over financial reporting occurred during the last fiscal quarter. Based on that evaluation, management concluded that there has been no change in our internal control over financial reporting during the relevant period that has materially affected, or i</w:t>
      </w:r>
      <w:r>
        <w:rPr>
          <w:sz w:val="20"/>
          <w:szCs w:val="20"/>
        </w:rPr>
        <w:t>s reasonably likely to materially affect, our internal control over financial reporting.</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center"/>
        <w:divId w:val="417756177"/>
        <w:rPr>
          <w:sz w:val="20"/>
          <w:szCs w:val="20"/>
        </w:rPr>
      </w:pPr>
      <w:r>
        <w:rPr>
          <w:sz w:val="20"/>
          <w:szCs w:val="20"/>
        </w:rPr>
        <w:t>1</w:t>
      </w:r>
      <w:r>
        <w:rPr>
          <w:sz w:val="20"/>
          <w:szCs w:val="20"/>
        </w:rPr>
        <w:t>9</w:t>
      </w:r>
    </w:p>
    <w:p w:rsidR="00000000" w:rsidRDefault="00B46E81">
      <w:pPr>
        <w:pStyle w:val="a3"/>
        <w:spacing w:before="0" w:beforeAutospacing="0" w:after="0" w:afterAutospacing="0"/>
        <w:divId w:val="1792017941"/>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center"/>
        <w:divId w:val="1088308932"/>
        <w:rPr>
          <w:sz w:val="20"/>
          <w:szCs w:val="20"/>
        </w:rPr>
      </w:pPr>
      <w:r>
        <w:rPr>
          <w:b/>
          <w:bCs/>
          <w:sz w:val="20"/>
          <w:szCs w:val="20"/>
        </w:rPr>
        <w:t>PART II - OTHER INFORMATION</w:t>
      </w:r>
    </w:p>
    <w:p w:rsidR="00000000" w:rsidRDefault="00B46E81">
      <w:pPr>
        <w:pStyle w:val="a3"/>
        <w:spacing w:before="0" w:beforeAutospacing="0" w:after="0" w:afterAutospacing="0"/>
        <w:jc w:val="center"/>
        <w:divId w:val="1088308932"/>
        <w:rPr>
          <w:sz w:val="20"/>
          <w:szCs w:val="20"/>
        </w:rPr>
      </w:pPr>
      <w:r>
        <w:rPr>
          <w:b/>
          <w:bCs/>
          <w:sz w:val="20"/>
          <w:szCs w:val="20"/>
        </w:rPr>
        <w:t> </w:t>
      </w:r>
    </w:p>
    <w:p w:rsidR="00000000" w:rsidRDefault="00B46E81">
      <w:pPr>
        <w:pStyle w:val="a3"/>
        <w:spacing w:before="0" w:beforeAutospacing="0" w:after="0" w:afterAutospacing="0"/>
        <w:divId w:val="1088308932"/>
        <w:rPr>
          <w:sz w:val="20"/>
          <w:szCs w:val="20"/>
        </w:rPr>
      </w:pPr>
      <w:r>
        <w:rPr>
          <w:b/>
          <w:bCs/>
          <w:sz w:val="20"/>
          <w:szCs w:val="20"/>
        </w:rPr>
        <w:t>ITEM 1. LEGAL PROCEEDINGS</w:t>
      </w:r>
    </w:p>
    <w:p w:rsidR="00000000" w:rsidRDefault="00B46E81">
      <w:pPr>
        <w:pStyle w:val="a3"/>
        <w:spacing w:before="0" w:beforeAutospacing="0" w:after="0" w:afterAutospacing="0"/>
        <w:divId w:val="1088308932"/>
        <w:rPr>
          <w:sz w:val="20"/>
          <w:szCs w:val="20"/>
        </w:rPr>
      </w:pPr>
      <w:r>
        <w:rPr>
          <w:b/>
          <w:bCs/>
          <w:sz w:val="20"/>
          <w:szCs w:val="20"/>
        </w:rPr>
        <w:t> </w:t>
      </w:r>
    </w:p>
    <w:p w:rsidR="00000000" w:rsidRDefault="00B46E81">
      <w:pPr>
        <w:pStyle w:val="a3"/>
        <w:spacing w:before="0" w:beforeAutospacing="0" w:after="0" w:afterAutospacing="0"/>
        <w:divId w:val="1088308932"/>
        <w:rPr>
          <w:sz w:val="20"/>
          <w:szCs w:val="20"/>
        </w:rPr>
      </w:pPr>
      <w:r>
        <w:rPr>
          <w:sz w:val="20"/>
          <w:szCs w:val="20"/>
        </w:rPr>
        <w:t>None</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b/>
          <w:bCs/>
          <w:sz w:val="20"/>
          <w:szCs w:val="20"/>
        </w:rPr>
        <w:t>ITEM 1A. RISK FACTORS</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We </w:t>
      </w:r>
      <w:r>
        <w:rPr>
          <w:sz w:val="20"/>
          <w:szCs w:val="20"/>
        </w:rPr>
        <w:t>are a smaller reporting company as defined by Rule 12b-2 of the Exchange Act and, as such, are not required to provide the information under this Item.</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b/>
          <w:bCs/>
          <w:sz w:val="20"/>
          <w:szCs w:val="20"/>
        </w:rPr>
        <w:t>ITEM 2. UNREGISTERED SALES OF EQUITY SECURITIES AND USE OF PROCEEDS</w:t>
      </w:r>
    </w:p>
    <w:p w:rsidR="00000000" w:rsidRDefault="00B46E81">
      <w:pPr>
        <w:pStyle w:val="a3"/>
        <w:spacing w:before="0" w:beforeAutospacing="0" w:after="0" w:afterAutospacing="0"/>
        <w:divId w:val="1088308932"/>
        <w:rPr>
          <w:sz w:val="20"/>
          <w:szCs w:val="20"/>
        </w:rPr>
      </w:pPr>
      <w:r>
        <w:rPr>
          <w:b/>
          <w:bCs/>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During Q1 2022, Granite Global V</w:t>
      </w:r>
      <w:r>
        <w:rPr>
          <w:sz w:val="20"/>
          <w:szCs w:val="20"/>
        </w:rPr>
        <w:t>alue converted $152,880 of principal and interest into 16,146,666 shares of common stock.</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During Q1 2022, the Company issued 70,128,204 shares of common stock for the conversion of warrants.</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During Q1 2022, the Company sold 114,000,000 shares of common</w:t>
      </w:r>
      <w:r>
        <w:rPr>
          <w:sz w:val="20"/>
          <w:szCs w:val="20"/>
        </w:rPr>
        <w:t xml:space="preserve"> stock for total cash proceeds of $855,000. The shares were sold pursuant to its Tier 2 of Regulation A Offering Statement.</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During the nine months ended September 30, 2022, Power Up Lending Group LTD converted $274,850 of principal and interest into 27,3</w:t>
      </w:r>
      <w:r>
        <w:rPr>
          <w:sz w:val="20"/>
          <w:szCs w:val="20"/>
        </w:rPr>
        <w:t>32,996 shares of common stock.</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For each of the above-referenced issuances, the Company relied upon the exemption from the registration requirements of the Securities Act of 1933, as amended, provided by Section 4(a)(2) promulgated thereunder due to the f</w:t>
      </w:r>
      <w:r>
        <w:rPr>
          <w:sz w:val="20"/>
          <w:szCs w:val="20"/>
        </w:rPr>
        <w:t xml:space="preserve">act that each was an isolated issuance to an accredited investor and did not involve a public offering of securities. </w:t>
      </w:r>
    </w:p>
    <w:p w:rsidR="00000000" w:rsidRDefault="00B46E81">
      <w:pPr>
        <w:pStyle w:val="a3"/>
        <w:spacing w:before="0" w:beforeAutospacing="0" w:after="0" w:afterAutospacing="0"/>
        <w:jc w:val="both"/>
        <w:divId w:val="1088308932"/>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b/>
          <w:bCs/>
          <w:sz w:val="20"/>
          <w:szCs w:val="20"/>
        </w:rPr>
        <w:t>ITEM 3. DEFAULTS UPON SENIOR SECURITIES</w:t>
      </w:r>
    </w:p>
    <w:p w:rsidR="00000000" w:rsidRDefault="00B46E81">
      <w:pPr>
        <w:pStyle w:val="a3"/>
        <w:spacing w:before="0" w:beforeAutospacing="0" w:after="0" w:afterAutospacing="0"/>
        <w:divId w:val="1088308932"/>
        <w:rPr>
          <w:sz w:val="20"/>
          <w:szCs w:val="20"/>
        </w:rPr>
      </w:pPr>
      <w:r>
        <w:rPr>
          <w:b/>
          <w:bCs/>
          <w:sz w:val="20"/>
          <w:szCs w:val="20"/>
        </w:rPr>
        <w:t> </w:t>
      </w:r>
    </w:p>
    <w:p w:rsidR="00000000" w:rsidRDefault="00B46E81">
      <w:pPr>
        <w:pStyle w:val="a3"/>
        <w:spacing w:before="0" w:beforeAutospacing="0" w:after="0" w:afterAutospacing="0"/>
        <w:divId w:val="1088308932"/>
        <w:rPr>
          <w:sz w:val="20"/>
          <w:szCs w:val="20"/>
        </w:rPr>
      </w:pPr>
      <w:r>
        <w:rPr>
          <w:sz w:val="20"/>
          <w:szCs w:val="20"/>
        </w:rPr>
        <w:t>None</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b/>
          <w:bCs/>
          <w:sz w:val="20"/>
          <w:szCs w:val="20"/>
        </w:rPr>
        <w:t>ITEM 4. MINE SAFETY DISCLOSURES</w:t>
      </w:r>
    </w:p>
    <w:p w:rsidR="00000000" w:rsidRDefault="00B46E81">
      <w:pPr>
        <w:pStyle w:val="a3"/>
        <w:spacing w:before="0" w:beforeAutospacing="0" w:after="0" w:afterAutospacing="0"/>
        <w:divId w:val="1088308932"/>
        <w:rPr>
          <w:sz w:val="20"/>
          <w:szCs w:val="20"/>
        </w:rPr>
      </w:pPr>
      <w:r>
        <w:rPr>
          <w:b/>
          <w:bCs/>
          <w:sz w:val="20"/>
          <w:szCs w:val="20"/>
        </w:rPr>
        <w:t> </w:t>
      </w:r>
    </w:p>
    <w:p w:rsidR="00000000" w:rsidRDefault="00B46E81">
      <w:pPr>
        <w:pStyle w:val="a3"/>
        <w:spacing w:before="0" w:beforeAutospacing="0" w:after="0" w:afterAutospacing="0"/>
        <w:divId w:val="1088308932"/>
        <w:rPr>
          <w:sz w:val="20"/>
          <w:szCs w:val="20"/>
        </w:rPr>
      </w:pPr>
      <w:r>
        <w:rPr>
          <w:sz w:val="20"/>
          <w:szCs w:val="20"/>
        </w:rPr>
        <w:t>Not applicable</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b/>
          <w:bCs/>
          <w:sz w:val="20"/>
          <w:szCs w:val="20"/>
        </w:rPr>
        <w:t>ITEM 5. OTHER INFORMATION</w:t>
      </w:r>
    </w:p>
    <w:p w:rsidR="00000000" w:rsidRDefault="00B46E81">
      <w:pPr>
        <w:pStyle w:val="a3"/>
        <w:spacing w:before="0" w:beforeAutospacing="0" w:after="0" w:afterAutospacing="0"/>
        <w:divId w:val="1088308932"/>
        <w:rPr>
          <w:sz w:val="20"/>
          <w:szCs w:val="20"/>
        </w:rPr>
      </w:pPr>
      <w:r>
        <w:rPr>
          <w:b/>
          <w:bCs/>
          <w:sz w:val="20"/>
          <w:szCs w:val="20"/>
        </w:rPr>
        <w:t> </w:t>
      </w:r>
    </w:p>
    <w:p w:rsidR="00000000" w:rsidRDefault="00B46E81">
      <w:pPr>
        <w:pStyle w:val="a3"/>
        <w:spacing w:before="0" w:beforeAutospacing="0" w:after="0" w:afterAutospacing="0"/>
        <w:divId w:val="1088308932"/>
        <w:rPr>
          <w:sz w:val="20"/>
          <w:szCs w:val="20"/>
        </w:rPr>
      </w:pPr>
      <w:r>
        <w:rPr>
          <w:sz w:val="20"/>
          <w:szCs w:val="20"/>
        </w:rPr>
        <w:t>None</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center"/>
        <w:divId w:val="1663435260"/>
        <w:rPr>
          <w:sz w:val="20"/>
          <w:szCs w:val="20"/>
        </w:rPr>
      </w:pPr>
      <w:r>
        <w:rPr>
          <w:sz w:val="20"/>
          <w:szCs w:val="20"/>
        </w:rPr>
        <w:t>2</w:t>
      </w:r>
      <w:r>
        <w:rPr>
          <w:sz w:val="20"/>
          <w:szCs w:val="20"/>
        </w:rPr>
        <w:t>0</w:t>
      </w:r>
    </w:p>
    <w:p w:rsidR="00000000" w:rsidRDefault="00B46E81">
      <w:pPr>
        <w:pStyle w:val="a3"/>
        <w:spacing w:before="0" w:beforeAutospacing="0" w:after="0" w:afterAutospacing="0"/>
        <w:divId w:val="488791818"/>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b/>
          <w:bCs/>
          <w:sz w:val="20"/>
          <w:szCs w:val="20"/>
        </w:rPr>
        <w:t>ITEM 6. EXHIBITS</w:t>
      </w:r>
    </w:p>
    <w:p w:rsidR="00000000" w:rsidRDefault="00B46E81">
      <w:pPr>
        <w:pStyle w:val="a3"/>
        <w:spacing w:before="0" w:beforeAutospacing="0" w:after="0" w:afterAutospacing="0"/>
        <w:divId w:val="1088308932"/>
        <w:rPr>
          <w:sz w:val="20"/>
          <w:szCs w:val="20"/>
        </w:rPr>
      </w:pPr>
      <w:r>
        <w:rPr>
          <w:b/>
          <w:bCs/>
          <w:sz w:val="20"/>
          <w:szCs w:val="20"/>
        </w:rPr>
        <w:t> </w:t>
      </w:r>
    </w:p>
    <w:p w:rsidR="00000000" w:rsidRDefault="00B46E81">
      <w:pPr>
        <w:pStyle w:val="a3"/>
        <w:spacing w:before="0" w:beforeAutospacing="0" w:after="0" w:afterAutospacing="0"/>
        <w:divId w:val="1088308932"/>
        <w:rPr>
          <w:sz w:val="20"/>
          <w:szCs w:val="20"/>
        </w:rPr>
      </w:pPr>
      <w:r>
        <w:rPr>
          <w:sz w:val="20"/>
          <w:szCs w:val="20"/>
        </w:rPr>
        <w:t>(a) Documents furnished as exhibits hereto:</w:t>
      </w:r>
    </w:p>
    <w:p w:rsidR="00000000" w:rsidRDefault="00B46E81">
      <w:pPr>
        <w:pStyle w:val="a3"/>
        <w:spacing w:before="0" w:beforeAutospacing="0" w:after="0" w:afterAutospacing="0"/>
        <w:divId w:val="10883089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0"/>
        <w:gridCol w:w="50"/>
        <w:gridCol w:w="7506"/>
      </w:tblGrid>
      <w:tr w:rsidR="00000000">
        <w:trPr>
          <w:divId w:val="1088308932"/>
        </w:trPr>
        <w:tc>
          <w:tcPr>
            <w:tcW w:w="400" w:type="pct"/>
            <w:tcBorders>
              <w:bottom w:val="single" w:sz="12" w:space="0" w:color="000000"/>
            </w:tcBorders>
            <w:hideMark/>
          </w:tcPr>
          <w:p w:rsidR="00000000" w:rsidRDefault="00B46E81">
            <w:pPr>
              <w:rPr>
                <w:rFonts w:eastAsia="Times New Roman"/>
                <w:sz w:val="20"/>
                <w:szCs w:val="20"/>
              </w:rPr>
            </w:pPr>
            <w:r>
              <w:rPr>
                <w:rFonts w:eastAsia="Times New Roman"/>
                <w:b/>
                <w:bCs/>
                <w:sz w:val="20"/>
                <w:szCs w:val="20"/>
              </w:rPr>
              <w:t>Exhibit No.</w:t>
            </w:r>
          </w:p>
        </w:tc>
        <w:tc>
          <w:tcPr>
            <w:tcW w:w="50" w:type="pct"/>
            <w:hideMark/>
          </w:tcPr>
          <w:p w:rsidR="00000000" w:rsidRDefault="00B46E81">
            <w:pPr>
              <w:rPr>
                <w:rFonts w:eastAsia="Times New Roman"/>
                <w:sz w:val="20"/>
                <w:szCs w:val="20"/>
              </w:rPr>
            </w:pPr>
            <w:r>
              <w:rPr>
                <w:rFonts w:eastAsia="Times New Roman"/>
                <w:sz w:val="20"/>
                <w:szCs w:val="20"/>
              </w:rPr>
              <w:t> </w:t>
            </w:r>
          </w:p>
        </w:tc>
        <w:tc>
          <w:tcPr>
            <w:tcW w:w="4550" w:type="pct"/>
            <w:tcBorders>
              <w:bottom w:val="single" w:sz="12" w:space="0" w:color="000000"/>
            </w:tcBorders>
            <w:hideMark/>
          </w:tcPr>
          <w:p w:rsidR="00000000" w:rsidRDefault="00B46E81">
            <w:pPr>
              <w:rPr>
                <w:rFonts w:eastAsia="Times New Roman"/>
                <w:sz w:val="20"/>
                <w:szCs w:val="20"/>
              </w:rPr>
            </w:pPr>
            <w:r>
              <w:rPr>
                <w:rFonts w:eastAsia="Times New Roman"/>
                <w:b/>
                <w:bCs/>
                <w:sz w:val="20"/>
                <w:szCs w:val="20"/>
              </w:rPr>
              <w:t>Description</w:t>
            </w:r>
          </w:p>
        </w:tc>
      </w:tr>
      <w:tr w:rsidR="00000000">
        <w:trPr>
          <w:divId w:val="1088308932"/>
        </w:trPr>
        <w:tc>
          <w:tcPr>
            <w:tcW w:w="0" w:type="auto"/>
            <w:shd w:val="clear" w:color="auto" w:fill="CCEEFF"/>
            <w:hideMark/>
          </w:tcPr>
          <w:p w:rsidR="00000000" w:rsidRDefault="00B46E81">
            <w:pPr>
              <w:rPr>
                <w:rFonts w:eastAsia="Times New Roman"/>
                <w:sz w:val="20"/>
                <w:szCs w:val="20"/>
              </w:rPr>
            </w:pPr>
            <w:r>
              <w:rPr>
                <w:rFonts w:eastAsia="Times New Roman"/>
                <w:sz w:val="20"/>
                <w:szCs w:val="20"/>
              </w:rPr>
              <w:t>31.1</w:t>
            </w:r>
          </w:p>
        </w:tc>
        <w:tc>
          <w:tcPr>
            <w:tcW w:w="0" w:type="auto"/>
            <w:shd w:val="clear" w:color="auto" w:fill="CCEEFF"/>
            <w:hideMark/>
          </w:tcPr>
          <w:p w:rsidR="00000000" w:rsidRDefault="00B46E81">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B46E81">
            <w:pPr>
              <w:jc w:val="both"/>
              <w:rPr>
                <w:rFonts w:eastAsia="Times New Roman"/>
                <w:sz w:val="20"/>
                <w:szCs w:val="20"/>
              </w:rPr>
            </w:pPr>
            <w:hyperlink r:id="rId4" w:history="1">
              <w:r>
                <w:rPr>
                  <w:rStyle w:val="a4"/>
                  <w:rFonts w:eastAsia="Times New Roman"/>
                  <w:sz w:val="20"/>
                  <w:szCs w:val="20"/>
                </w:rPr>
                <w:t>Certification of the Chief Executive Officer and Chief Financial Officer pursuant to Section 302 of the Sarbanes-Oxley Act of 2002</w:t>
              </w:r>
            </w:hyperlink>
          </w:p>
        </w:tc>
      </w:tr>
      <w:tr w:rsidR="00000000">
        <w:trPr>
          <w:divId w:val="1088308932"/>
        </w:trPr>
        <w:tc>
          <w:tcPr>
            <w:tcW w:w="0" w:type="auto"/>
            <w:hideMark/>
          </w:tcPr>
          <w:p w:rsidR="00000000" w:rsidRDefault="00B46E81">
            <w:pPr>
              <w:rPr>
                <w:rFonts w:eastAsia="Times New Roman"/>
                <w:sz w:val="20"/>
                <w:szCs w:val="20"/>
              </w:rPr>
            </w:pPr>
            <w:r>
              <w:rPr>
                <w:rFonts w:eastAsia="Times New Roman"/>
                <w:sz w:val="20"/>
                <w:szCs w:val="20"/>
              </w:rPr>
              <w:t>32.1</w:t>
            </w:r>
          </w:p>
        </w:tc>
        <w:tc>
          <w:tcPr>
            <w:tcW w:w="0" w:type="auto"/>
            <w:hideMark/>
          </w:tcPr>
          <w:p w:rsidR="00000000" w:rsidRDefault="00B46E81">
            <w:pPr>
              <w:jc w:val="both"/>
              <w:rPr>
                <w:rFonts w:eastAsia="Times New Roman"/>
                <w:sz w:val="20"/>
                <w:szCs w:val="20"/>
              </w:rPr>
            </w:pPr>
            <w:r>
              <w:rPr>
                <w:rFonts w:eastAsia="Times New Roman"/>
                <w:sz w:val="20"/>
                <w:szCs w:val="20"/>
              </w:rPr>
              <w:t> </w:t>
            </w:r>
          </w:p>
        </w:tc>
        <w:tc>
          <w:tcPr>
            <w:tcW w:w="0" w:type="auto"/>
            <w:hideMark/>
          </w:tcPr>
          <w:p w:rsidR="00000000" w:rsidRDefault="00B46E81">
            <w:pPr>
              <w:jc w:val="both"/>
              <w:rPr>
                <w:rFonts w:eastAsia="Times New Roman"/>
                <w:sz w:val="20"/>
                <w:szCs w:val="20"/>
              </w:rPr>
            </w:pPr>
            <w:hyperlink r:id="rId5" w:history="1">
              <w:r>
                <w:rPr>
                  <w:rStyle w:val="a4"/>
                  <w:rFonts w:eastAsia="Times New Roman"/>
                  <w:sz w:val="20"/>
                  <w:szCs w:val="20"/>
                </w:rPr>
                <w:t>Certification pursuant to Section 906 of the Sarbanes-Oxley Act of 2002</w:t>
              </w:r>
            </w:hyperlink>
          </w:p>
        </w:tc>
      </w:tr>
      <w:tr w:rsidR="00000000">
        <w:trPr>
          <w:divId w:val="1088308932"/>
        </w:trPr>
        <w:tc>
          <w:tcPr>
            <w:tcW w:w="0" w:type="auto"/>
            <w:shd w:val="clear" w:color="auto" w:fill="CCEEFF"/>
            <w:hideMark/>
          </w:tcPr>
          <w:p w:rsidR="00000000" w:rsidRDefault="00B46E81">
            <w:pPr>
              <w:rPr>
                <w:rFonts w:eastAsia="Times New Roman"/>
                <w:sz w:val="20"/>
                <w:szCs w:val="20"/>
              </w:rPr>
            </w:pPr>
            <w:r>
              <w:rPr>
                <w:rFonts w:eastAsia="Times New Roman"/>
                <w:sz w:val="20"/>
                <w:szCs w:val="20"/>
              </w:rPr>
              <w:t>101.INS</w:t>
            </w:r>
          </w:p>
        </w:tc>
        <w:tc>
          <w:tcPr>
            <w:tcW w:w="0" w:type="auto"/>
            <w:shd w:val="clear" w:color="auto" w:fill="CCEEFF"/>
            <w:hideMark/>
          </w:tcPr>
          <w:p w:rsidR="00000000" w:rsidRDefault="00B46E81">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B46E81">
            <w:pPr>
              <w:jc w:val="both"/>
              <w:rPr>
                <w:rFonts w:eastAsia="Times New Roman"/>
                <w:sz w:val="20"/>
                <w:szCs w:val="20"/>
              </w:rPr>
            </w:pPr>
            <w:r>
              <w:rPr>
                <w:rFonts w:eastAsia="Times New Roman"/>
                <w:sz w:val="20"/>
                <w:szCs w:val="20"/>
              </w:rPr>
              <w:t>Inline XBRL Instance Document</w:t>
            </w:r>
          </w:p>
        </w:tc>
      </w:tr>
      <w:tr w:rsidR="00000000">
        <w:trPr>
          <w:divId w:val="1088308932"/>
        </w:trPr>
        <w:tc>
          <w:tcPr>
            <w:tcW w:w="0" w:type="auto"/>
            <w:hideMark/>
          </w:tcPr>
          <w:p w:rsidR="00000000" w:rsidRDefault="00B46E81">
            <w:pPr>
              <w:rPr>
                <w:rFonts w:eastAsia="Times New Roman"/>
                <w:sz w:val="20"/>
                <w:szCs w:val="20"/>
              </w:rPr>
            </w:pPr>
            <w:r>
              <w:rPr>
                <w:rFonts w:eastAsia="Times New Roman"/>
                <w:sz w:val="20"/>
                <w:szCs w:val="20"/>
              </w:rPr>
              <w:t>101.SCH</w:t>
            </w:r>
          </w:p>
        </w:tc>
        <w:tc>
          <w:tcPr>
            <w:tcW w:w="0" w:type="auto"/>
            <w:hideMark/>
          </w:tcPr>
          <w:p w:rsidR="00000000" w:rsidRDefault="00B46E81">
            <w:pPr>
              <w:jc w:val="both"/>
              <w:rPr>
                <w:rFonts w:eastAsia="Times New Roman"/>
                <w:sz w:val="20"/>
                <w:szCs w:val="20"/>
              </w:rPr>
            </w:pPr>
            <w:r>
              <w:rPr>
                <w:rFonts w:eastAsia="Times New Roman"/>
                <w:sz w:val="20"/>
                <w:szCs w:val="20"/>
              </w:rPr>
              <w:t> </w:t>
            </w:r>
          </w:p>
        </w:tc>
        <w:tc>
          <w:tcPr>
            <w:tcW w:w="0" w:type="auto"/>
            <w:hideMark/>
          </w:tcPr>
          <w:p w:rsidR="00000000" w:rsidRDefault="00B46E81">
            <w:pPr>
              <w:jc w:val="both"/>
              <w:rPr>
                <w:rFonts w:eastAsia="Times New Roman"/>
                <w:sz w:val="20"/>
                <w:szCs w:val="20"/>
              </w:rPr>
            </w:pPr>
            <w:r>
              <w:rPr>
                <w:rFonts w:eastAsia="Times New Roman"/>
                <w:sz w:val="20"/>
                <w:szCs w:val="20"/>
              </w:rPr>
              <w:t>Inline XBRL Taxonomy Extension Schema Document</w:t>
            </w:r>
          </w:p>
        </w:tc>
      </w:tr>
      <w:tr w:rsidR="00000000">
        <w:trPr>
          <w:divId w:val="1088308932"/>
        </w:trPr>
        <w:tc>
          <w:tcPr>
            <w:tcW w:w="0" w:type="auto"/>
            <w:shd w:val="clear" w:color="auto" w:fill="CCEEFF"/>
            <w:hideMark/>
          </w:tcPr>
          <w:p w:rsidR="00000000" w:rsidRDefault="00B46E81">
            <w:pPr>
              <w:rPr>
                <w:rFonts w:eastAsia="Times New Roman"/>
                <w:sz w:val="20"/>
                <w:szCs w:val="20"/>
              </w:rPr>
            </w:pPr>
            <w:r>
              <w:rPr>
                <w:rFonts w:eastAsia="Times New Roman"/>
                <w:sz w:val="20"/>
                <w:szCs w:val="20"/>
              </w:rPr>
              <w:t>101.CAL</w:t>
            </w:r>
          </w:p>
        </w:tc>
        <w:tc>
          <w:tcPr>
            <w:tcW w:w="0" w:type="auto"/>
            <w:shd w:val="clear" w:color="auto" w:fill="CCEEFF"/>
            <w:hideMark/>
          </w:tcPr>
          <w:p w:rsidR="00000000" w:rsidRDefault="00B46E81">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B46E81">
            <w:pPr>
              <w:jc w:val="both"/>
              <w:rPr>
                <w:rFonts w:eastAsia="Times New Roman"/>
                <w:sz w:val="20"/>
                <w:szCs w:val="20"/>
              </w:rPr>
            </w:pPr>
            <w:r>
              <w:rPr>
                <w:rFonts w:eastAsia="Times New Roman"/>
                <w:sz w:val="20"/>
                <w:szCs w:val="20"/>
              </w:rPr>
              <w:t>Inline XBRL Taxonomy Calculation Linkbase Document</w:t>
            </w:r>
          </w:p>
        </w:tc>
      </w:tr>
      <w:tr w:rsidR="00000000">
        <w:trPr>
          <w:divId w:val="1088308932"/>
        </w:trPr>
        <w:tc>
          <w:tcPr>
            <w:tcW w:w="0" w:type="auto"/>
            <w:hideMark/>
          </w:tcPr>
          <w:p w:rsidR="00000000" w:rsidRDefault="00B46E81">
            <w:pPr>
              <w:rPr>
                <w:rFonts w:eastAsia="Times New Roman"/>
                <w:sz w:val="20"/>
                <w:szCs w:val="20"/>
              </w:rPr>
            </w:pPr>
            <w:r>
              <w:rPr>
                <w:rFonts w:eastAsia="Times New Roman"/>
                <w:sz w:val="20"/>
                <w:szCs w:val="20"/>
              </w:rPr>
              <w:t>101.DEF</w:t>
            </w:r>
          </w:p>
        </w:tc>
        <w:tc>
          <w:tcPr>
            <w:tcW w:w="0" w:type="auto"/>
            <w:hideMark/>
          </w:tcPr>
          <w:p w:rsidR="00000000" w:rsidRDefault="00B46E81">
            <w:pPr>
              <w:jc w:val="both"/>
              <w:rPr>
                <w:rFonts w:eastAsia="Times New Roman"/>
                <w:sz w:val="20"/>
                <w:szCs w:val="20"/>
              </w:rPr>
            </w:pPr>
            <w:r>
              <w:rPr>
                <w:rFonts w:eastAsia="Times New Roman"/>
                <w:sz w:val="20"/>
                <w:szCs w:val="20"/>
              </w:rPr>
              <w:t> </w:t>
            </w:r>
          </w:p>
        </w:tc>
        <w:tc>
          <w:tcPr>
            <w:tcW w:w="0" w:type="auto"/>
            <w:hideMark/>
          </w:tcPr>
          <w:p w:rsidR="00000000" w:rsidRDefault="00B46E81">
            <w:pPr>
              <w:jc w:val="both"/>
              <w:rPr>
                <w:rFonts w:eastAsia="Times New Roman"/>
                <w:sz w:val="20"/>
                <w:szCs w:val="20"/>
              </w:rPr>
            </w:pPr>
            <w:r>
              <w:rPr>
                <w:rFonts w:eastAsia="Times New Roman"/>
                <w:sz w:val="20"/>
                <w:szCs w:val="20"/>
              </w:rPr>
              <w:t>Inline XBRL Taxonomy Extension Definition Linkbase Document</w:t>
            </w:r>
          </w:p>
        </w:tc>
      </w:tr>
      <w:tr w:rsidR="00000000">
        <w:trPr>
          <w:divId w:val="1088308932"/>
        </w:trPr>
        <w:tc>
          <w:tcPr>
            <w:tcW w:w="0" w:type="auto"/>
            <w:shd w:val="clear" w:color="auto" w:fill="CCEEFF"/>
            <w:hideMark/>
          </w:tcPr>
          <w:p w:rsidR="00000000" w:rsidRDefault="00B46E81">
            <w:pPr>
              <w:rPr>
                <w:rFonts w:eastAsia="Times New Roman"/>
                <w:sz w:val="20"/>
                <w:szCs w:val="20"/>
              </w:rPr>
            </w:pPr>
            <w:r>
              <w:rPr>
                <w:rFonts w:eastAsia="Times New Roman"/>
                <w:sz w:val="20"/>
                <w:szCs w:val="20"/>
              </w:rPr>
              <w:t>101.LAB</w:t>
            </w:r>
          </w:p>
        </w:tc>
        <w:tc>
          <w:tcPr>
            <w:tcW w:w="0" w:type="auto"/>
            <w:shd w:val="clear" w:color="auto" w:fill="CCEEFF"/>
            <w:hideMark/>
          </w:tcPr>
          <w:p w:rsidR="00000000" w:rsidRDefault="00B46E81">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B46E81">
            <w:pPr>
              <w:jc w:val="both"/>
              <w:rPr>
                <w:rFonts w:eastAsia="Times New Roman"/>
                <w:sz w:val="20"/>
                <w:szCs w:val="20"/>
              </w:rPr>
            </w:pPr>
            <w:r>
              <w:rPr>
                <w:rFonts w:eastAsia="Times New Roman"/>
                <w:sz w:val="20"/>
                <w:szCs w:val="20"/>
              </w:rPr>
              <w:t>Inline XBRL Ta</w:t>
            </w:r>
            <w:r>
              <w:rPr>
                <w:rFonts w:eastAsia="Times New Roman"/>
                <w:sz w:val="20"/>
                <w:szCs w:val="20"/>
              </w:rPr>
              <w:t>xonomy Label Linkbase Document</w:t>
            </w:r>
          </w:p>
        </w:tc>
      </w:tr>
      <w:tr w:rsidR="00000000">
        <w:trPr>
          <w:divId w:val="1088308932"/>
        </w:trPr>
        <w:tc>
          <w:tcPr>
            <w:tcW w:w="0" w:type="auto"/>
            <w:hideMark/>
          </w:tcPr>
          <w:p w:rsidR="00000000" w:rsidRDefault="00B46E81">
            <w:pPr>
              <w:rPr>
                <w:rFonts w:eastAsia="Times New Roman"/>
                <w:sz w:val="20"/>
                <w:szCs w:val="20"/>
              </w:rPr>
            </w:pPr>
            <w:r>
              <w:rPr>
                <w:rFonts w:eastAsia="Times New Roman"/>
                <w:sz w:val="20"/>
                <w:szCs w:val="20"/>
              </w:rPr>
              <w:t>101.PRE</w:t>
            </w:r>
          </w:p>
        </w:tc>
        <w:tc>
          <w:tcPr>
            <w:tcW w:w="0" w:type="auto"/>
            <w:hideMark/>
          </w:tcPr>
          <w:p w:rsidR="00000000" w:rsidRDefault="00B46E81">
            <w:pPr>
              <w:jc w:val="both"/>
              <w:rPr>
                <w:rFonts w:eastAsia="Times New Roman"/>
                <w:sz w:val="20"/>
                <w:szCs w:val="20"/>
              </w:rPr>
            </w:pPr>
            <w:r>
              <w:rPr>
                <w:rFonts w:eastAsia="Times New Roman"/>
                <w:sz w:val="20"/>
                <w:szCs w:val="20"/>
              </w:rPr>
              <w:t> </w:t>
            </w:r>
          </w:p>
        </w:tc>
        <w:tc>
          <w:tcPr>
            <w:tcW w:w="0" w:type="auto"/>
            <w:hideMark/>
          </w:tcPr>
          <w:p w:rsidR="00000000" w:rsidRDefault="00B46E81">
            <w:pPr>
              <w:jc w:val="both"/>
              <w:rPr>
                <w:rFonts w:eastAsia="Times New Roman"/>
                <w:sz w:val="20"/>
                <w:szCs w:val="20"/>
              </w:rPr>
            </w:pPr>
            <w:r>
              <w:rPr>
                <w:rFonts w:eastAsia="Times New Roman"/>
                <w:sz w:val="20"/>
                <w:szCs w:val="20"/>
              </w:rPr>
              <w:t>Inline XBRL Taxonomy Presentation Linkbase Document</w:t>
            </w:r>
          </w:p>
        </w:tc>
      </w:tr>
      <w:tr w:rsidR="00000000">
        <w:trPr>
          <w:divId w:val="1088308932"/>
        </w:trPr>
        <w:tc>
          <w:tcPr>
            <w:tcW w:w="0" w:type="auto"/>
            <w:shd w:val="clear" w:color="auto" w:fill="CCEEFF"/>
            <w:hideMark/>
          </w:tcPr>
          <w:p w:rsidR="00000000" w:rsidRDefault="00B46E81">
            <w:pPr>
              <w:rPr>
                <w:rFonts w:eastAsia="Times New Roman"/>
                <w:sz w:val="20"/>
                <w:szCs w:val="20"/>
              </w:rPr>
            </w:pPr>
            <w:r>
              <w:rPr>
                <w:rFonts w:eastAsia="Times New Roman"/>
                <w:sz w:val="20"/>
                <w:szCs w:val="20"/>
              </w:rPr>
              <w:t>104</w:t>
            </w:r>
          </w:p>
        </w:tc>
        <w:tc>
          <w:tcPr>
            <w:tcW w:w="0" w:type="auto"/>
            <w:shd w:val="clear" w:color="auto" w:fill="CCEEFF"/>
            <w:hideMark/>
          </w:tcPr>
          <w:p w:rsidR="00000000" w:rsidRDefault="00B46E81">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B46E81">
            <w:pPr>
              <w:jc w:val="both"/>
              <w:rPr>
                <w:rFonts w:eastAsia="Times New Roman"/>
                <w:sz w:val="20"/>
                <w:szCs w:val="20"/>
              </w:rPr>
            </w:pPr>
            <w:r>
              <w:rPr>
                <w:rFonts w:eastAsia="Times New Roman"/>
                <w:sz w:val="20"/>
                <w:szCs w:val="20"/>
              </w:rPr>
              <w:t>Cover Page Interactive Data File (formatted as Inline XBRL and contained in exhibit 101).</w:t>
            </w:r>
          </w:p>
        </w:tc>
      </w:tr>
    </w:tbl>
    <w:p w:rsidR="00000000" w:rsidRDefault="00B46E81">
      <w:pPr>
        <w:pStyle w:val="a3"/>
        <w:spacing w:before="0" w:beforeAutospacing="0" w:after="0" w:afterAutospacing="0"/>
        <w:divId w:val="1088308932"/>
        <w:rPr>
          <w:sz w:val="20"/>
          <w:szCs w:val="20"/>
        </w:rPr>
      </w:pPr>
      <w:r>
        <w:rPr>
          <w:b/>
          <w:bCs/>
          <w:sz w:val="20"/>
          <w:szCs w:val="20"/>
        </w:rPr>
        <w:t> </w:t>
      </w:r>
    </w:p>
    <w:p w:rsidR="00000000" w:rsidRDefault="00B46E81">
      <w:pPr>
        <w:pStyle w:val="a3"/>
        <w:spacing w:before="0" w:beforeAutospacing="0" w:after="0" w:afterAutospacing="0"/>
        <w:jc w:val="center"/>
        <w:divId w:val="1146974856"/>
        <w:rPr>
          <w:sz w:val="20"/>
          <w:szCs w:val="20"/>
        </w:rPr>
      </w:pPr>
      <w:r>
        <w:rPr>
          <w:sz w:val="20"/>
          <w:szCs w:val="20"/>
        </w:rPr>
        <w:t>2</w:t>
      </w:r>
      <w:r>
        <w:rPr>
          <w:sz w:val="20"/>
          <w:szCs w:val="20"/>
        </w:rPr>
        <w:t>1</w:t>
      </w:r>
    </w:p>
    <w:p w:rsidR="00000000" w:rsidRDefault="00B46E81">
      <w:pPr>
        <w:pStyle w:val="a3"/>
        <w:spacing w:before="0" w:beforeAutospacing="0" w:after="0" w:afterAutospacing="0"/>
        <w:divId w:val="1782649859"/>
        <w:rPr>
          <w:sz w:val="20"/>
          <w:szCs w:val="20"/>
        </w:rPr>
      </w:pPr>
      <w:r>
        <w:rPr>
          <w:sz w:val="20"/>
          <w:szCs w:val="20"/>
        </w:rPr>
        <w:t> </w:t>
      </w:r>
    </w:p>
    <w:p w:rsidR="00000000" w:rsidRDefault="00B46E81">
      <w:pPr>
        <w:pStyle w:val="a3"/>
        <w:spacing w:before="0" w:beforeAutospacing="0" w:after="0" w:afterAutospacing="0"/>
        <w:divId w:val="1088308932"/>
        <w:rPr>
          <w:sz w:val="20"/>
          <w:szCs w:val="20"/>
        </w:rPr>
      </w:pPr>
      <w:r>
        <w:rPr>
          <w:sz w:val="20"/>
          <w:szCs w:val="20"/>
        </w:rPr>
        <w:t> </w:t>
      </w:r>
    </w:p>
    <w:p w:rsidR="00000000" w:rsidRDefault="00B46E81">
      <w:pPr>
        <w:pStyle w:val="a3"/>
        <w:spacing w:before="0" w:beforeAutospacing="0" w:after="0" w:afterAutospacing="0"/>
        <w:jc w:val="center"/>
        <w:divId w:val="1088308932"/>
        <w:rPr>
          <w:sz w:val="20"/>
          <w:szCs w:val="20"/>
        </w:rPr>
      </w:pPr>
      <w:r>
        <w:rPr>
          <w:b/>
          <w:bCs/>
          <w:sz w:val="20"/>
          <w:szCs w:val="20"/>
        </w:rPr>
        <w:t>SIGNATURES</w:t>
      </w:r>
    </w:p>
    <w:p w:rsidR="00000000" w:rsidRDefault="00B46E81">
      <w:pPr>
        <w:pStyle w:val="a3"/>
        <w:spacing w:before="0" w:beforeAutospacing="0" w:after="0" w:afterAutospacing="0"/>
        <w:jc w:val="center"/>
        <w:divId w:val="1088308932"/>
        <w:rPr>
          <w:sz w:val="20"/>
          <w:szCs w:val="20"/>
        </w:rPr>
      </w:pPr>
      <w:r>
        <w:rPr>
          <w:b/>
          <w:bCs/>
          <w:sz w:val="20"/>
          <w:szCs w:val="20"/>
        </w:rPr>
        <w:t> </w:t>
      </w:r>
    </w:p>
    <w:p w:rsidR="00000000" w:rsidRDefault="00B46E81">
      <w:pPr>
        <w:pStyle w:val="a3"/>
        <w:spacing w:before="0" w:beforeAutospacing="0" w:after="0" w:afterAutospacing="0"/>
        <w:jc w:val="both"/>
        <w:divId w:val="1088308932"/>
        <w:rPr>
          <w:sz w:val="20"/>
          <w:szCs w:val="20"/>
        </w:rPr>
      </w:pPr>
      <w:r>
        <w:rPr>
          <w:sz w:val="20"/>
          <w:szCs w:val="20"/>
        </w:rPr>
        <w:t xml:space="preserve">Pursuant </w:t>
      </w:r>
      <w:r>
        <w:rPr>
          <w:sz w:val="20"/>
          <w:szCs w:val="20"/>
        </w:rPr>
        <w:t>to the requirements of the Securities Exchange Act of 1934, the registrant has duly caused this report to be signed on its behalf by the undersigned thereunto duly authorized.</w:t>
      </w:r>
    </w:p>
    <w:p w:rsidR="00000000" w:rsidRDefault="00B46E81">
      <w:pPr>
        <w:pStyle w:val="a3"/>
        <w:spacing w:before="0" w:beforeAutospacing="0" w:after="0" w:afterAutospacing="0"/>
        <w:jc w:val="both"/>
        <w:divId w:val="10883089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4"/>
        <w:gridCol w:w="332"/>
        <w:gridCol w:w="2990"/>
      </w:tblGrid>
      <w:tr w:rsidR="00000000">
        <w:trPr>
          <w:divId w:val="1088308932"/>
        </w:trPr>
        <w:tc>
          <w:tcPr>
            <w:tcW w:w="0" w:type="auto"/>
            <w:hideMark/>
          </w:tcPr>
          <w:p w:rsidR="00000000" w:rsidRDefault="00B46E81">
            <w:pPr>
              <w:jc w:val="both"/>
              <w:rPr>
                <w:rFonts w:eastAsia="Times New Roman"/>
                <w:sz w:val="20"/>
                <w:szCs w:val="20"/>
              </w:rPr>
            </w:pPr>
            <w:r>
              <w:rPr>
                <w:rFonts w:eastAsia="Times New Roman"/>
                <w:sz w:val="20"/>
                <w:szCs w:val="20"/>
              </w:rPr>
              <w:t> </w:t>
            </w:r>
          </w:p>
        </w:tc>
        <w:tc>
          <w:tcPr>
            <w:tcW w:w="0" w:type="auto"/>
            <w:gridSpan w:val="2"/>
            <w:hideMark/>
          </w:tcPr>
          <w:p w:rsidR="00000000" w:rsidRDefault="00B46E81">
            <w:pPr>
              <w:rPr>
                <w:rFonts w:eastAsia="Times New Roman"/>
                <w:sz w:val="20"/>
                <w:szCs w:val="20"/>
              </w:rPr>
            </w:pPr>
            <w:r>
              <w:rPr>
                <w:rFonts w:eastAsia="Times New Roman"/>
                <w:b/>
                <w:bCs/>
                <w:sz w:val="20"/>
                <w:szCs w:val="20"/>
              </w:rPr>
              <w:t>REMSLEEP HOLDINGS, INC.</w:t>
            </w:r>
          </w:p>
        </w:tc>
      </w:tr>
      <w:tr w:rsidR="00000000">
        <w:trPr>
          <w:divId w:val="1088308932"/>
        </w:trPr>
        <w:tc>
          <w:tcPr>
            <w:tcW w:w="3000" w:type="pct"/>
            <w:hideMark/>
          </w:tcPr>
          <w:p w:rsidR="00000000" w:rsidRDefault="00B46E81">
            <w:pPr>
              <w:jc w:val="both"/>
              <w:rPr>
                <w:rFonts w:eastAsia="Times New Roman"/>
                <w:sz w:val="20"/>
                <w:szCs w:val="20"/>
              </w:rPr>
            </w:pPr>
            <w:r>
              <w:rPr>
                <w:rFonts w:eastAsia="Times New Roman"/>
                <w:sz w:val="20"/>
                <w:szCs w:val="20"/>
              </w:rPr>
              <w:t> </w:t>
            </w:r>
          </w:p>
        </w:tc>
        <w:tc>
          <w:tcPr>
            <w:tcW w:w="200" w:type="pct"/>
            <w:hideMark/>
          </w:tcPr>
          <w:p w:rsidR="00000000" w:rsidRDefault="00B46E81">
            <w:pPr>
              <w:rPr>
                <w:rFonts w:eastAsia="Times New Roman"/>
                <w:sz w:val="20"/>
                <w:szCs w:val="20"/>
              </w:rPr>
            </w:pPr>
            <w:r>
              <w:rPr>
                <w:rFonts w:eastAsia="Times New Roman"/>
                <w:sz w:val="20"/>
                <w:szCs w:val="20"/>
              </w:rPr>
              <w:t> </w:t>
            </w:r>
          </w:p>
        </w:tc>
        <w:tc>
          <w:tcPr>
            <w:tcW w:w="1800" w:type="pct"/>
            <w:hideMark/>
          </w:tcPr>
          <w:p w:rsidR="00000000" w:rsidRDefault="00B46E81">
            <w:pPr>
              <w:rPr>
                <w:rFonts w:eastAsia="Times New Roman"/>
                <w:sz w:val="20"/>
                <w:szCs w:val="20"/>
              </w:rPr>
            </w:pPr>
            <w:r>
              <w:rPr>
                <w:rFonts w:eastAsia="Times New Roman"/>
                <w:sz w:val="20"/>
                <w:szCs w:val="20"/>
              </w:rPr>
              <w:t> </w:t>
            </w:r>
          </w:p>
        </w:tc>
      </w:tr>
      <w:tr w:rsidR="00000000">
        <w:trPr>
          <w:divId w:val="1088308932"/>
        </w:trPr>
        <w:tc>
          <w:tcPr>
            <w:tcW w:w="0" w:type="auto"/>
            <w:hideMark/>
          </w:tcPr>
          <w:p w:rsidR="00000000" w:rsidRDefault="00B46E81">
            <w:pPr>
              <w:rPr>
                <w:rFonts w:eastAsia="Times New Roman"/>
                <w:sz w:val="20"/>
                <w:szCs w:val="20"/>
              </w:rPr>
            </w:pPr>
            <w:r>
              <w:rPr>
                <w:rFonts w:eastAsia="Times New Roman"/>
                <w:sz w:val="20"/>
                <w:szCs w:val="20"/>
              </w:rPr>
              <w:t>Date: November 14, 2022</w:t>
            </w:r>
          </w:p>
        </w:tc>
        <w:tc>
          <w:tcPr>
            <w:tcW w:w="0" w:type="auto"/>
            <w:hideMark/>
          </w:tcPr>
          <w:p w:rsidR="00000000" w:rsidRDefault="00B46E81">
            <w:pPr>
              <w:jc w:val="both"/>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B46E81">
            <w:pPr>
              <w:jc w:val="both"/>
              <w:rPr>
                <w:rFonts w:eastAsia="Times New Roman"/>
                <w:sz w:val="20"/>
                <w:szCs w:val="20"/>
              </w:rPr>
            </w:pPr>
            <w:r>
              <w:rPr>
                <w:rFonts w:eastAsia="Times New Roman"/>
                <w:i/>
                <w:iCs/>
                <w:sz w:val="20"/>
                <w:szCs w:val="20"/>
              </w:rPr>
              <w:t>/s/ Thomas J. Wood</w:t>
            </w:r>
          </w:p>
        </w:tc>
      </w:tr>
      <w:tr w:rsidR="00000000">
        <w:trPr>
          <w:divId w:val="1088308932"/>
        </w:trPr>
        <w:tc>
          <w:tcPr>
            <w:tcW w:w="0" w:type="auto"/>
            <w:hideMark/>
          </w:tcPr>
          <w:p w:rsidR="00000000" w:rsidRDefault="00B46E81">
            <w:pPr>
              <w:jc w:val="both"/>
              <w:rPr>
                <w:rFonts w:eastAsia="Times New Roman"/>
                <w:sz w:val="20"/>
                <w:szCs w:val="20"/>
              </w:rPr>
            </w:pPr>
            <w:r>
              <w:rPr>
                <w:rFonts w:eastAsia="Times New Roman"/>
                <w:sz w:val="20"/>
                <w:szCs w:val="20"/>
              </w:rPr>
              <w:t> </w:t>
            </w:r>
          </w:p>
        </w:tc>
        <w:tc>
          <w:tcPr>
            <w:tcW w:w="0" w:type="auto"/>
            <w:hideMark/>
          </w:tcPr>
          <w:p w:rsidR="00000000" w:rsidRDefault="00B46E81">
            <w:pPr>
              <w:jc w:val="both"/>
              <w:rPr>
                <w:rFonts w:eastAsia="Times New Roman"/>
                <w:sz w:val="20"/>
                <w:szCs w:val="20"/>
              </w:rPr>
            </w:pPr>
            <w:r>
              <w:rPr>
                <w:rFonts w:eastAsia="Times New Roman"/>
                <w:sz w:val="20"/>
                <w:szCs w:val="20"/>
              </w:rPr>
              <w:t> </w:t>
            </w:r>
          </w:p>
        </w:tc>
        <w:tc>
          <w:tcPr>
            <w:tcW w:w="0" w:type="auto"/>
            <w:hideMark/>
          </w:tcPr>
          <w:p w:rsidR="00000000" w:rsidRDefault="00B46E81">
            <w:pPr>
              <w:jc w:val="both"/>
              <w:rPr>
                <w:rFonts w:eastAsia="Times New Roman"/>
                <w:sz w:val="20"/>
                <w:szCs w:val="20"/>
              </w:rPr>
            </w:pPr>
            <w:r>
              <w:rPr>
                <w:rFonts w:eastAsia="Times New Roman"/>
                <w:sz w:val="20"/>
                <w:szCs w:val="20"/>
              </w:rPr>
              <w:t>Thomas J. Wood</w:t>
            </w:r>
          </w:p>
        </w:tc>
      </w:tr>
      <w:tr w:rsidR="00000000">
        <w:trPr>
          <w:divId w:val="1088308932"/>
        </w:trPr>
        <w:tc>
          <w:tcPr>
            <w:tcW w:w="0" w:type="auto"/>
            <w:hideMark/>
          </w:tcPr>
          <w:p w:rsidR="00000000" w:rsidRDefault="00B46E81">
            <w:pPr>
              <w:jc w:val="both"/>
              <w:rPr>
                <w:rFonts w:eastAsia="Times New Roman"/>
                <w:sz w:val="20"/>
                <w:szCs w:val="20"/>
              </w:rPr>
            </w:pPr>
            <w:r>
              <w:rPr>
                <w:rFonts w:eastAsia="Times New Roman"/>
                <w:sz w:val="20"/>
                <w:szCs w:val="20"/>
              </w:rPr>
              <w:t> </w:t>
            </w:r>
          </w:p>
        </w:tc>
        <w:tc>
          <w:tcPr>
            <w:tcW w:w="0" w:type="auto"/>
            <w:hideMark/>
          </w:tcPr>
          <w:p w:rsidR="00000000" w:rsidRDefault="00B46E81">
            <w:pPr>
              <w:rPr>
                <w:rFonts w:eastAsia="Times New Roman"/>
                <w:sz w:val="20"/>
                <w:szCs w:val="20"/>
              </w:rPr>
            </w:pPr>
            <w:r>
              <w:rPr>
                <w:rFonts w:eastAsia="Times New Roman"/>
                <w:sz w:val="20"/>
                <w:szCs w:val="20"/>
              </w:rPr>
              <w:t> </w:t>
            </w:r>
          </w:p>
        </w:tc>
        <w:tc>
          <w:tcPr>
            <w:tcW w:w="0" w:type="auto"/>
            <w:hideMark/>
          </w:tcPr>
          <w:p w:rsidR="00000000" w:rsidRDefault="00B46E81">
            <w:pPr>
              <w:rPr>
                <w:rFonts w:eastAsia="Times New Roman"/>
                <w:sz w:val="20"/>
                <w:szCs w:val="20"/>
              </w:rPr>
            </w:pPr>
            <w:r>
              <w:rPr>
                <w:rFonts w:eastAsia="Times New Roman"/>
                <w:sz w:val="20"/>
                <w:szCs w:val="20"/>
              </w:rPr>
              <w:t>Chief Executive Officer and Director</w:t>
            </w:r>
            <w:r>
              <w:rPr>
                <w:rFonts w:eastAsia="Times New Roman"/>
                <w:sz w:val="20"/>
                <w:szCs w:val="20"/>
              </w:rPr>
              <w:br/>
              <w:t>(Principal Executive Officer)</w:t>
            </w:r>
            <w:r>
              <w:rPr>
                <w:rFonts w:eastAsia="Times New Roman"/>
                <w:sz w:val="20"/>
                <w:szCs w:val="20"/>
              </w:rPr>
              <w:br/>
              <w:t>(Principal Financial and Accounting Officer)</w:t>
            </w:r>
          </w:p>
        </w:tc>
      </w:tr>
    </w:tbl>
    <w:p w:rsidR="00000000" w:rsidRDefault="00B46E81">
      <w:pPr>
        <w:pStyle w:val="a3"/>
        <w:spacing w:before="0" w:beforeAutospacing="0" w:after="0" w:afterAutospacing="0"/>
        <w:jc w:val="center"/>
        <w:divId w:val="1088308932"/>
        <w:rPr>
          <w:sz w:val="20"/>
          <w:szCs w:val="20"/>
        </w:rPr>
      </w:pPr>
      <w:r>
        <w:rPr>
          <w:sz w:val="20"/>
          <w:szCs w:val="20"/>
        </w:rPr>
        <w:t> </w:t>
      </w:r>
    </w:p>
    <w:p w:rsidR="00000000" w:rsidRDefault="00B46E81">
      <w:pPr>
        <w:pStyle w:val="a3"/>
        <w:spacing w:before="0" w:beforeAutospacing="0" w:after="0" w:afterAutospacing="0"/>
        <w:jc w:val="center"/>
        <w:divId w:val="1088308932"/>
        <w:rPr>
          <w:sz w:val="20"/>
          <w:szCs w:val="20"/>
        </w:rPr>
      </w:pPr>
      <w:r>
        <w:rPr>
          <w:sz w:val="20"/>
          <w:szCs w:val="20"/>
        </w:rPr>
        <w:t> </w:t>
      </w:r>
    </w:p>
    <w:p w:rsidR="00000000" w:rsidRDefault="00B46E81">
      <w:pPr>
        <w:pStyle w:val="a3"/>
        <w:spacing w:before="0" w:beforeAutospacing="0" w:after="0" w:afterAutospacing="0"/>
        <w:jc w:val="center"/>
        <w:divId w:val="1088308932"/>
        <w:rPr>
          <w:sz w:val="20"/>
          <w:szCs w:val="20"/>
        </w:rPr>
      </w:pPr>
      <w:r>
        <w:rPr>
          <w:sz w:val="20"/>
          <w:szCs w:val="20"/>
        </w:rPr>
        <w:t>22</w:t>
      </w:r>
    </w:p>
    <w:p w:rsidR="00000000" w:rsidRDefault="00B46E81">
      <w:pPr>
        <w:divId w:val="756752297"/>
        <w:rPr>
          <w:rFonts w:eastAsia="Times New Roman"/>
          <w:sz w:val="2"/>
          <w:szCs w:val="2"/>
        </w:rPr>
      </w:pPr>
      <w:r>
        <w:rPr>
          <w:rFonts w:eastAsia="Times New Roman"/>
          <w:sz w:val="2"/>
          <w:szCs w:val="2"/>
        </w:rPr>
        <w:t> </w:t>
      </w:r>
    </w:p>
    <w:p w:rsidR="00000000" w:rsidRDefault="00B46E81">
      <w:pPr>
        <w:pStyle w:val="a3"/>
        <w:spacing w:before="0" w:beforeAutospacing="0" w:after="0" w:afterAutospacing="0"/>
        <w:jc w:val="center"/>
        <w:divId w:val="1088308932"/>
        <w:rPr>
          <w:sz w:val="20"/>
          <w:szCs w:val="20"/>
        </w:rPr>
      </w:pPr>
      <w:r>
        <w:rPr>
          <w:sz w:val="20"/>
          <w:szCs w:val="20"/>
        </w:rPr>
        <w:t> </w:t>
      </w:r>
    </w:p>
    <w:p w:rsidR="00B46E81" w:rsidRDefault="00B46E81">
      <w:pPr>
        <w:divId w:val="351762712"/>
        <w:rPr>
          <w:rFonts w:eastAsia="Times New Roman"/>
          <w:vanish/>
          <w:sz w:val="20"/>
          <w:szCs w:val="20"/>
        </w:rPr>
      </w:pPr>
      <w:r>
        <w:rPr>
          <w:rFonts w:eastAsia="Times New Roman"/>
          <w:vanish/>
          <w:sz w:val="20"/>
          <w:szCs w:val="20"/>
        </w:rPr>
        <w:t xml:space="preserve">955-4465 727 0.00 0.00 0.00 0.01 1435343158 </w:t>
      </w:r>
      <w:r>
        <w:rPr>
          <w:rFonts w:eastAsia="Times New Roman"/>
          <w:vanish/>
          <w:sz w:val="20"/>
          <w:szCs w:val="20"/>
        </w:rPr>
        <w:t>1461616601 569840600 691368096 Pursuant to the terms of certain warrant agreements, when the exercise price is reduced for any reason outlined in the agreement, the number of warrant shares is increased so that the aggregated exercise price is equal to the</w:t>
      </w:r>
      <w:r>
        <w:rPr>
          <w:rFonts w:eastAsia="Times New Roman"/>
          <w:vanish/>
          <w:sz w:val="20"/>
          <w:szCs w:val="20"/>
        </w:rPr>
        <w:t xml:space="preserve"> original exercise price</w:t>
      </w:r>
      <w:r>
        <w:rPr>
          <w:rFonts w:eastAsia="Times New Roman"/>
          <w:vanish/>
          <w:sz w:val="20"/>
          <w:szCs w:val="20"/>
        </w:rPr>
        <w:t>.</w:t>
      </w:r>
      <w:r>
        <w:rPr>
          <w:rFonts w:eastAsia="Times New Roman"/>
          <w:vanish/>
          <w:sz w:val="20"/>
          <w:szCs w:val="20"/>
        </w:rPr>
        <w:t xml:space="preserve"> false --12-31 Q3 0001412126 0001412126 2022-01-01 2022-09-30 0001412126 2022-11-14 0001412126 2022-09-30 0001412126 2021-12-31 0001412126 us-gaap:SeriesAPreferredStockMember 2022-09-30 0001412126 us-gaap:SeriesAPreferredStockMembe</w:t>
      </w:r>
      <w:r>
        <w:rPr>
          <w:rFonts w:eastAsia="Times New Roman"/>
          <w:vanish/>
          <w:sz w:val="20"/>
          <w:szCs w:val="20"/>
        </w:rPr>
        <w:t xml:space="preserve">r 2021-12-31 0001412126 us-gaap:SeriesBPreferredStockMember 2022-09-30 0001412126 us-gaap:SeriesBPreferredStockMember 2021-12-31 0001412126 us-gaap:SeriesCPreferredStockMember 2022-09-30 0001412126 us-gaap:SeriesCPreferredStockMember 2021-12-31 0001412126 </w:t>
      </w:r>
      <w:r>
        <w:rPr>
          <w:rFonts w:eastAsia="Times New Roman"/>
          <w:vanish/>
          <w:sz w:val="20"/>
          <w:szCs w:val="20"/>
        </w:rPr>
        <w:t>2022-07-01 2022-09-30 0001412126 2021-07-01 2021-09-30 0001412126 2021-01-01 2021-09-30 0001412126 us-gaap:SeriesAPreferredStockMember us-gaap:PreferredStockMember 2021-12-31 0001412126 us-gaap:SeriesBPreferredStockMember us-gaap:PreferredStockMember 2021-</w:t>
      </w:r>
      <w:r>
        <w:rPr>
          <w:rFonts w:eastAsia="Times New Roman"/>
          <w:vanish/>
          <w:sz w:val="20"/>
          <w:szCs w:val="20"/>
        </w:rPr>
        <w:t>12-31 0001412126 us-gaap:CommonStockMember 2021-12-31 0001412126 rmsl:DiscountToCommonStockMember 2021-12-31 0001412126 us-gaap:AdditionalPaidInCapitalMember 2021-12-31 0001412126 us-gaap:RetainedEarningsMember 2021-12-31 0001412126 us-gaap:SeriesAPreferre</w:t>
      </w:r>
      <w:r>
        <w:rPr>
          <w:rFonts w:eastAsia="Times New Roman"/>
          <w:vanish/>
          <w:sz w:val="20"/>
          <w:szCs w:val="20"/>
        </w:rPr>
        <w:t>dStockMember us-gaap:PreferredStockMember 2022-01-01 2022-03-31 0001412126 us-gaap:SeriesBPreferredStockMember us-gaap:PreferredStockMember 2022-01-01 2022-03-31 0001412126 us-gaap:CommonStockMember 2022-01-01 2022-03-31 0001412126 rmsl:DiscountToCommonSto</w:t>
      </w:r>
      <w:r>
        <w:rPr>
          <w:rFonts w:eastAsia="Times New Roman"/>
          <w:vanish/>
          <w:sz w:val="20"/>
          <w:szCs w:val="20"/>
        </w:rPr>
        <w:t>ckMember 2022-01-01 2022-03-31 0001412126 us-gaap:AdditionalPaidInCapitalMember 2022-01-01 2022-03-31 0001412126 us-gaap:RetainedEarningsMember 2022-01-01 2022-03-31 0001412126 2022-01-01 2022-03-31 0001412126 us-gaap:SeriesAPreferredStockMember us-gaap:Pr</w:t>
      </w:r>
      <w:r>
        <w:rPr>
          <w:rFonts w:eastAsia="Times New Roman"/>
          <w:vanish/>
          <w:sz w:val="20"/>
          <w:szCs w:val="20"/>
        </w:rPr>
        <w:t>eferredStockMember 2022-03-31 0001412126 us-gaap:SeriesBPreferredStockMember us-gaap:PreferredStockMember 2022-03-31 0001412126 us-gaap:CommonStockMember 2022-03-31 0001412126 rmsl:DiscountToCommonStockMember 2022-03-31 0001412126 us-gaap:AdditionalPaidInC</w:t>
      </w:r>
      <w:r>
        <w:rPr>
          <w:rFonts w:eastAsia="Times New Roman"/>
          <w:vanish/>
          <w:sz w:val="20"/>
          <w:szCs w:val="20"/>
        </w:rPr>
        <w:t>apitalMember 2022-03-31 0001412126 us-gaap:RetainedEarningsMember 2022-03-31 0001412126 2022-03-31 0001412126 us-gaap:SeriesAPreferredStockMember us-gaap:PreferredStockMember 2022-04-01 2022-06-30 0001412126 us-gaap:SeriesBPreferredStockMember us-gaap:Pref</w:t>
      </w:r>
      <w:r>
        <w:rPr>
          <w:rFonts w:eastAsia="Times New Roman"/>
          <w:vanish/>
          <w:sz w:val="20"/>
          <w:szCs w:val="20"/>
        </w:rPr>
        <w:t>erredStockMember 2022-04-01 2022-06-30 0001412126 us-gaap:CommonStockMember 2022-04-01 2022-06-30 0001412126 rmsl:DiscountToCommonStockMember 2022-04-01 2022-06-30 0001412126 us-gaap:AdditionalPaidInCapitalMember 2022-04-01 2022-06-30 0001412126 us-gaap:Re</w:t>
      </w:r>
      <w:r>
        <w:rPr>
          <w:rFonts w:eastAsia="Times New Roman"/>
          <w:vanish/>
          <w:sz w:val="20"/>
          <w:szCs w:val="20"/>
        </w:rPr>
        <w:t>tainedEarningsMember 2022-04-01 2022-06-30 0001412126 2022-04-01 2022-06-30 0001412126 us-gaap:SeriesAPreferredStockMember us-gaap:PreferredStockMember 2022-06-30 0001412126 us-gaap:SeriesBPreferredStockMember us-gaap:PreferredStockMember 2022-06-30 000141</w:t>
      </w:r>
      <w:r>
        <w:rPr>
          <w:rFonts w:eastAsia="Times New Roman"/>
          <w:vanish/>
          <w:sz w:val="20"/>
          <w:szCs w:val="20"/>
        </w:rPr>
        <w:t>2126 us-gaap:CommonStockMember 2022-06-30 0001412126 rmsl:DiscountToCommonStockMember 2022-06-30 0001412126 us-gaap:AdditionalPaidInCapitalMember 2022-06-30 0001412126 us-gaap:RetainedEarningsMember 2022-06-30 0001412126 2022-06-30 0001412126 us-gaap:Serie</w:t>
      </w:r>
      <w:r>
        <w:rPr>
          <w:rFonts w:eastAsia="Times New Roman"/>
          <w:vanish/>
          <w:sz w:val="20"/>
          <w:szCs w:val="20"/>
        </w:rPr>
        <w:t>sAPreferredStockMember us-gaap:PreferredStockMember 2022-07-01 2022-09-30 0001412126 us-gaap:SeriesBPreferredStockMember us-gaap:PreferredStockMember 2022-07-01 2022-09-30 0001412126 us-gaap:CommonStockMember 2022-07-01 2022-09-30 0001412126 rmsl:DiscountT</w:t>
      </w:r>
      <w:r>
        <w:rPr>
          <w:rFonts w:eastAsia="Times New Roman"/>
          <w:vanish/>
          <w:sz w:val="20"/>
          <w:szCs w:val="20"/>
        </w:rPr>
        <w:t>oCommonStockMember 2022-07-01 2022-09-30 0001412126 us-gaap:AdditionalPaidInCapitalMember 2022-07-01 2022-09-30 0001412126 us-gaap:RetainedEarningsMember 2022-07-01 2022-09-30 0001412126 us-gaap:SeriesAPreferredStockMember us-gaap:PreferredStockMember 2022</w:t>
      </w:r>
      <w:r>
        <w:rPr>
          <w:rFonts w:eastAsia="Times New Roman"/>
          <w:vanish/>
          <w:sz w:val="20"/>
          <w:szCs w:val="20"/>
        </w:rPr>
        <w:t>-09-30 0001412126 us-gaap:SeriesBPreferredStockMember us-gaap:PreferredStockMember 2022-09-30 0001412126 us-gaap:CommonStockMember 2022-09-30 0001412126 rmsl:DiscountToCommonStockMember 2022-09-30 0001412126 us-gaap:AdditionalPaidInCapitalMember 2022-09-30</w:t>
      </w:r>
      <w:r>
        <w:rPr>
          <w:rFonts w:eastAsia="Times New Roman"/>
          <w:vanish/>
          <w:sz w:val="20"/>
          <w:szCs w:val="20"/>
        </w:rPr>
        <w:t xml:space="preserve"> 0001412126 us-gaap:RetainedEarningsMember 2022-09-30 0001412126 us-gaap:SeriesAPreferredStockMember us-gaap:PreferredStockMember 2020-12-31 0001412126 us-gaap:SeriesBPreferredStockMember us-gaap:PreferredStockMember 2020-12-31 0001412126 us-gaap:CommonSto</w:t>
      </w:r>
      <w:r>
        <w:rPr>
          <w:rFonts w:eastAsia="Times New Roman"/>
          <w:vanish/>
          <w:sz w:val="20"/>
          <w:szCs w:val="20"/>
        </w:rPr>
        <w:t>ckMember 2020-12-31 0001412126 us-gaap:AdditionalPaidInCapitalMember 2020-12-31 0001412126 us-gaap:RetainedEarningsMember 2020-12-31 0001412126 2020-12-31 0001412126 us-gaap:SeriesAPreferredStockMember us-gaap:PreferredStockMember 2021-01-01 2021-03-31 000</w:t>
      </w:r>
      <w:r>
        <w:rPr>
          <w:rFonts w:eastAsia="Times New Roman"/>
          <w:vanish/>
          <w:sz w:val="20"/>
          <w:szCs w:val="20"/>
        </w:rPr>
        <w:t>1412126 us-gaap:SeriesBPreferredStockMember us-gaap:PreferredStockMember 2021-01-01 2021-03-31 0001412126 us-gaap:CommonStockMember 2021-01-01 2021-03-31 0001412126 us-gaap:AdditionalPaidInCapitalMember 2021-01-01 2021-03-31 0001412126 us-gaap:RetainedEarn</w:t>
      </w:r>
      <w:r>
        <w:rPr>
          <w:rFonts w:eastAsia="Times New Roman"/>
          <w:vanish/>
          <w:sz w:val="20"/>
          <w:szCs w:val="20"/>
        </w:rPr>
        <w:t>ingsMember 2021-01-01 2021-03-31 0001412126 2021-01-01 2021-03-31 0001412126 us-gaap:SeriesAPreferredStockMember us-gaap:PreferredStockMember 2021-03-31 0001412126 us-gaap:SeriesBPreferredStockMember us-gaap:PreferredStockMember</w:t>
      </w:r>
      <w:r>
        <w:rPr>
          <w:rFonts w:eastAsia="Times New Roman"/>
          <w:vanish/>
          <w:sz w:val="20"/>
          <w:szCs w:val="20"/>
        </w:rPr>
        <w:t xml:space="preserve"> </w:t>
      </w:r>
      <w:r>
        <w:rPr>
          <w:rFonts w:eastAsia="Times New Roman"/>
          <w:vanish/>
          <w:sz w:val="20"/>
          <w:szCs w:val="20"/>
        </w:rPr>
        <w:t>2021-03-31 0001412126 us-ga</w:t>
      </w:r>
      <w:r>
        <w:rPr>
          <w:rFonts w:eastAsia="Times New Roman"/>
          <w:vanish/>
          <w:sz w:val="20"/>
          <w:szCs w:val="20"/>
        </w:rPr>
        <w:t>ap:CommonStockMember 2021-03-31 0001412126 us-gaap:AdditionalPaidInCapitalMember 2021-03-31 0001412126 us-gaap:RetainedEarningsMember 2021-03-31 0001412126 2021-03-31 0001412126 us-gaap:SeriesAPreferredStockMember us-gaap:PreferredStockMember 2021-04-01 20</w:t>
      </w:r>
      <w:r>
        <w:rPr>
          <w:rFonts w:eastAsia="Times New Roman"/>
          <w:vanish/>
          <w:sz w:val="20"/>
          <w:szCs w:val="20"/>
        </w:rPr>
        <w:t>21-06-30 0001412126 us-gaap:SeriesBPreferredStockMember us-gaap:PreferredStockMember 2021-04-01 2021-06-30 0001412126 us-gaap:CommonStockMember 2021-04-01 2021-06-30 0001412126 us-gaap:AdditionalPaidInCapitalMember 2021-04-01 2021-06-30 0001412126 us-gaap:</w:t>
      </w:r>
      <w:r>
        <w:rPr>
          <w:rFonts w:eastAsia="Times New Roman"/>
          <w:vanish/>
          <w:sz w:val="20"/>
          <w:szCs w:val="20"/>
        </w:rPr>
        <w:t>RetainedEarningsMember 2021-04-01 2021-06-30 0001412126 2021-04-01 2021-06-30 0001412126 us-gaap:SeriesAPreferredStockMember us-gaap:PreferredStockMember 2021-06-30 0001412126 us-gaap:SeriesBPreferredStockMember us-gaap:PreferredStockMember 2021-06-30 0001</w:t>
      </w:r>
      <w:r>
        <w:rPr>
          <w:rFonts w:eastAsia="Times New Roman"/>
          <w:vanish/>
          <w:sz w:val="20"/>
          <w:szCs w:val="20"/>
        </w:rPr>
        <w:t>412126 us-gaap:CommonStockMember 2021-06-30 0001412126 us-gaap:AdditionalPaidInCapitalMember 2021-06-30 0001412126 us-gaap:RetainedEarningsMember 2021-06-30 0001412126 2021-06-30 0001412126 us-gaap:SeriesAPreferredStockMember us-gaap:PreferredStockMember 2</w:t>
      </w:r>
      <w:r>
        <w:rPr>
          <w:rFonts w:eastAsia="Times New Roman"/>
          <w:vanish/>
          <w:sz w:val="20"/>
          <w:szCs w:val="20"/>
        </w:rPr>
        <w:t>021-07-01 2021-09-30 0001412126 us-gaap:SeriesBPreferredStockMember us-gaap:PreferredStockMember 2021-07-01 2021-09-30 0001412126 us-gaap:CommonStockMember 2021-07-01 2021-09-30 0001412126 us-gaap:AdditionalPaidInCapitalMember 2021-07-01 2021-09-30 0001412</w:t>
      </w:r>
      <w:r>
        <w:rPr>
          <w:rFonts w:eastAsia="Times New Roman"/>
          <w:vanish/>
          <w:sz w:val="20"/>
          <w:szCs w:val="20"/>
        </w:rPr>
        <w:t>126 us-gaap:RetainedEarningsMember 2021-07-01 2021-09-30 0001412126 us-gaap:SeriesAPreferredStockMember us-gaap:PreferredStockMember 2021-09-30 0001412126 us-gaap:SeriesBPreferredStockMember us-gaap:PreferredStockMember 2021-09-30 0001412126 us-gaap:Common</w:t>
      </w:r>
      <w:r>
        <w:rPr>
          <w:rFonts w:eastAsia="Times New Roman"/>
          <w:vanish/>
          <w:sz w:val="20"/>
          <w:szCs w:val="20"/>
        </w:rPr>
        <w:t>StockMember 2021-09-30 0001412126 us-gaap:AdditionalPaidInCapitalMember 2021-09-30 0001412126 us-gaap:RetainedEarningsMember 2021-09-30 0001412126 2021-09-30 0001412126 us-gaap:SeriesBPreferredStockMember 2021-09-30 0001412126 us-gaap:SeriesAPreferredStock</w:t>
      </w:r>
      <w:r>
        <w:rPr>
          <w:rFonts w:eastAsia="Times New Roman"/>
          <w:vanish/>
          <w:sz w:val="20"/>
          <w:szCs w:val="20"/>
        </w:rPr>
        <w:t>Member 2021-09-30 0001412126 us-gaap:FairValueInputsLevel1Member 2022-09-30 0001412126 us-gaap:FairValueInputsLevel2Member 2022-09-30 0001412126 us-gaap:FairValueInputsLevel3Member 2022-09-30 0001412126 us-gaap:FairValueInputsLevel1Member 2021-12-31 000141</w:t>
      </w:r>
      <w:r>
        <w:rPr>
          <w:rFonts w:eastAsia="Times New Roman"/>
          <w:vanish/>
          <w:sz w:val="20"/>
          <w:szCs w:val="20"/>
        </w:rPr>
        <w:t>2126 us-gaap:FairValueInputsLevel2Member 2021-12-31 0001412126 us-gaap:FairValueInputsLevel3Member 2021-12-31 0001412126 srt:MinimumMember 2022-01-01 2022-09-30 0001412126 srt:MaximumMember 2022-01-01 2022-09-30 0001412126 rmsl:MrWessonMember us-gaap:Loans</w:t>
      </w:r>
      <w:r>
        <w:rPr>
          <w:rFonts w:eastAsia="Times New Roman"/>
          <w:vanish/>
          <w:sz w:val="20"/>
          <w:szCs w:val="20"/>
        </w:rPr>
        <w:t>PayableMember 2012-10-24 0001412126 rmsl:MrWessonMember us-gaap:LoansPayableMember 2013-06-12 0001412126 us-gaap:LoansPayableMember 2017-10-24 0001412126 us-gaap:LoansPayableMember 2018-04-01 2018-04-26 0001412126 us-gaap:LoansPayableMember 2021-12-31 0001</w:t>
      </w:r>
      <w:r>
        <w:rPr>
          <w:rFonts w:eastAsia="Times New Roman"/>
          <w:vanish/>
          <w:sz w:val="20"/>
          <w:szCs w:val="20"/>
        </w:rPr>
        <w:t>412126 rmsl:GraniteGlobalInvestmentsLtdFourMember 2021-01-01 2021-12-31 0001412126 rmsl:GraniteGlobalInvestmentsLtdFourMember 2021-12-31 0001412126 rmsl:GraniteGlobalInvestmentsLtdFourMember 2022-01-01 2022-09-30 0001412126 rmsl:GraniteGlobalInvestmentsLtd</w:t>
      </w:r>
      <w:r>
        <w:rPr>
          <w:rFonts w:eastAsia="Times New Roman"/>
          <w:vanish/>
          <w:sz w:val="20"/>
          <w:szCs w:val="20"/>
        </w:rPr>
        <w:t>SixMember 2021-01-01 2021-12-31 0001412126 rmsl:GraniteGlobalInvestmentsLtdSixMember 2021-12-31 0001412126 rmsl:GraniteGlobalInvestmentsLtdSixMember 2022-01-01 2022-09-30 0001412126 rmsl:PowerUpLendingGroupLTDTwoMember 2021-01-01 2021-12-31 0001412126 rmsl</w:t>
      </w:r>
      <w:r>
        <w:rPr>
          <w:rFonts w:eastAsia="Times New Roman"/>
          <w:vanish/>
          <w:sz w:val="20"/>
          <w:szCs w:val="20"/>
        </w:rPr>
        <w:t>:PowerUpLendingGroupLTDTwoMember 2021-12-31 0001412126 rmsl:PowerUpLendingGroupLTDTwoMember 2022-01-01 2022-09-30 0001412126 rmsl:PowerUpLendingGroupLTDThreeMember 2021-01-01 2021-12-31 0001412126 rmsl:PowerUpLendingGroupLTDThreeMember 2021-12-31 000141212</w:t>
      </w:r>
      <w:r>
        <w:rPr>
          <w:rFonts w:eastAsia="Times New Roman"/>
          <w:vanish/>
          <w:sz w:val="20"/>
          <w:szCs w:val="20"/>
        </w:rPr>
        <w:t>6 rmsl:PowerUpLendingGroupLTDThreeMember 2022-01-01 2022-09-30 0001412126 rmsl:PowerUpLendingGroupLTDFourMember 2021-01-01 2021-12-31 0001412126 rmsl:PowerUpLendingGroupLTDFourMember 2021-12-31 0001412126 rmsl:PowerUpLendingGroupLTDFourMember 2022-01-01 20</w:t>
      </w:r>
      <w:r>
        <w:rPr>
          <w:rFonts w:eastAsia="Times New Roman"/>
          <w:vanish/>
          <w:sz w:val="20"/>
          <w:szCs w:val="20"/>
        </w:rPr>
        <w:t>22-09-30 0001412126 rmsl:PowerUpLendingGroupLTDFiveMember 2021-01-01 2021-12-31 0001412126 rmsl:PowerUpLendingGroupLTDFiveMember 2021-12-31 0001412126 rmsl:PowerUpLendingGroupLTDFiveMember 2022-01-01 2022-09-30 0001412126 2021-01-01 2021-12-31 0001412126 u</w:t>
      </w:r>
      <w:r>
        <w:rPr>
          <w:rFonts w:eastAsia="Times New Roman"/>
          <w:vanish/>
          <w:sz w:val="20"/>
          <w:szCs w:val="20"/>
        </w:rPr>
        <w:t>s-gaap:FairValueInputsLevel3Member 2022-01-01 2022-09-30 0001412126 srt:MinimumMember us-gaap:FairValueInputsLevel3Member 2022-09-30 0001412126 srt:MaximumMember us-gaap:FairValueInputsLevel3Member 2022-09-30 0001412126 srt:MinimumMember us-gaap:FairValueI</w:t>
      </w:r>
      <w:r>
        <w:rPr>
          <w:rFonts w:eastAsia="Times New Roman"/>
          <w:vanish/>
          <w:sz w:val="20"/>
          <w:szCs w:val="20"/>
        </w:rPr>
        <w:t>nputsLevel3Member 2022-01-01 2022-09-30 0001412126 srt:MaximumMember us-gaap:FairValueInputsLevel3Member 2022-01-01 2022-09-30 0001412126 us-gaap:FairValueInputsLevel3Member 2022-01-01 2022-09-30 0001412126 2019-01-01 2019-01-01 0001412126 rmsl:MrWoodMembe</w:t>
      </w:r>
      <w:r>
        <w:rPr>
          <w:rFonts w:eastAsia="Times New Roman"/>
          <w:vanish/>
          <w:sz w:val="20"/>
          <w:szCs w:val="20"/>
        </w:rPr>
        <w:t>r 2022-01-01 2022-09-30 0001412126 rmsl:MrWoodMember 2022-09-30 0001412126 rmsl:MrWoodMember 2021-12-31 0001412126 rmsl:MrWoodMember 2021-01-01 2021-09-30 0001412126 rmsl:MrBirdMember 2022-01-01 2022-09-30 0001412126 rmsl:MrBirdMember 2022-09-30 0001412126</w:t>
      </w:r>
      <w:r>
        <w:rPr>
          <w:rFonts w:eastAsia="Times New Roman"/>
          <w:vanish/>
          <w:sz w:val="20"/>
          <w:szCs w:val="20"/>
        </w:rPr>
        <w:t xml:space="preserve"> rmsl:MrBirdMember 2021-12-31 0001412126 rmsl:MrBirdMember 2021-01-01 2021-09-30 0001412126 rmsl:MrLaneMember 2022-01-01 2022-09-30 0001412126 rmsl:MrLaneMember 2021-01-01 2021-09-30 0001412126 us-gaap:ProductMember srt:ChiefExecutiveOfficerMember 2022-09-</w:t>
      </w:r>
      <w:r>
        <w:rPr>
          <w:rFonts w:eastAsia="Times New Roman"/>
          <w:vanish/>
          <w:sz w:val="20"/>
          <w:szCs w:val="20"/>
        </w:rPr>
        <w:t>30 0001412126 us-gaap:ProductMember srt:ChiefExecutiveOfficerMember 2021-09-30 0001412126 us-gaap:TechnologyServiceMember srt:ChiefExecutiveOfficerMember 2022-09-30 0001412126 us-gaap:TechnologyServiceMember srt:ChiefExecutiveOfficerMember 2021-09-30 00014</w:t>
      </w:r>
      <w:r>
        <w:rPr>
          <w:rFonts w:eastAsia="Times New Roman"/>
          <w:vanish/>
          <w:sz w:val="20"/>
          <w:szCs w:val="20"/>
        </w:rPr>
        <w:t>12126 2022-05-01 0001412126 rmsl:GraniteGlobalValueMember 2022-01-01 2022-03-31 0001412126 rmsl:PowerUpOneMember 2022-01-01 2022-06-30 0001412126 srt:MinimumMember 2022-09-30 0001412126 srt:MaximumMember 2022-09-30 xbrli:shares iso4217:USD iso4217:USD xbrl</w:t>
      </w:r>
      <w:r>
        <w:rPr>
          <w:rFonts w:eastAsia="Times New Roman"/>
          <w:vanish/>
          <w:sz w:val="20"/>
          <w:szCs w:val="20"/>
        </w:rPr>
        <w:t xml:space="preserve">i:shares xbrli:pure </w:t>
      </w:r>
    </w:p>
    <w:sectPr w:rsidR="00B46E8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46E81"/>
    <w:rsid w:val="00B46E81"/>
  </w:rsids>
  <m:mathPr>
    <m:mathFont m:val="Cambria Math"/>
    <m:brkBin m:val="before"/>
    <m:brkBinSub m:val="--"/>
    <m:smallFrac m:val="0"/>
    <m:dispDef/>
    <m:lMargin m:val="0"/>
    <m:rMargin m:val="0"/>
    <m:defJc m:val="centerGroup"/>
    <m:wrapIndent m:val="1440"/>
    <m:intLim m:val="subSup"/>
    <m:naryLim m:val="undOvr"/>
  </m:mathPr>
  <w:attachedSchema w:val="http://rmsl.com/20220930"/>
  <w:attachedSchema w:val="http://www.xbrl.org/dtr/type/2020-01-21"/>
  <w:attachedSchema w:val="http://www.xbrl.org/inlineXBRL/transformation/2020-02-12"/>
  <w:attachedSchema w:val="http://www.sec.gov/inlineXBRL/transformation/2015-08-31"/>
  <w:attachedSchema w:val="http://www.xbrl.org/2003/linkbase"/>
  <w:attachedSchema w:val="http://xbrl.sec.gov/dei/2022"/>
  <w:attachedSchema w:val="http://www.xbrl.org/2003/iso4217"/>
  <w:attachedSchema w:val="http://www.xbrl.org/2003/instance"/>
  <w:attachedSchema w:val="http://compsciresources.com"/>
  <w:attachedSchema w:val="http://www.xbrl.org/2013/inlineXBRL"/>
  <w:attachedSchema w:val="http://fasb.org/us-types/2022"/>
  <w:attachedSchema w:val="http://fasb.org/srt/2022"/>
  <w:attachedSchema w:val="http://www.xbrl.org/2003/XLink"/>
  <w:attachedSchema w:val="http://xbrl.org/2006/xbrldi"/>
  <w:attachedSchema w:val="http://fasb.org/us-gaap/2022"/>
  <w:attachedSchema w:val="http://www.w3.org/1999/xlink"/>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08932">
      <w:marLeft w:val="0"/>
      <w:marRight w:val="0"/>
      <w:marTop w:val="0"/>
      <w:marBottom w:val="0"/>
      <w:divBdr>
        <w:top w:val="none" w:sz="0" w:space="0" w:color="auto"/>
        <w:left w:val="none" w:sz="0" w:space="0" w:color="auto"/>
        <w:bottom w:val="none" w:sz="0" w:space="0" w:color="auto"/>
        <w:right w:val="none" w:sz="0" w:space="0" w:color="auto"/>
      </w:divBdr>
      <w:divsChild>
        <w:div w:id="661618407">
          <w:marLeft w:val="0"/>
          <w:marRight w:val="0"/>
          <w:marTop w:val="0"/>
          <w:marBottom w:val="0"/>
          <w:divBdr>
            <w:top w:val="none" w:sz="0" w:space="0" w:color="auto"/>
            <w:left w:val="none" w:sz="0" w:space="0" w:color="auto"/>
            <w:bottom w:val="none" w:sz="0" w:space="0" w:color="auto"/>
            <w:right w:val="none" w:sz="0" w:space="0" w:color="auto"/>
          </w:divBdr>
          <w:divsChild>
            <w:div w:id="97719922">
              <w:marLeft w:val="0"/>
              <w:marRight w:val="0"/>
              <w:marTop w:val="0"/>
              <w:marBottom w:val="0"/>
              <w:divBdr>
                <w:top w:val="single" w:sz="18" w:space="0" w:color="000000"/>
                <w:left w:val="none" w:sz="0" w:space="0" w:color="auto"/>
                <w:bottom w:val="single" w:sz="8" w:space="0" w:color="000000"/>
                <w:right w:val="none" w:sz="0" w:space="0" w:color="auto"/>
              </w:divBdr>
            </w:div>
          </w:divsChild>
        </w:div>
        <w:div w:id="1648240121">
          <w:marLeft w:val="0"/>
          <w:marRight w:val="0"/>
          <w:marTop w:val="0"/>
          <w:marBottom w:val="0"/>
          <w:divBdr>
            <w:top w:val="none" w:sz="0" w:space="0" w:color="auto"/>
            <w:left w:val="none" w:sz="0" w:space="0" w:color="auto"/>
            <w:bottom w:val="none" w:sz="0" w:space="0" w:color="auto"/>
            <w:right w:val="none" w:sz="0" w:space="0" w:color="auto"/>
          </w:divBdr>
          <w:divsChild>
            <w:div w:id="1632327759">
              <w:marLeft w:val="0"/>
              <w:marRight w:val="0"/>
              <w:marTop w:val="0"/>
              <w:marBottom w:val="0"/>
              <w:divBdr>
                <w:top w:val="single" w:sz="8" w:space="0" w:color="000000"/>
                <w:left w:val="none" w:sz="0" w:space="0" w:color="auto"/>
                <w:bottom w:val="single" w:sz="18" w:space="0" w:color="000000"/>
                <w:right w:val="none" w:sz="0" w:space="0" w:color="auto"/>
              </w:divBdr>
            </w:div>
          </w:divsChild>
        </w:div>
        <w:div w:id="1148672611">
          <w:marLeft w:val="0"/>
          <w:marRight w:val="0"/>
          <w:marTop w:val="240"/>
          <w:marBottom w:val="120"/>
          <w:divBdr>
            <w:top w:val="none" w:sz="0" w:space="0" w:color="auto"/>
            <w:left w:val="none" w:sz="0" w:space="0" w:color="auto"/>
            <w:bottom w:val="single" w:sz="12" w:space="0" w:color="000000"/>
            <w:right w:val="none" w:sz="0" w:space="0" w:color="auto"/>
          </w:divBdr>
        </w:div>
        <w:div w:id="944460443">
          <w:marLeft w:val="0"/>
          <w:marRight w:val="0"/>
          <w:marTop w:val="120"/>
          <w:marBottom w:val="240"/>
          <w:divBdr>
            <w:top w:val="none" w:sz="0" w:space="0" w:color="auto"/>
            <w:left w:val="none" w:sz="0" w:space="0" w:color="auto"/>
            <w:bottom w:val="none" w:sz="0" w:space="0" w:color="auto"/>
            <w:right w:val="none" w:sz="0" w:space="0" w:color="auto"/>
          </w:divBdr>
        </w:div>
        <w:div w:id="220098397">
          <w:marLeft w:val="0"/>
          <w:marRight w:val="0"/>
          <w:marTop w:val="240"/>
          <w:marBottom w:val="120"/>
          <w:divBdr>
            <w:top w:val="none" w:sz="0" w:space="0" w:color="auto"/>
            <w:left w:val="none" w:sz="0" w:space="0" w:color="auto"/>
            <w:bottom w:val="single" w:sz="12" w:space="0" w:color="000000"/>
            <w:right w:val="none" w:sz="0" w:space="0" w:color="auto"/>
          </w:divBdr>
        </w:div>
        <w:div w:id="1838302621">
          <w:marLeft w:val="0"/>
          <w:marRight w:val="0"/>
          <w:marTop w:val="120"/>
          <w:marBottom w:val="240"/>
          <w:divBdr>
            <w:top w:val="none" w:sz="0" w:space="0" w:color="auto"/>
            <w:left w:val="none" w:sz="0" w:space="0" w:color="auto"/>
            <w:bottom w:val="none" w:sz="0" w:space="0" w:color="auto"/>
            <w:right w:val="none" w:sz="0" w:space="0" w:color="auto"/>
          </w:divBdr>
        </w:div>
        <w:div w:id="1351950332">
          <w:marLeft w:val="0"/>
          <w:marRight w:val="0"/>
          <w:marTop w:val="240"/>
          <w:marBottom w:val="120"/>
          <w:divBdr>
            <w:top w:val="none" w:sz="0" w:space="0" w:color="auto"/>
            <w:left w:val="none" w:sz="0" w:space="0" w:color="auto"/>
            <w:bottom w:val="single" w:sz="12" w:space="0" w:color="000000"/>
            <w:right w:val="none" w:sz="0" w:space="0" w:color="auto"/>
          </w:divBdr>
        </w:div>
        <w:div w:id="121920533">
          <w:marLeft w:val="0"/>
          <w:marRight w:val="0"/>
          <w:marTop w:val="120"/>
          <w:marBottom w:val="240"/>
          <w:divBdr>
            <w:top w:val="none" w:sz="0" w:space="0" w:color="auto"/>
            <w:left w:val="none" w:sz="0" w:space="0" w:color="auto"/>
            <w:bottom w:val="none" w:sz="0" w:space="0" w:color="auto"/>
            <w:right w:val="none" w:sz="0" w:space="0" w:color="auto"/>
          </w:divBdr>
        </w:div>
        <w:div w:id="867065130">
          <w:marLeft w:val="0"/>
          <w:marRight w:val="0"/>
          <w:marTop w:val="0"/>
          <w:marBottom w:val="0"/>
          <w:divBdr>
            <w:top w:val="none" w:sz="0" w:space="0" w:color="auto"/>
            <w:left w:val="none" w:sz="0" w:space="0" w:color="auto"/>
            <w:bottom w:val="none" w:sz="0" w:space="0" w:color="auto"/>
            <w:right w:val="none" w:sz="0" w:space="0" w:color="auto"/>
          </w:divBdr>
        </w:div>
        <w:div w:id="1089077335">
          <w:marLeft w:val="0"/>
          <w:marRight w:val="0"/>
          <w:marTop w:val="0"/>
          <w:marBottom w:val="0"/>
          <w:divBdr>
            <w:top w:val="none" w:sz="0" w:space="0" w:color="auto"/>
            <w:left w:val="none" w:sz="0" w:space="0" w:color="auto"/>
            <w:bottom w:val="none" w:sz="0" w:space="0" w:color="auto"/>
            <w:right w:val="none" w:sz="0" w:space="0" w:color="auto"/>
          </w:divBdr>
        </w:div>
        <w:div w:id="2128233398">
          <w:marLeft w:val="0"/>
          <w:marRight w:val="0"/>
          <w:marTop w:val="0"/>
          <w:marBottom w:val="0"/>
          <w:divBdr>
            <w:top w:val="none" w:sz="0" w:space="0" w:color="auto"/>
            <w:left w:val="none" w:sz="0" w:space="0" w:color="auto"/>
            <w:bottom w:val="none" w:sz="0" w:space="0" w:color="auto"/>
            <w:right w:val="none" w:sz="0" w:space="0" w:color="auto"/>
          </w:divBdr>
        </w:div>
        <w:div w:id="1215890141">
          <w:marLeft w:val="0"/>
          <w:marRight w:val="0"/>
          <w:marTop w:val="0"/>
          <w:marBottom w:val="0"/>
          <w:divBdr>
            <w:top w:val="none" w:sz="0" w:space="0" w:color="auto"/>
            <w:left w:val="none" w:sz="0" w:space="0" w:color="auto"/>
            <w:bottom w:val="none" w:sz="0" w:space="0" w:color="auto"/>
            <w:right w:val="none" w:sz="0" w:space="0" w:color="auto"/>
          </w:divBdr>
        </w:div>
        <w:div w:id="1751661041">
          <w:marLeft w:val="0"/>
          <w:marRight w:val="0"/>
          <w:marTop w:val="0"/>
          <w:marBottom w:val="0"/>
          <w:divBdr>
            <w:top w:val="none" w:sz="0" w:space="0" w:color="auto"/>
            <w:left w:val="none" w:sz="0" w:space="0" w:color="auto"/>
            <w:bottom w:val="none" w:sz="0" w:space="0" w:color="auto"/>
            <w:right w:val="none" w:sz="0" w:space="0" w:color="auto"/>
          </w:divBdr>
        </w:div>
        <w:div w:id="1528904072">
          <w:marLeft w:val="0"/>
          <w:marRight w:val="0"/>
          <w:marTop w:val="0"/>
          <w:marBottom w:val="0"/>
          <w:divBdr>
            <w:top w:val="none" w:sz="0" w:space="0" w:color="auto"/>
            <w:left w:val="none" w:sz="0" w:space="0" w:color="auto"/>
            <w:bottom w:val="none" w:sz="0" w:space="0" w:color="auto"/>
            <w:right w:val="none" w:sz="0" w:space="0" w:color="auto"/>
          </w:divBdr>
        </w:div>
        <w:div w:id="1082526066">
          <w:marLeft w:val="0"/>
          <w:marRight w:val="0"/>
          <w:marTop w:val="0"/>
          <w:marBottom w:val="0"/>
          <w:divBdr>
            <w:top w:val="none" w:sz="0" w:space="0" w:color="auto"/>
            <w:left w:val="none" w:sz="0" w:space="0" w:color="auto"/>
            <w:bottom w:val="none" w:sz="0" w:space="0" w:color="auto"/>
            <w:right w:val="none" w:sz="0" w:space="0" w:color="auto"/>
          </w:divBdr>
        </w:div>
        <w:div w:id="1917278696">
          <w:marLeft w:val="0"/>
          <w:marRight w:val="0"/>
          <w:marTop w:val="0"/>
          <w:marBottom w:val="0"/>
          <w:divBdr>
            <w:top w:val="none" w:sz="0" w:space="0" w:color="auto"/>
            <w:left w:val="none" w:sz="0" w:space="0" w:color="auto"/>
            <w:bottom w:val="none" w:sz="0" w:space="0" w:color="auto"/>
            <w:right w:val="none" w:sz="0" w:space="0" w:color="auto"/>
          </w:divBdr>
        </w:div>
        <w:div w:id="1001934330">
          <w:marLeft w:val="0"/>
          <w:marRight w:val="0"/>
          <w:marTop w:val="0"/>
          <w:marBottom w:val="0"/>
          <w:divBdr>
            <w:top w:val="none" w:sz="0" w:space="0" w:color="auto"/>
            <w:left w:val="none" w:sz="0" w:space="0" w:color="auto"/>
            <w:bottom w:val="none" w:sz="0" w:space="0" w:color="auto"/>
            <w:right w:val="none" w:sz="0" w:space="0" w:color="auto"/>
          </w:divBdr>
        </w:div>
        <w:div w:id="534662982">
          <w:marLeft w:val="0"/>
          <w:marRight w:val="0"/>
          <w:marTop w:val="0"/>
          <w:marBottom w:val="0"/>
          <w:divBdr>
            <w:top w:val="none" w:sz="0" w:space="0" w:color="auto"/>
            <w:left w:val="none" w:sz="0" w:space="0" w:color="auto"/>
            <w:bottom w:val="none" w:sz="0" w:space="0" w:color="auto"/>
            <w:right w:val="none" w:sz="0" w:space="0" w:color="auto"/>
          </w:divBdr>
        </w:div>
        <w:div w:id="1351644694">
          <w:marLeft w:val="0"/>
          <w:marRight w:val="0"/>
          <w:marTop w:val="0"/>
          <w:marBottom w:val="0"/>
          <w:divBdr>
            <w:top w:val="none" w:sz="0" w:space="0" w:color="auto"/>
            <w:left w:val="none" w:sz="0" w:space="0" w:color="auto"/>
            <w:bottom w:val="none" w:sz="0" w:space="0" w:color="auto"/>
            <w:right w:val="none" w:sz="0" w:space="0" w:color="auto"/>
          </w:divBdr>
        </w:div>
        <w:div w:id="1242565350">
          <w:marLeft w:val="0"/>
          <w:marRight w:val="0"/>
          <w:marTop w:val="0"/>
          <w:marBottom w:val="0"/>
          <w:divBdr>
            <w:top w:val="none" w:sz="0" w:space="0" w:color="auto"/>
            <w:left w:val="none" w:sz="0" w:space="0" w:color="auto"/>
            <w:bottom w:val="none" w:sz="0" w:space="0" w:color="auto"/>
            <w:right w:val="none" w:sz="0" w:space="0" w:color="auto"/>
          </w:divBdr>
        </w:div>
        <w:div w:id="340670771">
          <w:marLeft w:val="0"/>
          <w:marRight w:val="0"/>
          <w:marTop w:val="0"/>
          <w:marBottom w:val="0"/>
          <w:divBdr>
            <w:top w:val="none" w:sz="0" w:space="0" w:color="auto"/>
            <w:left w:val="none" w:sz="0" w:space="0" w:color="auto"/>
            <w:bottom w:val="none" w:sz="0" w:space="0" w:color="auto"/>
            <w:right w:val="none" w:sz="0" w:space="0" w:color="auto"/>
          </w:divBdr>
        </w:div>
        <w:div w:id="41292949">
          <w:marLeft w:val="0"/>
          <w:marRight w:val="0"/>
          <w:marTop w:val="0"/>
          <w:marBottom w:val="0"/>
          <w:divBdr>
            <w:top w:val="none" w:sz="0" w:space="0" w:color="auto"/>
            <w:left w:val="none" w:sz="0" w:space="0" w:color="auto"/>
            <w:bottom w:val="none" w:sz="0" w:space="0" w:color="auto"/>
            <w:right w:val="none" w:sz="0" w:space="0" w:color="auto"/>
          </w:divBdr>
        </w:div>
        <w:div w:id="1960450798">
          <w:marLeft w:val="0"/>
          <w:marRight w:val="0"/>
          <w:marTop w:val="240"/>
          <w:marBottom w:val="120"/>
          <w:divBdr>
            <w:top w:val="none" w:sz="0" w:space="0" w:color="auto"/>
            <w:left w:val="none" w:sz="0" w:space="0" w:color="auto"/>
            <w:bottom w:val="single" w:sz="12" w:space="0" w:color="000000"/>
            <w:right w:val="none" w:sz="0" w:space="0" w:color="auto"/>
          </w:divBdr>
        </w:div>
        <w:div w:id="755633114">
          <w:marLeft w:val="0"/>
          <w:marRight w:val="0"/>
          <w:marTop w:val="120"/>
          <w:marBottom w:val="240"/>
          <w:divBdr>
            <w:top w:val="none" w:sz="0" w:space="0" w:color="auto"/>
            <w:left w:val="none" w:sz="0" w:space="0" w:color="auto"/>
            <w:bottom w:val="none" w:sz="0" w:space="0" w:color="auto"/>
            <w:right w:val="none" w:sz="0" w:space="0" w:color="auto"/>
          </w:divBdr>
        </w:div>
        <w:div w:id="787820213">
          <w:marLeft w:val="0"/>
          <w:marRight w:val="0"/>
          <w:marTop w:val="0"/>
          <w:marBottom w:val="0"/>
          <w:divBdr>
            <w:top w:val="none" w:sz="0" w:space="0" w:color="auto"/>
            <w:left w:val="none" w:sz="0" w:space="0" w:color="auto"/>
            <w:bottom w:val="none" w:sz="0" w:space="0" w:color="auto"/>
            <w:right w:val="none" w:sz="0" w:space="0" w:color="auto"/>
          </w:divBdr>
        </w:div>
        <w:div w:id="1669287544">
          <w:marLeft w:val="0"/>
          <w:marRight w:val="0"/>
          <w:marTop w:val="0"/>
          <w:marBottom w:val="0"/>
          <w:divBdr>
            <w:top w:val="none" w:sz="0" w:space="0" w:color="auto"/>
            <w:left w:val="none" w:sz="0" w:space="0" w:color="auto"/>
            <w:bottom w:val="none" w:sz="0" w:space="0" w:color="auto"/>
            <w:right w:val="none" w:sz="0" w:space="0" w:color="auto"/>
          </w:divBdr>
        </w:div>
        <w:div w:id="1646886874">
          <w:marLeft w:val="0"/>
          <w:marRight w:val="0"/>
          <w:marTop w:val="0"/>
          <w:marBottom w:val="0"/>
          <w:divBdr>
            <w:top w:val="none" w:sz="0" w:space="0" w:color="auto"/>
            <w:left w:val="none" w:sz="0" w:space="0" w:color="auto"/>
            <w:bottom w:val="none" w:sz="0" w:space="0" w:color="auto"/>
            <w:right w:val="none" w:sz="0" w:space="0" w:color="auto"/>
          </w:divBdr>
        </w:div>
        <w:div w:id="1912963002">
          <w:marLeft w:val="0"/>
          <w:marRight w:val="0"/>
          <w:marTop w:val="0"/>
          <w:marBottom w:val="0"/>
          <w:divBdr>
            <w:top w:val="none" w:sz="0" w:space="0" w:color="auto"/>
            <w:left w:val="none" w:sz="0" w:space="0" w:color="auto"/>
            <w:bottom w:val="none" w:sz="0" w:space="0" w:color="auto"/>
            <w:right w:val="none" w:sz="0" w:space="0" w:color="auto"/>
          </w:divBdr>
        </w:div>
        <w:div w:id="1062944696">
          <w:marLeft w:val="0"/>
          <w:marRight w:val="0"/>
          <w:marTop w:val="0"/>
          <w:marBottom w:val="0"/>
          <w:divBdr>
            <w:top w:val="none" w:sz="0" w:space="0" w:color="auto"/>
            <w:left w:val="none" w:sz="0" w:space="0" w:color="auto"/>
            <w:bottom w:val="none" w:sz="0" w:space="0" w:color="auto"/>
            <w:right w:val="none" w:sz="0" w:space="0" w:color="auto"/>
          </w:divBdr>
        </w:div>
        <w:div w:id="309482281">
          <w:marLeft w:val="0"/>
          <w:marRight w:val="0"/>
          <w:marTop w:val="0"/>
          <w:marBottom w:val="0"/>
          <w:divBdr>
            <w:top w:val="none" w:sz="0" w:space="0" w:color="auto"/>
            <w:left w:val="none" w:sz="0" w:space="0" w:color="auto"/>
            <w:bottom w:val="none" w:sz="0" w:space="0" w:color="auto"/>
            <w:right w:val="none" w:sz="0" w:space="0" w:color="auto"/>
          </w:divBdr>
        </w:div>
        <w:div w:id="1667047378">
          <w:marLeft w:val="0"/>
          <w:marRight w:val="0"/>
          <w:marTop w:val="0"/>
          <w:marBottom w:val="0"/>
          <w:divBdr>
            <w:top w:val="none" w:sz="0" w:space="0" w:color="auto"/>
            <w:left w:val="none" w:sz="0" w:space="0" w:color="auto"/>
            <w:bottom w:val="none" w:sz="0" w:space="0" w:color="auto"/>
            <w:right w:val="none" w:sz="0" w:space="0" w:color="auto"/>
          </w:divBdr>
        </w:div>
        <w:div w:id="1047267293">
          <w:marLeft w:val="0"/>
          <w:marRight w:val="0"/>
          <w:marTop w:val="0"/>
          <w:marBottom w:val="0"/>
          <w:divBdr>
            <w:top w:val="none" w:sz="0" w:space="0" w:color="auto"/>
            <w:left w:val="none" w:sz="0" w:space="0" w:color="auto"/>
            <w:bottom w:val="none" w:sz="0" w:space="0" w:color="auto"/>
            <w:right w:val="none" w:sz="0" w:space="0" w:color="auto"/>
          </w:divBdr>
        </w:div>
        <w:div w:id="828986434">
          <w:marLeft w:val="0"/>
          <w:marRight w:val="0"/>
          <w:marTop w:val="0"/>
          <w:marBottom w:val="0"/>
          <w:divBdr>
            <w:top w:val="none" w:sz="0" w:space="0" w:color="auto"/>
            <w:left w:val="none" w:sz="0" w:space="0" w:color="auto"/>
            <w:bottom w:val="none" w:sz="0" w:space="0" w:color="auto"/>
            <w:right w:val="none" w:sz="0" w:space="0" w:color="auto"/>
          </w:divBdr>
        </w:div>
        <w:div w:id="2052028382">
          <w:marLeft w:val="0"/>
          <w:marRight w:val="0"/>
          <w:marTop w:val="0"/>
          <w:marBottom w:val="0"/>
          <w:divBdr>
            <w:top w:val="none" w:sz="0" w:space="0" w:color="auto"/>
            <w:left w:val="none" w:sz="0" w:space="0" w:color="auto"/>
            <w:bottom w:val="none" w:sz="0" w:space="0" w:color="auto"/>
            <w:right w:val="none" w:sz="0" w:space="0" w:color="auto"/>
          </w:divBdr>
        </w:div>
        <w:div w:id="650403562">
          <w:marLeft w:val="0"/>
          <w:marRight w:val="0"/>
          <w:marTop w:val="0"/>
          <w:marBottom w:val="0"/>
          <w:divBdr>
            <w:top w:val="none" w:sz="0" w:space="0" w:color="auto"/>
            <w:left w:val="none" w:sz="0" w:space="0" w:color="auto"/>
            <w:bottom w:val="none" w:sz="0" w:space="0" w:color="auto"/>
            <w:right w:val="none" w:sz="0" w:space="0" w:color="auto"/>
          </w:divBdr>
        </w:div>
        <w:div w:id="1533766213">
          <w:marLeft w:val="0"/>
          <w:marRight w:val="0"/>
          <w:marTop w:val="0"/>
          <w:marBottom w:val="0"/>
          <w:divBdr>
            <w:top w:val="none" w:sz="0" w:space="0" w:color="auto"/>
            <w:left w:val="none" w:sz="0" w:space="0" w:color="auto"/>
            <w:bottom w:val="none" w:sz="0" w:space="0" w:color="auto"/>
            <w:right w:val="none" w:sz="0" w:space="0" w:color="auto"/>
          </w:divBdr>
        </w:div>
        <w:div w:id="1956403160">
          <w:marLeft w:val="0"/>
          <w:marRight w:val="0"/>
          <w:marTop w:val="0"/>
          <w:marBottom w:val="0"/>
          <w:divBdr>
            <w:top w:val="none" w:sz="0" w:space="0" w:color="auto"/>
            <w:left w:val="none" w:sz="0" w:space="0" w:color="auto"/>
            <w:bottom w:val="none" w:sz="0" w:space="0" w:color="auto"/>
            <w:right w:val="none" w:sz="0" w:space="0" w:color="auto"/>
          </w:divBdr>
        </w:div>
        <w:div w:id="175316210">
          <w:marLeft w:val="0"/>
          <w:marRight w:val="0"/>
          <w:marTop w:val="0"/>
          <w:marBottom w:val="0"/>
          <w:divBdr>
            <w:top w:val="none" w:sz="0" w:space="0" w:color="auto"/>
            <w:left w:val="none" w:sz="0" w:space="0" w:color="auto"/>
            <w:bottom w:val="none" w:sz="0" w:space="0" w:color="auto"/>
            <w:right w:val="none" w:sz="0" w:space="0" w:color="auto"/>
          </w:divBdr>
        </w:div>
        <w:div w:id="1915584222">
          <w:marLeft w:val="0"/>
          <w:marRight w:val="0"/>
          <w:marTop w:val="0"/>
          <w:marBottom w:val="0"/>
          <w:divBdr>
            <w:top w:val="none" w:sz="0" w:space="0" w:color="auto"/>
            <w:left w:val="none" w:sz="0" w:space="0" w:color="auto"/>
            <w:bottom w:val="none" w:sz="0" w:space="0" w:color="auto"/>
            <w:right w:val="none" w:sz="0" w:space="0" w:color="auto"/>
          </w:divBdr>
        </w:div>
        <w:div w:id="1020860359">
          <w:marLeft w:val="0"/>
          <w:marRight w:val="0"/>
          <w:marTop w:val="0"/>
          <w:marBottom w:val="0"/>
          <w:divBdr>
            <w:top w:val="none" w:sz="0" w:space="0" w:color="auto"/>
            <w:left w:val="none" w:sz="0" w:space="0" w:color="auto"/>
            <w:bottom w:val="none" w:sz="0" w:space="0" w:color="auto"/>
            <w:right w:val="none" w:sz="0" w:space="0" w:color="auto"/>
          </w:divBdr>
        </w:div>
        <w:div w:id="821197648">
          <w:marLeft w:val="0"/>
          <w:marRight w:val="0"/>
          <w:marTop w:val="0"/>
          <w:marBottom w:val="0"/>
          <w:divBdr>
            <w:top w:val="none" w:sz="0" w:space="0" w:color="auto"/>
            <w:left w:val="none" w:sz="0" w:space="0" w:color="auto"/>
            <w:bottom w:val="none" w:sz="0" w:space="0" w:color="auto"/>
            <w:right w:val="none" w:sz="0" w:space="0" w:color="auto"/>
          </w:divBdr>
        </w:div>
        <w:div w:id="1485581992">
          <w:marLeft w:val="0"/>
          <w:marRight w:val="0"/>
          <w:marTop w:val="0"/>
          <w:marBottom w:val="0"/>
          <w:divBdr>
            <w:top w:val="none" w:sz="0" w:space="0" w:color="auto"/>
            <w:left w:val="none" w:sz="0" w:space="0" w:color="auto"/>
            <w:bottom w:val="none" w:sz="0" w:space="0" w:color="auto"/>
            <w:right w:val="none" w:sz="0" w:space="0" w:color="auto"/>
          </w:divBdr>
        </w:div>
        <w:div w:id="2049260655">
          <w:marLeft w:val="0"/>
          <w:marRight w:val="0"/>
          <w:marTop w:val="0"/>
          <w:marBottom w:val="0"/>
          <w:divBdr>
            <w:top w:val="none" w:sz="0" w:space="0" w:color="auto"/>
            <w:left w:val="none" w:sz="0" w:space="0" w:color="auto"/>
            <w:bottom w:val="none" w:sz="0" w:space="0" w:color="auto"/>
            <w:right w:val="none" w:sz="0" w:space="0" w:color="auto"/>
          </w:divBdr>
        </w:div>
        <w:div w:id="147282747">
          <w:marLeft w:val="0"/>
          <w:marRight w:val="0"/>
          <w:marTop w:val="0"/>
          <w:marBottom w:val="0"/>
          <w:divBdr>
            <w:top w:val="none" w:sz="0" w:space="0" w:color="auto"/>
            <w:left w:val="none" w:sz="0" w:space="0" w:color="auto"/>
            <w:bottom w:val="none" w:sz="0" w:space="0" w:color="auto"/>
            <w:right w:val="none" w:sz="0" w:space="0" w:color="auto"/>
          </w:divBdr>
        </w:div>
        <w:div w:id="459491715">
          <w:marLeft w:val="0"/>
          <w:marRight w:val="0"/>
          <w:marTop w:val="0"/>
          <w:marBottom w:val="0"/>
          <w:divBdr>
            <w:top w:val="none" w:sz="0" w:space="0" w:color="auto"/>
            <w:left w:val="none" w:sz="0" w:space="0" w:color="auto"/>
            <w:bottom w:val="none" w:sz="0" w:space="0" w:color="auto"/>
            <w:right w:val="none" w:sz="0" w:space="0" w:color="auto"/>
          </w:divBdr>
        </w:div>
        <w:div w:id="1172452955">
          <w:marLeft w:val="0"/>
          <w:marRight w:val="0"/>
          <w:marTop w:val="0"/>
          <w:marBottom w:val="0"/>
          <w:divBdr>
            <w:top w:val="none" w:sz="0" w:space="0" w:color="auto"/>
            <w:left w:val="none" w:sz="0" w:space="0" w:color="auto"/>
            <w:bottom w:val="none" w:sz="0" w:space="0" w:color="auto"/>
            <w:right w:val="none" w:sz="0" w:space="0" w:color="auto"/>
          </w:divBdr>
        </w:div>
        <w:div w:id="486093123">
          <w:marLeft w:val="0"/>
          <w:marRight w:val="0"/>
          <w:marTop w:val="240"/>
          <w:marBottom w:val="120"/>
          <w:divBdr>
            <w:top w:val="none" w:sz="0" w:space="0" w:color="auto"/>
            <w:left w:val="none" w:sz="0" w:space="0" w:color="auto"/>
            <w:bottom w:val="single" w:sz="12" w:space="0" w:color="000000"/>
            <w:right w:val="none" w:sz="0" w:space="0" w:color="auto"/>
          </w:divBdr>
        </w:div>
        <w:div w:id="1907301481">
          <w:marLeft w:val="0"/>
          <w:marRight w:val="0"/>
          <w:marTop w:val="120"/>
          <w:marBottom w:val="240"/>
          <w:divBdr>
            <w:top w:val="none" w:sz="0" w:space="0" w:color="auto"/>
            <w:left w:val="none" w:sz="0" w:space="0" w:color="auto"/>
            <w:bottom w:val="none" w:sz="0" w:space="0" w:color="auto"/>
            <w:right w:val="none" w:sz="0" w:space="0" w:color="auto"/>
          </w:divBdr>
        </w:div>
        <w:div w:id="1972595239">
          <w:marLeft w:val="0"/>
          <w:marRight w:val="0"/>
          <w:marTop w:val="240"/>
          <w:marBottom w:val="120"/>
          <w:divBdr>
            <w:top w:val="none" w:sz="0" w:space="0" w:color="auto"/>
            <w:left w:val="none" w:sz="0" w:space="0" w:color="auto"/>
            <w:bottom w:val="single" w:sz="12" w:space="0" w:color="000000"/>
            <w:right w:val="none" w:sz="0" w:space="0" w:color="auto"/>
          </w:divBdr>
        </w:div>
        <w:div w:id="225453498">
          <w:marLeft w:val="0"/>
          <w:marRight w:val="0"/>
          <w:marTop w:val="120"/>
          <w:marBottom w:val="240"/>
          <w:divBdr>
            <w:top w:val="none" w:sz="0" w:space="0" w:color="auto"/>
            <w:left w:val="none" w:sz="0" w:space="0" w:color="auto"/>
            <w:bottom w:val="none" w:sz="0" w:space="0" w:color="auto"/>
            <w:right w:val="none" w:sz="0" w:space="0" w:color="auto"/>
          </w:divBdr>
        </w:div>
        <w:div w:id="1829637309">
          <w:marLeft w:val="0"/>
          <w:marRight w:val="0"/>
          <w:marTop w:val="0"/>
          <w:marBottom w:val="0"/>
          <w:divBdr>
            <w:top w:val="none" w:sz="0" w:space="0" w:color="auto"/>
            <w:left w:val="none" w:sz="0" w:space="0" w:color="auto"/>
            <w:bottom w:val="none" w:sz="0" w:space="0" w:color="auto"/>
            <w:right w:val="none" w:sz="0" w:space="0" w:color="auto"/>
          </w:divBdr>
        </w:div>
        <w:div w:id="1275943125">
          <w:marLeft w:val="0"/>
          <w:marRight w:val="0"/>
          <w:marTop w:val="0"/>
          <w:marBottom w:val="0"/>
          <w:divBdr>
            <w:top w:val="none" w:sz="0" w:space="0" w:color="auto"/>
            <w:left w:val="none" w:sz="0" w:space="0" w:color="auto"/>
            <w:bottom w:val="none" w:sz="0" w:space="0" w:color="auto"/>
            <w:right w:val="none" w:sz="0" w:space="0" w:color="auto"/>
          </w:divBdr>
        </w:div>
        <w:div w:id="53743230">
          <w:marLeft w:val="0"/>
          <w:marRight w:val="0"/>
          <w:marTop w:val="0"/>
          <w:marBottom w:val="0"/>
          <w:divBdr>
            <w:top w:val="none" w:sz="0" w:space="0" w:color="auto"/>
            <w:left w:val="none" w:sz="0" w:space="0" w:color="auto"/>
            <w:bottom w:val="none" w:sz="0" w:space="0" w:color="auto"/>
            <w:right w:val="none" w:sz="0" w:space="0" w:color="auto"/>
          </w:divBdr>
        </w:div>
        <w:div w:id="255944830">
          <w:marLeft w:val="0"/>
          <w:marRight w:val="0"/>
          <w:marTop w:val="0"/>
          <w:marBottom w:val="0"/>
          <w:divBdr>
            <w:top w:val="none" w:sz="0" w:space="0" w:color="auto"/>
            <w:left w:val="none" w:sz="0" w:space="0" w:color="auto"/>
            <w:bottom w:val="none" w:sz="0" w:space="0" w:color="auto"/>
            <w:right w:val="none" w:sz="0" w:space="0" w:color="auto"/>
          </w:divBdr>
        </w:div>
        <w:div w:id="1132405634">
          <w:marLeft w:val="0"/>
          <w:marRight w:val="0"/>
          <w:marTop w:val="0"/>
          <w:marBottom w:val="0"/>
          <w:divBdr>
            <w:top w:val="none" w:sz="0" w:space="0" w:color="auto"/>
            <w:left w:val="none" w:sz="0" w:space="0" w:color="auto"/>
            <w:bottom w:val="none" w:sz="0" w:space="0" w:color="auto"/>
            <w:right w:val="none" w:sz="0" w:space="0" w:color="auto"/>
          </w:divBdr>
        </w:div>
        <w:div w:id="953634751">
          <w:marLeft w:val="0"/>
          <w:marRight w:val="0"/>
          <w:marTop w:val="0"/>
          <w:marBottom w:val="0"/>
          <w:divBdr>
            <w:top w:val="none" w:sz="0" w:space="0" w:color="auto"/>
            <w:left w:val="none" w:sz="0" w:space="0" w:color="auto"/>
            <w:bottom w:val="none" w:sz="0" w:space="0" w:color="auto"/>
            <w:right w:val="none" w:sz="0" w:space="0" w:color="auto"/>
          </w:divBdr>
        </w:div>
        <w:div w:id="1835485321">
          <w:marLeft w:val="0"/>
          <w:marRight w:val="0"/>
          <w:marTop w:val="0"/>
          <w:marBottom w:val="0"/>
          <w:divBdr>
            <w:top w:val="none" w:sz="0" w:space="0" w:color="auto"/>
            <w:left w:val="none" w:sz="0" w:space="0" w:color="auto"/>
            <w:bottom w:val="none" w:sz="0" w:space="0" w:color="auto"/>
            <w:right w:val="none" w:sz="0" w:space="0" w:color="auto"/>
          </w:divBdr>
        </w:div>
        <w:div w:id="1161391176">
          <w:marLeft w:val="0"/>
          <w:marRight w:val="0"/>
          <w:marTop w:val="0"/>
          <w:marBottom w:val="0"/>
          <w:divBdr>
            <w:top w:val="none" w:sz="0" w:space="0" w:color="auto"/>
            <w:left w:val="none" w:sz="0" w:space="0" w:color="auto"/>
            <w:bottom w:val="none" w:sz="0" w:space="0" w:color="auto"/>
            <w:right w:val="none" w:sz="0" w:space="0" w:color="auto"/>
          </w:divBdr>
        </w:div>
        <w:div w:id="914971470">
          <w:marLeft w:val="0"/>
          <w:marRight w:val="0"/>
          <w:marTop w:val="0"/>
          <w:marBottom w:val="0"/>
          <w:divBdr>
            <w:top w:val="none" w:sz="0" w:space="0" w:color="auto"/>
            <w:left w:val="none" w:sz="0" w:space="0" w:color="auto"/>
            <w:bottom w:val="none" w:sz="0" w:space="0" w:color="auto"/>
            <w:right w:val="none" w:sz="0" w:space="0" w:color="auto"/>
          </w:divBdr>
        </w:div>
        <w:div w:id="1669017337">
          <w:marLeft w:val="0"/>
          <w:marRight w:val="0"/>
          <w:marTop w:val="0"/>
          <w:marBottom w:val="0"/>
          <w:divBdr>
            <w:top w:val="none" w:sz="0" w:space="0" w:color="auto"/>
            <w:left w:val="none" w:sz="0" w:space="0" w:color="auto"/>
            <w:bottom w:val="none" w:sz="0" w:space="0" w:color="auto"/>
            <w:right w:val="none" w:sz="0" w:space="0" w:color="auto"/>
          </w:divBdr>
        </w:div>
        <w:div w:id="749079227">
          <w:marLeft w:val="0"/>
          <w:marRight w:val="0"/>
          <w:marTop w:val="0"/>
          <w:marBottom w:val="0"/>
          <w:divBdr>
            <w:top w:val="none" w:sz="0" w:space="0" w:color="auto"/>
            <w:left w:val="none" w:sz="0" w:space="0" w:color="auto"/>
            <w:bottom w:val="none" w:sz="0" w:space="0" w:color="auto"/>
            <w:right w:val="none" w:sz="0" w:space="0" w:color="auto"/>
          </w:divBdr>
        </w:div>
        <w:div w:id="1550920146">
          <w:marLeft w:val="0"/>
          <w:marRight w:val="0"/>
          <w:marTop w:val="240"/>
          <w:marBottom w:val="120"/>
          <w:divBdr>
            <w:top w:val="none" w:sz="0" w:space="0" w:color="auto"/>
            <w:left w:val="none" w:sz="0" w:space="0" w:color="auto"/>
            <w:bottom w:val="single" w:sz="12" w:space="0" w:color="000000"/>
            <w:right w:val="none" w:sz="0" w:space="0" w:color="auto"/>
          </w:divBdr>
        </w:div>
        <w:div w:id="1928879174">
          <w:marLeft w:val="0"/>
          <w:marRight w:val="0"/>
          <w:marTop w:val="120"/>
          <w:marBottom w:val="240"/>
          <w:divBdr>
            <w:top w:val="none" w:sz="0" w:space="0" w:color="auto"/>
            <w:left w:val="none" w:sz="0" w:space="0" w:color="auto"/>
            <w:bottom w:val="none" w:sz="0" w:space="0" w:color="auto"/>
            <w:right w:val="none" w:sz="0" w:space="0" w:color="auto"/>
          </w:divBdr>
        </w:div>
        <w:div w:id="1997027956">
          <w:marLeft w:val="0"/>
          <w:marRight w:val="0"/>
          <w:marTop w:val="240"/>
          <w:marBottom w:val="120"/>
          <w:divBdr>
            <w:top w:val="none" w:sz="0" w:space="0" w:color="auto"/>
            <w:left w:val="none" w:sz="0" w:space="0" w:color="auto"/>
            <w:bottom w:val="single" w:sz="12" w:space="0" w:color="000000"/>
            <w:right w:val="none" w:sz="0" w:space="0" w:color="auto"/>
          </w:divBdr>
        </w:div>
        <w:div w:id="2098552096">
          <w:marLeft w:val="0"/>
          <w:marRight w:val="0"/>
          <w:marTop w:val="120"/>
          <w:marBottom w:val="240"/>
          <w:divBdr>
            <w:top w:val="none" w:sz="0" w:space="0" w:color="auto"/>
            <w:left w:val="none" w:sz="0" w:space="0" w:color="auto"/>
            <w:bottom w:val="none" w:sz="0" w:space="0" w:color="auto"/>
            <w:right w:val="none" w:sz="0" w:space="0" w:color="auto"/>
          </w:divBdr>
        </w:div>
        <w:div w:id="1129670734">
          <w:marLeft w:val="0"/>
          <w:marRight w:val="0"/>
          <w:marTop w:val="0"/>
          <w:marBottom w:val="0"/>
          <w:divBdr>
            <w:top w:val="none" w:sz="0" w:space="0" w:color="auto"/>
            <w:left w:val="none" w:sz="0" w:space="0" w:color="auto"/>
            <w:bottom w:val="none" w:sz="0" w:space="0" w:color="auto"/>
            <w:right w:val="none" w:sz="0" w:space="0" w:color="auto"/>
          </w:divBdr>
        </w:div>
        <w:div w:id="211423169">
          <w:marLeft w:val="0"/>
          <w:marRight w:val="0"/>
          <w:marTop w:val="0"/>
          <w:marBottom w:val="0"/>
          <w:divBdr>
            <w:top w:val="none" w:sz="0" w:space="0" w:color="auto"/>
            <w:left w:val="none" w:sz="0" w:space="0" w:color="auto"/>
            <w:bottom w:val="none" w:sz="0" w:space="0" w:color="auto"/>
            <w:right w:val="none" w:sz="0" w:space="0" w:color="auto"/>
          </w:divBdr>
        </w:div>
        <w:div w:id="1536426515">
          <w:marLeft w:val="0"/>
          <w:marRight w:val="0"/>
          <w:marTop w:val="0"/>
          <w:marBottom w:val="0"/>
          <w:divBdr>
            <w:top w:val="none" w:sz="0" w:space="0" w:color="auto"/>
            <w:left w:val="none" w:sz="0" w:space="0" w:color="auto"/>
            <w:bottom w:val="none" w:sz="0" w:space="0" w:color="auto"/>
            <w:right w:val="none" w:sz="0" w:space="0" w:color="auto"/>
          </w:divBdr>
        </w:div>
        <w:div w:id="613286863">
          <w:marLeft w:val="0"/>
          <w:marRight w:val="0"/>
          <w:marTop w:val="0"/>
          <w:marBottom w:val="0"/>
          <w:divBdr>
            <w:top w:val="none" w:sz="0" w:space="0" w:color="auto"/>
            <w:left w:val="none" w:sz="0" w:space="0" w:color="auto"/>
            <w:bottom w:val="none" w:sz="0" w:space="0" w:color="auto"/>
            <w:right w:val="none" w:sz="0" w:space="0" w:color="auto"/>
          </w:divBdr>
        </w:div>
        <w:div w:id="588662423">
          <w:marLeft w:val="0"/>
          <w:marRight w:val="0"/>
          <w:marTop w:val="0"/>
          <w:marBottom w:val="0"/>
          <w:divBdr>
            <w:top w:val="none" w:sz="0" w:space="0" w:color="auto"/>
            <w:left w:val="none" w:sz="0" w:space="0" w:color="auto"/>
            <w:bottom w:val="none" w:sz="0" w:space="0" w:color="auto"/>
            <w:right w:val="none" w:sz="0" w:space="0" w:color="auto"/>
          </w:divBdr>
        </w:div>
        <w:div w:id="850339182">
          <w:marLeft w:val="0"/>
          <w:marRight w:val="0"/>
          <w:marTop w:val="0"/>
          <w:marBottom w:val="0"/>
          <w:divBdr>
            <w:top w:val="none" w:sz="0" w:space="0" w:color="auto"/>
            <w:left w:val="none" w:sz="0" w:space="0" w:color="auto"/>
            <w:bottom w:val="none" w:sz="0" w:space="0" w:color="auto"/>
            <w:right w:val="none" w:sz="0" w:space="0" w:color="auto"/>
          </w:divBdr>
        </w:div>
        <w:div w:id="1834949795">
          <w:marLeft w:val="0"/>
          <w:marRight w:val="0"/>
          <w:marTop w:val="0"/>
          <w:marBottom w:val="0"/>
          <w:divBdr>
            <w:top w:val="none" w:sz="0" w:space="0" w:color="auto"/>
            <w:left w:val="none" w:sz="0" w:space="0" w:color="auto"/>
            <w:bottom w:val="none" w:sz="0" w:space="0" w:color="auto"/>
            <w:right w:val="none" w:sz="0" w:space="0" w:color="auto"/>
          </w:divBdr>
        </w:div>
        <w:div w:id="502353550">
          <w:marLeft w:val="0"/>
          <w:marRight w:val="0"/>
          <w:marTop w:val="0"/>
          <w:marBottom w:val="0"/>
          <w:divBdr>
            <w:top w:val="none" w:sz="0" w:space="0" w:color="auto"/>
            <w:left w:val="none" w:sz="0" w:space="0" w:color="auto"/>
            <w:bottom w:val="none" w:sz="0" w:space="0" w:color="auto"/>
            <w:right w:val="none" w:sz="0" w:space="0" w:color="auto"/>
          </w:divBdr>
        </w:div>
        <w:div w:id="1464152157">
          <w:marLeft w:val="0"/>
          <w:marRight w:val="0"/>
          <w:marTop w:val="240"/>
          <w:marBottom w:val="120"/>
          <w:divBdr>
            <w:top w:val="none" w:sz="0" w:space="0" w:color="auto"/>
            <w:left w:val="none" w:sz="0" w:space="0" w:color="auto"/>
            <w:bottom w:val="single" w:sz="12" w:space="0" w:color="000000"/>
            <w:right w:val="none" w:sz="0" w:space="0" w:color="auto"/>
          </w:divBdr>
        </w:div>
        <w:div w:id="48699430">
          <w:marLeft w:val="0"/>
          <w:marRight w:val="0"/>
          <w:marTop w:val="120"/>
          <w:marBottom w:val="240"/>
          <w:divBdr>
            <w:top w:val="none" w:sz="0" w:space="0" w:color="auto"/>
            <w:left w:val="none" w:sz="0" w:space="0" w:color="auto"/>
            <w:bottom w:val="none" w:sz="0" w:space="0" w:color="auto"/>
            <w:right w:val="none" w:sz="0" w:space="0" w:color="auto"/>
          </w:divBdr>
        </w:div>
        <w:div w:id="1752578040">
          <w:marLeft w:val="0"/>
          <w:marRight w:val="0"/>
          <w:marTop w:val="240"/>
          <w:marBottom w:val="120"/>
          <w:divBdr>
            <w:top w:val="none" w:sz="0" w:space="0" w:color="auto"/>
            <w:left w:val="none" w:sz="0" w:space="0" w:color="auto"/>
            <w:bottom w:val="single" w:sz="12" w:space="0" w:color="000000"/>
            <w:right w:val="none" w:sz="0" w:space="0" w:color="auto"/>
          </w:divBdr>
        </w:div>
        <w:div w:id="754864066">
          <w:marLeft w:val="0"/>
          <w:marRight w:val="0"/>
          <w:marTop w:val="120"/>
          <w:marBottom w:val="240"/>
          <w:divBdr>
            <w:top w:val="none" w:sz="0" w:space="0" w:color="auto"/>
            <w:left w:val="none" w:sz="0" w:space="0" w:color="auto"/>
            <w:bottom w:val="none" w:sz="0" w:space="0" w:color="auto"/>
            <w:right w:val="none" w:sz="0" w:space="0" w:color="auto"/>
          </w:divBdr>
        </w:div>
        <w:div w:id="1763991788">
          <w:marLeft w:val="0"/>
          <w:marRight w:val="0"/>
          <w:marTop w:val="240"/>
          <w:marBottom w:val="120"/>
          <w:divBdr>
            <w:top w:val="none" w:sz="0" w:space="0" w:color="auto"/>
            <w:left w:val="none" w:sz="0" w:space="0" w:color="auto"/>
            <w:bottom w:val="single" w:sz="12" w:space="0" w:color="000000"/>
            <w:right w:val="none" w:sz="0" w:space="0" w:color="auto"/>
          </w:divBdr>
        </w:div>
        <w:div w:id="1352955150">
          <w:marLeft w:val="0"/>
          <w:marRight w:val="0"/>
          <w:marTop w:val="120"/>
          <w:marBottom w:val="240"/>
          <w:divBdr>
            <w:top w:val="none" w:sz="0" w:space="0" w:color="auto"/>
            <w:left w:val="none" w:sz="0" w:space="0" w:color="auto"/>
            <w:bottom w:val="none" w:sz="0" w:space="0" w:color="auto"/>
            <w:right w:val="none" w:sz="0" w:space="0" w:color="auto"/>
          </w:divBdr>
        </w:div>
        <w:div w:id="1367291966">
          <w:marLeft w:val="0"/>
          <w:marRight w:val="0"/>
          <w:marTop w:val="0"/>
          <w:marBottom w:val="0"/>
          <w:divBdr>
            <w:top w:val="none" w:sz="0" w:space="0" w:color="auto"/>
            <w:left w:val="none" w:sz="0" w:space="0" w:color="auto"/>
            <w:bottom w:val="none" w:sz="0" w:space="0" w:color="auto"/>
            <w:right w:val="none" w:sz="0" w:space="0" w:color="auto"/>
          </w:divBdr>
        </w:div>
        <w:div w:id="846603297">
          <w:marLeft w:val="0"/>
          <w:marRight w:val="0"/>
          <w:marTop w:val="0"/>
          <w:marBottom w:val="0"/>
          <w:divBdr>
            <w:top w:val="none" w:sz="0" w:space="0" w:color="auto"/>
            <w:left w:val="none" w:sz="0" w:space="0" w:color="auto"/>
            <w:bottom w:val="none" w:sz="0" w:space="0" w:color="auto"/>
            <w:right w:val="none" w:sz="0" w:space="0" w:color="auto"/>
          </w:divBdr>
        </w:div>
        <w:div w:id="570696943">
          <w:marLeft w:val="0"/>
          <w:marRight w:val="0"/>
          <w:marTop w:val="0"/>
          <w:marBottom w:val="0"/>
          <w:divBdr>
            <w:top w:val="none" w:sz="0" w:space="0" w:color="auto"/>
            <w:left w:val="none" w:sz="0" w:space="0" w:color="auto"/>
            <w:bottom w:val="none" w:sz="0" w:space="0" w:color="auto"/>
            <w:right w:val="none" w:sz="0" w:space="0" w:color="auto"/>
          </w:divBdr>
        </w:div>
        <w:div w:id="2132363567">
          <w:marLeft w:val="0"/>
          <w:marRight w:val="0"/>
          <w:marTop w:val="0"/>
          <w:marBottom w:val="0"/>
          <w:divBdr>
            <w:top w:val="none" w:sz="0" w:space="0" w:color="auto"/>
            <w:left w:val="none" w:sz="0" w:space="0" w:color="auto"/>
            <w:bottom w:val="none" w:sz="0" w:space="0" w:color="auto"/>
            <w:right w:val="none" w:sz="0" w:space="0" w:color="auto"/>
          </w:divBdr>
        </w:div>
        <w:div w:id="909727089">
          <w:marLeft w:val="0"/>
          <w:marRight w:val="0"/>
          <w:marTop w:val="0"/>
          <w:marBottom w:val="0"/>
          <w:divBdr>
            <w:top w:val="none" w:sz="0" w:space="0" w:color="auto"/>
            <w:left w:val="none" w:sz="0" w:space="0" w:color="auto"/>
            <w:bottom w:val="none" w:sz="0" w:space="0" w:color="auto"/>
            <w:right w:val="none" w:sz="0" w:space="0" w:color="auto"/>
          </w:divBdr>
        </w:div>
        <w:div w:id="2127960547">
          <w:marLeft w:val="0"/>
          <w:marRight w:val="0"/>
          <w:marTop w:val="0"/>
          <w:marBottom w:val="0"/>
          <w:divBdr>
            <w:top w:val="none" w:sz="0" w:space="0" w:color="auto"/>
            <w:left w:val="none" w:sz="0" w:space="0" w:color="auto"/>
            <w:bottom w:val="none" w:sz="0" w:space="0" w:color="auto"/>
            <w:right w:val="none" w:sz="0" w:space="0" w:color="auto"/>
          </w:divBdr>
        </w:div>
        <w:div w:id="961887561">
          <w:marLeft w:val="0"/>
          <w:marRight w:val="0"/>
          <w:marTop w:val="0"/>
          <w:marBottom w:val="0"/>
          <w:divBdr>
            <w:top w:val="none" w:sz="0" w:space="0" w:color="auto"/>
            <w:left w:val="none" w:sz="0" w:space="0" w:color="auto"/>
            <w:bottom w:val="none" w:sz="0" w:space="0" w:color="auto"/>
            <w:right w:val="none" w:sz="0" w:space="0" w:color="auto"/>
          </w:divBdr>
        </w:div>
        <w:div w:id="371074818">
          <w:marLeft w:val="0"/>
          <w:marRight w:val="0"/>
          <w:marTop w:val="0"/>
          <w:marBottom w:val="0"/>
          <w:divBdr>
            <w:top w:val="none" w:sz="0" w:space="0" w:color="auto"/>
            <w:left w:val="none" w:sz="0" w:space="0" w:color="auto"/>
            <w:bottom w:val="none" w:sz="0" w:space="0" w:color="auto"/>
            <w:right w:val="none" w:sz="0" w:space="0" w:color="auto"/>
          </w:divBdr>
        </w:div>
        <w:div w:id="2053924398">
          <w:marLeft w:val="0"/>
          <w:marRight w:val="0"/>
          <w:marTop w:val="240"/>
          <w:marBottom w:val="120"/>
          <w:divBdr>
            <w:top w:val="none" w:sz="0" w:space="0" w:color="auto"/>
            <w:left w:val="none" w:sz="0" w:space="0" w:color="auto"/>
            <w:bottom w:val="single" w:sz="12" w:space="0" w:color="000000"/>
            <w:right w:val="none" w:sz="0" w:space="0" w:color="auto"/>
          </w:divBdr>
        </w:div>
        <w:div w:id="224100315">
          <w:marLeft w:val="0"/>
          <w:marRight w:val="0"/>
          <w:marTop w:val="120"/>
          <w:marBottom w:val="240"/>
          <w:divBdr>
            <w:top w:val="none" w:sz="0" w:space="0" w:color="auto"/>
            <w:left w:val="none" w:sz="0" w:space="0" w:color="auto"/>
            <w:bottom w:val="none" w:sz="0" w:space="0" w:color="auto"/>
            <w:right w:val="none" w:sz="0" w:space="0" w:color="auto"/>
          </w:divBdr>
        </w:div>
        <w:div w:id="566186259">
          <w:marLeft w:val="0"/>
          <w:marRight w:val="0"/>
          <w:marTop w:val="240"/>
          <w:marBottom w:val="120"/>
          <w:divBdr>
            <w:top w:val="none" w:sz="0" w:space="0" w:color="auto"/>
            <w:left w:val="none" w:sz="0" w:space="0" w:color="auto"/>
            <w:bottom w:val="single" w:sz="12" w:space="0" w:color="000000"/>
            <w:right w:val="none" w:sz="0" w:space="0" w:color="auto"/>
          </w:divBdr>
        </w:div>
        <w:div w:id="1731733677">
          <w:marLeft w:val="0"/>
          <w:marRight w:val="0"/>
          <w:marTop w:val="120"/>
          <w:marBottom w:val="240"/>
          <w:divBdr>
            <w:top w:val="none" w:sz="0" w:space="0" w:color="auto"/>
            <w:left w:val="none" w:sz="0" w:space="0" w:color="auto"/>
            <w:bottom w:val="none" w:sz="0" w:space="0" w:color="auto"/>
            <w:right w:val="none" w:sz="0" w:space="0" w:color="auto"/>
          </w:divBdr>
        </w:div>
        <w:div w:id="1869222092">
          <w:marLeft w:val="0"/>
          <w:marRight w:val="0"/>
          <w:marTop w:val="240"/>
          <w:marBottom w:val="120"/>
          <w:divBdr>
            <w:top w:val="none" w:sz="0" w:space="0" w:color="auto"/>
            <w:left w:val="none" w:sz="0" w:space="0" w:color="auto"/>
            <w:bottom w:val="single" w:sz="12" w:space="0" w:color="000000"/>
            <w:right w:val="none" w:sz="0" w:space="0" w:color="auto"/>
          </w:divBdr>
        </w:div>
        <w:div w:id="1557428761">
          <w:marLeft w:val="0"/>
          <w:marRight w:val="0"/>
          <w:marTop w:val="120"/>
          <w:marBottom w:val="240"/>
          <w:divBdr>
            <w:top w:val="none" w:sz="0" w:space="0" w:color="auto"/>
            <w:left w:val="none" w:sz="0" w:space="0" w:color="auto"/>
            <w:bottom w:val="none" w:sz="0" w:space="0" w:color="auto"/>
            <w:right w:val="none" w:sz="0" w:space="0" w:color="auto"/>
          </w:divBdr>
        </w:div>
        <w:div w:id="1129784450">
          <w:marLeft w:val="0"/>
          <w:marRight w:val="0"/>
          <w:marTop w:val="0"/>
          <w:marBottom w:val="0"/>
          <w:divBdr>
            <w:top w:val="none" w:sz="0" w:space="0" w:color="auto"/>
            <w:left w:val="none" w:sz="0" w:space="0" w:color="auto"/>
            <w:bottom w:val="none" w:sz="0" w:space="0" w:color="auto"/>
            <w:right w:val="none" w:sz="0" w:space="0" w:color="auto"/>
          </w:divBdr>
        </w:div>
        <w:div w:id="314840567">
          <w:marLeft w:val="0"/>
          <w:marRight w:val="0"/>
          <w:marTop w:val="0"/>
          <w:marBottom w:val="0"/>
          <w:divBdr>
            <w:top w:val="none" w:sz="0" w:space="0" w:color="auto"/>
            <w:left w:val="none" w:sz="0" w:space="0" w:color="auto"/>
            <w:bottom w:val="none" w:sz="0" w:space="0" w:color="auto"/>
            <w:right w:val="none" w:sz="0" w:space="0" w:color="auto"/>
          </w:divBdr>
        </w:div>
        <w:div w:id="720519938">
          <w:marLeft w:val="0"/>
          <w:marRight w:val="0"/>
          <w:marTop w:val="0"/>
          <w:marBottom w:val="0"/>
          <w:divBdr>
            <w:top w:val="none" w:sz="0" w:space="0" w:color="auto"/>
            <w:left w:val="none" w:sz="0" w:space="0" w:color="auto"/>
            <w:bottom w:val="none" w:sz="0" w:space="0" w:color="auto"/>
            <w:right w:val="none" w:sz="0" w:space="0" w:color="auto"/>
          </w:divBdr>
        </w:div>
        <w:div w:id="1159539723">
          <w:marLeft w:val="0"/>
          <w:marRight w:val="0"/>
          <w:marTop w:val="0"/>
          <w:marBottom w:val="0"/>
          <w:divBdr>
            <w:top w:val="none" w:sz="0" w:space="0" w:color="auto"/>
            <w:left w:val="none" w:sz="0" w:space="0" w:color="auto"/>
            <w:bottom w:val="none" w:sz="0" w:space="0" w:color="auto"/>
            <w:right w:val="none" w:sz="0" w:space="0" w:color="auto"/>
          </w:divBdr>
        </w:div>
        <w:div w:id="797836944">
          <w:marLeft w:val="0"/>
          <w:marRight w:val="0"/>
          <w:marTop w:val="0"/>
          <w:marBottom w:val="0"/>
          <w:divBdr>
            <w:top w:val="none" w:sz="0" w:space="0" w:color="auto"/>
            <w:left w:val="none" w:sz="0" w:space="0" w:color="auto"/>
            <w:bottom w:val="none" w:sz="0" w:space="0" w:color="auto"/>
            <w:right w:val="none" w:sz="0" w:space="0" w:color="auto"/>
          </w:divBdr>
        </w:div>
        <w:div w:id="1285886630">
          <w:marLeft w:val="0"/>
          <w:marRight w:val="0"/>
          <w:marTop w:val="0"/>
          <w:marBottom w:val="0"/>
          <w:divBdr>
            <w:top w:val="none" w:sz="0" w:space="0" w:color="auto"/>
            <w:left w:val="none" w:sz="0" w:space="0" w:color="auto"/>
            <w:bottom w:val="none" w:sz="0" w:space="0" w:color="auto"/>
            <w:right w:val="none" w:sz="0" w:space="0" w:color="auto"/>
          </w:divBdr>
        </w:div>
        <w:div w:id="1744067124">
          <w:marLeft w:val="0"/>
          <w:marRight w:val="0"/>
          <w:marTop w:val="0"/>
          <w:marBottom w:val="0"/>
          <w:divBdr>
            <w:top w:val="none" w:sz="0" w:space="0" w:color="auto"/>
            <w:left w:val="none" w:sz="0" w:space="0" w:color="auto"/>
            <w:bottom w:val="none" w:sz="0" w:space="0" w:color="auto"/>
            <w:right w:val="none" w:sz="0" w:space="0" w:color="auto"/>
          </w:divBdr>
        </w:div>
        <w:div w:id="251858946">
          <w:marLeft w:val="0"/>
          <w:marRight w:val="0"/>
          <w:marTop w:val="0"/>
          <w:marBottom w:val="0"/>
          <w:divBdr>
            <w:top w:val="none" w:sz="0" w:space="0" w:color="auto"/>
            <w:left w:val="none" w:sz="0" w:space="0" w:color="auto"/>
            <w:bottom w:val="none" w:sz="0" w:space="0" w:color="auto"/>
            <w:right w:val="none" w:sz="0" w:space="0" w:color="auto"/>
          </w:divBdr>
        </w:div>
        <w:div w:id="899904088">
          <w:marLeft w:val="0"/>
          <w:marRight w:val="0"/>
          <w:marTop w:val="0"/>
          <w:marBottom w:val="0"/>
          <w:divBdr>
            <w:top w:val="none" w:sz="0" w:space="0" w:color="auto"/>
            <w:left w:val="none" w:sz="0" w:space="0" w:color="auto"/>
            <w:bottom w:val="none" w:sz="0" w:space="0" w:color="auto"/>
            <w:right w:val="none" w:sz="0" w:space="0" w:color="auto"/>
          </w:divBdr>
        </w:div>
        <w:div w:id="1362586994">
          <w:marLeft w:val="0"/>
          <w:marRight w:val="0"/>
          <w:marTop w:val="0"/>
          <w:marBottom w:val="0"/>
          <w:divBdr>
            <w:top w:val="none" w:sz="0" w:space="0" w:color="auto"/>
            <w:left w:val="none" w:sz="0" w:space="0" w:color="auto"/>
            <w:bottom w:val="none" w:sz="0" w:space="0" w:color="auto"/>
            <w:right w:val="none" w:sz="0" w:space="0" w:color="auto"/>
          </w:divBdr>
        </w:div>
        <w:div w:id="1541629880">
          <w:marLeft w:val="0"/>
          <w:marRight w:val="0"/>
          <w:marTop w:val="0"/>
          <w:marBottom w:val="0"/>
          <w:divBdr>
            <w:top w:val="none" w:sz="0" w:space="0" w:color="auto"/>
            <w:left w:val="none" w:sz="0" w:space="0" w:color="auto"/>
            <w:bottom w:val="none" w:sz="0" w:space="0" w:color="auto"/>
            <w:right w:val="none" w:sz="0" w:space="0" w:color="auto"/>
          </w:divBdr>
        </w:div>
        <w:div w:id="334577818">
          <w:marLeft w:val="0"/>
          <w:marRight w:val="0"/>
          <w:marTop w:val="0"/>
          <w:marBottom w:val="0"/>
          <w:divBdr>
            <w:top w:val="none" w:sz="0" w:space="0" w:color="auto"/>
            <w:left w:val="none" w:sz="0" w:space="0" w:color="auto"/>
            <w:bottom w:val="none" w:sz="0" w:space="0" w:color="auto"/>
            <w:right w:val="none" w:sz="0" w:space="0" w:color="auto"/>
          </w:divBdr>
        </w:div>
        <w:div w:id="1743286187">
          <w:marLeft w:val="0"/>
          <w:marRight w:val="0"/>
          <w:marTop w:val="0"/>
          <w:marBottom w:val="0"/>
          <w:divBdr>
            <w:top w:val="none" w:sz="0" w:space="0" w:color="auto"/>
            <w:left w:val="none" w:sz="0" w:space="0" w:color="auto"/>
            <w:bottom w:val="none" w:sz="0" w:space="0" w:color="auto"/>
            <w:right w:val="none" w:sz="0" w:space="0" w:color="auto"/>
          </w:divBdr>
        </w:div>
        <w:div w:id="552812637">
          <w:marLeft w:val="0"/>
          <w:marRight w:val="0"/>
          <w:marTop w:val="0"/>
          <w:marBottom w:val="0"/>
          <w:divBdr>
            <w:top w:val="none" w:sz="0" w:space="0" w:color="auto"/>
            <w:left w:val="none" w:sz="0" w:space="0" w:color="auto"/>
            <w:bottom w:val="none" w:sz="0" w:space="0" w:color="auto"/>
            <w:right w:val="none" w:sz="0" w:space="0" w:color="auto"/>
          </w:divBdr>
        </w:div>
        <w:div w:id="1360161111">
          <w:marLeft w:val="0"/>
          <w:marRight w:val="0"/>
          <w:marTop w:val="0"/>
          <w:marBottom w:val="0"/>
          <w:divBdr>
            <w:top w:val="none" w:sz="0" w:space="0" w:color="auto"/>
            <w:left w:val="none" w:sz="0" w:space="0" w:color="auto"/>
            <w:bottom w:val="none" w:sz="0" w:space="0" w:color="auto"/>
            <w:right w:val="none" w:sz="0" w:space="0" w:color="auto"/>
          </w:divBdr>
        </w:div>
        <w:div w:id="1200974312">
          <w:marLeft w:val="0"/>
          <w:marRight w:val="0"/>
          <w:marTop w:val="0"/>
          <w:marBottom w:val="0"/>
          <w:divBdr>
            <w:top w:val="none" w:sz="0" w:space="0" w:color="auto"/>
            <w:left w:val="none" w:sz="0" w:space="0" w:color="auto"/>
            <w:bottom w:val="none" w:sz="0" w:space="0" w:color="auto"/>
            <w:right w:val="none" w:sz="0" w:space="0" w:color="auto"/>
          </w:divBdr>
        </w:div>
        <w:div w:id="2119792509">
          <w:marLeft w:val="0"/>
          <w:marRight w:val="0"/>
          <w:marTop w:val="0"/>
          <w:marBottom w:val="0"/>
          <w:divBdr>
            <w:top w:val="none" w:sz="0" w:space="0" w:color="auto"/>
            <w:left w:val="none" w:sz="0" w:space="0" w:color="auto"/>
            <w:bottom w:val="none" w:sz="0" w:space="0" w:color="auto"/>
            <w:right w:val="none" w:sz="0" w:space="0" w:color="auto"/>
          </w:divBdr>
        </w:div>
        <w:div w:id="665210586">
          <w:marLeft w:val="0"/>
          <w:marRight w:val="0"/>
          <w:marTop w:val="0"/>
          <w:marBottom w:val="0"/>
          <w:divBdr>
            <w:top w:val="none" w:sz="0" w:space="0" w:color="auto"/>
            <w:left w:val="none" w:sz="0" w:space="0" w:color="auto"/>
            <w:bottom w:val="none" w:sz="0" w:space="0" w:color="auto"/>
            <w:right w:val="none" w:sz="0" w:space="0" w:color="auto"/>
          </w:divBdr>
        </w:div>
        <w:div w:id="723413716">
          <w:marLeft w:val="0"/>
          <w:marRight w:val="0"/>
          <w:marTop w:val="0"/>
          <w:marBottom w:val="0"/>
          <w:divBdr>
            <w:top w:val="none" w:sz="0" w:space="0" w:color="auto"/>
            <w:left w:val="none" w:sz="0" w:space="0" w:color="auto"/>
            <w:bottom w:val="none" w:sz="0" w:space="0" w:color="auto"/>
            <w:right w:val="none" w:sz="0" w:space="0" w:color="auto"/>
          </w:divBdr>
        </w:div>
        <w:div w:id="1567761189">
          <w:marLeft w:val="0"/>
          <w:marRight w:val="0"/>
          <w:marTop w:val="0"/>
          <w:marBottom w:val="0"/>
          <w:divBdr>
            <w:top w:val="none" w:sz="0" w:space="0" w:color="auto"/>
            <w:left w:val="none" w:sz="0" w:space="0" w:color="auto"/>
            <w:bottom w:val="none" w:sz="0" w:space="0" w:color="auto"/>
            <w:right w:val="none" w:sz="0" w:space="0" w:color="auto"/>
          </w:divBdr>
        </w:div>
        <w:div w:id="1385593773">
          <w:marLeft w:val="0"/>
          <w:marRight w:val="0"/>
          <w:marTop w:val="0"/>
          <w:marBottom w:val="0"/>
          <w:divBdr>
            <w:top w:val="none" w:sz="0" w:space="0" w:color="auto"/>
            <w:left w:val="none" w:sz="0" w:space="0" w:color="auto"/>
            <w:bottom w:val="none" w:sz="0" w:space="0" w:color="auto"/>
            <w:right w:val="none" w:sz="0" w:space="0" w:color="auto"/>
          </w:divBdr>
        </w:div>
        <w:div w:id="1533032257">
          <w:marLeft w:val="0"/>
          <w:marRight w:val="0"/>
          <w:marTop w:val="0"/>
          <w:marBottom w:val="0"/>
          <w:divBdr>
            <w:top w:val="none" w:sz="0" w:space="0" w:color="auto"/>
            <w:left w:val="none" w:sz="0" w:space="0" w:color="auto"/>
            <w:bottom w:val="none" w:sz="0" w:space="0" w:color="auto"/>
            <w:right w:val="none" w:sz="0" w:space="0" w:color="auto"/>
          </w:divBdr>
        </w:div>
        <w:div w:id="1235815793">
          <w:marLeft w:val="0"/>
          <w:marRight w:val="0"/>
          <w:marTop w:val="0"/>
          <w:marBottom w:val="0"/>
          <w:divBdr>
            <w:top w:val="none" w:sz="0" w:space="0" w:color="auto"/>
            <w:left w:val="none" w:sz="0" w:space="0" w:color="auto"/>
            <w:bottom w:val="none" w:sz="0" w:space="0" w:color="auto"/>
            <w:right w:val="none" w:sz="0" w:space="0" w:color="auto"/>
          </w:divBdr>
        </w:div>
        <w:div w:id="1024282414">
          <w:marLeft w:val="0"/>
          <w:marRight w:val="0"/>
          <w:marTop w:val="0"/>
          <w:marBottom w:val="0"/>
          <w:divBdr>
            <w:top w:val="none" w:sz="0" w:space="0" w:color="auto"/>
            <w:left w:val="none" w:sz="0" w:space="0" w:color="auto"/>
            <w:bottom w:val="none" w:sz="0" w:space="0" w:color="auto"/>
            <w:right w:val="none" w:sz="0" w:space="0" w:color="auto"/>
          </w:divBdr>
        </w:div>
        <w:div w:id="485165901">
          <w:marLeft w:val="0"/>
          <w:marRight w:val="0"/>
          <w:marTop w:val="240"/>
          <w:marBottom w:val="120"/>
          <w:divBdr>
            <w:top w:val="none" w:sz="0" w:space="0" w:color="auto"/>
            <w:left w:val="none" w:sz="0" w:space="0" w:color="auto"/>
            <w:bottom w:val="single" w:sz="12" w:space="0" w:color="000000"/>
            <w:right w:val="none" w:sz="0" w:space="0" w:color="auto"/>
          </w:divBdr>
        </w:div>
        <w:div w:id="75984258">
          <w:marLeft w:val="0"/>
          <w:marRight w:val="0"/>
          <w:marTop w:val="120"/>
          <w:marBottom w:val="240"/>
          <w:divBdr>
            <w:top w:val="none" w:sz="0" w:space="0" w:color="auto"/>
            <w:left w:val="none" w:sz="0" w:space="0" w:color="auto"/>
            <w:bottom w:val="none" w:sz="0" w:space="0" w:color="auto"/>
            <w:right w:val="none" w:sz="0" w:space="0" w:color="auto"/>
          </w:divBdr>
        </w:div>
        <w:div w:id="1554807129">
          <w:marLeft w:val="0"/>
          <w:marRight w:val="0"/>
          <w:marTop w:val="240"/>
          <w:marBottom w:val="120"/>
          <w:divBdr>
            <w:top w:val="none" w:sz="0" w:space="0" w:color="auto"/>
            <w:left w:val="none" w:sz="0" w:space="0" w:color="auto"/>
            <w:bottom w:val="single" w:sz="12" w:space="0" w:color="000000"/>
            <w:right w:val="none" w:sz="0" w:space="0" w:color="auto"/>
          </w:divBdr>
        </w:div>
        <w:div w:id="1725788333">
          <w:marLeft w:val="0"/>
          <w:marRight w:val="0"/>
          <w:marTop w:val="120"/>
          <w:marBottom w:val="240"/>
          <w:divBdr>
            <w:top w:val="none" w:sz="0" w:space="0" w:color="auto"/>
            <w:left w:val="none" w:sz="0" w:space="0" w:color="auto"/>
            <w:bottom w:val="none" w:sz="0" w:space="0" w:color="auto"/>
            <w:right w:val="none" w:sz="0" w:space="0" w:color="auto"/>
          </w:divBdr>
        </w:div>
        <w:div w:id="1284189513">
          <w:marLeft w:val="0"/>
          <w:marRight w:val="0"/>
          <w:marTop w:val="240"/>
          <w:marBottom w:val="120"/>
          <w:divBdr>
            <w:top w:val="none" w:sz="0" w:space="0" w:color="auto"/>
            <w:left w:val="none" w:sz="0" w:space="0" w:color="auto"/>
            <w:bottom w:val="single" w:sz="12" w:space="0" w:color="000000"/>
            <w:right w:val="none" w:sz="0" w:space="0" w:color="auto"/>
          </w:divBdr>
        </w:div>
        <w:div w:id="1665820473">
          <w:marLeft w:val="0"/>
          <w:marRight w:val="0"/>
          <w:marTop w:val="120"/>
          <w:marBottom w:val="240"/>
          <w:divBdr>
            <w:top w:val="none" w:sz="0" w:space="0" w:color="auto"/>
            <w:left w:val="none" w:sz="0" w:space="0" w:color="auto"/>
            <w:bottom w:val="none" w:sz="0" w:space="0" w:color="auto"/>
            <w:right w:val="none" w:sz="0" w:space="0" w:color="auto"/>
          </w:divBdr>
        </w:div>
        <w:div w:id="562326036">
          <w:marLeft w:val="0"/>
          <w:marRight w:val="0"/>
          <w:marTop w:val="240"/>
          <w:marBottom w:val="120"/>
          <w:divBdr>
            <w:top w:val="none" w:sz="0" w:space="0" w:color="auto"/>
            <w:left w:val="none" w:sz="0" w:space="0" w:color="auto"/>
            <w:bottom w:val="single" w:sz="12" w:space="0" w:color="000000"/>
            <w:right w:val="none" w:sz="0" w:space="0" w:color="auto"/>
          </w:divBdr>
        </w:div>
        <w:div w:id="404106225">
          <w:marLeft w:val="0"/>
          <w:marRight w:val="0"/>
          <w:marTop w:val="120"/>
          <w:marBottom w:val="240"/>
          <w:divBdr>
            <w:top w:val="none" w:sz="0" w:space="0" w:color="auto"/>
            <w:left w:val="none" w:sz="0" w:space="0" w:color="auto"/>
            <w:bottom w:val="none" w:sz="0" w:space="0" w:color="auto"/>
            <w:right w:val="none" w:sz="0" w:space="0" w:color="auto"/>
          </w:divBdr>
        </w:div>
        <w:div w:id="1653369289">
          <w:marLeft w:val="0"/>
          <w:marRight w:val="0"/>
          <w:marTop w:val="240"/>
          <w:marBottom w:val="120"/>
          <w:divBdr>
            <w:top w:val="none" w:sz="0" w:space="0" w:color="auto"/>
            <w:left w:val="none" w:sz="0" w:space="0" w:color="auto"/>
            <w:bottom w:val="single" w:sz="12" w:space="0" w:color="000000"/>
            <w:right w:val="none" w:sz="0" w:space="0" w:color="auto"/>
          </w:divBdr>
        </w:div>
        <w:div w:id="1929657957">
          <w:marLeft w:val="0"/>
          <w:marRight w:val="0"/>
          <w:marTop w:val="120"/>
          <w:marBottom w:val="240"/>
          <w:divBdr>
            <w:top w:val="none" w:sz="0" w:space="0" w:color="auto"/>
            <w:left w:val="none" w:sz="0" w:space="0" w:color="auto"/>
            <w:bottom w:val="none" w:sz="0" w:space="0" w:color="auto"/>
            <w:right w:val="none" w:sz="0" w:space="0" w:color="auto"/>
          </w:divBdr>
        </w:div>
        <w:div w:id="1246694722">
          <w:marLeft w:val="0"/>
          <w:marRight w:val="0"/>
          <w:marTop w:val="240"/>
          <w:marBottom w:val="120"/>
          <w:divBdr>
            <w:top w:val="none" w:sz="0" w:space="0" w:color="auto"/>
            <w:left w:val="none" w:sz="0" w:space="0" w:color="auto"/>
            <w:bottom w:val="single" w:sz="12" w:space="0" w:color="000000"/>
            <w:right w:val="none" w:sz="0" w:space="0" w:color="auto"/>
          </w:divBdr>
        </w:div>
        <w:div w:id="700205615">
          <w:marLeft w:val="0"/>
          <w:marRight w:val="0"/>
          <w:marTop w:val="120"/>
          <w:marBottom w:val="240"/>
          <w:divBdr>
            <w:top w:val="none" w:sz="0" w:space="0" w:color="auto"/>
            <w:left w:val="none" w:sz="0" w:space="0" w:color="auto"/>
            <w:bottom w:val="none" w:sz="0" w:space="0" w:color="auto"/>
            <w:right w:val="none" w:sz="0" w:space="0" w:color="auto"/>
          </w:divBdr>
        </w:div>
        <w:div w:id="417756177">
          <w:marLeft w:val="0"/>
          <w:marRight w:val="0"/>
          <w:marTop w:val="240"/>
          <w:marBottom w:val="120"/>
          <w:divBdr>
            <w:top w:val="none" w:sz="0" w:space="0" w:color="auto"/>
            <w:left w:val="none" w:sz="0" w:space="0" w:color="auto"/>
            <w:bottom w:val="single" w:sz="12" w:space="0" w:color="000000"/>
            <w:right w:val="none" w:sz="0" w:space="0" w:color="auto"/>
          </w:divBdr>
        </w:div>
        <w:div w:id="1792017941">
          <w:marLeft w:val="0"/>
          <w:marRight w:val="0"/>
          <w:marTop w:val="120"/>
          <w:marBottom w:val="240"/>
          <w:divBdr>
            <w:top w:val="none" w:sz="0" w:space="0" w:color="auto"/>
            <w:left w:val="none" w:sz="0" w:space="0" w:color="auto"/>
            <w:bottom w:val="none" w:sz="0" w:space="0" w:color="auto"/>
            <w:right w:val="none" w:sz="0" w:space="0" w:color="auto"/>
          </w:divBdr>
        </w:div>
        <w:div w:id="1663435260">
          <w:marLeft w:val="0"/>
          <w:marRight w:val="0"/>
          <w:marTop w:val="240"/>
          <w:marBottom w:val="120"/>
          <w:divBdr>
            <w:top w:val="none" w:sz="0" w:space="0" w:color="auto"/>
            <w:left w:val="none" w:sz="0" w:space="0" w:color="auto"/>
            <w:bottom w:val="single" w:sz="12" w:space="0" w:color="000000"/>
            <w:right w:val="none" w:sz="0" w:space="0" w:color="auto"/>
          </w:divBdr>
        </w:div>
        <w:div w:id="488791818">
          <w:marLeft w:val="0"/>
          <w:marRight w:val="0"/>
          <w:marTop w:val="120"/>
          <w:marBottom w:val="240"/>
          <w:divBdr>
            <w:top w:val="none" w:sz="0" w:space="0" w:color="auto"/>
            <w:left w:val="none" w:sz="0" w:space="0" w:color="auto"/>
            <w:bottom w:val="none" w:sz="0" w:space="0" w:color="auto"/>
            <w:right w:val="none" w:sz="0" w:space="0" w:color="auto"/>
          </w:divBdr>
        </w:div>
        <w:div w:id="1146974856">
          <w:marLeft w:val="0"/>
          <w:marRight w:val="0"/>
          <w:marTop w:val="240"/>
          <w:marBottom w:val="120"/>
          <w:divBdr>
            <w:top w:val="none" w:sz="0" w:space="0" w:color="auto"/>
            <w:left w:val="none" w:sz="0" w:space="0" w:color="auto"/>
            <w:bottom w:val="single" w:sz="12" w:space="0" w:color="000000"/>
            <w:right w:val="none" w:sz="0" w:space="0" w:color="auto"/>
          </w:divBdr>
        </w:div>
        <w:div w:id="1782649859">
          <w:marLeft w:val="0"/>
          <w:marRight w:val="0"/>
          <w:marTop w:val="120"/>
          <w:marBottom w:val="240"/>
          <w:divBdr>
            <w:top w:val="none" w:sz="0" w:space="0" w:color="auto"/>
            <w:left w:val="none" w:sz="0" w:space="0" w:color="auto"/>
            <w:bottom w:val="none" w:sz="0" w:space="0" w:color="auto"/>
            <w:right w:val="none" w:sz="0" w:space="0" w:color="auto"/>
          </w:divBdr>
        </w:div>
        <w:div w:id="763965200">
          <w:marLeft w:val="0"/>
          <w:marRight w:val="0"/>
          <w:marTop w:val="0"/>
          <w:marBottom w:val="0"/>
          <w:divBdr>
            <w:top w:val="none" w:sz="0" w:space="0" w:color="auto"/>
            <w:left w:val="none" w:sz="0" w:space="0" w:color="auto"/>
            <w:bottom w:val="none" w:sz="0" w:space="0" w:color="auto"/>
            <w:right w:val="none" w:sz="0" w:space="0" w:color="auto"/>
          </w:divBdr>
          <w:divsChild>
            <w:div w:id="756752297">
              <w:marLeft w:val="0"/>
              <w:marRight w:val="0"/>
              <w:marTop w:val="0"/>
              <w:marBottom w:val="0"/>
              <w:divBdr>
                <w:top w:val="single" w:sz="12" w:space="0" w:color="000000"/>
                <w:left w:val="none" w:sz="0" w:space="0" w:color="auto"/>
                <w:bottom w:val="none" w:sz="0" w:space="0" w:color="auto"/>
                <w:right w:val="none" w:sz="0" w:space="0" w:color="auto"/>
              </w:divBdr>
            </w:div>
          </w:divsChild>
        </w:div>
        <w:div w:id="35176271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10q0922ex32-1_remsleep.htm" TargetMode="External"/><Relationship Id="rId4" Type="http://schemas.openxmlformats.org/officeDocument/2006/relationships/hyperlink" Target="f10q0922ex31-1_remsleep.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10431</Words>
  <Characters>59457</Characters>
  <Application>Microsoft Office Word</Application>
  <DocSecurity>0</DocSecurity>
  <Lines>495</Lines>
  <Paragraphs>139</Paragraphs>
  <ScaleCrop>false</ScaleCrop>
  <Company/>
  <LinksUpToDate>false</LinksUpToDate>
  <CharactersWithSpaces>69749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