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A7C39">
      <w:pPr>
        <w:pStyle w:val="a3"/>
        <w:spacing w:before="0" w:beforeAutospacing="0" w:after="0" w:afterAutospacing="0"/>
        <w:jc w:val="center"/>
        <w:rPr>
          <w:sz w:val="20"/>
          <w:szCs w:val="20"/>
        </w:rPr>
      </w:pPr>
      <w:r>
        <w:rPr>
          <w:b/>
          <w:bCs/>
          <w:sz w:val="20"/>
          <w:szCs w:val="20"/>
        </w:rPr>
        <w:t>UNITED STATES SECURITIES AND EXCHANGE COMMISSION</w:t>
      </w:r>
    </w:p>
    <w:p w:rsidR="00000000" w:rsidRDefault="002A7C39">
      <w:pPr>
        <w:pStyle w:val="a3"/>
        <w:spacing w:before="0" w:beforeAutospacing="0" w:after="0" w:afterAutospacing="0"/>
        <w:jc w:val="center"/>
        <w:rPr>
          <w:sz w:val="20"/>
          <w:szCs w:val="20"/>
        </w:rPr>
      </w:pPr>
      <w:r>
        <w:rPr>
          <w:b/>
          <w:bCs/>
          <w:sz w:val="20"/>
          <w:szCs w:val="20"/>
        </w:rPr>
        <w:t>Washington, D.C. 20549</w:t>
      </w:r>
    </w:p>
    <w:p w:rsidR="00000000" w:rsidRDefault="002A7C39">
      <w:pPr>
        <w:pStyle w:val="a3"/>
        <w:spacing w:before="0" w:beforeAutospacing="0" w:after="0" w:afterAutospacing="0"/>
        <w:jc w:val="center"/>
      </w:pPr>
      <w:r>
        <w:rPr>
          <w:b/>
          <w:bCs/>
        </w:rPr>
        <w:t>FORM 10-Q</w:t>
      </w:r>
    </w:p>
    <w:p w:rsidR="00000000" w:rsidRDefault="002A7C39">
      <w:pPr>
        <w:pStyle w:val="a3"/>
        <w:spacing w:before="0" w:beforeAutospacing="0" w:after="0" w:afterAutospacing="0"/>
        <w:jc w:val="both"/>
        <w:rPr>
          <w:sz w:val="20"/>
          <w:szCs w:val="20"/>
        </w:rPr>
      </w:pPr>
      <w:r>
        <w:rPr>
          <w:sz w:val="20"/>
          <w:szCs w:val="20"/>
        </w:rPr>
        <w:t>  (Mark One)</w:t>
      </w:r>
    </w:p>
    <w:p w:rsidR="00000000" w:rsidRDefault="002A7C39">
      <w:pPr>
        <w:pStyle w:val="a3"/>
        <w:spacing w:before="0" w:beforeAutospacing="0" w:after="0" w:afterAutospacing="0"/>
        <w:jc w:val="both"/>
        <w:rPr>
          <w:sz w:val="20"/>
          <w:szCs w:val="20"/>
        </w:rPr>
      </w:pPr>
      <w:r>
        <w:rPr>
          <w:sz w:val="20"/>
          <w:szCs w:val="20"/>
        </w:rPr>
        <w:t> </w:t>
      </w:r>
      <w:r>
        <w:rPr>
          <w:b/>
          <w:bCs/>
          <w:sz w:val="20"/>
          <w:szCs w:val="20"/>
        </w:rPr>
        <w:t>[X] QUARTERLY REPORT PURSUANT TO SECTION 13 OR 15(d) OF THE SECURITIES EXCHANGE ACT OF 1934</w:t>
      </w:r>
    </w:p>
    <w:p w:rsidR="00000000" w:rsidRDefault="002A7C39">
      <w:pPr>
        <w:pStyle w:val="a3"/>
        <w:spacing w:before="0" w:beforeAutospacing="0" w:after="0" w:afterAutospacing="0"/>
        <w:jc w:val="center"/>
        <w:rPr>
          <w:sz w:val="20"/>
          <w:szCs w:val="20"/>
        </w:rPr>
      </w:pPr>
      <w:r>
        <w:rPr>
          <w:sz w:val="20"/>
          <w:szCs w:val="20"/>
        </w:rPr>
        <w:t>For the quarterly period ended</w:t>
      </w:r>
      <w:r>
        <w:rPr>
          <w:sz w:val="20"/>
          <w:szCs w:val="20"/>
          <w:u w:val="single"/>
        </w:rPr>
        <w:t>      </w:t>
      </w:r>
      <w:r>
        <w:rPr>
          <w:b/>
          <w:bCs/>
          <w:sz w:val="20"/>
          <w:szCs w:val="20"/>
          <w:u w:val="single"/>
        </w:rPr>
        <w:t>June 30, 2019</w:t>
      </w:r>
    </w:p>
    <w:p w:rsidR="00000000" w:rsidRDefault="002A7C39">
      <w:pPr>
        <w:pStyle w:val="a3"/>
        <w:spacing w:before="0" w:beforeAutospacing="0" w:after="0" w:afterAutospacing="0"/>
        <w:jc w:val="center"/>
        <w:rPr>
          <w:sz w:val="20"/>
          <w:szCs w:val="20"/>
        </w:rPr>
      </w:pPr>
      <w:r>
        <w:rPr>
          <w:sz w:val="20"/>
          <w:szCs w:val="20"/>
        </w:rPr>
        <w:t>OR</w:t>
      </w:r>
    </w:p>
    <w:p w:rsidR="00000000" w:rsidRDefault="002A7C39">
      <w:pPr>
        <w:pStyle w:val="a3"/>
        <w:spacing w:before="0" w:beforeAutospacing="0" w:after="0" w:afterAutospacing="0"/>
        <w:ind w:left="720" w:hanging="720"/>
        <w:jc w:val="both"/>
        <w:rPr>
          <w:sz w:val="20"/>
          <w:szCs w:val="20"/>
        </w:rPr>
      </w:pPr>
      <w:r>
        <w:rPr>
          <w:b/>
          <w:bCs/>
          <w:sz w:val="20"/>
          <w:szCs w:val="20"/>
        </w:rPr>
        <w:t xml:space="preserve">[  ] </w:t>
      </w:r>
      <w:r>
        <w:rPr>
          <w:b/>
          <w:bCs/>
          <w:sz w:val="20"/>
          <w:szCs w:val="20"/>
        </w:rPr>
        <w:t>TRANSITION REPORT PURSUANT TO SECTION 13 OR 15(d) OF THE SECURITIES EXCHANGE ACT OF 1934  </w:t>
      </w:r>
    </w:p>
    <w:p w:rsidR="00000000" w:rsidRDefault="002A7C39">
      <w:pPr>
        <w:pStyle w:val="a3"/>
        <w:spacing w:before="0" w:beforeAutospacing="0" w:after="0" w:afterAutospacing="0"/>
        <w:ind w:left="720" w:hanging="720"/>
        <w:jc w:val="center"/>
        <w:rPr>
          <w:sz w:val="20"/>
          <w:szCs w:val="20"/>
        </w:rPr>
      </w:pPr>
      <w:r>
        <w:rPr>
          <w:sz w:val="20"/>
          <w:szCs w:val="20"/>
        </w:rPr>
        <w:t>For the transition period from</w:t>
      </w:r>
      <w:r>
        <w:rPr>
          <w:sz w:val="20"/>
          <w:szCs w:val="20"/>
          <w:u w:val="single"/>
        </w:rPr>
        <w:t>               </w:t>
      </w:r>
      <w:r>
        <w:rPr>
          <w:sz w:val="20"/>
          <w:szCs w:val="20"/>
        </w:rPr>
        <w:t>to</w:t>
      </w:r>
      <w:r>
        <w:rPr>
          <w:sz w:val="20"/>
          <w:szCs w:val="20"/>
          <w:u w:val="single"/>
        </w:rPr>
        <w:t>              </w:t>
      </w:r>
    </w:p>
    <w:p w:rsidR="00000000" w:rsidRDefault="002A7C39">
      <w:pPr>
        <w:pStyle w:val="a3"/>
        <w:spacing w:before="0" w:beforeAutospacing="0" w:after="0" w:afterAutospacing="0"/>
        <w:jc w:val="center"/>
        <w:rPr>
          <w:sz w:val="20"/>
          <w:szCs w:val="20"/>
        </w:rPr>
      </w:pPr>
      <w:r>
        <w:rPr>
          <w:sz w:val="20"/>
          <w:szCs w:val="20"/>
        </w:rPr>
        <w:t>Commission File Number.   </w:t>
      </w:r>
      <w:r>
        <w:rPr>
          <w:b/>
          <w:bCs/>
          <w:sz w:val="20"/>
          <w:szCs w:val="20"/>
          <w:u w:val="single"/>
        </w:rPr>
        <w:t>001-39278</w:t>
      </w:r>
    </w:p>
    <w:p w:rsidR="00000000" w:rsidRDefault="002A7C39">
      <w:pPr>
        <w:pStyle w:val="a3"/>
        <w:spacing w:before="0" w:beforeAutospacing="0" w:after="0" w:afterAutospacing="0"/>
        <w:jc w:val="center"/>
      </w:pPr>
      <w:r>
        <w:rPr>
          <w:b/>
          <w:bCs/>
          <w:u w:val="single"/>
        </w:rPr>
        <w:t>SOLITARIO ZINC CORP.</w:t>
      </w:r>
    </w:p>
    <w:p w:rsidR="00000000" w:rsidRDefault="002A7C39">
      <w:pPr>
        <w:pStyle w:val="a3"/>
        <w:spacing w:before="0" w:beforeAutospacing="0" w:after="0" w:afterAutospacing="0"/>
        <w:ind w:right="792"/>
        <w:jc w:val="center"/>
        <w:rPr>
          <w:sz w:val="20"/>
          <w:szCs w:val="20"/>
        </w:rPr>
      </w:pPr>
      <w:r>
        <w:rPr>
          <w:sz w:val="20"/>
          <w:szCs w:val="20"/>
          <w:u w:val="single"/>
        </w:rPr>
        <w:t xml:space="preserve">(Exact name of registrant as specified in its </w:t>
      </w:r>
      <w:r>
        <w:rPr>
          <w:sz w:val="20"/>
          <w:szCs w:val="20"/>
          <w:u w:val="single"/>
        </w:rPr>
        <w:t>charter)</w:t>
      </w:r>
    </w:p>
    <w:p w:rsidR="00000000" w:rsidRDefault="002A7C3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5"/>
        <w:gridCol w:w="2741"/>
      </w:tblGrid>
      <w:tr w:rsidR="00000000">
        <w:tc>
          <w:tcPr>
            <w:tcW w:w="3350" w:type="pct"/>
            <w:tcMar>
              <w:top w:w="0" w:type="dxa"/>
              <w:left w:w="108" w:type="dxa"/>
              <w:bottom w:w="0" w:type="dxa"/>
              <w:right w:w="108" w:type="dxa"/>
            </w:tcMar>
            <w:hideMark/>
          </w:tcPr>
          <w:p w:rsidR="00000000" w:rsidRDefault="002A7C39">
            <w:pPr>
              <w:snapToGrid w:val="0"/>
              <w:rPr>
                <w:rFonts w:eastAsia="Times New Roman"/>
                <w:sz w:val="20"/>
                <w:szCs w:val="20"/>
              </w:rPr>
            </w:pPr>
            <w:r>
              <w:rPr>
                <w:rFonts w:eastAsia="Times New Roman"/>
                <w:b/>
                <w:bCs/>
                <w:sz w:val="20"/>
                <w:szCs w:val="20"/>
                <w:u w:val="single"/>
              </w:rPr>
              <w:t xml:space="preserve">Colorado </w:t>
            </w:r>
            <w:r>
              <w:rPr>
                <w:rFonts w:eastAsia="Times New Roman"/>
                <w:sz w:val="20"/>
                <w:szCs w:val="20"/>
              </w:rPr>
              <w:br/>
            </w:r>
            <w:r>
              <w:rPr>
                <w:rFonts w:eastAsia="Times New Roman"/>
                <w:b/>
                <w:bCs/>
                <w:sz w:val="20"/>
                <w:szCs w:val="20"/>
              </w:rPr>
              <w:t xml:space="preserve">(State or other jurisdiction of incorporation or organization) </w:t>
            </w:r>
            <w:r>
              <w:rPr>
                <w:rFonts w:eastAsia="Times New Roman"/>
                <w:b/>
                <w:bCs/>
                <w:sz w:val="20"/>
                <w:szCs w:val="20"/>
              </w:rPr>
              <w:br/>
            </w:r>
            <w:r>
              <w:rPr>
                <w:rFonts w:eastAsia="Times New Roman"/>
                <w:b/>
                <w:bCs/>
                <w:sz w:val="20"/>
                <w:szCs w:val="20"/>
                <w:u w:val="single"/>
              </w:rPr>
              <w:t>4251 Kipling St. Suite 390, Wheat Ridge, CO</w:t>
            </w:r>
            <w:r>
              <w:rPr>
                <w:rFonts w:eastAsia="Times New Roman"/>
                <w:sz w:val="20"/>
                <w:szCs w:val="20"/>
              </w:rPr>
              <w:br/>
            </w:r>
            <w:r>
              <w:rPr>
                <w:rFonts w:eastAsia="Times New Roman"/>
                <w:b/>
                <w:bCs/>
                <w:sz w:val="20"/>
                <w:szCs w:val="20"/>
              </w:rPr>
              <w:t>(Address of principal executive offices)</w:t>
            </w:r>
            <w:r>
              <w:rPr>
                <w:rFonts w:eastAsia="Times New Roman"/>
                <w:sz w:val="20"/>
                <w:szCs w:val="20"/>
              </w:rPr>
              <w:br/>
            </w:r>
            <w:r>
              <w:rPr>
                <w:rFonts w:eastAsia="Times New Roman"/>
                <w:b/>
                <w:bCs/>
                <w:sz w:val="20"/>
                <w:szCs w:val="20"/>
                <w:u w:val="single"/>
              </w:rPr>
              <w:t>(303)  534-1030</w:t>
            </w:r>
            <w:r>
              <w:rPr>
                <w:rFonts w:eastAsia="Times New Roman"/>
                <w:sz w:val="20"/>
                <w:szCs w:val="20"/>
              </w:rPr>
              <w:br/>
            </w:r>
            <w:r>
              <w:rPr>
                <w:rFonts w:eastAsia="Times New Roman"/>
                <w:b/>
                <w:bCs/>
                <w:sz w:val="20"/>
                <w:szCs w:val="20"/>
              </w:rPr>
              <w:t>(Registrant's telephone number, including area code)</w:t>
            </w:r>
          </w:p>
        </w:tc>
        <w:tc>
          <w:tcPr>
            <w:tcW w:w="1650" w:type="pct"/>
            <w:tcMar>
              <w:top w:w="0" w:type="dxa"/>
              <w:left w:w="108" w:type="dxa"/>
              <w:bottom w:w="0" w:type="dxa"/>
              <w:right w:w="108" w:type="dxa"/>
            </w:tcMar>
            <w:hideMark/>
          </w:tcPr>
          <w:p w:rsidR="00000000" w:rsidRDefault="002A7C39">
            <w:pPr>
              <w:snapToGrid w:val="0"/>
              <w:rPr>
                <w:rFonts w:eastAsia="Times New Roman"/>
                <w:sz w:val="20"/>
                <w:szCs w:val="20"/>
              </w:rPr>
            </w:pPr>
            <w:r>
              <w:rPr>
                <w:rFonts w:eastAsia="Times New Roman"/>
                <w:b/>
                <w:bCs/>
                <w:sz w:val="20"/>
                <w:szCs w:val="20"/>
                <w:u w:val="single"/>
              </w:rPr>
              <w:t xml:space="preserve">84-1285791 </w:t>
            </w:r>
            <w:r>
              <w:rPr>
                <w:rFonts w:eastAsia="Times New Roman"/>
                <w:sz w:val="20"/>
                <w:szCs w:val="20"/>
              </w:rPr>
              <w:br/>
            </w:r>
            <w:r>
              <w:rPr>
                <w:rFonts w:eastAsia="Times New Roman"/>
                <w:b/>
                <w:bCs/>
                <w:sz w:val="20"/>
                <w:szCs w:val="20"/>
              </w:rPr>
              <w:t>(I.R.</w:t>
            </w:r>
            <w:r>
              <w:rPr>
                <w:rFonts w:eastAsia="Times New Roman"/>
                <w:b/>
                <w:bCs/>
                <w:sz w:val="20"/>
                <w:szCs w:val="20"/>
              </w:rPr>
              <w:t>S. Employer Identification No.</w:t>
            </w:r>
            <w:r>
              <w:rPr>
                <w:rFonts w:eastAsia="Times New Roman"/>
                <w:sz w:val="20"/>
                <w:szCs w:val="20"/>
              </w:rPr>
              <w:br/>
            </w:r>
            <w:r>
              <w:rPr>
                <w:rFonts w:eastAsia="Times New Roman"/>
                <w:b/>
                <w:bCs/>
                <w:sz w:val="20"/>
                <w:szCs w:val="20"/>
                <w:u w:val="single"/>
              </w:rPr>
              <w:t>80033</w:t>
            </w:r>
            <w:r>
              <w:rPr>
                <w:rFonts w:eastAsia="Times New Roman"/>
                <w:sz w:val="20"/>
                <w:szCs w:val="20"/>
              </w:rPr>
              <w:br/>
            </w:r>
            <w:r>
              <w:rPr>
                <w:rFonts w:eastAsia="Times New Roman"/>
                <w:b/>
                <w:bCs/>
                <w:sz w:val="20"/>
                <w:szCs w:val="20"/>
              </w:rPr>
              <w:t>(Zip Code)</w:t>
            </w:r>
          </w:p>
        </w:tc>
      </w:tr>
    </w:tbl>
    <w:p w:rsidR="00000000" w:rsidRDefault="002A7C39">
      <w:pPr>
        <w:pStyle w:val="a3"/>
        <w:spacing w:before="0" w:beforeAutospacing="0" w:after="140" w:afterAutospacing="0"/>
        <w:jc w:val="center"/>
        <w:rPr>
          <w:sz w:val="20"/>
          <w:szCs w:val="20"/>
        </w:rPr>
      </w:pPr>
      <w:r>
        <w:rPr>
          <w:b/>
          <w:bCs/>
          <w:sz w:val="20"/>
          <w:szCs w:val="20"/>
          <w:shd w:val="clear" w:color="auto" w:fill="FFFFFF"/>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2907"/>
        <w:gridCol w:w="83"/>
        <w:gridCol w:w="1163"/>
        <w:gridCol w:w="83"/>
        <w:gridCol w:w="4070"/>
      </w:tblGrid>
      <w:tr w:rsidR="00000000">
        <w:tc>
          <w:tcPr>
            <w:tcW w:w="1750" w:type="pct"/>
            <w:tcMar>
              <w:top w:w="40" w:type="dxa"/>
              <w:left w:w="0" w:type="dxa"/>
              <w:bottom w:w="40" w:type="dxa"/>
              <w:right w:w="0" w:type="dxa"/>
            </w:tcMar>
            <w:vAlign w:val="bottom"/>
            <w:hideMark/>
          </w:tcPr>
          <w:p w:rsidR="00000000" w:rsidRDefault="002A7C39">
            <w:pPr>
              <w:snapToGrid w:val="0"/>
              <w:jc w:val="center"/>
              <w:rPr>
                <w:rFonts w:eastAsia="Times New Roman"/>
                <w:sz w:val="20"/>
                <w:szCs w:val="20"/>
              </w:rPr>
            </w:pPr>
            <w:r>
              <w:rPr>
                <w:rFonts w:eastAsia="Times New Roman"/>
                <w:b/>
                <w:bCs/>
                <w:sz w:val="18"/>
                <w:szCs w:val="18"/>
              </w:rPr>
              <w:t>Title of Each Class</w:t>
            </w:r>
          </w:p>
        </w:tc>
        <w:tc>
          <w:tcPr>
            <w:tcW w:w="50" w:type="pct"/>
            <w:shd w:val="clear" w:color="auto" w:fill="CCCCFF"/>
            <w:tcMar>
              <w:top w:w="40" w:type="dxa"/>
              <w:left w:w="0" w:type="dxa"/>
              <w:bottom w:w="40" w:type="dxa"/>
              <w:right w:w="0" w:type="dxa"/>
            </w:tcMar>
            <w:vAlign w:val="bottom"/>
            <w:hideMark/>
          </w:tcPr>
          <w:p w:rsidR="00000000" w:rsidRDefault="002A7C39">
            <w:pPr>
              <w:snapToGrid w:val="0"/>
              <w:rPr>
                <w:rFonts w:eastAsia="Times New Roman"/>
                <w:sz w:val="20"/>
                <w:szCs w:val="20"/>
              </w:rPr>
            </w:pPr>
            <w:r>
              <w:rPr>
                <w:rFonts w:eastAsia="Times New Roman"/>
                <w:sz w:val="20"/>
                <w:szCs w:val="20"/>
              </w:rPr>
              <w:t> </w:t>
            </w:r>
          </w:p>
        </w:tc>
        <w:tc>
          <w:tcPr>
            <w:tcW w:w="700" w:type="pct"/>
            <w:tcMar>
              <w:top w:w="40" w:type="dxa"/>
              <w:left w:w="0" w:type="dxa"/>
              <w:bottom w:w="40" w:type="dxa"/>
              <w:right w:w="0" w:type="dxa"/>
            </w:tcMar>
            <w:vAlign w:val="bottom"/>
            <w:hideMark/>
          </w:tcPr>
          <w:p w:rsidR="00000000" w:rsidRDefault="002A7C39">
            <w:pPr>
              <w:snapToGrid w:val="0"/>
              <w:jc w:val="center"/>
              <w:rPr>
                <w:rFonts w:eastAsia="Times New Roman"/>
                <w:sz w:val="20"/>
                <w:szCs w:val="20"/>
              </w:rPr>
            </w:pPr>
            <w:r>
              <w:rPr>
                <w:rFonts w:eastAsia="Times New Roman"/>
                <w:b/>
                <w:bCs/>
                <w:sz w:val="18"/>
                <w:szCs w:val="18"/>
              </w:rPr>
              <w:t>Trading Symbol</w:t>
            </w:r>
          </w:p>
        </w:tc>
        <w:tc>
          <w:tcPr>
            <w:tcW w:w="50" w:type="pct"/>
            <w:shd w:val="clear" w:color="auto" w:fill="CCCCFF"/>
            <w:tcMar>
              <w:top w:w="40" w:type="dxa"/>
              <w:left w:w="0" w:type="dxa"/>
              <w:bottom w:w="40" w:type="dxa"/>
              <w:right w:w="0" w:type="dxa"/>
            </w:tcMar>
            <w:vAlign w:val="bottom"/>
            <w:hideMark/>
          </w:tcPr>
          <w:p w:rsidR="00000000" w:rsidRDefault="002A7C39">
            <w:pPr>
              <w:snapToGrid w:val="0"/>
              <w:rPr>
                <w:rFonts w:eastAsia="Times New Roman"/>
                <w:sz w:val="20"/>
                <w:szCs w:val="20"/>
              </w:rPr>
            </w:pPr>
            <w:r>
              <w:rPr>
                <w:rFonts w:eastAsia="Times New Roman"/>
                <w:sz w:val="20"/>
                <w:szCs w:val="20"/>
              </w:rPr>
              <w:t> </w:t>
            </w:r>
          </w:p>
        </w:tc>
        <w:tc>
          <w:tcPr>
            <w:tcW w:w="2450" w:type="pct"/>
            <w:tcMar>
              <w:top w:w="40" w:type="dxa"/>
              <w:left w:w="0" w:type="dxa"/>
              <w:bottom w:w="40" w:type="dxa"/>
              <w:right w:w="0" w:type="dxa"/>
            </w:tcMar>
            <w:vAlign w:val="bottom"/>
            <w:hideMark/>
          </w:tcPr>
          <w:p w:rsidR="00000000" w:rsidRDefault="002A7C39">
            <w:pPr>
              <w:snapToGrid w:val="0"/>
              <w:jc w:val="center"/>
              <w:rPr>
                <w:rFonts w:eastAsia="Times New Roman"/>
                <w:sz w:val="20"/>
                <w:szCs w:val="20"/>
              </w:rPr>
            </w:pPr>
            <w:r>
              <w:rPr>
                <w:rFonts w:eastAsia="Times New Roman"/>
                <w:b/>
                <w:bCs/>
                <w:sz w:val="18"/>
                <w:szCs w:val="18"/>
              </w:rPr>
              <w:t>Name of Each Exchange on Which Registered</w:t>
            </w:r>
          </w:p>
        </w:tc>
      </w:tr>
      <w:tr w:rsidR="00000000">
        <w:tc>
          <w:tcPr>
            <w:tcW w:w="0" w:type="auto"/>
            <w:tcMar>
              <w:top w:w="40" w:type="dxa"/>
              <w:left w:w="0" w:type="dxa"/>
              <w:bottom w:w="40" w:type="dxa"/>
              <w:right w:w="0" w:type="dxa"/>
            </w:tcMar>
            <w:hideMark/>
          </w:tcPr>
          <w:p w:rsidR="00000000" w:rsidRDefault="002A7C39">
            <w:pPr>
              <w:snapToGrid w:val="0"/>
              <w:jc w:val="center"/>
              <w:rPr>
                <w:rFonts w:eastAsia="Times New Roman"/>
                <w:sz w:val="20"/>
                <w:szCs w:val="20"/>
              </w:rPr>
            </w:pPr>
            <w:r>
              <w:rPr>
                <w:rFonts w:eastAsia="Times New Roman"/>
                <w:sz w:val="20"/>
                <w:szCs w:val="20"/>
              </w:rPr>
              <w:t>Common Stock, $0.01 par value</w:t>
            </w:r>
          </w:p>
        </w:tc>
        <w:tc>
          <w:tcPr>
            <w:tcW w:w="0" w:type="auto"/>
            <w:shd w:val="clear" w:color="auto" w:fill="CCCCFF"/>
            <w:tcMar>
              <w:top w:w="40" w:type="dxa"/>
              <w:left w:w="0" w:type="dxa"/>
              <w:bottom w:w="40" w:type="dxa"/>
              <w:right w:w="0" w:type="dxa"/>
            </w:tcMar>
            <w:hideMark/>
          </w:tcPr>
          <w:p w:rsidR="00000000" w:rsidRDefault="002A7C39">
            <w:pPr>
              <w:snapToGrid w:val="0"/>
              <w:rPr>
                <w:rFonts w:eastAsia="Times New Roman"/>
                <w:sz w:val="20"/>
                <w:szCs w:val="20"/>
              </w:rPr>
            </w:pPr>
            <w:r>
              <w:rPr>
                <w:rFonts w:eastAsia="Times New Roman"/>
                <w:sz w:val="20"/>
                <w:szCs w:val="20"/>
              </w:rPr>
              <w:t> </w:t>
            </w:r>
          </w:p>
        </w:tc>
        <w:tc>
          <w:tcPr>
            <w:tcW w:w="0" w:type="auto"/>
            <w:tcMar>
              <w:top w:w="40" w:type="dxa"/>
              <w:left w:w="0" w:type="dxa"/>
              <w:bottom w:w="40" w:type="dxa"/>
              <w:right w:w="0" w:type="dxa"/>
            </w:tcMar>
            <w:hideMark/>
          </w:tcPr>
          <w:p w:rsidR="00000000" w:rsidRDefault="002A7C39">
            <w:pPr>
              <w:snapToGrid w:val="0"/>
              <w:jc w:val="center"/>
              <w:rPr>
                <w:rFonts w:eastAsia="Times New Roman"/>
                <w:sz w:val="20"/>
                <w:szCs w:val="20"/>
              </w:rPr>
            </w:pPr>
            <w:r>
              <w:rPr>
                <w:rFonts w:eastAsia="Times New Roman"/>
                <w:sz w:val="20"/>
                <w:szCs w:val="20"/>
              </w:rPr>
              <w:t>XPL</w:t>
            </w:r>
          </w:p>
        </w:tc>
        <w:tc>
          <w:tcPr>
            <w:tcW w:w="0" w:type="auto"/>
            <w:shd w:val="clear" w:color="auto" w:fill="CCCCFF"/>
            <w:tcMar>
              <w:top w:w="40" w:type="dxa"/>
              <w:left w:w="0" w:type="dxa"/>
              <w:bottom w:w="40" w:type="dxa"/>
              <w:right w:w="0" w:type="dxa"/>
            </w:tcMar>
            <w:vAlign w:val="bottom"/>
            <w:hideMark/>
          </w:tcPr>
          <w:p w:rsidR="00000000" w:rsidRDefault="002A7C39">
            <w:pPr>
              <w:snapToGrid w:val="0"/>
              <w:rPr>
                <w:rFonts w:eastAsia="Times New Roman"/>
                <w:sz w:val="20"/>
                <w:szCs w:val="20"/>
              </w:rPr>
            </w:pPr>
            <w:r>
              <w:rPr>
                <w:rFonts w:eastAsia="Times New Roman"/>
                <w:sz w:val="20"/>
                <w:szCs w:val="20"/>
              </w:rPr>
              <w:t> </w:t>
            </w:r>
          </w:p>
        </w:tc>
        <w:tc>
          <w:tcPr>
            <w:tcW w:w="0" w:type="auto"/>
            <w:tcMar>
              <w:top w:w="40" w:type="dxa"/>
              <w:left w:w="0" w:type="dxa"/>
              <w:bottom w:w="40" w:type="dxa"/>
              <w:right w:w="0" w:type="dxa"/>
            </w:tcMar>
            <w:hideMark/>
          </w:tcPr>
          <w:p w:rsidR="00000000" w:rsidRDefault="002A7C39">
            <w:pPr>
              <w:snapToGrid w:val="0"/>
              <w:jc w:val="center"/>
              <w:rPr>
                <w:rFonts w:eastAsia="Times New Roman"/>
                <w:sz w:val="20"/>
                <w:szCs w:val="20"/>
              </w:rPr>
            </w:pPr>
            <w:r>
              <w:rPr>
                <w:rFonts w:eastAsia="Times New Roman"/>
                <w:sz w:val="20"/>
                <w:szCs w:val="20"/>
              </w:rPr>
              <w:t>NYSE American</w:t>
            </w:r>
          </w:p>
        </w:tc>
      </w:tr>
    </w:tbl>
    <w:p w:rsidR="00000000" w:rsidRDefault="002A7C39">
      <w:pPr>
        <w:pStyle w:val="a3"/>
        <w:spacing w:before="0" w:beforeAutospacing="0" w:after="120" w:afterAutospacing="0"/>
        <w:ind w:right="522"/>
        <w:rPr>
          <w:sz w:val="20"/>
          <w:szCs w:val="20"/>
        </w:rPr>
      </w:pPr>
      <w:r>
        <w:rPr>
          <w:sz w:val="20"/>
          <w:szCs w:val="20"/>
        </w:rPr>
        <w:t> </w:t>
      </w:r>
    </w:p>
    <w:p w:rsidR="00000000" w:rsidRDefault="002A7C39">
      <w:pPr>
        <w:pStyle w:val="a3"/>
        <w:spacing w:before="0" w:beforeAutospacing="0" w:after="120" w:afterAutospacing="0"/>
        <w:ind w:right="522"/>
        <w:rPr>
          <w:sz w:val="20"/>
          <w:szCs w:val="20"/>
        </w:rPr>
      </w:pPr>
      <w:r>
        <w:rPr>
          <w:sz w:val="20"/>
          <w:szCs w:val="20"/>
        </w:rPr>
        <w:t>Indicate by checkmark whether the registrant (1) has filed all reports required to be filed by Section 13 or 15(d) of the Securities Exchange Act of 1934 during the preceding 12 months (or for such shorter period that the registrant was required to file su</w:t>
      </w:r>
      <w:r>
        <w:rPr>
          <w:sz w:val="20"/>
          <w:szCs w:val="20"/>
        </w:rPr>
        <w:t>ch reports), and (2) has been subject to such filing requirements for the past 90 days.</w:t>
      </w:r>
    </w:p>
    <w:tbl>
      <w:tblPr>
        <w:tblW w:w="5000" w:type="pct"/>
        <w:tblCellMar>
          <w:left w:w="0" w:type="dxa"/>
          <w:right w:w="0" w:type="dxa"/>
        </w:tblCellMar>
        <w:tblLook w:val="04A0" w:firstRow="1" w:lastRow="0" w:firstColumn="1" w:lastColumn="0" w:noHBand="0" w:noVBand="1"/>
      </w:tblPr>
      <w:tblGrid>
        <w:gridCol w:w="1910"/>
        <w:gridCol w:w="2077"/>
        <w:gridCol w:w="4319"/>
      </w:tblGrid>
      <w:tr w:rsidR="00000000">
        <w:tc>
          <w:tcPr>
            <w:tcW w:w="1150" w:type="pct"/>
            <w:tcMar>
              <w:top w:w="0" w:type="dxa"/>
              <w:left w:w="108" w:type="dxa"/>
              <w:bottom w:w="0" w:type="dxa"/>
              <w:right w:w="522" w:type="dxa"/>
            </w:tcMar>
            <w:hideMark/>
          </w:tcPr>
          <w:p w:rsidR="00000000" w:rsidRDefault="002A7C39">
            <w:pPr>
              <w:snapToGrid w:val="0"/>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p>
        </w:tc>
        <w:tc>
          <w:tcPr>
            <w:tcW w:w="1250" w:type="pct"/>
            <w:tcMar>
              <w:top w:w="0" w:type="dxa"/>
              <w:left w:w="108" w:type="dxa"/>
              <w:bottom w:w="0" w:type="dxa"/>
              <w:right w:w="522" w:type="dxa"/>
            </w:tcMar>
            <w:hideMark/>
          </w:tcPr>
          <w:p w:rsidR="00000000" w:rsidRDefault="002A7C39">
            <w:pPr>
              <w:snapToGrid w:val="0"/>
              <w:jc w:val="both"/>
              <w:rPr>
                <w:rFonts w:eastAsia="Times New Roman"/>
                <w:sz w:val="20"/>
                <w:szCs w:val="20"/>
              </w:rPr>
            </w:pPr>
            <w:r>
              <w:rPr>
                <w:rFonts w:eastAsia="Times New Roman"/>
                <w:sz w:val="20"/>
                <w:szCs w:val="20"/>
              </w:rPr>
              <w:t> </w:t>
            </w:r>
          </w:p>
        </w:tc>
        <w:tc>
          <w:tcPr>
            <w:tcW w:w="2600" w:type="pct"/>
            <w:tcMar>
              <w:top w:w="0" w:type="dxa"/>
              <w:left w:w="108" w:type="dxa"/>
              <w:bottom w:w="0" w:type="dxa"/>
              <w:right w:w="522" w:type="dxa"/>
            </w:tcMar>
            <w:hideMark/>
          </w:tcPr>
          <w:p w:rsidR="00000000" w:rsidRDefault="002A7C39">
            <w:pPr>
              <w:snapToGrid w:val="0"/>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p>
        </w:tc>
      </w:tr>
    </w:tbl>
    <w:p w:rsidR="00000000" w:rsidRDefault="002A7C39">
      <w:pPr>
        <w:pStyle w:val="a3"/>
        <w:spacing w:before="0" w:beforeAutospacing="0" w:after="0" w:afterAutospacing="0"/>
        <w:ind w:left="360" w:right="522"/>
        <w:rPr>
          <w:sz w:val="20"/>
          <w:szCs w:val="20"/>
        </w:rPr>
      </w:pPr>
      <w:r>
        <w:rPr>
          <w:sz w:val="20"/>
          <w:szCs w:val="20"/>
        </w:rPr>
        <w:t> </w:t>
      </w:r>
    </w:p>
    <w:p w:rsidR="00000000" w:rsidRDefault="002A7C39">
      <w:pPr>
        <w:pStyle w:val="a3"/>
        <w:spacing w:before="0" w:beforeAutospacing="0" w:after="0" w:afterAutospacing="0"/>
        <w:ind w:right="522"/>
        <w:rPr>
          <w:sz w:val="20"/>
          <w:szCs w:val="20"/>
        </w:rPr>
      </w:pPr>
      <w:r>
        <w:rPr>
          <w:sz w:val="20"/>
          <w:szCs w:val="20"/>
        </w:rPr>
        <w:t xml:space="preserve">Indicate by check mark whether the registrant has posted </w:t>
      </w:r>
      <w:r>
        <w:rPr>
          <w:sz w:val="20"/>
          <w:szCs w:val="20"/>
        </w:rPr>
        <w:t xml:space="preserve">on its corporate Web site, if any, every Interactive Data File required to be posted pursuant to Rule 405 of Regulation S-T (§232.405 of this chapter) during the preceding 12 months (or for such shorter period that the registrant was required to post such </w:t>
      </w:r>
      <w:r>
        <w:rPr>
          <w:sz w:val="20"/>
          <w:szCs w:val="20"/>
        </w:rPr>
        <w:t>files).</w:t>
      </w:r>
    </w:p>
    <w:p w:rsidR="00000000" w:rsidRDefault="002A7C39">
      <w:pPr>
        <w:pStyle w:val="a3"/>
        <w:spacing w:before="0" w:beforeAutospacing="0" w:after="0" w:afterAutospacing="0"/>
        <w:ind w:left="360" w:right="5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910"/>
        <w:gridCol w:w="2077"/>
        <w:gridCol w:w="4319"/>
      </w:tblGrid>
      <w:tr w:rsidR="00000000">
        <w:tc>
          <w:tcPr>
            <w:tcW w:w="1150" w:type="pct"/>
            <w:tcMar>
              <w:top w:w="0" w:type="dxa"/>
              <w:left w:w="108" w:type="dxa"/>
              <w:bottom w:w="0" w:type="dxa"/>
              <w:right w:w="522" w:type="dxa"/>
            </w:tcMar>
            <w:hideMark/>
          </w:tcPr>
          <w:p w:rsidR="00000000" w:rsidRDefault="002A7C39">
            <w:pPr>
              <w:snapToGrid w:val="0"/>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p>
        </w:tc>
        <w:tc>
          <w:tcPr>
            <w:tcW w:w="1250" w:type="pct"/>
            <w:tcMar>
              <w:top w:w="0" w:type="dxa"/>
              <w:left w:w="108" w:type="dxa"/>
              <w:bottom w:w="0" w:type="dxa"/>
              <w:right w:w="522" w:type="dxa"/>
            </w:tcMar>
            <w:hideMark/>
          </w:tcPr>
          <w:p w:rsidR="00000000" w:rsidRDefault="002A7C39">
            <w:pPr>
              <w:snapToGrid w:val="0"/>
              <w:jc w:val="both"/>
              <w:rPr>
                <w:rFonts w:eastAsia="Times New Roman"/>
                <w:sz w:val="20"/>
                <w:szCs w:val="20"/>
              </w:rPr>
            </w:pPr>
            <w:r>
              <w:rPr>
                <w:rFonts w:eastAsia="Times New Roman"/>
                <w:sz w:val="20"/>
                <w:szCs w:val="20"/>
              </w:rPr>
              <w:t> </w:t>
            </w:r>
          </w:p>
        </w:tc>
        <w:tc>
          <w:tcPr>
            <w:tcW w:w="2600" w:type="pct"/>
            <w:tcMar>
              <w:top w:w="0" w:type="dxa"/>
              <w:left w:w="108" w:type="dxa"/>
              <w:bottom w:w="0" w:type="dxa"/>
              <w:right w:w="522" w:type="dxa"/>
            </w:tcMar>
            <w:hideMark/>
          </w:tcPr>
          <w:p w:rsidR="00000000" w:rsidRDefault="002A7C39">
            <w:pPr>
              <w:snapToGrid w:val="0"/>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p>
        </w:tc>
      </w:tr>
    </w:tbl>
    <w:p w:rsidR="00000000" w:rsidRDefault="002A7C39">
      <w:pPr>
        <w:pStyle w:val="a3"/>
        <w:spacing w:before="0" w:beforeAutospacing="0" w:after="0" w:afterAutospacing="0"/>
        <w:ind w:left="360" w:right="522"/>
        <w:jc w:val="both"/>
        <w:rPr>
          <w:sz w:val="20"/>
          <w:szCs w:val="20"/>
        </w:rPr>
      </w:pPr>
      <w:r>
        <w:rPr>
          <w:sz w:val="20"/>
          <w:szCs w:val="20"/>
        </w:rPr>
        <w:t> </w:t>
      </w:r>
    </w:p>
    <w:p w:rsidR="00000000" w:rsidRDefault="002A7C39">
      <w:pPr>
        <w:pStyle w:val="a3"/>
        <w:spacing w:before="0" w:beforeAutospacing="0" w:after="0" w:afterAutospacing="0"/>
        <w:ind w:right="522"/>
        <w:jc w:val="both"/>
        <w:rPr>
          <w:sz w:val="20"/>
          <w:szCs w:val="20"/>
        </w:rPr>
      </w:pPr>
      <w:r>
        <w:rPr>
          <w:sz w:val="20"/>
          <w:szCs w:val="20"/>
        </w:rPr>
        <w:t xml:space="preserve">Indicate by check mark whether the registrant is a large accelerated filer, an accelerated filer, a non-accelerated filer, smaller reporting company or an emerging growth company. See the definitions of “large accelerated filer,” </w:t>
      </w:r>
      <w:r>
        <w:rPr>
          <w:sz w:val="20"/>
          <w:szCs w:val="20"/>
        </w:rPr>
        <w:t>“accelerated filer,” “smaller reporting company” and “emerging growth company” in Rule 12b-2 of the Exchange Act.</w:t>
      </w:r>
    </w:p>
    <w:p w:rsidR="00000000" w:rsidRDefault="002A7C39">
      <w:pPr>
        <w:pStyle w:val="a3"/>
        <w:spacing w:before="0" w:beforeAutospacing="0" w:after="0" w:afterAutospacing="0"/>
        <w:ind w:left="360" w:right="52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2"/>
        <w:gridCol w:w="1412"/>
        <w:gridCol w:w="2160"/>
        <w:gridCol w:w="1744"/>
        <w:gridCol w:w="1578"/>
      </w:tblGrid>
      <w:tr w:rsidR="00000000">
        <w:tc>
          <w:tcPr>
            <w:tcW w:w="850" w:type="pct"/>
            <w:hideMark/>
          </w:tcPr>
          <w:p w:rsidR="00000000" w:rsidRDefault="002A7C39">
            <w:pPr>
              <w:snapToGrid w:val="0"/>
              <w:rPr>
                <w:rFonts w:eastAsia="Times New Roman"/>
                <w:sz w:val="20"/>
                <w:szCs w:val="20"/>
              </w:rPr>
            </w:pPr>
            <w:r>
              <w:rPr>
                <w:rFonts w:eastAsia="Times New Roman"/>
                <w:sz w:val="20"/>
                <w:szCs w:val="20"/>
              </w:rPr>
              <w:t>Large accelerated filer </w:t>
            </w:r>
            <w:r>
              <w:rPr>
                <w:rFonts w:ascii="Segoe UI Symbol" w:eastAsia="Times New Roman" w:hAnsi="Segoe UI Symbol" w:cs="Segoe UI Symbol"/>
                <w:sz w:val="20"/>
                <w:szCs w:val="20"/>
              </w:rPr>
              <w:t>☐</w:t>
            </w:r>
          </w:p>
        </w:tc>
        <w:tc>
          <w:tcPr>
            <w:tcW w:w="850" w:type="pct"/>
            <w:hideMark/>
          </w:tcPr>
          <w:p w:rsidR="00000000" w:rsidRDefault="002A7C39">
            <w:pPr>
              <w:snapToGrid w:val="0"/>
              <w:rPr>
                <w:rFonts w:eastAsia="Times New Roman"/>
                <w:sz w:val="20"/>
                <w:szCs w:val="20"/>
              </w:rPr>
            </w:pPr>
            <w:r>
              <w:rPr>
                <w:rFonts w:eastAsia="Times New Roman"/>
                <w:sz w:val="20"/>
                <w:szCs w:val="20"/>
              </w:rPr>
              <w:t>Accelerated filer </w:t>
            </w:r>
            <w:r>
              <w:rPr>
                <w:rFonts w:ascii="Segoe UI Symbol" w:eastAsia="Times New Roman" w:hAnsi="Segoe UI Symbol" w:cs="Segoe UI Symbol"/>
                <w:sz w:val="20"/>
                <w:szCs w:val="20"/>
              </w:rPr>
              <w:t>☐</w:t>
            </w:r>
          </w:p>
        </w:tc>
        <w:tc>
          <w:tcPr>
            <w:tcW w:w="1300" w:type="pct"/>
            <w:hideMark/>
          </w:tcPr>
          <w:p w:rsidR="00000000" w:rsidRDefault="002A7C39">
            <w:pPr>
              <w:snapToGrid w:val="0"/>
              <w:spacing w:after="240"/>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1050" w:type="pct"/>
            <w:hideMark/>
          </w:tcPr>
          <w:p w:rsidR="00000000" w:rsidRDefault="002A7C39">
            <w:pPr>
              <w:snapToGrid w:val="0"/>
              <w:rPr>
                <w:rFonts w:eastAsia="Times New Roman"/>
                <w:sz w:val="20"/>
                <w:szCs w:val="20"/>
              </w:rPr>
            </w:pPr>
            <w:r>
              <w:rPr>
                <w:rFonts w:eastAsia="Times New Roman"/>
                <w:sz w:val="20"/>
                <w:szCs w:val="20"/>
              </w:rPr>
              <w:t>Smaller reporting company </w:t>
            </w:r>
            <w:r>
              <w:rPr>
                <w:rFonts w:ascii="Segoe UI Symbol" w:eastAsia="Times New Roman" w:hAnsi="Segoe UI Symbol" w:cs="Segoe UI Symbol"/>
                <w:sz w:val="20"/>
                <w:szCs w:val="20"/>
              </w:rPr>
              <w:t>☒</w:t>
            </w:r>
          </w:p>
        </w:tc>
        <w:tc>
          <w:tcPr>
            <w:tcW w:w="950" w:type="pct"/>
            <w:hideMark/>
          </w:tcPr>
          <w:p w:rsidR="00000000" w:rsidRDefault="002A7C39">
            <w:pPr>
              <w:snapToGrid w:val="0"/>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r>
    </w:tbl>
    <w:p w:rsidR="00000000" w:rsidRDefault="002A7C39">
      <w:pPr>
        <w:pStyle w:val="a3"/>
        <w:spacing w:before="180" w:beforeAutospacing="0" w:after="0" w:afterAutospacing="0" w:line="288" w:lineRule="auto"/>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w:t>
      </w:r>
      <w:r>
        <w:rPr>
          <w:sz w:val="20"/>
          <w:szCs w:val="20"/>
        </w:rPr>
        <w:t xml:space="preserve"> of the Exchange Act. </w:t>
      </w:r>
      <w:r>
        <w:rPr>
          <w:rFonts w:ascii="Segoe UI Symbol" w:hAnsi="Segoe UI Symbol" w:cs="Segoe UI Symbol"/>
          <w:sz w:val="20"/>
          <w:szCs w:val="20"/>
        </w:rPr>
        <w:t>☐</w:t>
      </w:r>
    </w:p>
    <w:p w:rsidR="00000000" w:rsidRDefault="002A7C39">
      <w:pPr>
        <w:pStyle w:val="a3"/>
        <w:spacing w:before="0" w:beforeAutospacing="0" w:after="0" w:afterAutospacing="0"/>
        <w:rPr>
          <w:sz w:val="20"/>
          <w:szCs w:val="20"/>
        </w:rPr>
      </w:pPr>
      <w:r>
        <w:rPr>
          <w:sz w:val="20"/>
          <w:szCs w:val="20"/>
        </w:rPr>
        <w:t> </w:t>
      </w:r>
    </w:p>
    <w:p w:rsidR="00000000" w:rsidRDefault="002A7C39">
      <w:pPr>
        <w:pStyle w:val="a3"/>
        <w:spacing w:before="0" w:beforeAutospacing="0" w:after="0" w:afterAutospacing="0"/>
        <w:rPr>
          <w:sz w:val="20"/>
          <w:szCs w:val="20"/>
        </w:rPr>
      </w:pPr>
      <w:r>
        <w:rPr>
          <w:sz w:val="20"/>
          <w:szCs w:val="20"/>
        </w:rPr>
        <w:t>Indicate by check mark whether the registrant is a shell company (as defined in Rule 12b-2 of the Exchange Act).</w:t>
      </w:r>
    </w:p>
    <w:p w:rsidR="00000000" w:rsidRDefault="002A7C3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94"/>
        <w:gridCol w:w="1993"/>
        <w:gridCol w:w="4319"/>
      </w:tblGrid>
      <w:tr w:rsidR="00000000">
        <w:trPr>
          <w:tblCellSpacing w:w="0" w:type="dxa"/>
        </w:trPr>
        <w:tc>
          <w:tcPr>
            <w:tcW w:w="1200" w:type="pct"/>
            <w:tcMar>
              <w:top w:w="0" w:type="dxa"/>
              <w:left w:w="108" w:type="dxa"/>
              <w:bottom w:w="0" w:type="dxa"/>
              <w:right w:w="522" w:type="dxa"/>
            </w:tcMar>
            <w:hideMark/>
          </w:tcPr>
          <w:p w:rsidR="00000000" w:rsidRDefault="002A7C39">
            <w:pPr>
              <w:snapToGrid w:val="0"/>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p>
        </w:tc>
        <w:tc>
          <w:tcPr>
            <w:tcW w:w="1200" w:type="pct"/>
            <w:tcMar>
              <w:top w:w="0" w:type="dxa"/>
              <w:left w:w="108" w:type="dxa"/>
              <w:bottom w:w="0" w:type="dxa"/>
              <w:right w:w="522" w:type="dxa"/>
            </w:tcMar>
            <w:hideMark/>
          </w:tcPr>
          <w:p w:rsidR="00000000" w:rsidRDefault="002A7C39">
            <w:pPr>
              <w:snapToGrid w:val="0"/>
              <w:jc w:val="both"/>
              <w:rPr>
                <w:rFonts w:eastAsia="Times New Roman"/>
                <w:sz w:val="20"/>
                <w:szCs w:val="20"/>
              </w:rPr>
            </w:pPr>
            <w:r>
              <w:rPr>
                <w:rFonts w:eastAsia="Times New Roman"/>
                <w:sz w:val="20"/>
                <w:szCs w:val="20"/>
              </w:rPr>
              <w:t> </w:t>
            </w:r>
          </w:p>
        </w:tc>
        <w:tc>
          <w:tcPr>
            <w:tcW w:w="2600" w:type="pct"/>
            <w:tcMar>
              <w:top w:w="0" w:type="dxa"/>
              <w:left w:w="108" w:type="dxa"/>
              <w:bottom w:w="0" w:type="dxa"/>
              <w:right w:w="522" w:type="dxa"/>
            </w:tcMar>
            <w:hideMark/>
          </w:tcPr>
          <w:p w:rsidR="00000000" w:rsidRDefault="002A7C39">
            <w:pPr>
              <w:snapToGrid w:val="0"/>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p>
        </w:tc>
      </w:tr>
    </w:tbl>
    <w:p w:rsidR="00000000" w:rsidRDefault="002A7C39">
      <w:pPr>
        <w:pStyle w:val="a3"/>
        <w:spacing w:before="0" w:beforeAutospacing="0" w:after="0" w:afterAutospacing="0"/>
        <w:ind w:firstLine="720"/>
        <w:jc w:val="both"/>
        <w:rPr>
          <w:sz w:val="20"/>
          <w:szCs w:val="20"/>
        </w:rPr>
      </w:pPr>
      <w:r>
        <w:rPr>
          <w:sz w:val="20"/>
          <w:szCs w:val="20"/>
        </w:rPr>
        <w:lastRenderedPageBreak/>
        <w:t>          </w:t>
      </w:r>
    </w:p>
    <w:p w:rsidR="00000000" w:rsidRDefault="002A7C39">
      <w:pPr>
        <w:pStyle w:val="a3"/>
        <w:spacing w:before="0" w:beforeAutospacing="0" w:after="0" w:afterAutospacing="0"/>
        <w:jc w:val="both"/>
        <w:rPr>
          <w:sz w:val="20"/>
          <w:szCs w:val="20"/>
        </w:rPr>
      </w:pPr>
      <w:r>
        <w:rPr>
          <w:sz w:val="20"/>
          <w:szCs w:val="20"/>
        </w:rPr>
        <w:t> There were 58,138,266 shares of $0.01 par value common stock outstanding as of July 29, 2</w:t>
      </w:r>
      <w:r>
        <w:rPr>
          <w:sz w:val="20"/>
          <w:szCs w:val="20"/>
        </w:rPr>
        <w:t>019.</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54151409"/>
        </w:trPr>
        <w:tc>
          <w:tcPr>
            <w:tcW w:w="1650" w:type="pct"/>
            <w:hideMark/>
          </w:tcPr>
          <w:p w:rsidR="00000000" w:rsidRDefault="002A7C39">
            <w:pPr>
              <w:rPr>
                <w:rFonts w:eastAsia="Times New Roman"/>
                <w:sz w:val="20"/>
                <w:szCs w:val="20"/>
              </w:rPr>
            </w:pPr>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325286112"/>
      </w:pPr>
      <w:r>
        <w:lastRenderedPageBreak/>
        <w:t> </w:t>
      </w:r>
    </w:p>
    <w:p w:rsidR="00000000" w:rsidRDefault="002A7C39">
      <w:pPr>
        <w:pStyle w:val="a3"/>
        <w:spacing w:before="0" w:beforeAutospacing="0" w:after="0" w:afterAutospacing="0"/>
        <w:jc w:val="both"/>
        <w:rPr>
          <w:sz w:val="20"/>
          <w:szCs w:val="20"/>
        </w:rPr>
      </w:pPr>
      <w:r>
        <w:rPr>
          <w:sz w:val="20"/>
          <w:szCs w:val="20"/>
        </w:rPr>
        <w:t> </w:t>
      </w:r>
    </w:p>
    <w:p w:rsidR="00000000" w:rsidRDefault="002A7C39">
      <w:pPr>
        <w:pStyle w:val="a3"/>
        <w:spacing w:before="240" w:beforeAutospacing="0" w:after="60" w:afterAutospacing="0"/>
        <w:jc w:val="center"/>
        <w:rPr>
          <w:sz w:val="20"/>
          <w:szCs w:val="20"/>
        </w:rPr>
      </w:pPr>
      <w:bookmarkStart w:id="0" w:name="toc"/>
      <w:bookmarkEnd w:id="0"/>
      <w:r>
        <w:rPr>
          <w:sz w:val="20"/>
          <w:szCs w:val="20"/>
        </w:rPr>
        <w:t>TABLE OF CONTENTS</w:t>
      </w:r>
    </w:p>
    <w:p w:rsidR="00000000" w:rsidRDefault="002A7C39">
      <w:pPr>
        <w:pStyle w:val="a3"/>
        <w:spacing w:before="0" w:beforeAutospacing="0" w:after="0" w:afterAutospacing="0"/>
        <w:rPr>
          <w:sz w:val="20"/>
          <w:szCs w:val="20"/>
        </w:rPr>
      </w:pPr>
      <w:r>
        <w:rPr>
          <w:sz w:val="20"/>
          <w:szCs w:val="20"/>
        </w:rPr>
        <w:t> </w:t>
      </w:r>
    </w:p>
    <w:p w:rsidR="00000000" w:rsidRDefault="002A7C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831"/>
        <w:gridCol w:w="83"/>
        <w:gridCol w:w="1495"/>
        <w:gridCol w:w="83"/>
      </w:tblGrid>
      <w:tr w:rsidR="00000000">
        <w:tc>
          <w:tcPr>
            <w:tcW w:w="0" w:type="auto"/>
            <w:vAlign w:val="bottom"/>
            <w:hideMark/>
          </w:tcPr>
          <w:p w:rsidR="00000000" w:rsidRDefault="002A7C39">
            <w:pPr>
              <w:jc w:val="both"/>
              <w:rPr>
                <w:rFonts w:eastAsia="Times New Roman"/>
                <w:sz w:val="20"/>
                <w:szCs w:val="20"/>
              </w:rPr>
            </w:pPr>
            <w:r>
              <w:rPr>
                <w:rFonts w:eastAsia="Times New Roman"/>
                <w:sz w:val="20"/>
                <w:szCs w:val="20"/>
              </w:rPr>
              <w:t>PART 1 - FINANCIAL INFORMATION</w:t>
            </w:r>
          </w:p>
        </w:tc>
        <w:tc>
          <w:tcPr>
            <w:tcW w:w="0" w:type="auto"/>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2A7C39">
            <w:pPr>
              <w:jc w:val="right"/>
              <w:rPr>
                <w:rFonts w:eastAsia="Times New Roman"/>
                <w:b/>
                <w:bCs/>
                <w:sz w:val="20"/>
                <w:szCs w:val="20"/>
              </w:rPr>
            </w:pPr>
            <w:r>
              <w:rPr>
                <w:rFonts w:eastAsia="Times New Roman"/>
                <w:b/>
                <w:bCs/>
                <w:sz w:val="20"/>
                <w:szCs w:val="20"/>
              </w:rPr>
              <w:t>Page</w:t>
            </w:r>
          </w:p>
        </w:tc>
      </w:tr>
      <w:tr w:rsidR="00000000">
        <w:tc>
          <w:tcPr>
            <w:tcW w:w="0" w:type="auto"/>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right"/>
              <w:rPr>
                <w:rFonts w:eastAsia="Times New Roman"/>
                <w:sz w:val="20"/>
                <w:szCs w:val="20"/>
              </w:rPr>
            </w:pPr>
            <w:r>
              <w:rPr>
                <w:rFonts w:eastAsia="Times New Roman"/>
                <w:sz w:val="20"/>
                <w:szCs w:val="20"/>
              </w:rPr>
              <w:t> </w:t>
            </w:r>
          </w:p>
        </w:tc>
      </w:tr>
      <w:tr w:rsidR="00000000">
        <w:tc>
          <w:tcPr>
            <w:tcW w:w="3500" w:type="pct"/>
            <w:shd w:val="clear" w:color="auto" w:fill="CCEE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1     Financial Statements</w:t>
            </w:r>
          </w:p>
        </w:tc>
        <w:tc>
          <w:tcPr>
            <w:tcW w:w="5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2    Management's Discussion and Analysis of Financial</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Condition and Results of Operations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3    Quantitative and Qualitative Disclosures About Market Risk</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b/>
                <w:bCs/>
                <w:sz w:val="20"/>
                <w:szCs w:val="20"/>
              </w:rPr>
              <w:t>Item 4    Controls and Procedures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PART II - OTHER INFORMATION</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1    Legal Proceedings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1A   Risk Factors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2    Unregistered Sales of Equity Securities and Use of Proceeds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3    Defaults Upon Senior Securities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4    Mine Safety Disclosures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5    Other Information</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b/>
                <w:bCs/>
                <w:sz w:val="20"/>
                <w:szCs w:val="20"/>
              </w:rPr>
            </w:pPr>
            <w:r>
              <w:rPr>
                <w:rFonts w:eastAsia="Times New Roman"/>
                <w:b/>
                <w:bCs/>
                <w:sz w:val="20"/>
                <w:szCs w:val="20"/>
              </w:rPr>
              <w:t>Item 6    Exhibits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SIGNATURES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divId w:val="1516188828"/>
        <w:rPr>
          <w:rFonts w:eastAsia="Times New Roman"/>
          <w:vanish/>
        </w:rPr>
      </w:pP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16188828"/>
        </w:trPr>
        <w:tc>
          <w:tcPr>
            <w:tcW w:w="1650" w:type="pct"/>
            <w:hideMark/>
          </w:tcPr>
          <w:p w:rsidR="00000000" w:rsidRDefault="002A7C39">
            <w:pPr>
              <w:rPr>
                <w:rFonts w:eastAsia="Times New Roman"/>
                <w:sz w:val="20"/>
                <w:szCs w:val="20"/>
              </w:rPr>
            </w:pPr>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2</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732970622"/>
      </w:pPr>
      <w:r>
        <w:lastRenderedPageBreak/>
        <w:t> </w:t>
      </w:r>
    </w:p>
    <w:p w:rsidR="00000000" w:rsidRDefault="002A7C39">
      <w:pPr>
        <w:pStyle w:val="a3"/>
        <w:spacing w:before="0" w:beforeAutospacing="0" w:after="0" w:afterAutospacing="0"/>
        <w:jc w:val="center"/>
        <w:rPr>
          <w:sz w:val="20"/>
          <w:szCs w:val="20"/>
        </w:rPr>
      </w:pPr>
      <w:r>
        <w:rPr>
          <w:sz w:val="20"/>
          <w:szCs w:val="20"/>
          <w:u w:val="single"/>
        </w:rPr>
        <w:t> </w:t>
      </w:r>
    </w:p>
    <w:p w:rsidR="00000000" w:rsidRDefault="002A7C39">
      <w:pPr>
        <w:pStyle w:val="a3"/>
        <w:spacing w:before="0" w:beforeAutospacing="0" w:after="0" w:afterAutospacing="0"/>
        <w:jc w:val="center"/>
        <w:rPr>
          <w:sz w:val="20"/>
          <w:szCs w:val="20"/>
        </w:rPr>
      </w:pPr>
      <w:r>
        <w:rPr>
          <w:sz w:val="20"/>
          <w:szCs w:val="20"/>
          <w:u w:val="single"/>
        </w:rPr>
        <w:t>PART I - FINANCIAL INFORMATION</w:t>
      </w:r>
    </w:p>
    <w:p w:rsidR="00000000" w:rsidRDefault="002A7C39">
      <w:pPr>
        <w:pStyle w:val="a3"/>
        <w:spacing w:before="0" w:beforeAutospacing="0" w:after="0" w:afterAutospacing="0"/>
        <w:rPr>
          <w:sz w:val="20"/>
          <w:szCs w:val="20"/>
        </w:rPr>
      </w:pPr>
      <w:r>
        <w:rPr>
          <w:sz w:val="20"/>
          <w:szCs w:val="20"/>
        </w:rPr>
        <w:t xml:space="preserve">Item 1. </w:t>
      </w:r>
      <w:r>
        <w:rPr>
          <w:sz w:val="20"/>
          <w:szCs w:val="20"/>
          <w:u w:val="single"/>
        </w:rPr>
        <w:t>Financial Statements</w:t>
      </w:r>
    </w:p>
    <w:p w:rsidR="00000000" w:rsidRDefault="002A7C39">
      <w:pPr>
        <w:pStyle w:val="a3"/>
        <w:spacing w:before="0" w:beforeAutospacing="0" w:after="0" w:afterAutospacing="0"/>
        <w:jc w:val="center"/>
        <w:rPr>
          <w:sz w:val="20"/>
          <w:szCs w:val="20"/>
        </w:rPr>
      </w:pPr>
      <w:r>
        <w:rPr>
          <w:sz w:val="20"/>
          <w:szCs w:val="20"/>
        </w:rPr>
        <w:t>SOLITARIO ZINC CORP.</w:t>
      </w:r>
    </w:p>
    <w:p w:rsidR="00000000" w:rsidRDefault="002A7C39">
      <w:pPr>
        <w:pStyle w:val="a3"/>
        <w:spacing w:before="0" w:beforeAutospacing="0" w:after="0" w:afterAutospacing="0"/>
        <w:jc w:val="center"/>
        <w:rPr>
          <w:sz w:val="20"/>
          <w:szCs w:val="20"/>
        </w:rPr>
      </w:pPr>
      <w:r>
        <w:rPr>
          <w:sz w:val="20"/>
          <w:szCs w:val="20"/>
        </w:rPr>
        <w:t>CONDENSED CONSOLIDATED BALANCE SHEETS</w:t>
      </w:r>
    </w:p>
    <w:p w:rsidR="00000000" w:rsidRDefault="002A7C3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1"/>
        <w:gridCol w:w="992"/>
        <w:gridCol w:w="78"/>
        <w:gridCol w:w="659"/>
        <w:gridCol w:w="101"/>
        <w:gridCol w:w="992"/>
        <w:gridCol w:w="78"/>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 of U.S. dollars,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December 31,</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except share and per share amounts)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(unaudited)</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r>
      <w:tr w:rsidR="00000000">
        <w:tc>
          <w:tcPr>
            <w:tcW w:w="0" w:type="auto"/>
            <w:gridSpan w:val="9"/>
            <w:vAlign w:val="bottom"/>
            <w:hideMark/>
          </w:tcPr>
          <w:p w:rsidR="00000000" w:rsidRDefault="002A7C39">
            <w:pPr>
              <w:jc w:val="center"/>
              <w:rPr>
                <w:rFonts w:eastAsia="Times New Roman"/>
                <w:sz w:val="20"/>
                <w:szCs w:val="20"/>
              </w:rPr>
            </w:pPr>
            <w:r>
              <w:rPr>
                <w:rFonts w:eastAsia="Times New Roman"/>
                <w:sz w:val="20"/>
                <w:szCs w:val="20"/>
              </w:rPr>
              <w:t>Assets</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Current assets: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Cash and cash equivalents</w:t>
            </w:r>
          </w:p>
        </w:tc>
        <w:tc>
          <w:tcPr>
            <w:tcW w:w="40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564</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117</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Short-term investments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8,714</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10,223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Investments in marketable equity securities, at fair value</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1,196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1,585</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Prepaid expenses and other</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416</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211</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Total current assets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10,890</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12,136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Mineral properties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15,617</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15,657</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Other assets</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161</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110</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b/>
                <w:bCs/>
                <w:sz w:val="20"/>
                <w:szCs w:val="20"/>
              </w:rPr>
              <w:t>Total assets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26,668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27,903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gridSpan w:val="9"/>
            <w:shd w:val="clear" w:color="auto" w:fill="FFFFFF"/>
            <w:vAlign w:val="bottom"/>
            <w:hideMark/>
          </w:tcPr>
          <w:p w:rsidR="00000000" w:rsidRDefault="002A7C39">
            <w:pPr>
              <w:jc w:val="center"/>
              <w:rPr>
                <w:rFonts w:eastAsia="Times New Roman"/>
                <w:sz w:val="20"/>
                <w:szCs w:val="20"/>
              </w:rPr>
            </w:pPr>
            <w:r>
              <w:rPr>
                <w:rFonts w:eastAsia="Times New Roman"/>
                <w:sz w:val="20"/>
                <w:szCs w:val="20"/>
              </w:rPr>
              <w:t>Liabilities and Shareholders’ Equity</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Current liabilities: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Accounts payable</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667</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688</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Operating lease liability</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39</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b/>
                <w:bCs/>
                <w:sz w:val="20"/>
                <w:szCs w:val="20"/>
              </w:rPr>
              <w:t>Total current liabilities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706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688</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Long-term liabilities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Asset retirement obligation – Lik</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Operating lease liability</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b/>
                <w:bCs/>
                <w:sz w:val="20"/>
                <w:szCs w:val="20"/>
              </w:rPr>
              <w:t>Total long-term liabilities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153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Commitments and contingencies (Note 8)</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Equity:</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Shareholders’ equity:</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Preferred stock, $0.01 par value, authorized 10,000,000</w:t>
            </w:r>
            <w:r>
              <w:rPr>
                <w:rFonts w:eastAsia="Times New Roman"/>
                <w:sz w:val="20"/>
                <w:szCs w:val="20"/>
              </w:rPr>
              <w:br/>
              <w:t>     </w:t>
            </w:r>
            <w:r>
              <w:rPr>
                <w:rFonts w:eastAsia="Times New Roman"/>
                <w:sz w:val="20"/>
                <w:szCs w:val="20"/>
              </w:rPr>
              <w:t xml:space="preserve">shares (none issued and outstanding at June 30, 2019 and </w:t>
            </w:r>
            <w:r>
              <w:rPr>
                <w:rFonts w:eastAsia="Times New Roman"/>
                <w:sz w:val="20"/>
                <w:szCs w:val="20"/>
              </w:rPr>
              <w:br/>
              <w:t>     December 31, 2018)</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Common stock, $0.01 par value, authorized 100,000,000 shares</w:t>
            </w:r>
            <w:r>
              <w:rPr>
                <w:rFonts w:eastAsia="Times New Roman"/>
                <w:sz w:val="20"/>
                <w:szCs w:val="20"/>
              </w:rPr>
              <w:br/>
              <w:t xml:space="preserve">      (58,138,266 and 58,171,466 shares, respectively, issued </w:t>
            </w:r>
            <w:r>
              <w:rPr>
                <w:rFonts w:eastAsia="Times New Roman"/>
                <w:sz w:val="20"/>
                <w:szCs w:val="20"/>
              </w:rPr>
              <w:br/>
              <w:t>and outstanding at June 30</w:t>
            </w:r>
            <w:r>
              <w:rPr>
                <w:rFonts w:eastAsia="Times New Roman"/>
                <w:sz w:val="20"/>
                <w:szCs w:val="20"/>
              </w:rPr>
              <w:t>, 2019 and December 31, 2018)</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581</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582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Additional paid-in capital</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70,036</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69,873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Accumulated deficit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(44,808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(43,365</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Total shareholders’ equity</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25,809</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27,090</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r>
              <w:rPr>
                <w:rFonts w:eastAsia="Times New Roman"/>
                <w:b/>
                <w:bCs/>
                <w:sz w:val="20"/>
                <w:szCs w:val="20"/>
              </w:rPr>
              <w:t>Total liabilities and shareholders’ equity</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26,668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27,903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rPr>
          <w:sz w:val="20"/>
          <w:szCs w:val="20"/>
        </w:rPr>
      </w:pPr>
      <w:r>
        <w:rPr>
          <w:sz w:val="20"/>
          <w:szCs w:val="20"/>
        </w:rPr>
        <w:t> </w:t>
      </w:r>
    </w:p>
    <w:p w:rsidR="00000000" w:rsidRDefault="002A7C39">
      <w:pPr>
        <w:pStyle w:val="a3"/>
        <w:spacing w:before="0" w:beforeAutospacing="0" w:after="0" w:afterAutospacing="0"/>
        <w:rPr>
          <w:sz w:val="20"/>
          <w:szCs w:val="20"/>
        </w:rPr>
      </w:pPr>
      <w:r>
        <w:rPr>
          <w:sz w:val="20"/>
          <w:szCs w:val="20"/>
        </w:rPr>
        <w:t>See Notes to Unaudited Condensed Consolidated Financial Statements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06453180"/>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3</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982387804"/>
      </w:pPr>
      <w:r>
        <w:lastRenderedPageBreak/>
        <w:t> </w:t>
      </w:r>
    </w:p>
    <w:p w:rsidR="00000000" w:rsidRDefault="002A7C39">
      <w:pPr>
        <w:pStyle w:val="a3"/>
        <w:spacing w:before="0" w:beforeAutospacing="0" w:after="0" w:afterAutospacing="0"/>
        <w:ind w:right="342"/>
        <w:jc w:val="center"/>
        <w:rPr>
          <w:sz w:val="20"/>
          <w:szCs w:val="20"/>
        </w:rPr>
      </w:pPr>
      <w:r>
        <w:rPr>
          <w:sz w:val="20"/>
          <w:szCs w:val="20"/>
        </w:rPr>
        <w:t>SOLITARIO ZINC CORP.</w:t>
      </w:r>
    </w:p>
    <w:p w:rsidR="00000000" w:rsidRDefault="002A7C39">
      <w:pPr>
        <w:pStyle w:val="a3"/>
        <w:spacing w:before="0" w:beforeAutospacing="0" w:after="0" w:afterAutospacing="0"/>
        <w:ind w:right="360"/>
        <w:jc w:val="center"/>
        <w:rPr>
          <w:sz w:val="20"/>
          <w:szCs w:val="20"/>
        </w:rPr>
      </w:pPr>
      <w:r>
        <w:rPr>
          <w:sz w:val="20"/>
          <w:szCs w:val="20"/>
        </w:rPr>
        <w:t>CONDENSED CONSOLIDATED STATEMENTS OF OPERATIONS</w:t>
      </w:r>
    </w:p>
    <w:p w:rsidR="00000000" w:rsidRDefault="002A7C39">
      <w:pPr>
        <w:pStyle w:val="a3"/>
        <w:spacing w:before="0" w:beforeAutospacing="0" w:after="0" w:afterAutospacing="0"/>
        <w:ind w:right="360"/>
        <w:jc w:val="center"/>
        <w:rPr>
          <w:sz w:val="20"/>
          <w:szCs w:val="20"/>
        </w:rPr>
      </w:pPr>
      <w:r>
        <w:rPr>
          <w:sz w:val="20"/>
          <w:szCs w:val="20"/>
        </w:rPr>
        <w:t>(Unaudited)</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tcBorders>
              <w:bottom w:val="single" w:sz="8" w:space="0" w:color="000000"/>
            </w:tcBorders>
            <w:vAlign w:val="bottom"/>
            <w:hideMark/>
          </w:tcPr>
          <w:p w:rsidR="00000000" w:rsidRDefault="002A7C39">
            <w:pPr>
              <w:rPr>
                <w:rFonts w:eastAsia="Times New Roman"/>
                <w:sz w:val="20"/>
                <w:szCs w:val="20"/>
              </w:rPr>
            </w:pPr>
            <w:r>
              <w:rPr>
                <w:rFonts w:eastAsia="Times New Roman"/>
                <w:sz w:val="20"/>
                <w:szCs w:val="20"/>
              </w:rPr>
              <w:t>(in thousands of US dollars, except per share amounts)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Three months ended</w:t>
            </w:r>
            <w:r>
              <w:rPr>
                <w:rFonts w:eastAsia="Times New Roman"/>
                <w:sz w:val="20"/>
                <w:szCs w:val="20"/>
              </w:rPr>
              <w:br/>
              <w:t>June 30</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Six months ended</w:t>
            </w:r>
            <w:r>
              <w:rPr>
                <w:rFonts w:eastAsia="Times New Roman"/>
                <w:sz w:val="20"/>
                <w:szCs w:val="20"/>
              </w:rPr>
              <w:br/>
              <w:t>June 30</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2000" w:type="pct"/>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xml:space="preserve">Revenue, net – </w:t>
            </w:r>
            <w:r>
              <w:rPr>
                <w:rFonts w:eastAsia="Times New Roman"/>
                <w:sz w:val="20"/>
                <w:szCs w:val="20"/>
              </w:rPr>
              <w:t>mineral property sale</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502</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408</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502</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Costs, expenses and other:</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Exploration expense</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702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162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865</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342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Depreciation</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General and administrative</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321</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762</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746</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1,165</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Total costs, expenses and other</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1,029</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930</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1,624</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1,519</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Other (loss) income</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Interest income (net)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90</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37</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162</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Unrealized (loss) on marketable equity securities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(222</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(389</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(663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Total other income (loss)</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27</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(185</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(227</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(600</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(1,002</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(613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(1,443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(1,617</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Loss per common share:</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    Basic and diluted</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(0.03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Weighted average shares outstanding:</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r>
              <w:rPr>
                <w:rFonts w:eastAsia="Times New Roman"/>
                <w:b/>
                <w:bCs/>
                <w:sz w:val="20"/>
                <w:szCs w:val="20"/>
              </w:rPr>
              <w:t>Basic and diluted</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58,141</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58,390</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58,151</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58,439</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360"/>
        <w:rPr>
          <w:sz w:val="20"/>
          <w:szCs w:val="20"/>
        </w:rPr>
      </w:pPr>
      <w:r>
        <w:rPr>
          <w:sz w:val="20"/>
          <w:szCs w:val="20"/>
        </w:rPr>
        <w:t> </w:t>
      </w:r>
    </w:p>
    <w:p w:rsidR="00000000" w:rsidRDefault="002A7C39">
      <w:pPr>
        <w:pStyle w:val="a3"/>
        <w:spacing w:before="0" w:beforeAutospacing="0" w:after="0" w:afterAutospacing="0"/>
        <w:ind w:right="360"/>
        <w:rPr>
          <w:sz w:val="20"/>
          <w:szCs w:val="20"/>
        </w:rPr>
      </w:pPr>
      <w:r>
        <w:rPr>
          <w:sz w:val="20"/>
          <w:szCs w:val="20"/>
        </w:rPr>
        <w:t>See Notes to Unaudited Condensed Consolidated Financial Statements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13716621"/>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4</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223222848"/>
      </w:pPr>
      <w:r>
        <w:lastRenderedPageBreak/>
        <w:t> </w:t>
      </w:r>
    </w:p>
    <w:p w:rsidR="00000000" w:rsidRDefault="002A7C39">
      <w:pPr>
        <w:pStyle w:val="a3"/>
        <w:spacing w:before="0" w:beforeAutospacing="0" w:after="0" w:afterAutospacing="0"/>
        <w:ind w:right="360"/>
        <w:rPr>
          <w:sz w:val="20"/>
          <w:szCs w:val="20"/>
        </w:rPr>
      </w:pPr>
      <w:r>
        <w:rPr>
          <w:sz w:val="20"/>
          <w:szCs w:val="20"/>
        </w:rPr>
        <w:t> </w:t>
      </w:r>
    </w:p>
    <w:p w:rsidR="00000000" w:rsidRDefault="002A7C39">
      <w:pPr>
        <w:pStyle w:val="a3"/>
        <w:spacing w:before="0" w:beforeAutospacing="0" w:after="0" w:afterAutospacing="0"/>
        <w:ind w:right="360"/>
        <w:jc w:val="center"/>
        <w:rPr>
          <w:sz w:val="20"/>
          <w:szCs w:val="20"/>
        </w:rPr>
      </w:pPr>
      <w:r>
        <w:rPr>
          <w:sz w:val="20"/>
          <w:szCs w:val="20"/>
        </w:rPr>
        <w:t>SOLITARIO ZINC CORP.</w:t>
      </w:r>
    </w:p>
    <w:p w:rsidR="00000000" w:rsidRDefault="002A7C39">
      <w:pPr>
        <w:pStyle w:val="a3"/>
        <w:spacing w:before="0" w:beforeAutospacing="0" w:after="0" w:afterAutospacing="0"/>
        <w:ind w:right="360"/>
        <w:jc w:val="center"/>
        <w:rPr>
          <w:sz w:val="20"/>
          <w:szCs w:val="20"/>
        </w:rPr>
      </w:pPr>
      <w:r>
        <w:rPr>
          <w:sz w:val="20"/>
          <w:szCs w:val="20"/>
        </w:rPr>
        <w:t>CONDENSED CONSOLIDATED STATEMENTS OF CASH FLOWS</w:t>
      </w:r>
    </w:p>
    <w:p w:rsidR="00000000" w:rsidRDefault="002A7C39">
      <w:pPr>
        <w:pStyle w:val="a3"/>
        <w:spacing w:before="0" w:beforeAutospacing="0" w:after="0" w:afterAutospacing="0"/>
        <w:ind w:right="360"/>
        <w:jc w:val="center"/>
        <w:rPr>
          <w:sz w:val="20"/>
          <w:szCs w:val="20"/>
        </w:rPr>
      </w:pPr>
      <w:r>
        <w:rPr>
          <w:sz w:val="20"/>
          <w:szCs w:val="20"/>
        </w:rPr>
        <w:t>(Unaudited)</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 of U.S. dollars)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vAlign w:val="bottom"/>
            <w:hideMark/>
          </w:tcPr>
          <w:p w:rsidR="00000000" w:rsidRDefault="002A7C39">
            <w:pPr>
              <w:jc w:val="center"/>
              <w:rPr>
                <w:rFonts w:eastAsia="Times New Roman"/>
                <w:sz w:val="20"/>
                <w:szCs w:val="20"/>
              </w:rPr>
            </w:pPr>
            <w:r>
              <w:rPr>
                <w:rFonts w:eastAsia="Times New Roman"/>
                <w:sz w:val="20"/>
                <w:szCs w:val="20"/>
              </w:rPr>
              <w:t>Six months ended</w:t>
            </w:r>
            <w:r>
              <w:rPr>
                <w:rFonts w:eastAsia="Times New Roman"/>
                <w:sz w:val="20"/>
                <w:szCs w:val="20"/>
              </w:rPr>
              <w:br/>
              <w:t>June 30,</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Operating activities: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Net loss</w:t>
            </w:r>
          </w:p>
        </w:tc>
        <w:tc>
          <w:tcPr>
            <w:tcW w:w="40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(1,443</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(1,617</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Depreciation</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Non-cash office lease expense</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Unrealized loss on marketable equity securities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389</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663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xml:space="preserve">    Employee stock option expense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173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442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Changes in operating assets and liabilities: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Prepaid expenses and other assets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114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48</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Note receivable, net of mineral property sold</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Accounts payable and other current liabilities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(38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12</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Net cash used in operating activities</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(995</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(440</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Investing activities: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Sale of short-term investments, net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1,453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509</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Purchase of other assets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Net cash provided by investing activities</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1,453</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501</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Financing activities: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Purchase of common stock for cancellation</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(65</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Net cash used in financing activities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(11</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(65</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Net increase (decrease) in cash and cash equivalents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447</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Cash and cash equivalents, beginning of period</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117</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214</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Cash and cash equivalents, end of period</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564</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210</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360"/>
        <w:rPr>
          <w:sz w:val="20"/>
          <w:szCs w:val="20"/>
        </w:rPr>
      </w:pPr>
      <w:r>
        <w:rPr>
          <w:sz w:val="20"/>
          <w:szCs w:val="20"/>
        </w:rPr>
        <w:t> </w:t>
      </w:r>
    </w:p>
    <w:p w:rsidR="00000000" w:rsidRDefault="002A7C39">
      <w:pPr>
        <w:pStyle w:val="a3"/>
        <w:spacing w:before="0" w:beforeAutospacing="0" w:after="0" w:afterAutospacing="0"/>
        <w:ind w:right="360"/>
        <w:rPr>
          <w:sz w:val="20"/>
          <w:szCs w:val="20"/>
        </w:rPr>
      </w:pPr>
      <w:r>
        <w:rPr>
          <w:sz w:val="20"/>
          <w:szCs w:val="20"/>
        </w:rPr>
        <w:t>See Notes to Unaudited Condensed Consolidated Financial Statements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16318394"/>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5</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155953710"/>
      </w:pPr>
      <w:r>
        <w:t> </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jc w:val="center"/>
        <w:rPr>
          <w:sz w:val="20"/>
          <w:szCs w:val="20"/>
        </w:rPr>
      </w:pPr>
      <w:r>
        <w:rPr>
          <w:sz w:val="20"/>
          <w:szCs w:val="20"/>
        </w:rPr>
        <w:t>NOTES TO UNAUDITED CONDENSED CONSOLIDATED FINANCIAL STATEMENTS</w:t>
      </w:r>
    </w:p>
    <w:p w:rsidR="00000000" w:rsidRDefault="002A7C39">
      <w:pPr>
        <w:pStyle w:val="a3"/>
        <w:spacing w:before="0" w:beforeAutospacing="0" w:after="0" w:afterAutospacing="0"/>
        <w:ind w:right="792"/>
        <w:jc w:val="center"/>
        <w:rPr>
          <w:sz w:val="20"/>
          <w:szCs w:val="20"/>
        </w:rPr>
      </w:pPr>
      <w:r>
        <w:rPr>
          <w:sz w:val="20"/>
          <w:szCs w:val="20"/>
        </w:rPr>
        <w:t>(Unaudited)</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b/>
          <w:bCs/>
          <w:sz w:val="20"/>
          <w:szCs w:val="20"/>
        </w:rPr>
        <w:t xml:space="preserve">1.       Business </w:t>
      </w:r>
      <w:r>
        <w:rPr>
          <w:b/>
          <w:bCs/>
          <w:sz w:val="20"/>
          <w:szCs w:val="20"/>
        </w:rPr>
        <w:t>and Significant Accounting Policies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Business and company formation</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Zinc Corp. (“Solitario,” or the “Company”) is an exploration stage company as defined in Industry Guide 7, as issued by the United States Securities and Exchange Commission (“</w:t>
      </w:r>
      <w:r>
        <w:rPr>
          <w:sz w:val="20"/>
          <w:szCs w:val="20"/>
        </w:rPr>
        <w:t>SEC”). Solitario was incorporated in the state of Colorado on November 15, 1984 as a wholly owned subsidiary of Crown Resources Corporation ("Crown"). In July 1994, Solitario became a publicly traded company on the Toronto Stock Exchange (the "TSX") throug</w:t>
      </w:r>
      <w:r>
        <w:rPr>
          <w:sz w:val="20"/>
          <w:szCs w:val="20"/>
        </w:rPr>
        <w:t>h its initial public offering. Solitario has been actively involved in mineral exploration since 1993. Solitario’s primary business is to acquire exploration mineral properties or royalties and/or discover economic deposits on its mineral properties and ad</w:t>
      </w:r>
      <w:r>
        <w:rPr>
          <w:sz w:val="20"/>
          <w:szCs w:val="20"/>
        </w:rPr>
        <w:t>vance these deposits, either on its own or through joint ventures, up to the development stage. At that point, or sometime prior to that point, Solitario would likely attempt to sell its mineral properties, pursue their development either on its own, or th</w:t>
      </w:r>
      <w:r>
        <w:rPr>
          <w:sz w:val="20"/>
          <w:szCs w:val="20"/>
        </w:rPr>
        <w:t>rough a joint venture with a partner that has expertise in mining operations, or create a royalty with a third party that continues to advance the property. Solitario is primarily focused on the acquisition and exploration of zinc-related exploration miner</w:t>
      </w:r>
      <w:r>
        <w:rPr>
          <w:sz w:val="20"/>
          <w:szCs w:val="20"/>
        </w:rPr>
        <w:t>al properties, however Solitario will evaluate and potentially acquire other base and precious metal mineral exploration properties. In addition to focusing on its mineral exploration properties, Solitario also evaluates potential strategic transactions fo</w:t>
      </w:r>
      <w:r>
        <w:rPr>
          <w:sz w:val="20"/>
          <w:szCs w:val="20"/>
        </w:rPr>
        <w:t>r the acquisition of new precious and base metal properties and assets with exploration potential or business combinations that Solitario determines to be favorable to Solitario.</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has recorded revenue in the past from the sale of mineral propert</w:t>
      </w:r>
      <w:r>
        <w:rPr>
          <w:sz w:val="20"/>
          <w:szCs w:val="20"/>
        </w:rPr>
        <w:t>ies, including the sale of certain mineral royalty properties in January 2019, discussed below, and the sale in June 2018 of its interest in the royalty on the Yanacocha property. Revenues and / or proceeds from the sale or joint venture of properties or a</w:t>
      </w:r>
      <w:r>
        <w:rPr>
          <w:sz w:val="20"/>
          <w:szCs w:val="20"/>
        </w:rPr>
        <w:t>ssets have not been a consistent annual source of cash and would only occur in the future, if at all, on an infrequent basis.</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currently considers its carried interest in the Florida Canyon project and its interest in the Lik project to be its c</w:t>
      </w:r>
      <w:r>
        <w:rPr>
          <w:sz w:val="20"/>
          <w:szCs w:val="20"/>
        </w:rPr>
        <w:t>ore mineral property assets. Nexa Resources, Ltd. (“Nexa”), Solitario’s joint venture partner, is continuing the exploration and furtherance of the Florida Canyon project and Solitario is monitoring progress at Florida Canyon. Solitario is working with its</w:t>
      </w:r>
      <w:r>
        <w:rPr>
          <w:sz w:val="20"/>
          <w:szCs w:val="20"/>
        </w:rPr>
        <w:t xml:space="preserve"> 50% joint venture partner, Teck American Incorporated, a wholly owned subsidiary of Teck Resources Limited (both companies are referred to as “Teck”), in the Lik deposit to further the exploration of, and to evaluate potential development plans, for the L</w:t>
      </w:r>
      <w:r>
        <w:rPr>
          <w:sz w:val="20"/>
          <w:szCs w:val="20"/>
        </w:rPr>
        <w:t>ik project.</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As of June 30, 2019, Solitario has significant balances of cash and short-term investments that Solitario anticipates using, in part, to further the exploration of the Florida Canyon and Lik projects and to potentially acquire additional mine</w:t>
      </w:r>
      <w:r>
        <w:rPr>
          <w:sz w:val="20"/>
          <w:szCs w:val="20"/>
        </w:rPr>
        <w:t>ral property assets. The fluctuations in precious metal and other commodity prices contribute to a challenging environment for mineral exploration and development, which has created opportunities as well as challenges for the potential acquisition of early</w:t>
      </w:r>
      <w:r>
        <w:rPr>
          <w:sz w:val="20"/>
          <w:szCs w:val="20"/>
        </w:rPr>
        <w:t>-stage and advanced mineral exploration projects or other related assets at potentially attractive terms.</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The accompanying interim condensed consolidated financial statements of Solitario for the three and six months ended June 30, 2019 are unaudited and</w:t>
      </w:r>
      <w:r>
        <w:rPr>
          <w:sz w:val="20"/>
          <w:szCs w:val="20"/>
        </w:rPr>
        <w:t xml:space="preserve"> are prepared in accordance with accounting principles generally accepted in the United States of America (“generally accepted accounting principles”). They do not include all disclosures required by generally accepted accounting principles for annual fina</w:t>
      </w:r>
      <w:r>
        <w:rPr>
          <w:sz w:val="20"/>
          <w:szCs w:val="20"/>
        </w:rPr>
        <w:t>ncial statements, but in the opinion of management, include all adjustments, consisting only of normal recurring items, necessary for a fair presentation. Interim results are not necessarily indicative of results, which may be achieved in the future or for</w:t>
      </w:r>
      <w:r>
        <w:rPr>
          <w:sz w:val="20"/>
          <w:szCs w:val="20"/>
        </w:rPr>
        <w:t xml:space="preserve"> the full year ending December 31, 2019.</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These financial statements should be read in conjunction with the financial statements and notes thereto which are included in Solitario’s Annual Report on Form 10-K for the year ended December 31, 2018. The accou</w:t>
      </w:r>
      <w:r>
        <w:rPr>
          <w:sz w:val="20"/>
          <w:szCs w:val="20"/>
        </w:rPr>
        <w:t>nting policies set forth in those annual financial statements are the same as the accounting policies utilized in the preparation of these financial statements, except as modified for appropriate interim financial statement presentation.</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39800678"/>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6</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911767870"/>
      </w:pPr>
      <w:r>
        <w:t> </w:t>
      </w:r>
    </w:p>
    <w:p w:rsidR="00000000" w:rsidRDefault="002A7C39">
      <w:pPr>
        <w:pStyle w:val="a3"/>
        <w:spacing w:before="0" w:beforeAutospacing="0" w:after="0" w:afterAutospacing="0"/>
        <w:ind w:right="612"/>
        <w:rPr>
          <w:sz w:val="20"/>
          <w:szCs w:val="20"/>
        </w:rPr>
      </w:pPr>
      <w:r>
        <w:rPr>
          <w:i/>
          <w:iCs/>
          <w:sz w:val="20"/>
          <w:szCs w:val="20"/>
        </w:rPr>
        <w:t>Recent Developments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u w:val="single"/>
        </w:rPr>
        <w:t>Royalty sale</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On January 22, 2019, Solitario completed </w:t>
      </w:r>
      <w:r>
        <w:rPr>
          <w:sz w:val="20"/>
          <w:szCs w:val="20"/>
        </w:rPr>
        <w:t>the sale of its interest in certain royalties to SilverStream SEZC, a private Cayman Island royalty and streaming company (“SilverStream”) for Cdn$600,000 (the “Royalty Sale”). The Royalty Sale covered (i) a royalty on the formerly Solitario-owned 125,000-</w:t>
      </w:r>
      <w:r>
        <w:rPr>
          <w:sz w:val="20"/>
          <w:szCs w:val="20"/>
        </w:rPr>
        <w:t>acre polymetallic Pedra Branca palladium, platinum, gold, nickel, cobalt and chrome project in Brazil, (ii) a royalty covering 3,880-acres of non-producing exploration properties in Mexico, and (iii) a purchase option on 11 separate non-producing propertie</w:t>
      </w:r>
      <w:r>
        <w:rPr>
          <w:sz w:val="20"/>
          <w:szCs w:val="20"/>
        </w:rPr>
        <w:t>s covering over 16,500 acres in Montana. On closing of the Royalty Sale, Solitario received Cdn$250,000 in cash and a convertible note from SilverStream in the principal amount of Cdn$350,000 (the “SilverStream Note”). The SilverStream Note is due December</w:t>
      </w:r>
      <w:r>
        <w:rPr>
          <w:sz w:val="20"/>
          <w:szCs w:val="20"/>
        </w:rPr>
        <w:t xml:space="preserve"> 31, 2019, accrues 5% per annum simple interest, payable on a quarterly basis, and is convertible into common shares of SilverStream, at the discretion of SilverStream, by providing Solitario a notice of conversion. Solitario recorded interest income of $3</w:t>
      </w:r>
      <w:r>
        <w:rPr>
          <w:sz w:val="20"/>
          <w:szCs w:val="20"/>
        </w:rPr>
        <w:t>,000 and $6,000, respectively, from the SilverStream Note during the three and six months ended June 30, 2019. SilverStream may only provide a notice of conversion if SilverStream has completed an initial public offering during the term of the SilverStream</w:t>
      </w:r>
      <w:r>
        <w:rPr>
          <w:sz w:val="20"/>
          <w:szCs w:val="20"/>
        </w:rPr>
        <w:t xml:space="preserve"> Note for minimum proceeds of Cdn$5,000,000, otherwise the SilverStream note will be payable in cash at the maturity date. Pursuant to the terms of the SilverStream Note, if converted, Solitario would receive common shares converted at 85% of the weighted </w:t>
      </w:r>
      <w:r>
        <w:rPr>
          <w:sz w:val="20"/>
          <w:szCs w:val="20"/>
        </w:rPr>
        <w:t>average quoted price of a share of SilverStream common stock for the most recent 10-day period prior to the notice of conversion. During the six months ended June 30, 2019, Solitario recorded mineral property revenue of $408,000 for the Royalty Sale, consi</w:t>
      </w:r>
      <w:r>
        <w:rPr>
          <w:sz w:val="20"/>
          <w:szCs w:val="20"/>
        </w:rPr>
        <w:t xml:space="preserve">sting of the fair value of the cash received on the date of the sale of $185,000 and the fair value of the SilverStream Note on the date of the sale of $263,000 less the carrying value of the royalties sold of $40,000. As of June 30, 2019, the approximate </w:t>
      </w:r>
      <w:r>
        <w:rPr>
          <w:sz w:val="20"/>
          <w:szCs w:val="20"/>
        </w:rPr>
        <w:t>fair value of the SilverStream Note was $267,000, based upon the current US Dollar / Canadian Dollar exchange rate, and Solitario recorded a credit to exchange gain and loss of $4,000, included in general and administrative expense during the six months en</w:t>
      </w:r>
      <w:r>
        <w:rPr>
          <w:sz w:val="20"/>
          <w:szCs w:val="20"/>
        </w:rPr>
        <w:t>ded June 30, 2019.</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Financial reporting</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The consolidated financial statements include the accounts of Solitario and its wholly owned subsidiaries. All significant intercompany accounts and transactions have been eliminated in consolidation. The consolid</w:t>
      </w:r>
      <w:r>
        <w:rPr>
          <w:sz w:val="20"/>
          <w:szCs w:val="20"/>
        </w:rPr>
        <w:t>ated financial statements are prepared in accordance with generally accepted accounting principles and are expressed in U.S. dollars.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Revenue recognition</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has recorded revenue from the sale of exploration mineral properties and joint venture p</w:t>
      </w:r>
      <w:r>
        <w:rPr>
          <w:sz w:val="20"/>
          <w:szCs w:val="20"/>
        </w:rPr>
        <w:t>roperty payments. Solitario’s policy is to recognize revenue from the sale of its exploration mineral properties (those without reserves) on a property by property basis, computed as the cash received and / or expected collectable receivables less any capi</w:t>
      </w:r>
      <w:r>
        <w:rPr>
          <w:sz w:val="20"/>
          <w:szCs w:val="20"/>
        </w:rPr>
        <w:t>talized cost. Payments received for the sale of exploration property interests that are less than the properties cost are recorded as a reduction of the related property's capitalized cost. In addition, Solitario’s policy is to recognize revenue on any rec</w:t>
      </w:r>
      <w:r>
        <w:rPr>
          <w:sz w:val="20"/>
          <w:szCs w:val="20"/>
        </w:rPr>
        <w:t>eipts of joint venture property payments in excess of its capitalized costs on a property that Solitario may lease to another mining company.</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has recognized revenue during the six months ended June 30, 2019 of $408,000 related to the Royalty Sa</w:t>
      </w:r>
      <w:r>
        <w:rPr>
          <w:sz w:val="20"/>
          <w:szCs w:val="20"/>
        </w:rPr>
        <w:t xml:space="preserve">le, discussed above, in accordance with Accounting Standards Codification (“ASC”) 606. In addition, Solitario recorded revenue during the second quarter of 2018 of $502,000 from the sale of its Yanacocha exploration mineral property. Solitario expects any </w:t>
      </w:r>
      <w:r>
        <w:rPr>
          <w:sz w:val="20"/>
          <w:szCs w:val="20"/>
        </w:rPr>
        <w:t>property or asset sales in the future to be on an infrequent basis. Prior to the sale of its Yanacocha exploration mineral property, the last proceeds from joint venture property payments was in 2015 and Solitario does not expect to record joint venture pr</w:t>
      </w:r>
      <w:r>
        <w:rPr>
          <w:sz w:val="20"/>
          <w:szCs w:val="20"/>
        </w:rPr>
        <w:t>operty payments on any of its currently held properties for the foreseeable future.</w:t>
      </w:r>
    </w:p>
    <w:p w:rsidR="00000000" w:rsidRDefault="002A7C39">
      <w:pPr>
        <w:pStyle w:val="a3"/>
        <w:spacing w:before="0" w:beforeAutospacing="0" w:after="0" w:afterAutospacing="0"/>
        <w:ind w:right="612"/>
        <w:rPr>
          <w:sz w:val="20"/>
          <w:szCs w:val="20"/>
        </w:rPr>
      </w:pPr>
      <w:r>
        <w:rPr>
          <w:i/>
          <w:iCs/>
          <w:sz w:val="20"/>
          <w:szCs w:val="20"/>
        </w:rPr>
        <w:t> </w:t>
      </w:r>
    </w:p>
    <w:p w:rsidR="00000000" w:rsidRDefault="002A7C39">
      <w:pPr>
        <w:pStyle w:val="a3"/>
        <w:spacing w:before="0" w:beforeAutospacing="0" w:after="0" w:afterAutospacing="0"/>
        <w:ind w:right="612"/>
        <w:rPr>
          <w:sz w:val="20"/>
          <w:szCs w:val="20"/>
        </w:rPr>
      </w:pPr>
      <w:r>
        <w:rPr>
          <w:i/>
          <w:iCs/>
          <w:sz w:val="20"/>
          <w:szCs w:val="20"/>
        </w:rPr>
        <w:t>Use of estimates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The preparation of financial statements in conformity with generally accepted accounting principles requires management to make estimates and assumptio</w:t>
      </w:r>
      <w:r>
        <w:rPr>
          <w:sz w:val="20"/>
          <w:szCs w:val="20"/>
        </w:rPr>
        <w:t>ns that affect the reported amounts of assets and liabilities and disclosure of contingent assets and liabilities at the date of the financial statements and the reported amounts of revenues and expenses during the reporting period. Actual results could di</w:t>
      </w:r>
      <w:r>
        <w:rPr>
          <w:sz w:val="20"/>
          <w:szCs w:val="20"/>
        </w:rPr>
        <w:t>ffer from those estimates. Some of the more significant estimates included in the preparation of Solitario's financial statements pertain to: (i) Solitario’s carrying value of short-term investments; (ii) the recoverability of mineral properties related to</w:t>
      </w:r>
      <w:r>
        <w:rPr>
          <w:sz w:val="20"/>
          <w:szCs w:val="20"/>
        </w:rPr>
        <w:t xml:space="preserve"> its mineral exploration properties and their future exploration potential; (iii) the fair value of stock option grants to employees, to officers and directors and to others; (iv) the ability of Solitario to realize its deferred tax assets; (v) the collect</w:t>
      </w:r>
      <w:r>
        <w:rPr>
          <w:sz w:val="20"/>
          <w:szCs w:val="20"/>
        </w:rPr>
        <w:t>ability of the SilverStream Note; and (vi) Solitario's investment in marketable equity securities.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58688738"/>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7</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590387430"/>
      </w:pPr>
      <w:r>
        <w:t> </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In performing its activities, Solitario </w:t>
      </w:r>
      <w:r>
        <w:rPr>
          <w:sz w:val="20"/>
          <w:szCs w:val="20"/>
        </w:rPr>
        <w:t>has incurred certain costs for mineral properties. The recovery of these costs is ultimately dependent upon the sale of mineral property interests or the development of economically recoverable ore reserves and the ability of Solitario or its joint venture</w:t>
      </w:r>
      <w:r>
        <w:rPr>
          <w:sz w:val="20"/>
          <w:szCs w:val="20"/>
        </w:rPr>
        <w:t xml:space="preserve"> partners to obtain the necessary permits and financing to successfully place the properties into production, and upon future profitable operations, none of which is assured.</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 xml:space="preserve">Cash equivalents </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Cash equivalents include investments in highly liquid money</w:t>
      </w:r>
      <w:r>
        <w:rPr>
          <w:sz w:val="20"/>
          <w:szCs w:val="20"/>
        </w:rPr>
        <w:t>-market securities with original maturities of three months or less when purchased. As of June 30, 2019, $553,000 of Solitario’s cash and cash equivalents are held in brokerage accounts and foreign banks, which are not covered under the Federal Deposit Ins</w:t>
      </w:r>
      <w:r>
        <w:rPr>
          <w:sz w:val="20"/>
          <w:szCs w:val="20"/>
        </w:rPr>
        <w:t>urance Corporation (“FDIC”) rules for the United States.</w:t>
      </w:r>
    </w:p>
    <w:p w:rsidR="00000000" w:rsidRDefault="002A7C39">
      <w:pPr>
        <w:pStyle w:val="a3"/>
        <w:spacing w:before="0" w:beforeAutospacing="0" w:after="0" w:afterAutospacing="0"/>
        <w:ind w:right="612"/>
        <w:rPr>
          <w:sz w:val="20"/>
          <w:szCs w:val="20"/>
        </w:rPr>
      </w:pPr>
      <w:r>
        <w:rPr>
          <w:i/>
          <w:iCs/>
          <w:sz w:val="20"/>
          <w:szCs w:val="20"/>
        </w:rPr>
        <w:t>Short-term investments</w:t>
      </w:r>
    </w:p>
    <w:p w:rsidR="00000000" w:rsidRDefault="002A7C39">
      <w:pPr>
        <w:pStyle w:val="a3"/>
        <w:spacing w:before="0" w:beforeAutospacing="0" w:after="0" w:afterAutospacing="0"/>
        <w:ind w:right="612"/>
        <w:rPr>
          <w:sz w:val="20"/>
          <w:szCs w:val="20"/>
        </w:rPr>
      </w:pPr>
      <w:r>
        <w:rPr>
          <w:i/>
          <w:iCs/>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As of June 30, 2019, Solitario has </w:t>
      </w:r>
      <w:r>
        <w:rPr>
          <w:sz w:val="20"/>
          <w:szCs w:val="20"/>
        </w:rPr>
        <w:t>$8,714,000 of its current assets in United States Treasury Securities (“USTS”) with maturities of 15 days to 18 months. The USTS are recorded at their fair value, based upon quoted market prices and are not covered under the FDIC insurance rules for United</w:t>
      </w:r>
      <w:r>
        <w:rPr>
          <w:sz w:val="20"/>
          <w:szCs w:val="20"/>
        </w:rPr>
        <w:t xml:space="preserve"> States deposits, with increases or decreases in fair market value recorded as interest income in the statement of operation in the period. Solitario’s USTS are highly liquid and may be sold in their entirety at any time at their quoted market price and ar</w:t>
      </w:r>
      <w:r>
        <w:rPr>
          <w:sz w:val="20"/>
          <w:szCs w:val="20"/>
        </w:rPr>
        <w:t>e classified as a current asset.</w:t>
      </w:r>
    </w:p>
    <w:p w:rsidR="00000000" w:rsidRDefault="002A7C39">
      <w:pPr>
        <w:pStyle w:val="a3"/>
        <w:spacing w:before="0" w:beforeAutospacing="0" w:after="0" w:afterAutospacing="0"/>
        <w:ind w:right="612"/>
        <w:rPr>
          <w:sz w:val="20"/>
          <w:szCs w:val="20"/>
        </w:rPr>
      </w:pPr>
      <w:r>
        <w:rPr>
          <w:i/>
          <w:iCs/>
          <w:sz w:val="20"/>
          <w:szCs w:val="20"/>
        </w:rPr>
        <w:t> </w:t>
      </w:r>
    </w:p>
    <w:p w:rsidR="00000000" w:rsidRDefault="002A7C39">
      <w:pPr>
        <w:pStyle w:val="a3"/>
        <w:spacing w:before="0" w:beforeAutospacing="0" w:after="0" w:afterAutospacing="0"/>
        <w:ind w:right="612"/>
        <w:rPr>
          <w:sz w:val="20"/>
          <w:szCs w:val="20"/>
        </w:rPr>
      </w:pPr>
      <w:r>
        <w:rPr>
          <w:i/>
          <w:iCs/>
          <w:sz w:val="20"/>
          <w:szCs w:val="20"/>
        </w:rPr>
        <w:t xml:space="preserve">Mineral properties </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Solitario expenses all exploration costs incurred on its mineral properties prior to the establishment of proven and probable reserves through the completion of a feasibility study. Initial </w:t>
      </w:r>
      <w:r>
        <w:rPr>
          <w:sz w:val="20"/>
          <w:szCs w:val="20"/>
        </w:rPr>
        <w:t>acquisition costs of its mineral properties are capitalized. Solitario regularly performs evaluations of its investment in mineral properties to assess the recoverability and/or the residual value of its investments in these assets. All long-lived assets a</w:t>
      </w:r>
      <w:r>
        <w:rPr>
          <w:sz w:val="20"/>
          <w:szCs w:val="20"/>
        </w:rPr>
        <w:t>re reviewed for impairment whenever events or circumstances change which indicate the carrying amount of an asset may not be recoverable, utilizing established guidelines based upon undiscounted future net cash flows from the asset or upon the determinatio</w:t>
      </w:r>
      <w:r>
        <w:rPr>
          <w:sz w:val="20"/>
          <w:szCs w:val="20"/>
        </w:rPr>
        <w:t>n that certain exploration properties do not have sufficient potential for economic mineralization.</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Leases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line="240" w:lineRule="atLeast"/>
        <w:ind w:right="612" w:firstLine="720"/>
        <w:rPr>
          <w:sz w:val="20"/>
          <w:szCs w:val="20"/>
        </w:rPr>
      </w:pPr>
      <w:r>
        <w:rPr>
          <w:sz w:val="20"/>
          <w:szCs w:val="20"/>
        </w:rPr>
        <w:t xml:space="preserve">Solitario accounts for its leases in accordance with ASC 842, </w:t>
      </w:r>
      <w:r>
        <w:rPr>
          <w:i/>
          <w:iCs/>
          <w:sz w:val="20"/>
          <w:szCs w:val="20"/>
        </w:rPr>
        <w:t>Leases</w:t>
      </w:r>
      <w:r>
        <w:rPr>
          <w:sz w:val="20"/>
          <w:szCs w:val="20"/>
        </w:rPr>
        <w:t xml:space="preserve"> (“ASC 842”</w:t>
      </w:r>
      <w:r>
        <w:rPr>
          <w:sz w:val="20"/>
          <w:szCs w:val="20"/>
        </w:rPr>
        <w:t xml:space="preserve">) by recognizing right-of-use assets and lease liabilities on the condensed consolidated balance sheet and disclosing key information about lease arrangements. Solitario has elected the practical expedient option to use January 1, 2019, the effective date </w:t>
      </w:r>
      <w:r>
        <w:rPr>
          <w:sz w:val="20"/>
          <w:szCs w:val="20"/>
        </w:rPr>
        <w:t>of adoption of ASC 842, as the initial date of transition and not to restate comparative prior periods and to carry forward historical lease classification. In addition, Solitario has elected the option not to apply the recognition of assets and liabilitie</w:t>
      </w:r>
      <w:r>
        <w:rPr>
          <w:sz w:val="20"/>
          <w:szCs w:val="20"/>
        </w:rPr>
        <w:t>s provisions of ASC 842 to operating leases of less than one year. See Note 4 “Operating Leases” for more information and disclosures regarding Solitario’s leases.</w:t>
      </w:r>
    </w:p>
    <w:p w:rsidR="00000000" w:rsidRDefault="002A7C39">
      <w:pPr>
        <w:pStyle w:val="a3"/>
        <w:spacing w:before="0" w:beforeAutospacing="0" w:after="0" w:afterAutospacing="0"/>
        <w:ind w:right="612"/>
        <w:rPr>
          <w:sz w:val="20"/>
          <w:szCs w:val="20"/>
        </w:rPr>
      </w:pPr>
      <w:r>
        <w:rPr>
          <w:i/>
          <w:iCs/>
          <w:sz w:val="20"/>
          <w:szCs w:val="20"/>
        </w:rPr>
        <w:t> </w:t>
      </w:r>
    </w:p>
    <w:p w:rsidR="00000000" w:rsidRDefault="002A7C39">
      <w:pPr>
        <w:pStyle w:val="a3"/>
        <w:spacing w:before="0" w:beforeAutospacing="0" w:after="0" w:afterAutospacing="0"/>
        <w:ind w:right="612"/>
        <w:rPr>
          <w:sz w:val="20"/>
          <w:szCs w:val="20"/>
        </w:rPr>
      </w:pPr>
      <w:r>
        <w:rPr>
          <w:i/>
          <w:iCs/>
          <w:sz w:val="20"/>
          <w:szCs w:val="20"/>
        </w:rPr>
        <w:t>Fair value</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ASC 820, </w:t>
      </w:r>
      <w:r>
        <w:rPr>
          <w:i/>
          <w:iCs/>
          <w:sz w:val="20"/>
          <w:szCs w:val="20"/>
        </w:rPr>
        <w:t>Fair Value measurement (“ASC 820”)</w:t>
      </w:r>
      <w:r>
        <w:rPr>
          <w:sz w:val="20"/>
          <w:szCs w:val="20"/>
        </w:rPr>
        <w:t xml:space="preserve"> established a framework for measu</w:t>
      </w:r>
      <w:r>
        <w:rPr>
          <w:sz w:val="20"/>
          <w:szCs w:val="20"/>
        </w:rPr>
        <w:t xml:space="preserve">ring fair value of financial instruments and required disclosures about fair value measurements. For certain of Solitario's financial instruments, including cash and cash equivalents and accounts payable, the carrying amounts approximate fair value due to </w:t>
      </w:r>
      <w:r>
        <w:rPr>
          <w:sz w:val="20"/>
          <w:szCs w:val="20"/>
        </w:rPr>
        <w:t>their short-term maturities. Solitario's short-term investments in USTS, its marketable equity securities and any covered call options against those marketable equity securities are carried at their estimated fair value based on quoted market prices. See N</w:t>
      </w:r>
      <w:r>
        <w:rPr>
          <w:sz w:val="20"/>
          <w:szCs w:val="20"/>
        </w:rPr>
        <w:t>ote 6, “Fair Value,” below.</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21275665"/>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8</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680864174"/>
      </w:pPr>
      <w:r>
        <w:t> </w:t>
      </w:r>
    </w:p>
    <w:p w:rsidR="00000000" w:rsidRDefault="002A7C39">
      <w:pPr>
        <w:pStyle w:val="a3"/>
        <w:spacing w:before="0" w:beforeAutospacing="0" w:after="0" w:afterAutospacing="0"/>
        <w:ind w:right="612"/>
        <w:rPr>
          <w:sz w:val="20"/>
          <w:szCs w:val="20"/>
        </w:rPr>
      </w:pPr>
      <w:r>
        <w:rPr>
          <w:i/>
          <w:iCs/>
          <w:sz w:val="20"/>
          <w:szCs w:val="20"/>
        </w:rPr>
        <w:t>Marketable equity securities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Solitario's investments in marketable equity securities are carried at fair value, which is based upon quoted prices of the securities owned. Sol</w:t>
      </w:r>
      <w:r>
        <w:rPr>
          <w:sz w:val="20"/>
          <w:szCs w:val="20"/>
        </w:rPr>
        <w:t>itario records investments in marketable equity securities for investments in publicly traded marketable equity securities for which it does not exercise significant control and where Solitario has no representation on the board of directors of those compa</w:t>
      </w:r>
      <w:r>
        <w:rPr>
          <w:sz w:val="20"/>
          <w:szCs w:val="20"/>
        </w:rPr>
        <w:t>nies and exercises no control over the management of those companies. The cost of marketable equity securities sold is determined by the specific identification method. Changes in fair value are recorded as unrealized gain or loss in the statement of opera</w:t>
      </w:r>
      <w:r>
        <w:rPr>
          <w:sz w:val="20"/>
          <w:szCs w:val="20"/>
        </w:rPr>
        <w:t>tions.</w:t>
      </w:r>
    </w:p>
    <w:p w:rsidR="00000000" w:rsidRDefault="002A7C39">
      <w:pPr>
        <w:pStyle w:val="a3"/>
        <w:spacing w:before="0" w:beforeAutospacing="0" w:after="0" w:afterAutospacing="0"/>
        <w:ind w:right="612"/>
        <w:rPr>
          <w:sz w:val="20"/>
          <w:szCs w:val="20"/>
        </w:rPr>
      </w:pPr>
      <w:r>
        <w:rPr>
          <w:i/>
          <w:iCs/>
          <w:sz w:val="20"/>
          <w:szCs w:val="20"/>
        </w:rPr>
        <w:t> </w:t>
      </w:r>
    </w:p>
    <w:p w:rsidR="00000000" w:rsidRDefault="002A7C39">
      <w:pPr>
        <w:pStyle w:val="a3"/>
        <w:spacing w:before="0" w:beforeAutospacing="0" w:after="0" w:afterAutospacing="0"/>
        <w:ind w:right="612"/>
        <w:rPr>
          <w:sz w:val="20"/>
          <w:szCs w:val="20"/>
        </w:rPr>
      </w:pPr>
      <w:r>
        <w:rPr>
          <w:i/>
          <w:iCs/>
          <w:sz w:val="20"/>
          <w:szCs w:val="20"/>
        </w:rPr>
        <w:t>Foreign exchange</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The United States dollar is the functional </w:t>
      </w:r>
      <w:r>
        <w:rPr>
          <w:sz w:val="20"/>
          <w:szCs w:val="20"/>
        </w:rPr>
        <w:t>currency for all of Solitario's foreign subsidiaries. Although Solitario's South American exploration activities during 2018 and the first half of 2019 have been conducted primarily in Peru, a portion of the payments under the land, leasehold and explorati</w:t>
      </w:r>
      <w:r>
        <w:rPr>
          <w:sz w:val="20"/>
          <w:szCs w:val="20"/>
        </w:rPr>
        <w:t>on agreements of Solitario are denominated in United States dollars. Realized foreign currency gains and losses are included in the results of operations in the period in which they occur.</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Income taxes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Solitario accounts for income taxes in accordance </w:t>
      </w:r>
      <w:r>
        <w:rPr>
          <w:sz w:val="20"/>
          <w:szCs w:val="20"/>
        </w:rPr>
        <w:t xml:space="preserve">with ASC 740, “Accounting for Income Taxes” (“ASC 740”). Under ASC 740, income taxes are provided for the tax effects of transactions reported in the financial statements and consist of taxes currently due plus deferred taxes related to certain income and </w:t>
      </w:r>
      <w:r>
        <w:rPr>
          <w:sz w:val="20"/>
          <w:szCs w:val="20"/>
        </w:rPr>
        <w:t xml:space="preserve">expenses recognized in different periods for financial and income tax reporting purposes. Deferred tax assets and liabilities represent the future tax return consequences of those differences, which will either be taxable or deductible when the assets and </w:t>
      </w:r>
      <w:r>
        <w:rPr>
          <w:sz w:val="20"/>
          <w:szCs w:val="20"/>
        </w:rPr>
        <w:t>liabilities are recovered or settled. Deferred taxes are also recognized for operating losses and tax credits that are available to offset future taxable income and income taxes, respectively. A valuation allowance is provided if it is more likely than not</w:t>
      </w:r>
      <w:r>
        <w:rPr>
          <w:sz w:val="20"/>
          <w:szCs w:val="20"/>
        </w:rPr>
        <w:t xml:space="preserve"> that some portion or all of the deferred tax assets will not be realized.</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Accounting for uncertainty in income taxes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ASC 740 clarifies the accounting for uncertainty in income taxes recognized in a company's financial statements. ASC 740 prescribes a </w:t>
      </w:r>
      <w:r>
        <w:rPr>
          <w:sz w:val="20"/>
          <w:szCs w:val="20"/>
        </w:rPr>
        <w:t>recognition threshold and measurement attribute for the financial statement recognition and measurement of a tax position taken or expected to be taken in a tax return. ASC 740 also provides guidance on derecognition, classification, interest and penalties</w:t>
      </w:r>
      <w:r>
        <w:rPr>
          <w:sz w:val="20"/>
          <w:szCs w:val="20"/>
        </w:rPr>
        <w:t>, accounting in interim periods, disclosure, and transition. ASC 740 provides that a company's tax position will be considered settled if the taxing authority has completed its examination, the company does not plan to appeal, and it is remote that the tax</w:t>
      </w:r>
      <w:r>
        <w:rPr>
          <w:sz w:val="20"/>
          <w:szCs w:val="20"/>
        </w:rPr>
        <w:t>ing authority would reexamine the tax position in the future.</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Earnings per share</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The calculation of basic and diluted earnings (loss) per share is based on the weighted average number of shares of common stock outstanding during the three and six month</w:t>
      </w:r>
      <w:r>
        <w:rPr>
          <w:sz w:val="20"/>
          <w:szCs w:val="20"/>
        </w:rPr>
        <w:t>s ended June 30, 2019 and 2018. Potentially dilutive shares related to outstanding common stock options of 4,373,000 and 4,025,228 for Solitario common shares for the three and six months ended June 30, 2019 and 2018, respectively, were excluded from the c</w:t>
      </w:r>
      <w:r>
        <w:rPr>
          <w:sz w:val="20"/>
          <w:szCs w:val="20"/>
        </w:rPr>
        <w:t>alculation of diluted earnings (loss) per share because the effects were anti-dilutive.</w:t>
      </w:r>
    </w:p>
    <w:p w:rsidR="00000000" w:rsidRDefault="002A7C39">
      <w:pPr>
        <w:pStyle w:val="a3"/>
        <w:spacing w:before="0" w:beforeAutospacing="0" w:after="0" w:afterAutospacing="0"/>
        <w:ind w:left="720" w:right="612" w:hanging="720"/>
        <w:rPr>
          <w:sz w:val="20"/>
          <w:szCs w:val="20"/>
        </w:rPr>
      </w:pPr>
      <w:r>
        <w:rPr>
          <w:sz w:val="20"/>
          <w:szCs w:val="20"/>
        </w:rPr>
        <w:t> </w:t>
      </w:r>
    </w:p>
    <w:p w:rsidR="00000000" w:rsidRDefault="002A7C39">
      <w:pPr>
        <w:pStyle w:val="a3"/>
        <w:spacing w:before="0" w:beforeAutospacing="0" w:after="0" w:afterAutospacing="0"/>
        <w:ind w:right="612"/>
        <w:rPr>
          <w:sz w:val="20"/>
          <w:szCs w:val="20"/>
        </w:rPr>
      </w:pPr>
      <w:r>
        <w:rPr>
          <w:i/>
          <w:iCs/>
          <w:sz w:val="20"/>
          <w:szCs w:val="20"/>
        </w:rPr>
        <w:t>Employee stock compensation and incentive plans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classifies all of its stock options as equity options in accordance with the provisions of ASC 718, “Compe</w:t>
      </w:r>
      <w:r>
        <w:rPr>
          <w:sz w:val="20"/>
          <w:szCs w:val="20"/>
        </w:rPr>
        <w:t>nsation – Stock Compensation.”</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05910465"/>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9</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2037540250"/>
      </w:pPr>
      <w:r>
        <w:t> </w:t>
      </w:r>
    </w:p>
    <w:p w:rsidR="00000000" w:rsidRDefault="002A7C39">
      <w:pPr>
        <w:pStyle w:val="a3"/>
        <w:spacing w:before="0" w:beforeAutospacing="0" w:after="0" w:afterAutospacing="0"/>
        <w:ind w:right="612"/>
        <w:rPr>
          <w:sz w:val="20"/>
          <w:szCs w:val="20"/>
        </w:rPr>
      </w:pPr>
      <w:r>
        <w:rPr>
          <w:i/>
          <w:iCs/>
          <w:sz w:val="20"/>
          <w:szCs w:val="20"/>
        </w:rPr>
        <w:t> </w:t>
      </w:r>
    </w:p>
    <w:p w:rsidR="00000000" w:rsidRDefault="002A7C39">
      <w:pPr>
        <w:pStyle w:val="a3"/>
        <w:spacing w:before="0" w:beforeAutospacing="0" w:after="0" w:afterAutospacing="0"/>
        <w:ind w:right="612"/>
        <w:rPr>
          <w:sz w:val="20"/>
          <w:szCs w:val="20"/>
        </w:rPr>
      </w:pPr>
      <w:r>
        <w:rPr>
          <w:i/>
          <w:iCs/>
          <w:sz w:val="20"/>
          <w:szCs w:val="20"/>
        </w:rPr>
        <w:t>Recent accounting pronouncements</w:t>
      </w:r>
    </w:p>
    <w:p w:rsidR="00000000" w:rsidRDefault="002A7C39">
      <w:pPr>
        <w:pStyle w:val="a3"/>
        <w:ind w:right="612"/>
      </w:pPr>
      <w:r>
        <w:t> </w:t>
      </w:r>
    </w:p>
    <w:p w:rsidR="00000000" w:rsidRDefault="002A7C39">
      <w:pPr>
        <w:pStyle w:val="a3"/>
        <w:spacing w:before="0" w:beforeAutospacing="0" w:after="0" w:afterAutospacing="0" w:line="240" w:lineRule="atLeast"/>
        <w:ind w:right="612" w:firstLine="720"/>
        <w:rPr>
          <w:sz w:val="20"/>
          <w:szCs w:val="20"/>
        </w:rPr>
      </w:pPr>
      <w:r>
        <w:rPr>
          <w:sz w:val="20"/>
          <w:szCs w:val="20"/>
        </w:rPr>
        <w:t xml:space="preserve">On January 1, 2019, Solitario adopted Accounting Standards Update No. 2016-02 </w:t>
      </w:r>
      <w:r>
        <w:rPr>
          <w:i/>
          <w:iCs/>
          <w:sz w:val="20"/>
          <w:szCs w:val="20"/>
        </w:rPr>
        <w:t>Leases</w:t>
      </w:r>
      <w:r>
        <w:rPr>
          <w:sz w:val="20"/>
          <w:szCs w:val="20"/>
        </w:rPr>
        <w:t xml:space="preserve"> (“ASU 2016-02”</w:t>
      </w:r>
      <w:r>
        <w:rPr>
          <w:sz w:val="20"/>
          <w:szCs w:val="20"/>
        </w:rPr>
        <w:t>) which requires the application of ASC 842 and the recognition of right-of-use assets and related liabilities associated with all leases that are not short-term in nature. As a result of the adoption of ASU 2016-02 on January 1, 2019, Solitario recorded b</w:t>
      </w:r>
      <w:r>
        <w:rPr>
          <w:sz w:val="20"/>
          <w:szCs w:val="20"/>
        </w:rPr>
        <w:t>oth an operating lease asset for its Wheat Ridge Colorado office of $82,000 and an operating lease liability of $82,000 related to the same lease. The adoption of ASU 2016-02 did not require the recording of any other assets or liabilities on our condensed</w:t>
      </w:r>
      <w:r>
        <w:rPr>
          <w:sz w:val="20"/>
          <w:szCs w:val="20"/>
        </w:rPr>
        <w:t xml:space="preserve"> consolidated balance sheets and had an immaterial effect on Solitario’s condensed consolidated statement of operations for the three and six months ended June 30, 2019, and its condensed consolidated statement of cash flows for the six months ended June 3</w:t>
      </w:r>
      <w:r>
        <w:rPr>
          <w:sz w:val="20"/>
          <w:szCs w:val="20"/>
        </w:rPr>
        <w:t>0, 2019. Solitario has elected the practical expedient option to use January 1, 2019, the effective date of adoption, as the initial date of transition and not to restate comparative prior periods and to carry forward historical lease classification. See N</w:t>
      </w:r>
      <w:r>
        <w:rPr>
          <w:sz w:val="20"/>
          <w:szCs w:val="20"/>
        </w:rPr>
        <w:t>ote 4 “Operating Leases” for more information and disclosures regarding Solitario’s leases.</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left="720" w:right="612" w:hanging="720"/>
        <w:rPr>
          <w:sz w:val="20"/>
          <w:szCs w:val="20"/>
        </w:rPr>
      </w:pPr>
      <w:r>
        <w:rPr>
          <w:b/>
          <w:bCs/>
          <w:sz w:val="20"/>
          <w:szCs w:val="20"/>
        </w:rPr>
        <w:t>2.        Mineral Property</w:t>
      </w:r>
    </w:p>
    <w:p w:rsidR="00000000" w:rsidRDefault="002A7C39">
      <w:pPr>
        <w:pStyle w:val="a3"/>
        <w:spacing w:before="0" w:beforeAutospacing="0" w:after="0" w:afterAutospacing="0"/>
        <w:ind w:left="720" w:right="612" w:hanging="720"/>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rPr>
        <w:t>The following table details Solitario’s investment in Mineral Property:</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vAlign w:val="bottom"/>
            <w:hideMark/>
          </w:tcPr>
          <w:p w:rsidR="00000000" w:rsidRDefault="002A7C39">
            <w:pPr>
              <w:jc w:val="center"/>
              <w:rPr>
                <w:rFonts w:eastAsia="Times New Roman"/>
                <w:sz w:val="20"/>
                <w:szCs w:val="20"/>
              </w:rPr>
            </w:pPr>
            <w:r>
              <w:rPr>
                <w:rFonts w:eastAsia="Times New Roman"/>
                <w:sz w:val="20"/>
                <w:szCs w:val="20"/>
              </w:rPr>
              <w:t>June 30,</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Exploration</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right"/>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Lik project (Alaska – US)</w:t>
            </w:r>
          </w:p>
        </w:tc>
        <w:tc>
          <w:tcPr>
            <w:tcW w:w="4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15,611</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15,611</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La Promesa (Peru)</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Montana Royalty property (US)</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40</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Total exploration mineral property</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15,617</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15,657</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All 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u w:val="single"/>
        </w:rPr>
        <w:t>Royalty Sale</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On January 22, 2019, Solitario completed the Royalty Sale, discussed above under “Recent Developments” to SilverStream for Cdn$600,000. On closing of the Royalty Sale, Solitario received Cdn$250,000 in cash and the SilverStream Note with a p</w:t>
      </w:r>
      <w:r>
        <w:rPr>
          <w:sz w:val="20"/>
          <w:szCs w:val="20"/>
        </w:rPr>
        <w:t>rincipal amount of Cdn$350,000, with a maturity date of December 31, 2019. During the six months ended June 30, 2019, Solitario recorded mineral property revenue of $408,000 from the Royalty Sale, consisting of the fair value of the cash received on the da</w:t>
      </w:r>
      <w:r>
        <w:rPr>
          <w:sz w:val="20"/>
          <w:szCs w:val="20"/>
        </w:rPr>
        <w:t>te of the sale of $185,000 and the fair value of the SilverStream Note on the date of the sale of $263,000 less the carrying value of the royalties sold of $40,000.</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left="720" w:right="792" w:hanging="720"/>
        <w:rPr>
          <w:sz w:val="20"/>
          <w:szCs w:val="20"/>
        </w:rPr>
      </w:pPr>
      <w:r>
        <w:rPr>
          <w:sz w:val="20"/>
          <w:szCs w:val="20"/>
          <w:u w:val="single"/>
        </w:rPr>
        <w:t>Exploration expense</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rPr>
        <w:t>The following items comprised exploration expense:</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tcBorders>
              <w:bottom w:val="single" w:sz="8" w:space="0" w:color="000000"/>
            </w:tcBorders>
            <w:vAlign w:val="bottom"/>
            <w:hideMark/>
          </w:tcPr>
          <w:p w:rsidR="00000000" w:rsidRDefault="002A7C39">
            <w:pPr>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Three months ended</w:t>
            </w:r>
            <w:r>
              <w:rPr>
                <w:rFonts w:eastAsia="Times New Roman"/>
                <w:sz w:val="20"/>
                <w:szCs w:val="20"/>
              </w:rPr>
              <w:br/>
              <w:t> June 30,</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Six months ended</w:t>
            </w:r>
            <w:r>
              <w:rPr>
                <w:rFonts w:eastAsia="Times New Roman"/>
                <w:sz w:val="20"/>
                <w:szCs w:val="20"/>
              </w:rPr>
              <w:br/>
              <w:t> June 30,</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2000" w:type="pct"/>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Geologic and field expenses</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680</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827</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Administrative</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22</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141</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38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297</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Total exploration costs</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702</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162</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865</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342</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u w:val="single"/>
        </w:rPr>
        <w:t>Asset Retirement Obligation</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In connection with the acquisition </w:t>
      </w:r>
      <w:r>
        <w:rPr>
          <w:sz w:val="20"/>
          <w:szCs w:val="20"/>
        </w:rPr>
        <w:t>of its interest in the Lik project in 2017, Solitario has recorded an asset retirement obligation of $125,000 as of June 30, 2019 and December 31, 2018 for Solitario’s estimated reclamation cost of the existing disturbance at the Lik project. This disturba</w:t>
      </w:r>
      <w:r>
        <w:rPr>
          <w:sz w:val="20"/>
          <w:szCs w:val="20"/>
        </w:rPr>
        <w:t>nce consists of an exploration camp including certain drill sites and access roads at the camp. The estimate is based upon Solitario’s estimated cash costs for reclamation. Solitario has purchased a reclamation bond insurance policy for the bonding require</w:t>
      </w:r>
      <w:r>
        <w:rPr>
          <w:sz w:val="20"/>
          <w:szCs w:val="20"/>
        </w:rPr>
        <w:t>d by the State of Alaska, in the event Solitario or its 50% partner, Teck, do not complete any required reclamation.</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25142662"/>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948925532"/>
      </w:pPr>
      <w:r>
        <w:t> </w:t>
      </w:r>
    </w:p>
    <w:p w:rsidR="00000000" w:rsidRDefault="002A7C39">
      <w:pPr>
        <w:pStyle w:val="a3"/>
        <w:spacing w:before="0" w:beforeAutospacing="0" w:after="0" w:afterAutospacing="0"/>
        <w:ind w:right="612" w:firstLine="720"/>
        <w:rPr>
          <w:sz w:val="20"/>
          <w:szCs w:val="20"/>
        </w:rPr>
      </w:pPr>
      <w:r>
        <w:rPr>
          <w:sz w:val="20"/>
          <w:szCs w:val="20"/>
        </w:rPr>
        <w:t xml:space="preserve">Solitario has not applied a discount </w:t>
      </w:r>
      <w:r>
        <w:rPr>
          <w:sz w:val="20"/>
          <w:szCs w:val="20"/>
        </w:rPr>
        <w:t>rate to the recorded asset retirement obligation as the estimated time frame for reclamation is not currently known, as reclamation is not expected to occur until the end of the Lik project life, which would follow future development and operations, the st</w:t>
      </w:r>
      <w:r>
        <w:rPr>
          <w:sz w:val="20"/>
          <w:szCs w:val="20"/>
        </w:rPr>
        <w:t>art of which cannot be estimated or assured at this time.</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b/>
          <w:bCs/>
          <w:sz w:val="20"/>
          <w:szCs w:val="20"/>
        </w:rPr>
        <w:t>3.        Marketable Equity Securities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Solitario's investments in marketable equity securities are carried at fair value, which is based upon quoted prices of the securities owned. The cost of m</w:t>
      </w:r>
      <w:r>
        <w:rPr>
          <w:sz w:val="20"/>
          <w:szCs w:val="20"/>
        </w:rPr>
        <w:t>arketable equity securities sold is determined by the specific identification method. Changes in market value are recorded in the condensed consolidated statement of operations. During the three and six months ended June 30, 2019, Solitario recorded an unr</w:t>
      </w:r>
      <w:r>
        <w:rPr>
          <w:sz w:val="20"/>
          <w:szCs w:val="20"/>
        </w:rPr>
        <w:t>ealized loss on marketable equity securities of $63,000 and $389,000, respectively. During the three and six months ended June 30, 2018, Solitario recorded an unrealized loss on marketable equity securities of $222,000 and $663,000, respectively.</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The fol</w:t>
      </w:r>
      <w:r>
        <w:rPr>
          <w:sz w:val="20"/>
          <w:szCs w:val="20"/>
        </w:rPr>
        <w:t>lowing tables summarize Solitario’s marketable equity securities and adjustments to fair value:</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1"/>
        <w:gridCol w:w="992"/>
        <w:gridCol w:w="79"/>
      </w:tblGrid>
      <w:tr w:rsidR="00000000">
        <w:tc>
          <w:tcPr>
            <w:tcW w:w="0" w:type="auto"/>
            <w:tcBorders>
              <w:bottom w:val="single" w:sz="8" w:space="0" w:color="000000"/>
            </w:tcBorders>
            <w:vAlign w:val="bottom"/>
            <w:hideMark/>
          </w:tcPr>
          <w:p w:rsidR="00000000" w:rsidRDefault="002A7C39">
            <w:pPr>
              <w:jc w:val="both"/>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 xml:space="preserve">June 30, </w:t>
            </w:r>
            <w:r>
              <w:rPr>
                <w:rFonts w:eastAsia="Times New Roman"/>
                <w:sz w:val="20"/>
                <w:szCs w:val="20"/>
              </w:rPr>
              <w:b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 xml:space="preserve">December 31, </w:t>
            </w:r>
            <w:r>
              <w:rPr>
                <w:rFonts w:eastAsia="Times New Roman"/>
                <w:sz w:val="20"/>
                <w:szCs w:val="20"/>
              </w:rPr>
              <w:br/>
              <w:t>2018</w:t>
            </w:r>
          </w:p>
        </w:tc>
      </w:tr>
      <w:tr w:rsidR="00000000">
        <w:tc>
          <w:tcPr>
            <w:tcW w:w="2800" w:type="pct"/>
            <w:shd w:val="clear" w:color="auto" w:fill="CCEEFF"/>
            <w:vAlign w:val="bottom"/>
            <w:hideMark/>
          </w:tcPr>
          <w:p w:rsidR="00000000" w:rsidRDefault="002A7C39">
            <w:pPr>
              <w:rPr>
                <w:rFonts w:eastAsia="Times New Roman"/>
                <w:sz w:val="20"/>
                <w:szCs w:val="20"/>
              </w:rPr>
            </w:pPr>
            <w:r>
              <w:rPr>
                <w:rFonts w:eastAsia="Times New Roman"/>
                <w:sz w:val="20"/>
                <w:szCs w:val="20"/>
              </w:rPr>
              <w:t>  Marketable equity securities at cost</w:t>
            </w:r>
          </w:p>
        </w:tc>
        <w:tc>
          <w:tcPr>
            <w:tcW w:w="4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1,714</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1,714</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Cumulative unrealized loss on marketable equity securities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(518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(129</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Marketable equity securities at fair value</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1,196</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1,585</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rPr>
        <w:t>The following table represents changes, including sales, in marketable equity securities during the three and six months ended June 30, 2019 and 2018:</w:t>
      </w:r>
    </w:p>
    <w:p w:rsidR="00000000" w:rsidRDefault="002A7C39">
      <w:pPr>
        <w:pStyle w:val="a3"/>
        <w:spacing w:before="0" w:beforeAutospacing="0" w:after="0" w:afterAutospacing="0"/>
        <w:ind w:right="6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vAlign w:val="bottom"/>
            <w:hideMark/>
          </w:tcPr>
          <w:p w:rsidR="00000000" w:rsidRDefault="002A7C39">
            <w:pPr>
              <w:jc w:val="center"/>
              <w:rPr>
                <w:rFonts w:eastAsia="Times New Roman"/>
                <w:sz w:val="20"/>
                <w:szCs w:val="20"/>
              </w:rPr>
            </w:pPr>
            <w:r>
              <w:rPr>
                <w:rFonts w:eastAsia="Times New Roman"/>
                <w:sz w:val="20"/>
                <w:szCs w:val="20"/>
              </w:rPr>
              <w:t>Three months ended</w:t>
            </w:r>
            <w:r>
              <w:rPr>
                <w:rFonts w:eastAsia="Times New Roman"/>
                <w:sz w:val="20"/>
                <w:szCs w:val="20"/>
              </w:rPr>
              <w:br/>
              <w:t>June 30,</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vAlign w:val="bottom"/>
            <w:hideMark/>
          </w:tcPr>
          <w:p w:rsidR="00000000" w:rsidRDefault="002A7C39">
            <w:pPr>
              <w:jc w:val="center"/>
              <w:rPr>
                <w:rFonts w:eastAsia="Times New Roman"/>
                <w:sz w:val="20"/>
                <w:szCs w:val="20"/>
              </w:rPr>
            </w:pPr>
            <w:r>
              <w:rPr>
                <w:rFonts w:eastAsia="Times New Roman"/>
                <w:sz w:val="20"/>
                <w:szCs w:val="20"/>
              </w:rPr>
              <w:t>Six months ended</w:t>
            </w:r>
            <w:r>
              <w:rPr>
                <w:rFonts w:eastAsia="Times New Roman"/>
                <w:sz w:val="20"/>
                <w:szCs w:val="20"/>
              </w:rPr>
              <w:br/>
              <w:t>June 30,</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2000" w:type="pct"/>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Gross (loss) recorded in the statement of operations</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(63</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(222</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(389</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1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(663</w:t>
            </w:r>
          </w:p>
        </w:tc>
        <w:tc>
          <w:tcPr>
            <w:tcW w:w="50" w:type="pct"/>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Change in marketable equity securities at fair value</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(222</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(389</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(663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bl>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did not sell any marketable equity securities during the three and six months ended June 30, 2019 or 2018 and the change in the fair value of marketable equity securities was related entirely to the unrealized loss on marketable equity securities</w:t>
      </w:r>
      <w:r>
        <w:rPr>
          <w:sz w:val="20"/>
          <w:szCs w:val="20"/>
        </w:rPr>
        <w:t xml:space="preserve"> related to their fair values based upon quoted market prices for the marketable equity securities held by Solitario during the periods.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b/>
          <w:bCs/>
          <w:sz w:val="20"/>
          <w:szCs w:val="20"/>
        </w:rPr>
        <w:t>4.        Operating Leases</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Solitario adopted ASU 2016-02 effective </w:t>
      </w:r>
      <w:r>
        <w:rPr>
          <w:sz w:val="20"/>
          <w:szCs w:val="20"/>
        </w:rPr>
        <w:t>January 1, 2019 and accounts for its leases in accordance with ASC 842. Solitario leases one facility, its Wheat Ridge, Colorado office (the “WR Lease”), that has a term of more than one year. Solitario has no other material operating lease costs. The WR L</w:t>
      </w:r>
      <w:r>
        <w:rPr>
          <w:sz w:val="20"/>
          <w:szCs w:val="20"/>
        </w:rPr>
        <w:t xml:space="preserve">ease is classified as an operating lease and has a term of 20 months at June 30, 2019, with no renewal option. At June 30, 2019, the right-of-use office lease asset for the WR Lease is classified as other assets and the related liability separated between </w:t>
      </w:r>
      <w:r>
        <w:rPr>
          <w:sz w:val="20"/>
          <w:szCs w:val="20"/>
        </w:rPr>
        <w:t>current and non-current office lease liabilities in the condensed consolidated balance sheet. Lease expense is recognized on a straight-line basis over the lease term, with variable lease payments recognized in the period those payments are incurred. Durin</w:t>
      </w:r>
      <w:r>
        <w:rPr>
          <w:sz w:val="20"/>
          <w:szCs w:val="20"/>
        </w:rPr>
        <w:t>g the three and six months ended June 30, 2019, Solitario recognized $10,000 and $20,000, respectively, of non-cash lease expense for the WR Lease included in general and administrative expense. Cash lease payments of $7,000 and $17,000, respectively, were</w:t>
      </w:r>
      <w:r>
        <w:rPr>
          <w:sz w:val="20"/>
          <w:szCs w:val="20"/>
        </w:rPr>
        <w:t xml:space="preserve"> made on the WR Lease during the three and six months ended June 30, 2019 and this amount, less $1,000 and $2,000, respectively, of imputed interest during the three and six months ended June 30, 2019, reduced the related liability on the WR Lease. The dis</w:t>
      </w:r>
      <w:r>
        <w:rPr>
          <w:sz w:val="20"/>
          <w:szCs w:val="20"/>
        </w:rPr>
        <w:t>count rate within the WR Lease is not determinable and Solitario has applied a discount rate of 5% based upon Solitario’s estimate of its cost of capital.</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99591798"/>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333491016"/>
      </w:pPr>
      <w:r>
        <w:t> </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rPr>
        <w:t>The maturities of Solitario’s lease liability for its WR Lease are as follows at June 30, 2019:</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09"/>
        <w:gridCol w:w="827"/>
        <w:gridCol w:w="100"/>
        <w:gridCol w:w="1491"/>
        <w:gridCol w:w="79"/>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vAlign w:val="bottom"/>
            <w:hideMark/>
          </w:tcPr>
          <w:p w:rsidR="00000000" w:rsidRDefault="002A7C39">
            <w:pPr>
              <w:rPr>
                <w:rFonts w:eastAsia="Times New Roman"/>
                <w:sz w:val="20"/>
                <w:szCs w:val="20"/>
              </w:rPr>
            </w:pPr>
            <w:r>
              <w:rPr>
                <w:rFonts w:eastAsia="Times New Roman"/>
                <w:sz w:val="20"/>
                <w:szCs w:val="20"/>
              </w:rPr>
              <w:t>Lease payments per year</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r>
      <w:tr w:rsidR="00000000">
        <w:tc>
          <w:tcPr>
            <w:tcW w:w="3500" w:type="pct"/>
            <w:shd w:val="clear" w:color="auto" w:fill="CCEEFF"/>
            <w:tcMar>
              <w:top w:w="0" w:type="dxa"/>
              <w:left w:w="108" w:type="dxa"/>
              <w:bottom w:w="0" w:type="dxa"/>
              <w:right w:w="0" w:type="dxa"/>
            </w:tcMar>
            <w:vAlign w:val="bottom"/>
            <w:hideMark/>
          </w:tcPr>
          <w:p w:rsidR="00000000" w:rsidRDefault="002A7C39">
            <w:pPr>
              <w:jc w:val="right"/>
              <w:rPr>
                <w:rFonts w:eastAsia="Times New Roman"/>
                <w:sz w:val="20"/>
                <w:szCs w:val="20"/>
              </w:rPr>
            </w:pPr>
            <w:r>
              <w:rPr>
                <w:rFonts w:eastAsia="Times New Roman"/>
                <w:sz w:val="20"/>
                <w:szCs w:val="20"/>
              </w:rPr>
              <w:t>2019</w:t>
            </w:r>
          </w:p>
        </w:tc>
        <w:tc>
          <w:tcPr>
            <w:tcW w:w="5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right"/>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jc w:val="right"/>
              <w:rPr>
                <w:rFonts w:eastAsia="Times New Roman"/>
                <w:sz w:val="20"/>
                <w:szCs w:val="20"/>
              </w:rPr>
            </w:pPr>
            <w:r>
              <w:rPr>
                <w:rFonts w:eastAsia="Times New Roman"/>
                <w:sz w:val="20"/>
                <w:szCs w:val="20"/>
              </w:rPr>
              <w:t>2021</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Total lease payments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69</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r>
              <w:rPr>
                <w:rFonts w:eastAsia="Times New Roman"/>
                <w:sz w:val="20"/>
                <w:szCs w:val="20"/>
              </w:rPr>
              <w:t>Less amount of payments representing interest</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(2</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Present value of lease payments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67</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rPr>
        <w:t xml:space="preserve">The following is supplemental cash flow information related </w:t>
      </w:r>
      <w:r>
        <w:rPr>
          <w:sz w:val="20"/>
          <w:szCs w:val="20"/>
        </w:rPr>
        <w:t>to our operating lease for the six months ended June 30, 2019:</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09"/>
        <w:gridCol w:w="826"/>
        <w:gridCol w:w="101"/>
        <w:gridCol w:w="1491"/>
        <w:gridCol w:w="79"/>
      </w:tblGrid>
      <w:tr w:rsidR="00000000">
        <w:tc>
          <w:tcPr>
            <w:tcW w:w="0" w:type="auto"/>
            <w:tcBorders>
              <w:bottom w:val="single" w:sz="8" w:space="0" w:color="000000"/>
            </w:tcBorders>
            <w:vAlign w:val="bottom"/>
            <w:hideMark/>
          </w:tcPr>
          <w:p w:rsidR="00000000" w:rsidRDefault="002A7C39">
            <w:pPr>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Six months ended June 30, 2019</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3500" w:type="pct"/>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Operating cash outflows from WR Lease payments</w:t>
            </w:r>
          </w:p>
        </w:tc>
        <w:tc>
          <w:tcPr>
            <w:tcW w:w="50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17</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Non-cash amounts related to the WR lease</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Leased assets recorded in exchange for new operating lease liab</w:t>
            </w:r>
            <w:r>
              <w:rPr>
                <w:rFonts w:eastAsia="Times New Roman"/>
                <w:sz w:val="20"/>
                <w:szCs w:val="20"/>
              </w:rPr>
              <w:t>ilities</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82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b/>
          <w:bCs/>
          <w:sz w:val="20"/>
          <w:szCs w:val="20"/>
        </w:rPr>
        <w:t>5        Other Assets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rPr>
        <w:t>The following items comprised other assets:</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1"/>
        <w:gridCol w:w="992"/>
        <w:gridCol w:w="79"/>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December 31</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2800" w:type="pct"/>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Furniture and fixtures, net of accumulated depreciation</w:t>
            </w:r>
          </w:p>
        </w:tc>
        <w:tc>
          <w:tcPr>
            <w:tcW w:w="4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36</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Lik project equipment, net of accumulated depreciation</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60</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70</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Exploration bonds and other assets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Office lease asset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Total other assets</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161</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110</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b/>
          <w:bCs/>
          <w:sz w:val="20"/>
          <w:szCs w:val="20"/>
        </w:rPr>
        <w:t>6.        Fair Value</w:t>
      </w:r>
    </w:p>
    <w:p w:rsidR="00000000" w:rsidRDefault="002A7C39">
      <w:pPr>
        <w:pStyle w:val="a3"/>
        <w:shd w:val="clear" w:color="auto" w:fill="FFFFFF"/>
        <w:spacing w:before="0" w:beforeAutospacing="0" w:after="0" w:afterAutospacing="0" w:line="240" w:lineRule="atLeast"/>
        <w:ind w:right="612"/>
        <w:rPr>
          <w:sz w:val="20"/>
          <w:szCs w:val="20"/>
        </w:rPr>
      </w:pPr>
      <w:r>
        <w:rPr>
          <w:sz w:val="20"/>
          <w:szCs w:val="20"/>
        </w:rPr>
        <w:t> </w:t>
      </w:r>
    </w:p>
    <w:p w:rsidR="00000000" w:rsidRDefault="002A7C39">
      <w:pPr>
        <w:pStyle w:val="a3"/>
        <w:shd w:val="clear" w:color="auto" w:fill="FFFFFF"/>
        <w:spacing w:before="0" w:beforeAutospacing="0" w:after="0" w:afterAutospacing="0" w:line="240" w:lineRule="atLeast"/>
        <w:ind w:right="612" w:firstLine="720"/>
        <w:rPr>
          <w:sz w:val="20"/>
          <w:szCs w:val="20"/>
        </w:rPr>
      </w:pPr>
      <w:r>
        <w:rPr>
          <w:sz w:val="20"/>
          <w:szCs w:val="20"/>
        </w:rPr>
        <w:t xml:space="preserve">Solitario accounts for its financial instruments under ASC 820. For certain of Solitario’s financial instruments, including cash and </w:t>
      </w:r>
      <w:r>
        <w:rPr>
          <w:sz w:val="20"/>
          <w:szCs w:val="20"/>
        </w:rPr>
        <w:t xml:space="preserve">cash equivalents and payables, the carrying amounts approximate fair value due to their short-term maturities. Solitario’s short-term investments in USTS, and marketable equity securities are carried at their estimated fair value primarily based on quoted </w:t>
      </w:r>
      <w:r>
        <w:rPr>
          <w:sz w:val="20"/>
          <w:szCs w:val="20"/>
        </w:rPr>
        <w:t>market prices. During the three and six months ended June 30, 2019 there were no reclassifications in financial assets or liabilities between Level 1, 2 or 3 categories.</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The following is a listing of Solitario’s </w:t>
      </w:r>
      <w:r>
        <w:rPr>
          <w:sz w:val="20"/>
          <w:szCs w:val="20"/>
        </w:rPr>
        <w:t>financial assets and liabilities required to be measured at fair value on a recurring basis and where they are classified within the hierarchy as of June 30, 2019:</w:t>
      </w:r>
    </w:p>
    <w:p w:rsidR="00000000" w:rsidRDefault="002A7C3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tcBorders>
              <w:bottom w:val="single" w:sz="8" w:space="0" w:color="000000"/>
            </w:tcBorders>
            <w:vAlign w:val="bottom"/>
            <w:hideMark/>
          </w:tcPr>
          <w:p w:rsidR="00000000" w:rsidRDefault="002A7C39">
            <w:pPr>
              <w:jc w:val="both"/>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right"/>
              <w:rPr>
                <w:rFonts w:eastAsia="Times New Roman"/>
                <w:sz w:val="20"/>
                <w:szCs w:val="20"/>
              </w:rPr>
            </w:pPr>
            <w:r>
              <w:rPr>
                <w:rFonts w:eastAsia="Times New Roman"/>
                <w:sz w:val="20"/>
                <w:szCs w:val="20"/>
              </w:rPr>
              <w:t>Level 1</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right"/>
              <w:rPr>
                <w:rFonts w:eastAsia="Times New Roman"/>
                <w:sz w:val="20"/>
                <w:szCs w:val="20"/>
              </w:rPr>
            </w:pPr>
            <w:r>
              <w:rPr>
                <w:rFonts w:eastAsia="Times New Roman"/>
                <w:sz w:val="20"/>
                <w:szCs w:val="20"/>
              </w:rPr>
              <w:t>Level 2</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right"/>
              <w:rPr>
                <w:rFonts w:eastAsia="Times New Roman"/>
                <w:sz w:val="20"/>
                <w:szCs w:val="20"/>
              </w:rPr>
            </w:pPr>
            <w:r>
              <w:rPr>
                <w:rFonts w:eastAsia="Times New Roman"/>
                <w:sz w:val="20"/>
                <w:szCs w:val="20"/>
              </w:rPr>
              <w:t>Level 3</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right"/>
              <w:rPr>
                <w:rFonts w:eastAsia="Times New Roman"/>
                <w:sz w:val="20"/>
                <w:szCs w:val="20"/>
              </w:rPr>
            </w:pPr>
            <w:r>
              <w:rPr>
                <w:rFonts w:eastAsia="Times New Roman"/>
                <w:sz w:val="20"/>
                <w:szCs w:val="20"/>
              </w:rPr>
              <w:t>Total</w:t>
            </w:r>
          </w:p>
        </w:tc>
      </w:tr>
      <w:tr w:rsidR="00000000">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2000" w:type="pct"/>
            <w:shd w:val="clear" w:color="auto" w:fill="FFFFFF"/>
            <w:vAlign w:val="bottom"/>
            <w:hideMark/>
          </w:tcPr>
          <w:p w:rsidR="00000000" w:rsidRDefault="002A7C39">
            <w:pPr>
              <w:rPr>
                <w:rFonts w:eastAsia="Times New Roman"/>
                <w:sz w:val="20"/>
                <w:szCs w:val="20"/>
              </w:rPr>
            </w:pPr>
            <w:r>
              <w:rPr>
                <w:rFonts w:eastAsia="Times New Roman"/>
                <w:sz w:val="20"/>
                <w:szCs w:val="20"/>
              </w:rPr>
              <w:t>  Short-term investments</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8,714</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8,714</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Marketable equity securities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1,196</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1,196</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522"/>
        <w:rPr>
          <w:sz w:val="20"/>
          <w:szCs w:val="20"/>
        </w:rPr>
      </w:pPr>
      <w:r>
        <w:rPr>
          <w:sz w:val="20"/>
          <w:szCs w:val="20"/>
        </w:rPr>
        <w:t> </w:t>
      </w:r>
    </w:p>
    <w:p w:rsidR="00000000" w:rsidRDefault="002A7C39">
      <w:pPr>
        <w:pStyle w:val="a3"/>
        <w:spacing w:before="0" w:beforeAutospacing="0" w:after="0" w:afterAutospacing="0"/>
        <w:ind w:right="522" w:firstLine="720"/>
        <w:rPr>
          <w:sz w:val="20"/>
          <w:szCs w:val="20"/>
        </w:rPr>
      </w:pPr>
      <w:r>
        <w:rPr>
          <w:sz w:val="20"/>
          <w:szCs w:val="20"/>
        </w:rPr>
        <w:t xml:space="preserve">The following is a listing of Solitario’s </w:t>
      </w:r>
      <w:r>
        <w:rPr>
          <w:sz w:val="20"/>
          <w:szCs w:val="20"/>
        </w:rPr>
        <w:t>financial assets and liabilities required to be measured at fair value on a recurring basis and where they are classified within the hierarchy as of December 31, 2018:</w:t>
      </w:r>
    </w:p>
    <w:p w:rsidR="00000000" w:rsidRDefault="002A7C39">
      <w:pPr>
        <w:pStyle w:val="a3"/>
        <w:spacing w:before="0" w:beforeAutospacing="0" w:after="0" w:afterAutospacing="0"/>
        <w:ind w:right="52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tcBorders>
              <w:bottom w:val="single" w:sz="8" w:space="0" w:color="000000"/>
            </w:tcBorders>
            <w:vAlign w:val="bottom"/>
            <w:hideMark/>
          </w:tcPr>
          <w:p w:rsidR="00000000" w:rsidRDefault="002A7C39">
            <w:pPr>
              <w:jc w:val="both"/>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Level 1</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Level 2</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Level 3</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Total</w:t>
            </w:r>
          </w:p>
        </w:tc>
      </w:tr>
      <w:tr w:rsidR="00000000">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2000" w:type="pct"/>
            <w:shd w:val="clear" w:color="auto" w:fill="FFFFFF"/>
            <w:vAlign w:val="bottom"/>
            <w:hideMark/>
          </w:tcPr>
          <w:p w:rsidR="00000000" w:rsidRDefault="002A7C39">
            <w:pPr>
              <w:rPr>
                <w:rFonts w:eastAsia="Times New Roman"/>
                <w:sz w:val="20"/>
                <w:szCs w:val="20"/>
              </w:rPr>
            </w:pPr>
            <w:r>
              <w:rPr>
                <w:rFonts w:eastAsia="Times New Roman"/>
                <w:sz w:val="20"/>
                <w:szCs w:val="20"/>
              </w:rPr>
              <w:t>  Short-term investments</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10,223</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A7C39">
            <w:pPr>
              <w:jc w:val="right"/>
              <w:rPr>
                <w:rFonts w:eastAsia="Times New Roman"/>
                <w:sz w:val="20"/>
                <w:szCs w:val="20"/>
              </w:rPr>
            </w:pPr>
            <w:r>
              <w:rPr>
                <w:rFonts w:eastAsia="Times New Roman"/>
                <w:sz w:val="20"/>
                <w:szCs w:val="20"/>
              </w:rPr>
              <w:t>10,223</w:t>
            </w:r>
          </w:p>
        </w:tc>
        <w:tc>
          <w:tcPr>
            <w:tcW w:w="50" w:type="pct"/>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Marketable equity securities</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1,585</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1,585</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6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16522903"/>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760612714"/>
      </w:pPr>
      <w:r>
        <w:t> </w:t>
      </w:r>
    </w:p>
    <w:p w:rsidR="00000000" w:rsidRDefault="002A7C39">
      <w:pPr>
        <w:pStyle w:val="a3"/>
        <w:spacing w:before="0" w:beforeAutospacing="0" w:after="0" w:afterAutospacing="0"/>
        <w:ind w:right="612"/>
        <w:rPr>
          <w:sz w:val="20"/>
          <w:szCs w:val="20"/>
        </w:rPr>
      </w:pPr>
      <w:r>
        <w:rPr>
          <w:b/>
          <w:bCs/>
          <w:sz w:val="20"/>
          <w:szCs w:val="20"/>
        </w:rPr>
        <w:t>7.        Income Taxes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Solitario accounts for income taxes in accordance with ASC 740. Under ASC 740, income taxes are provided for the tax effects of transactions reported in the financial statements and consist of taxes currently due plus deferred taxes related to certain inco</w:t>
      </w:r>
      <w:r>
        <w:rPr>
          <w:sz w:val="20"/>
          <w:szCs w:val="20"/>
        </w:rPr>
        <w:t>me and expenses recognized in different periods for financial and income tax reporting purposes. Deferred tax assets and liabilities represent the future tax return consequences of those differences, which will either be taxable or deductible when the asse</w:t>
      </w:r>
      <w:r>
        <w:rPr>
          <w:sz w:val="20"/>
          <w:szCs w:val="20"/>
        </w:rPr>
        <w:t>ts and liabilities are recovered or settled. Deferred taxes are also recognized for operating losses and tax credits that are available to offset future taxable income and income taxes, respectively. A valuation allowance is provided if it is more likely t</w:t>
      </w:r>
      <w:r>
        <w:rPr>
          <w:sz w:val="20"/>
          <w:szCs w:val="20"/>
        </w:rPr>
        <w:t>han not that some portion or all of the deferred tax assets will not be realized.</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At June 30, 2019 and December 31, 2018, a valuation allowance has been recorded, which fully offsets Solitario’s net deferred tax assets, because it is more likely than not</w:t>
      </w:r>
      <w:r>
        <w:rPr>
          <w:sz w:val="20"/>
          <w:szCs w:val="20"/>
        </w:rPr>
        <w:t xml:space="preserve"> that the Company will not realize some portion or all of its deferred tax assets.  The Company continually assesses both positive and negative evidence to determine whether it is more likely than not that the deferred tax assets can be realized prior to t</w:t>
      </w:r>
      <w:r>
        <w:rPr>
          <w:sz w:val="20"/>
          <w:szCs w:val="20"/>
        </w:rPr>
        <w:t>heir expiration.</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During the three and six months ended June 30, 2019 and 2018, Solitario recorded no current or deferred tax expense.</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b/>
          <w:bCs/>
          <w:sz w:val="20"/>
          <w:szCs w:val="20"/>
        </w:rPr>
        <w:t>8.       Commitments and contingencies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Solitario has recorded an asset retirement obligation of $125,000 related to </w:t>
      </w:r>
      <w:r>
        <w:rPr>
          <w:sz w:val="20"/>
          <w:szCs w:val="20"/>
        </w:rPr>
        <w:t>its Lik project in Alaska. See Note 2, “Mineral Property,” above.</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In August of 2018, Solitario agreed to fund a portion of a 2018 – 2019 drilling program at the Florida Canyon project. Pursuant to the agreement, Solitario will fund up to $1,580,000 of a </w:t>
      </w:r>
      <w:r>
        <w:rPr>
          <w:sz w:val="20"/>
          <w:szCs w:val="20"/>
        </w:rPr>
        <w:t>planned 41-hole 17,000-meter drilling program to be conducted through December 31, 2019 (the “Drilling Program”). Upon Nexa completing the first 1,700 meters of the Drilling Program, Solitario will pay Nexa $527,000, upon completion of the next 1,700 meter</w:t>
      </w:r>
      <w:r>
        <w:rPr>
          <w:sz w:val="20"/>
          <w:szCs w:val="20"/>
        </w:rPr>
        <w:t>s (3,400 meters total) of the Drilling Program, Solitario will pay Nexa $527,000, and upon completion of the next 1,700 meters (5,100 meters total) of the Drilling Program, Solitario will pay Nexa the balance remaining on its $1,580,000 funding commitment,</w:t>
      </w:r>
      <w:r>
        <w:rPr>
          <w:sz w:val="20"/>
          <w:szCs w:val="20"/>
        </w:rPr>
        <w:t xml:space="preserve"> or $526,000. Solitario has no obligation to pay Nexa prior to the attainment of the separate 1,700-meter thresholds. The funding commitments are in the form of an advance on Solitario’s commitment to fund 30% of any future development of Florida Canyon un</w:t>
      </w:r>
      <w:r>
        <w:rPr>
          <w:sz w:val="20"/>
          <w:szCs w:val="20"/>
        </w:rPr>
        <w:t>der the existing joint venture agreement with Nexa. Accordingly, in the event Florida Canyon is developed, which cannot be assured at this time, any funds paid to Nexa under this agreement, will reduce the amount of Solitario’s obligation to fund 30% of fu</w:t>
      </w:r>
      <w:r>
        <w:rPr>
          <w:sz w:val="20"/>
          <w:szCs w:val="20"/>
        </w:rPr>
        <w:t>ture development costs, and / or repay loans from Nexa for future development costs at the Florida Canyon project. During 2018, Nexa completed a total of 2,203 meters under the Drilling Program and Solitario recorded a charge to exploration expense of $527</w:t>
      </w:r>
      <w:r>
        <w:rPr>
          <w:sz w:val="20"/>
          <w:szCs w:val="20"/>
        </w:rPr>
        <w:t>,000, which Solitario paid during 2019. During the six months ended June 30, 2019, Nexa completed additional drilling to meet the second required meter threshold of 1,700 meters (or a total of 3,400 meters). Solitario recorded a charge to exploration expen</w:t>
      </w:r>
      <w:r>
        <w:rPr>
          <w:sz w:val="20"/>
          <w:szCs w:val="20"/>
        </w:rPr>
        <w:t>se of $527,000 during the three and six months ended June 30, 2019 and Solitario has recorded an account payable as of June 30, 2019 to Nexa of $527,000, which was paid in July 2019 for the completion of this second phase of the drilling during the six mon</w:t>
      </w:r>
      <w:r>
        <w:rPr>
          <w:sz w:val="20"/>
          <w:szCs w:val="20"/>
        </w:rPr>
        <w:t>ths ended June 30, 2019. Should Nexa complete the remaining 1,700 meters (5,100 meters less the completed 3,400 meters) during the remainder of 2019, Solitario will be obligated to pay Nexa the final tranche under the agreement of $526,000 during the remai</w:t>
      </w:r>
      <w:r>
        <w:rPr>
          <w:sz w:val="20"/>
          <w:szCs w:val="20"/>
        </w:rPr>
        <w:t>nder of 2019.</w:t>
      </w:r>
    </w:p>
    <w:p w:rsidR="00000000" w:rsidRDefault="002A7C39">
      <w:pPr>
        <w:pStyle w:val="a3"/>
        <w:spacing w:before="0" w:beforeAutospacing="0" w:after="0" w:afterAutospacing="0"/>
        <w:ind w:right="612"/>
        <w:rPr>
          <w:sz w:val="20"/>
          <w:szCs w:val="20"/>
        </w:rPr>
      </w:pPr>
      <w:r>
        <w:rPr>
          <w:b/>
          <w:bCs/>
          <w:sz w:val="20"/>
          <w:szCs w:val="20"/>
        </w:rPr>
        <w:t> </w:t>
      </w:r>
    </w:p>
    <w:p w:rsidR="00000000" w:rsidRDefault="002A7C39">
      <w:pPr>
        <w:pStyle w:val="a3"/>
        <w:spacing w:before="0" w:beforeAutospacing="0" w:after="0" w:afterAutospacing="0"/>
        <w:ind w:right="612"/>
        <w:rPr>
          <w:sz w:val="20"/>
          <w:szCs w:val="20"/>
        </w:rPr>
      </w:pPr>
      <w:r>
        <w:rPr>
          <w:b/>
          <w:bCs/>
          <w:sz w:val="20"/>
          <w:szCs w:val="20"/>
        </w:rPr>
        <w:t>9.       Employee Stock Compensation Plans</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On June 18, 2013, Solitario’s shareholders approved the 2013 Solitario Exploration &amp; Royalty Corp. Omnibus Stock and Incentive Plan (the “2013 Plan”). Under the terms of the 2013 Plan, a total of</w:t>
      </w:r>
      <w:r>
        <w:rPr>
          <w:sz w:val="20"/>
          <w:szCs w:val="20"/>
        </w:rPr>
        <w:t xml:space="preserve"> 1,750,000 shares of Solitario common stock were reserved for awards to directors, officers, employees and consultants. On June 29, 2017, Solitario shareholders approved an amendment to the 2013 Plan, which increased the number of shares of common stock av</w:t>
      </w:r>
      <w:r>
        <w:rPr>
          <w:sz w:val="20"/>
          <w:szCs w:val="20"/>
        </w:rPr>
        <w:t>ailable for issuance under the 2013 Plan from 1,750,000 to 5,750,000. Awards granted under the 2013 Plan may take the form of stock options, stock appreciation rights, restricted stock, and restricted stock units. The terms and conditions of the awards are</w:t>
      </w:r>
      <w:r>
        <w:rPr>
          <w:sz w:val="20"/>
          <w:szCs w:val="20"/>
        </w:rPr>
        <w:t xml:space="preserve"> pursuant to the 2013 Plan and are granted by the Board of Directors or a committee appointed by the Board of Directors.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41684575"/>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382339574"/>
      </w:pPr>
      <w:r>
        <w:t> </w:t>
      </w:r>
    </w:p>
    <w:p w:rsidR="00000000" w:rsidRDefault="002A7C39">
      <w:pPr>
        <w:pStyle w:val="a3"/>
        <w:spacing w:before="0" w:beforeAutospacing="0" w:after="0" w:afterAutospacing="0"/>
        <w:ind w:right="612" w:firstLine="720"/>
        <w:rPr>
          <w:sz w:val="20"/>
          <w:szCs w:val="20"/>
        </w:rPr>
      </w:pPr>
      <w:r>
        <w:rPr>
          <w:sz w:val="20"/>
          <w:szCs w:val="20"/>
        </w:rPr>
        <w:t xml:space="preserve">As of June 30, 2019, and December </w:t>
      </w:r>
      <w:r>
        <w:rPr>
          <w:sz w:val="20"/>
          <w:szCs w:val="20"/>
        </w:rPr>
        <w:t>31, 2018 there were options outstanding that are exercisable to acquire 4,373,000 and 5,223,160 shares, respectively, of Solitario common stock, with option prices between $0.28 and $0.77 per share. During the three months ended June 30, 2019 and 2018 Soli</w:t>
      </w:r>
      <w:r>
        <w:rPr>
          <w:sz w:val="20"/>
          <w:szCs w:val="20"/>
        </w:rPr>
        <w:t>tario did not grant any additional options. During the six months ended June 30, 2019, Solitario granted options exercisable to acquire 150,000 shares of common stock, with an exercise price of $0.28 per share, a five-year term, and a grant date fair value</w:t>
      </w:r>
      <w:r>
        <w:rPr>
          <w:sz w:val="20"/>
          <w:szCs w:val="20"/>
        </w:rPr>
        <w:t xml:space="preserve"> of $23,000 based upon a Black-Scholes model, with a 64% volatility and a 2.4% risk-free interest rate. In addition, during the six months ended June 30, 2019, options exercisable to acquire 1,000,160 shares of common stock, with exercise prices between $1</w:t>
      </w:r>
      <w:r>
        <w:rPr>
          <w:sz w:val="20"/>
          <w:szCs w:val="20"/>
        </w:rPr>
        <w:t>.68 and $0.70 per share, expired unexercised. During the six months ended June 30, 2018, Solitario granted options exercisable to acquire 100,000 shares of common stock to a consultant, with an exercise price of $0.62 per share, a seven-month term and a gr</w:t>
      </w:r>
      <w:r>
        <w:rPr>
          <w:sz w:val="20"/>
          <w:szCs w:val="20"/>
        </w:rPr>
        <w:t>ant date fair value of $12,000 based upon a Black-Scholes model with a 66% volatility and a 1% risk-free interest rate. There were no exercises of options under the 2013 Plan during the three and six months ended June 30, 2019 and 2018. During the three an</w:t>
      </w:r>
      <w:r>
        <w:rPr>
          <w:sz w:val="20"/>
          <w:szCs w:val="20"/>
        </w:rPr>
        <w:t>d six months ended June 30, 2019, Solitario recorded stock option compensation expense of $85,000 and $173,000, respectively. During the three and six months ended June 30, 2018, Solitario recorded non-cash stock option compensation expense of $432,000 and</w:t>
      </w:r>
      <w:r>
        <w:rPr>
          <w:sz w:val="20"/>
          <w:szCs w:val="20"/>
        </w:rPr>
        <w:t xml:space="preserve"> $442,000, respectively.</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On September 1, 2017, the Board of Directors granted, subject to shareholder approval at the next meeting of shareholders, 2,300,000 stock options under the 2013 Plan to officers and members of the Board of Directors (the “Condit</w:t>
      </w:r>
      <w:r>
        <w:rPr>
          <w:sz w:val="20"/>
          <w:szCs w:val="20"/>
        </w:rPr>
        <w:t xml:space="preserve">ional Options”). The Conditional Options were approved at Solitario’s annual meeting on June 19, 2018. The Conditional Options have a five-year life, an exercise price of $0.77 per share, and a grant date fair value of $970,000, based upon a Black-Scholes </w:t>
      </w:r>
      <w:r>
        <w:rPr>
          <w:sz w:val="20"/>
          <w:szCs w:val="20"/>
        </w:rPr>
        <w:t>model with a volatility of 64%, and a risk-free interest rate of 1.70%. The Conditional Options vest on the schedule of 25% on date of approval of the grant (June 19, 2018) and 25% on each of the next three anniversary dates of the date of grant (September</w:t>
      </w:r>
      <w:r>
        <w:rPr>
          <w:sz w:val="20"/>
          <w:szCs w:val="20"/>
        </w:rPr>
        <w:t xml:space="preserve"> 1, 2018, 2019 and 2020).</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At June 30, 2019, the total unrecognized stock option compensation cost related to non-vested options is $487,000 and is expected to be recognized over a weighted average period of 19 months.</w:t>
      </w:r>
    </w:p>
    <w:p w:rsidR="00000000" w:rsidRDefault="002A7C39">
      <w:pPr>
        <w:pStyle w:val="a3"/>
        <w:spacing w:before="0" w:beforeAutospacing="0" w:after="0" w:afterAutospacing="0"/>
        <w:ind w:right="612" w:firstLine="720"/>
        <w:rPr>
          <w:sz w:val="20"/>
          <w:szCs w:val="20"/>
        </w:rPr>
      </w:pPr>
      <w:r>
        <w:rPr>
          <w:sz w:val="20"/>
          <w:szCs w:val="20"/>
        </w:rPr>
        <w:t> </w:t>
      </w:r>
    </w:p>
    <w:p w:rsidR="00000000" w:rsidRDefault="002A7C39">
      <w:pPr>
        <w:pStyle w:val="a3"/>
        <w:spacing w:before="0" w:beforeAutospacing="0" w:after="0" w:afterAutospacing="0"/>
        <w:ind w:right="612"/>
        <w:rPr>
          <w:sz w:val="20"/>
          <w:szCs w:val="20"/>
        </w:rPr>
      </w:pPr>
      <w:r>
        <w:rPr>
          <w:b/>
          <w:bCs/>
          <w:sz w:val="20"/>
          <w:szCs w:val="20"/>
        </w:rPr>
        <w:t>10.        Shareholders’ Equity</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Shareholders’ Equity for the six months ended June 30, 2018:</w:t>
      </w:r>
    </w:p>
    <w:tbl>
      <w:tblPr>
        <w:tblW w:w="5000" w:type="pct"/>
        <w:tblCellMar>
          <w:left w:w="0" w:type="dxa"/>
          <w:right w:w="0" w:type="dxa"/>
        </w:tblCellMar>
        <w:tblLook w:val="04A0" w:firstRow="1" w:lastRow="0" w:firstColumn="1" w:lastColumn="0" w:noHBand="0" w:noVBand="1"/>
      </w:tblPr>
      <w:tblGrid>
        <w:gridCol w:w="1947"/>
        <w:gridCol w:w="50"/>
        <w:gridCol w:w="50"/>
        <w:gridCol w:w="900"/>
        <w:gridCol w:w="67"/>
        <w:gridCol w:w="50"/>
        <w:gridCol w:w="101"/>
        <w:gridCol w:w="558"/>
        <w:gridCol w:w="93"/>
        <w:gridCol w:w="50"/>
        <w:gridCol w:w="107"/>
        <w:gridCol w:w="642"/>
        <w:gridCol w:w="107"/>
        <w:gridCol w:w="50"/>
        <w:gridCol w:w="134"/>
        <w:gridCol w:w="800"/>
        <w:gridCol w:w="133"/>
        <w:gridCol w:w="50"/>
        <w:gridCol w:w="157"/>
        <w:gridCol w:w="942"/>
        <w:gridCol w:w="157"/>
        <w:gridCol w:w="50"/>
        <w:gridCol w:w="139"/>
        <w:gridCol w:w="834"/>
        <w:gridCol w:w="138"/>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 except</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Share amounts)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Additional</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Other</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Total</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Paid-in</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Comprehensive</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Shareholders’</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Income</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Equity</w:t>
            </w:r>
          </w:p>
        </w:tc>
      </w:tr>
      <w:tr w:rsidR="00000000">
        <w:tc>
          <w:tcPr>
            <w:tcW w:w="2000" w:type="pct"/>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Balance at December 31, 2017</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58,434,566</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584</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69,312</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(40,343</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576</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30,129</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xml:space="preserve">Cumulative-effect adjustment </w:t>
            </w:r>
            <w:r>
              <w:rPr>
                <w:rFonts w:eastAsia="Times New Roman"/>
                <w:sz w:val="20"/>
                <w:szCs w:val="20"/>
              </w:rPr>
              <w:br/>
              <w:t>change in accounting principle</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576</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(576</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Adjusted balance January 1, 2018</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58,434,566</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584</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69,312</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(39,767</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30,129</w:t>
            </w:r>
          </w:p>
        </w:tc>
        <w:tc>
          <w:tcPr>
            <w:tcW w:w="0" w:type="auto"/>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Stock option expense</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442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442</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Purchase of shares for cancellation</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(145,200</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(1,617</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(1,617</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Balance at June 30, 2018</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58,289,366</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583</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69,690</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(41,384</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28,889</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r>
    </w:tbl>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rPr>
        <w:t xml:space="preserve">Solitario adopted Accounting Standards Update No. 2016-01 </w:t>
      </w:r>
      <w:r>
        <w:rPr>
          <w:i/>
          <w:iCs/>
          <w:sz w:val="20"/>
          <w:szCs w:val="20"/>
        </w:rPr>
        <w:t xml:space="preserve">Recognition and Measurement of Financial Assets and Financial Liabilities </w:t>
      </w:r>
      <w:r>
        <w:rPr>
          <w:sz w:val="20"/>
          <w:szCs w:val="20"/>
        </w:rPr>
        <w:t>(“ASU 2016-01”) in the first quarter of 2018. ASU No. 2016-01 revised the classification and measurement of investment in certain equity investments and the presentation of certain f</w:t>
      </w:r>
      <w:r>
        <w:rPr>
          <w:sz w:val="20"/>
          <w:szCs w:val="20"/>
        </w:rPr>
        <w:t>air value changes for certain financial liabilities measured at fair value. ASU No. 2016-01 requires the change in fair value of many equity investments to be recognized in net income. Solitario recorded a cumulative-effect adjustment for the change in acc</w:t>
      </w:r>
      <w:r>
        <w:rPr>
          <w:sz w:val="20"/>
          <w:szCs w:val="20"/>
        </w:rPr>
        <w:t>ounting principle to retained earnings of $576,000 related to the adoption of ASU 2016-01.</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63613706"/>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95103869"/>
      </w:pPr>
      <w:r>
        <w:t> </w:t>
      </w:r>
    </w:p>
    <w:p w:rsidR="00000000" w:rsidRDefault="002A7C39">
      <w:pPr>
        <w:pStyle w:val="a3"/>
        <w:spacing w:before="0" w:beforeAutospacing="0" w:after="0" w:afterAutospacing="0"/>
        <w:ind w:right="792"/>
        <w:rPr>
          <w:sz w:val="20"/>
          <w:szCs w:val="20"/>
        </w:rPr>
      </w:pPr>
      <w:r>
        <w:rPr>
          <w:sz w:val="20"/>
          <w:szCs w:val="20"/>
          <w:u w:val="single"/>
        </w:rPr>
        <w:t>Shareholders’ Equity for the six months ended June 30, 2019:</w:t>
      </w:r>
    </w:p>
    <w:tbl>
      <w:tblPr>
        <w:tblW w:w="5000" w:type="pct"/>
        <w:tblCellMar>
          <w:left w:w="0" w:type="dxa"/>
          <w:right w:w="0" w:type="dxa"/>
        </w:tblCellMar>
        <w:tblLook w:val="04A0" w:firstRow="1" w:lastRow="0" w:firstColumn="1" w:lastColumn="0" w:noHBand="0" w:noVBand="1"/>
      </w:tblPr>
      <w:tblGrid>
        <w:gridCol w:w="2861"/>
        <w:gridCol w:w="120"/>
        <w:gridCol w:w="50"/>
        <w:gridCol w:w="900"/>
        <w:gridCol w:w="67"/>
        <w:gridCol w:w="80"/>
        <w:gridCol w:w="101"/>
        <w:gridCol w:w="703"/>
        <w:gridCol w:w="67"/>
        <w:gridCol w:w="92"/>
        <w:gridCol w:w="101"/>
        <w:gridCol w:w="703"/>
        <w:gridCol w:w="77"/>
        <w:gridCol w:w="82"/>
        <w:gridCol w:w="100"/>
        <w:gridCol w:w="873"/>
        <w:gridCol w:w="97"/>
        <w:gridCol w:w="121"/>
        <w:gridCol w:w="101"/>
        <w:gridCol w:w="909"/>
        <w:gridCol w:w="101"/>
      </w:tblGrid>
      <w:tr w:rsidR="00000000">
        <w:tc>
          <w:tcPr>
            <w:tcW w:w="0" w:type="auto"/>
            <w:vAlign w:val="bottom"/>
            <w:hideMark/>
          </w:tcPr>
          <w:p w:rsidR="00000000" w:rsidRDefault="002A7C39">
            <w:pPr>
              <w:rPr>
                <w:rFonts w:eastAsia="Times New Roman"/>
                <w:sz w:val="20"/>
                <w:szCs w:val="20"/>
              </w:rPr>
            </w:pPr>
            <w:r>
              <w:rPr>
                <w:rFonts w:eastAsia="Times New Roman"/>
                <w:sz w:val="20"/>
                <w:szCs w:val="20"/>
              </w:rPr>
              <w:t>(in thousands, except</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Share amounts)</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Additional</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Total</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Paid-in</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vAlign w:val="bottom"/>
            <w:hideMark/>
          </w:tcPr>
          <w:p w:rsidR="00000000" w:rsidRDefault="002A7C39">
            <w:pPr>
              <w:jc w:val="center"/>
              <w:rPr>
                <w:rFonts w:eastAsia="Times New Roman"/>
                <w:sz w:val="20"/>
                <w:szCs w:val="20"/>
              </w:rPr>
            </w:pPr>
            <w:r>
              <w:rPr>
                <w:rFonts w:eastAsia="Times New Roman"/>
                <w:sz w:val="20"/>
                <w:szCs w:val="20"/>
              </w:rPr>
              <w:t>Shareholders’</w:t>
            </w:r>
          </w:p>
        </w:tc>
      </w:tr>
      <w:tr w:rsidR="00000000">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Equity</w:t>
            </w:r>
          </w:p>
        </w:tc>
      </w:tr>
      <w:tr w:rsidR="00000000">
        <w:tc>
          <w:tcPr>
            <w:tcW w:w="1750" w:type="pct"/>
            <w:shd w:val="clear" w:color="auto" w:fill="CCEEFF"/>
            <w:tcMar>
              <w:top w:w="0" w:type="dxa"/>
              <w:left w:w="108" w:type="dxa"/>
              <w:bottom w:w="0" w:type="dxa"/>
              <w:right w:w="0" w:type="dxa"/>
            </w:tcMar>
            <w:vAlign w:val="bottom"/>
            <w:hideMark/>
          </w:tcPr>
          <w:p w:rsidR="00000000" w:rsidRDefault="002A7C39">
            <w:pPr>
              <w:rPr>
                <w:rFonts w:eastAsia="Times New Roman"/>
                <w:b/>
                <w:bCs/>
                <w:sz w:val="20"/>
                <w:szCs w:val="20"/>
              </w:rPr>
            </w:pPr>
            <w:r>
              <w:rPr>
                <w:rFonts w:eastAsia="Times New Roman"/>
                <w:b/>
                <w:bCs/>
                <w:sz w:val="20"/>
                <w:szCs w:val="20"/>
              </w:rPr>
              <w:t>Balance at December 31, 2018</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58,171,466</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582</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69,873</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(43,365</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27,090</w:t>
            </w:r>
          </w:p>
        </w:tc>
        <w:tc>
          <w:tcPr>
            <w:tcW w:w="50" w:type="pct"/>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Stock option expense</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173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173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Purchase of shares for cancellation</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(33,200</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(1,443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(1,443</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Balance at June 30, 2019</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58,138,266</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581</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70,036</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(44,808</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b/>
                <w:bCs/>
                <w:sz w:val="20"/>
                <w:szCs w:val="20"/>
              </w:rPr>
            </w:pPr>
            <w:r>
              <w:rPr>
                <w:rFonts w:eastAsia="Times New Roman"/>
                <w:b/>
                <w:bCs/>
                <w:sz w:val="20"/>
                <w:szCs w:val="20"/>
              </w:rPr>
              <w:t>25,809</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b/>
                <w:bCs/>
                <w:sz w:val="20"/>
                <w:szCs w:val="20"/>
              </w:rPr>
            </w:pPr>
            <w:r>
              <w:rPr>
                <w:rFonts w:eastAsia="Times New Roman"/>
                <w:b/>
                <w:bCs/>
                <w:sz w:val="20"/>
                <w:szCs w:val="20"/>
              </w:rPr>
              <w:t> </w:t>
            </w:r>
          </w:p>
        </w:tc>
      </w:tr>
    </w:tbl>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rPr>
          <w:sz w:val="20"/>
          <w:szCs w:val="20"/>
        </w:rPr>
      </w:pPr>
      <w:r>
        <w:rPr>
          <w:sz w:val="20"/>
          <w:szCs w:val="20"/>
          <w:u w:val="single"/>
        </w:rPr>
        <w:t>Share Repurchase Program</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On October 28, 2015, Solitario’s Board of Directors approved a share repurchase program that authorized Solitario to purchase up to two million shares of its outstanding common stock. During 2018, Solitario’s Board of Directors extended the expiration date</w:t>
      </w:r>
      <w:r>
        <w:rPr>
          <w:sz w:val="20"/>
          <w:szCs w:val="20"/>
        </w:rPr>
        <w:t xml:space="preserve"> of the share repurchase program through December 31, 2019. During the three months ended June 30, 2019 and 2018, Solitario purchased 5,300 and 92,566 shares of Solitario common stock, respectively, for an aggregate purchase price of $2,000 and $39,000, re</w:t>
      </w:r>
      <w:r>
        <w:rPr>
          <w:sz w:val="20"/>
          <w:szCs w:val="20"/>
        </w:rPr>
        <w:t xml:space="preserve">spectively. During the six months ended June 30, 2019 and 2018, Solitario purchased 33,200 and 145,200 shares of Solitario common stock, respectively, for an aggregate purchase price of $11,000 and $65,000, respectively. As of June 30, 2019, Solitario has </w:t>
      </w:r>
      <w:r>
        <w:rPr>
          <w:sz w:val="20"/>
          <w:szCs w:val="20"/>
        </w:rPr>
        <w:t>purchased a total of 964,100 shares for an aggregate purchase price of $460,000 under the share repurchase program since its inception.</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30057351"/>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704059082"/>
      </w:pPr>
      <w:r>
        <w:t> </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Item 2.   </w:t>
      </w:r>
      <w:r>
        <w:rPr>
          <w:sz w:val="20"/>
          <w:szCs w:val="20"/>
          <w:u w:val="single"/>
        </w:rPr>
        <w:t xml:space="preserve">Management’s </w:t>
      </w:r>
      <w:r>
        <w:rPr>
          <w:sz w:val="20"/>
          <w:szCs w:val="20"/>
          <w:u w:val="single"/>
        </w:rPr>
        <w:t>Discussion and Analysis of Financial Condition and Results of Operations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The following discussion should be read in conjunction with the information contained in the consolidated financial statements of Solitario for the years ended December 31, 2018 and</w:t>
      </w:r>
      <w:r>
        <w:rPr>
          <w:sz w:val="20"/>
          <w:szCs w:val="20"/>
        </w:rPr>
        <w:t xml:space="preserve"> 2017, and Management’s Discussion and Analysis of Financial Condition and Results of Operations contained in Solitario’s Annual Report on Form 10-K for the year ended December 31, 2018. Solitario's financial condition and results of operations are not nec</w:t>
      </w:r>
      <w:r>
        <w:rPr>
          <w:sz w:val="20"/>
          <w:szCs w:val="20"/>
        </w:rPr>
        <w:t>essarily indicative of what may be expected in future periods. Unless otherwise indicated, all references to dollars are to U.S. dollars.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b/>
          <w:bCs/>
          <w:sz w:val="20"/>
          <w:szCs w:val="20"/>
        </w:rPr>
      </w:pPr>
      <w:r>
        <w:rPr>
          <w:b/>
          <w:bCs/>
          <w:sz w:val="20"/>
          <w:szCs w:val="20"/>
        </w:rPr>
        <w:t>(a) Business Overview and Summary</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are an exploration stage company under Industry Guide 7, as issued by the SEC</w:t>
      </w:r>
      <w:r>
        <w:rPr>
          <w:sz w:val="20"/>
          <w:szCs w:val="20"/>
        </w:rPr>
        <w:t>, with a focus on the acquisition of precious and base metal properties with exploration potential and the development or purchase of royalty interests. . Currently our primary focus is the acquisition and exploration of zinc-related exploration mineral pr</w:t>
      </w:r>
      <w:r>
        <w:rPr>
          <w:sz w:val="20"/>
          <w:szCs w:val="20"/>
        </w:rPr>
        <w:t>operties. However, we will continue to evaluate other mineral properties for acquisition and hold a portfolio of mineral exploration properties and assets for future sale, joint venture or to create a royalty prior to the establishment of proven and probab</w:t>
      </w:r>
      <w:r>
        <w:rPr>
          <w:sz w:val="20"/>
          <w:szCs w:val="20"/>
        </w:rPr>
        <w:t xml:space="preserve">le reserves. Although our mineral properties may be developed in the future by us, through a joint venture or by a third party, we have never developed a mineral property. In addition to focusing on our current mineral exploration properties, we also from </w:t>
      </w:r>
      <w:r>
        <w:rPr>
          <w:sz w:val="20"/>
          <w:szCs w:val="20"/>
        </w:rPr>
        <w:t>time to time evaluate potential strategic transactions for the acquisition of new precious and base metal properties and assets with exploration potential.</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Our geographic focus for the evaluation of potential mineral property assets is in North and South</w:t>
      </w:r>
      <w:r>
        <w:rPr>
          <w:sz w:val="20"/>
          <w:szCs w:val="20"/>
        </w:rPr>
        <w:t xml:space="preserve"> America; however, we have conducted property evaluations for potential acquisition in other parts of the world. Our exploration properties may be developed in the future by us or through a joint venture, although we have never developed a mineral property</w:t>
      </w:r>
      <w:r>
        <w:rPr>
          <w:sz w:val="20"/>
          <w:szCs w:val="20"/>
        </w:rPr>
        <w:t>. At June 30, 2019, we consider our carried interest in the Florida Canyon project in Peru and our interest in the Lik project in Alaska to be our core mineral property assets. In addition, at June 30, 2019, we have one exploration property in Peru. We are</w:t>
      </w:r>
      <w:r>
        <w:rPr>
          <w:sz w:val="20"/>
          <w:szCs w:val="20"/>
        </w:rPr>
        <w:t xml:space="preserve"> conducting independent exploration activities in Peru and through joint ventures operated by our partners in Peru and the United States. We conduct potential acquisition evaluations in other countries located in South and North America.</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have recorded</w:t>
      </w:r>
      <w:r>
        <w:rPr>
          <w:sz w:val="20"/>
          <w:szCs w:val="20"/>
        </w:rPr>
        <w:t xml:space="preserve"> revenue in the past from the sale of mineral properties, including the Royalty Sale and the sale in June 2018 of our interest in the royalty on the Yanacocha property. In addition, we have received proceeds from the sale in 2015 of our former interest in </w:t>
      </w:r>
      <w:r>
        <w:rPr>
          <w:sz w:val="20"/>
          <w:szCs w:val="20"/>
        </w:rPr>
        <w:t>MH-LLC the owner of our former Mt. Hamilton project, and joint venture property payments and the sale of a royalty on our former Mt. Hamilton project. Revenues and / or proceeds from the sale or joint venture of properties or assets, although generally sig</w:t>
      </w:r>
      <w:r>
        <w:rPr>
          <w:sz w:val="20"/>
          <w:szCs w:val="20"/>
        </w:rPr>
        <w:t>nificant when they occur, have not been a consistent source of revenue and would only occur in the future, if at all, on an infrequent basis. We have reduced our exposure to the costs of our exploration activities in the past through the use of joint ventu</w:t>
      </w:r>
      <w:r>
        <w:rPr>
          <w:sz w:val="20"/>
          <w:szCs w:val="20"/>
        </w:rPr>
        <w:t>res. Although we anticipate that the use of joint venture funding for some of our exploration activities will continue for the foreseeable future, we can provide no assurance that these or other sources of capital will be available in sufficient amounts to</w:t>
      </w:r>
      <w:r>
        <w:rPr>
          <w:sz w:val="20"/>
          <w:szCs w:val="20"/>
        </w:rPr>
        <w:t xml:space="preserve"> meet our needs, if at all.</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As of June 30, 2019, we have significant balances of cash and short-term investments that we anticipate using, in part, to (i) further the development of the Lik project, (ii) fund exploration, including drilling at the Florid</w:t>
      </w:r>
      <w:r>
        <w:rPr>
          <w:sz w:val="20"/>
          <w:szCs w:val="20"/>
        </w:rPr>
        <w:t>a Canyon project, and conduct reconnaissance exploration and (iii) potentially acquire additional mineral property assets. The fluctuations in precious metal and other commodity prices contribute to a challenging environment for mineral exploration and dev</w:t>
      </w:r>
      <w:r>
        <w:rPr>
          <w:sz w:val="20"/>
          <w:szCs w:val="20"/>
        </w:rPr>
        <w:t>elopment, which has created opportunities as well as challenges for the potential acquisition of advanced mineral exploration projects or other related assets at potentially attractive terms.</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84389377"/>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590697577"/>
      </w:pPr>
      <w:r>
        <w:t> </w:t>
      </w:r>
    </w:p>
    <w:p w:rsidR="00000000" w:rsidRDefault="002A7C39">
      <w:pPr>
        <w:pStyle w:val="a3"/>
        <w:spacing w:before="0" w:beforeAutospacing="0" w:after="0" w:afterAutospacing="0"/>
        <w:ind w:right="792"/>
        <w:rPr>
          <w:b/>
          <w:bCs/>
          <w:sz w:val="20"/>
          <w:szCs w:val="20"/>
        </w:rPr>
      </w:pPr>
      <w:r>
        <w:rPr>
          <w:b/>
          <w:bCs/>
          <w:sz w:val="20"/>
          <w:szCs w:val="20"/>
        </w:rPr>
        <w:t>(b) Results of Operations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Comparison of the quarter ended June 30, 2019 to the quarter ended June 30, 2018</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We had a net loss of $1,002,000 or $0.02 per basic and diluted share for the three months ended June 30, 2019 compared to a net loss of $613,000 </w:t>
      </w:r>
      <w:r>
        <w:rPr>
          <w:sz w:val="20"/>
          <w:szCs w:val="20"/>
        </w:rPr>
        <w:t>or $0.01 per basic and diluted share for the three months ended June 30, 2018. As explained in more detail below, the primary reasons for the increase in the net loss in the three months ended June 30, 2019 compared to the net loss in the three months ende</w:t>
      </w:r>
      <w:r>
        <w:rPr>
          <w:sz w:val="20"/>
          <w:szCs w:val="20"/>
        </w:rPr>
        <w:t>d June 30, 2018 were (i) the mineral property revenue, net, of $502,000 during the three months ended June 30, 2018 with no similar mineral property revenue during the three months ended June 30, 2019; and (ii) an increase in exploration expense to $702,00</w:t>
      </w:r>
      <w:r>
        <w:rPr>
          <w:sz w:val="20"/>
          <w:szCs w:val="20"/>
        </w:rPr>
        <w:t>0 during the three months ended June 30, 2019, primarily related to the drilling completed by Nexa at the Florida Canyon project, compared to $162,000 in exploration expense during the three months ended June 30, 2018, when we were primarily doing reconnai</w:t>
      </w:r>
      <w:r>
        <w:rPr>
          <w:sz w:val="20"/>
          <w:szCs w:val="20"/>
        </w:rPr>
        <w:t>ssance exploration. Partially offsetting the above items which increased the net loss, were (i) a reduction in the non-cash loss on unrealized loss on marketable equity securities to $63,000 during the three months ended June 30, 2019 compared to a non-cas</w:t>
      </w:r>
      <w:r>
        <w:rPr>
          <w:sz w:val="20"/>
          <w:szCs w:val="20"/>
        </w:rPr>
        <w:t xml:space="preserve">h unrealized loss on marketable equity securities of $222,000 during the three months ended June 30, 2018; (ii) a decrease in general and administrative expense to $321,000 during the three months ended June 30, 2019 compared to general and administrative </w:t>
      </w:r>
      <w:r>
        <w:rPr>
          <w:sz w:val="20"/>
          <w:szCs w:val="20"/>
        </w:rPr>
        <w:t xml:space="preserve">expense of $762,000 during the three months ended June 30, 2018; and (iii) an increase in interest income (net) to $90,000 during the three months ended June 30, 2019 compared to interest income of $37,000 during the three months ended June 30, 2018. Each </w:t>
      </w:r>
      <w:r>
        <w:rPr>
          <w:sz w:val="20"/>
          <w:szCs w:val="20"/>
        </w:rPr>
        <w:t>of the major components of these items is discussed in more detail below.</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Our net exploration expense increased to $702,000 during the three months ended June 30, 2019 compared to exploration expense of $162,000 during the three months ended Ju</w:t>
      </w:r>
      <w:r>
        <w:rPr>
          <w:sz w:val="20"/>
          <w:szCs w:val="20"/>
        </w:rPr>
        <w:t xml:space="preserve">ne 30, 2018. During the three months ended June 30, 2019, Nexa met the second required total drilling target of 3,400 meters of drilling at the Florida Canyon project and Solitario was responsible for $527,000 of the total drilling costs incurred by Nexa, </w:t>
      </w:r>
      <w:r>
        <w:rPr>
          <w:sz w:val="20"/>
          <w:szCs w:val="20"/>
        </w:rPr>
        <w:t>with Nexa responsible for any excess. We recorded $527,000 of exploration expense during the three months ended June 30, 2019 related to the drilling at Florida Canyon and recorded an account payable of the same amount, which was paid to Nexa in July of 20</w:t>
      </w:r>
      <w:r>
        <w:rPr>
          <w:sz w:val="20"/>
          <w:szCs w:val="20"/>
        </w:rPr>
        <w:t>19. There was no similar item during the three months ended June 30, 2018. In addition, we incurred $24,000 of exploration expense at our Lik project in Alaska during the three months ended June 30, 2019 compared to Lik project expenditures of $10,000 duri</w:t>
      </w:r>
      <w:r>
        <w:rPr>
          <w:sz w:val="20"/>
          <w:szCs w:val="20"/>
        </w:rPr>
        <w:t>ng the three months ended June 30, 2018 and we incurred $35,000 of exploration expense related to permitting and site work at our La Promesa project in Peru, compared to $23,000 of exploration expense at La Promesa during the six months ended June 30, 2018</w:t>
      </w:r>
      <w:r>
        <w:rPr>
          <w:sz w:val="20"/>
          <w:szCs w:val="20"/>
        </w:rPr>
        <w:t>. During the three and six months ended June 30, 2019 we had three contract geologists in Peru, and our Denver personnel spent a majority of their time on reconnaissance exploration activities described above and related matters. We anticipate Nexa will co</w:t>
      </w:r>
      <w:r>
        <w:rPr>
          <w:sz w:val="20"/>
          <w:szCs w:val="20"/>
        </w:rPr>
        <w:t>mplete the 2019 exploration program at our Florida Canyon project during the third quarter of 2019, as discussed above in Note 8, “Commitments and Contingencies.” Should Nexa complete the drilling program as budgeted, we anticipate we will record the final</w:t>
      </w:r>
      <w:r>
        <w:rPr>
          <w:sz w:val="20"/>
          <w:szCs w:val="20"/>
        </w:rPr>
        <w:t xml:space="preserve"> amount due under the program of $526,000 in exploration expense at Florida Canyon during the third quarter of 2019. In addition, we have budgeted approximately $178,000 for our share of exploration at our Lik project in Alaska for the full year of 2019, w</w:t>
      </w:r>
      <w:r>
        <w:rPr>
          <w:sz w:val="20"/>
          <w:szCs w:val="20"/>
        </w:rPr>
        <w:t>hich the bulk of those expenses are planned for the third and fourth quarter of 2019. As a result, we expect our full-year exploration expenditures for 2019 to exceed the expenditures for full-year 2018.</w:t>
      </w:r>
    </w:p>
    <w:p w:rsidR="00000000" w:rsidRDefault="002A7C39">
      <w:pPr>
        <w:pStyle w:val="a3"/>
        <w:spacing w:before="0" w:beforeAutospacing="0" w:after="0" w:afterAutospacing="0"/>
        <w:ind w:right="612"/>
        <w:rPr>
          <w:sz w:val="20"/>
          <w:szCs w:val="20"/>
        </w:rPr>
      </w:pPr>
      <w:r>
        <w:rPr>
          <w:sz w:val="20"/>
          <w:szCs w:val="20"/>
        </w:rPr>
        <w:t> </w:t>
      </w:r>
    </w:p>
    <w:p w:rsidR="00000000" w:rsidRDefault="002A7C39">
      <w:pPr>
        <w:pStyle w:val="a3"/>
        <w:spacing w:before="0" w:beforeAutospacing="0" w:after="0" w:afterAutospacing="0"/>
        <w:ind w:right="612" w:firstLine="720"/>
        <w:rPr>
          <w:sz w:val="20"/>
          <w:szCs w:val="20"/>
        </w:rPr>
      </w:pPr>
      <w:r>
        <w:rPr>
          <w:sz w:val="20"/>
          <w:szCs w:val="20"/>
        </w:rPr>
        <w:t xml:space="preserve">Exploration expense (in thousands) by project for </w:t>
      </w:r>
      <w:r>
        <w:rPr>
          <w:sz w:val="20"/>
          <w:szCs w:val="20"/>
        </w:rPr>
        <w:t>the three and six months ended June 30, 2019 and 2018 consisted of the following:</w:t>
      </w:r>
    </w:p>
    <w:p w:rsidR="00000000" w:rsidRDefault="002A7C39">
      <w:pPr>
        <w:pStyle w:val="a3"/>
        <w:spacing w:before="0" w:beforeAutospacing="0" w:after="0" w:afterAutospacing="0"/>
        <w:ind w:right="6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vAlign w:val="bottom"/>
            <w:hideMark/>
          </w:tcPr>
          <w:p w:rsidR="00000000" w:rsidRDefault="002A7C39">
            <w:pPr>
              <w:jc w:val="both"/>
              <w:rPr>
                <w:rFonts w:eastAsia="Times New Roman"/>
                <w:sz w:val="20"/>
                <w:szCs w:val="20"/>
              </w:rPr>
            </w:pPr>
            <w:r>
              <w:rPr>
                <w:rFonts w:eastAsia="Times New Roman"/>
                <w:sz w:val="20"/>
                <w:szCs w:val="20"/>
              </w:rPr>
              <w:t> </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vAlign w:val="bottom"/>
            <w:hideMark/>
          </w:tcPr>
          <w:p w:rsidR="00000000" w:rsidRDefault="002A7C39">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w:t>
            </w:r>
          </w:p>
        </w:tc>
        <w:tc>
          <w:tcPr>
            <w:tcW w:w="0" w:type="auto"/>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7"/>
            <w:vAlign w:val="bottom"/>
            <w:hideMark/>
          </w:tcPr>
          <w:p w:rsidR="00000000" w:rsidRDefault="002A7C39">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w:t>
            </w:r>
          </w:p>
        </w:tc>
      </w:tr>
      <w:tr w:rsidR="00000000">
        <w:tc>
          <w:tcPr>
            <w:tcW w:w="0" w:type="auto"/>
            <w:tcBorders>
              <w:bottom w:val="single" w:sz="8" w:space="0" w:color="000000"/>
            </w:tcBorders>
            <w:vAlign w:val="bottom"/>
            <w:hideMark/>
          </w:tcPr>
          <w:p w:rsidR="00000000" w:rsidRDefault="002A7C39">
            <w:pPr>
              <w:jc w:val="both"/>
              <w:rPr>
                <w:rFonts w:eastAsia="Times New Roman"/>
                <w:sz w:val="20"/>
                <w:szCs w:val="20"/>
              </w:rPr>
            </w:pPr>
            <w:r>
              <w:rPr>
                <w:rFonts w:eastAsia="Times New Roman"/>
                <w:sz w:val="20"/>
                <w:szCs w:val="20"/>
              </w:rPr>
              <w:t>Project Name</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2A7C39">
            <w:pPr>
              <w:jc w:val="center"/>
              <w:rPr>
                <w:rFonts w:eastAsia="Times New Roman"/>
                <w:sz w:val="20"/>
                <w:szCs w:val="20"/>
              </w:rPr>
            </w:pPr>
            <w:r>
              <w:rPr>
                <w:rFonts w:eastAsia="Times New Roman"/>
                <w:sz w:val="20"/>
                <w:szCs w:val="20"/>
              </w:rPr>
              <w:t>2018</w:t>
            </w:r>
          </w:p>
        </w:tc>
      </w:tr>
      <w:tr w:rsidR="00000000">
        <w:tc>
          <w:tcPr>
            <w:tcW w:w="2000" w:type="pct"/>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Florida Canyon</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535</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7</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535</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Lik</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43</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La Promesa</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35</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23</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59</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2A7C39">
            <w:pPr>
              <w:jc w:val="both"/>
              <w:rPr>
                <w:rFonts w:eastAsia="Times New Roman"/>
                <w:sz w:val="20"/>
                <w:szCs w:val="20"/>
              </w:rPr>
            </w:pPr>
            <w:r>
              <w:rPr>
                <w:rFonts w:eastAsia="Times New Roman"/>
                <w:sz w:val="20"/>
                <w:szCs w:val="20"/>
              </w:rPr>
              <w:t>Reconnaissance</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108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122</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228</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2A7C39">
            <w:pPr>
              <w:jc w:val="right"/>
              <w:rPr>
                <w:rFonts w:eastAsia="Times New Roman"/>
                <w:sz w:val="20"/>
                <w:szCs w:val="20"/>
              </w:rPr>
            </w:pPr>
            <w:r>
              <w:rPr>
                <w:rFonts w:eastAsia="Times New Roman"/>
                <w:sz w:val="20"/>
                <w:szCs w:val="20"/>
              </w:rPr>
              <w:t>244</w:t>
            </w:r>
          </w:p>
        </w:tc>
        <w:tc>
          <w:tcPr>
            <w:tcW w:w="0" w:type="auto"/>
            <w:shd w:val="clear" w:color="auto" w:fill="FFFF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2A7C39">
            <w:pPr>
              <w:jc w:val="both"/>
              <w:rPr>
                <w:rFonts w:eastAsia="Times New Roman"/>
                <w:sz w:val="20"/>
                <w:szCs w:val="20"/>
              </w:rPr>
            </w:pPr>
            <w:r>
              <w:rPr>
                <w:rFonts w:eastAsia="Times New Roman"/>
                <w:sz w:val="20"/>
                <w:szCs w:val="20"/>
              </w:rPr>
              <w:t>  Total exploration expense</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702</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162</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865</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2A7C39">
            <w:pPr>
              <w:jc w:val="right"/>
              <w:rPr>
                <w:rFonts w:eastAsia="Times New Roman"/>
                <w:sz w:val="20"/>
                <w:szCs w:val="20"/>
              </w:rPr>
            </w:pPr>
            <w:r>
              <w:rPr>
                <w:rFonts w:eastAsia="Times New Roman"/>
                <w:sz w:val="20"/>
                <w:szCs w:val="20"/>
              </w:rPr>
              <w:t>342</w:t>
            </w:r>
          </w:p>
        </w:tc>
        <w:tc>
          <w:tcPr>
            <w:tcW w:w="0" w:type="auto"/>
            <w:shd w:val="clear" w:color="auto" w:fill="CCEEFF"/>
            <w:tcMar>
              <w:top w:w="0" w:type="dxa"/>
              <w:left w:w="0" w:type="dxa"/>
              <w:bottom w:w="2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General and administrative costs, excluding stock option compensation costs, discussed below, were $236,000 during the three months ended June 30, 2019 compared to $330,000 during the three months ended June 30, 2018. The major components of these costs we</w:t>
      </w:r>
      <w:r>
        <w:rPr>
          <w:sz w:val="20"/>
          <w:szCs w:val="20"/>
        </w:rPr>
        <w:t>re related to (i) salaries and benefit expense of $108,000 during the three months ended June 30, 2019 compared to salary and benefit costs of $162,000 during the three months ended June 30, 2018, as we have reduced staff and taken salary reductions during</w:t>
      </w:r>
      <w:r>
        <w:rPr>
          <w:sz w:val="20"/>
          <w:szCs w:val="20"/>
        </w:rPr>
        <w:t xml:space="preserve"> 2019; (ii) legal and accounting expenditures of $54,000 in the three months ended June 30, 2019 compared to $85,000 during the three months ended June 30, 2018; (iii) office and other expenses of $27,000 during the three months ended June 30, 2019, compar</w:t>
      </w:r>
      <w:r>
        <w:rPr>
          <w:sz w:val="20"/>
          <w:szCs w:val="20"/>
        </w:rPr>
        <w:t xml:space="preserve">ed to $35,000 during the three months ended June 30, 2018; and (iv) travel and shareholder relation costs of $48,000 during the three months ended June 30, 2019 compared to $47,000 during the three months ended June 30, 2018. We anticipate the general and </w:t>
      </w:r>
      <w:r>
        <w:rPr>
          <w:sz w:val="20"/>
          <w:szCs w:val="20"/>
        </w:rPr>
        <w:t>administrative costs will be incurred at comparable quarterly amounts for the remainder of 2019.</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66147801"/>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462188762"/>
      </w:pPr>
      <w:r>
        <w:t> </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We recorded $85,000 of stock option </w:t>
      </w:r>
      <w:r>
        <w:rPr>
          <w:sz w:val="20"/>
          <w:szCs w:val="20"/>
        </w:rPr>
        <w:t>expense for the amortization of unvested grant date fair value with a credit to additional paid-in-capital during the three months ended June 30, 2019 compared to $432,000 of stock option compensation expense during the three months ended June 30, 2018. Th</w:t>
      </w:r>
      <w:r>
        <w:rPr>
          <w:sz w:val="20"/>
          <w:szCs w:val="20"/>
        </w:rPr>
        <w:t>e decrease was primarily related to $422,000 of stock option expense recorded during the three months ended June 30, 2018, for the amortization of vested grant date fair value for the Conditional Options which were granted on September 1, 2017, but were su</w:t>
      </w:r>
      <w:r>
        <w:rPr>
          <w:sz w:val="20"/>
          <w:szCs w:val="20"/>
        </w:rPr>
        <w:t>bject to shareholder approval, which was received on June 19, 2018 as discussed in Note 9, “Employee Stock Compensation Plans,” above. We anticipate our stock option expense related to vesting of grant date fair value for the remainder of 2019 will be comp</w:t>
      </w:r>
      <w:r>
        <w:rPr>
          <w:sz w:val="20"/>
          <w:szCs w:val="20"/>
        </w:rPr>
        <w:t>arable to the expense incurred through June 30, 2019.</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We recorded an unrealized loss on marketable equity securities of $63,000 during the three months ended June 30, 2019 compared to an unrealized loss on marketable equity securities of $222,000 during </w:t>
      </w:r>
      <w:r>
        <w:rPr>
          <w:sz w:val="20"/>
          <w:szCs w:val="20"/>
        </w:rPr>
        <w:t>the three months ended June 30, 2018. The loss during each of the three months ended June 30, 2019 and 2018 was primarily related to a decrease in the value of our holdings of 11,000,000 shares of Vendetta common stock which decreased from a fair value, ba</w:t>
      </w:r>
      <w:r>
        <w:rPr>
          <w:sz w:val="20"/>
          <w:szCs w:val="20"/>
        </w:rPr>
        <w:t xml:space="preserve">sed on quoted market prices, of $906,000 and $1,792,000, respectively, at March 31, 2019 and 2018, to a fair value of $800,000 and $1,589,000, respectively at June 30, 2019 and 2018. During the three months ended June 30, 2019 the value of our holdings of </w:t>
      </w:r>
      <w:r>
        <w:rPr>
          <w:sz w:val="20"/>
          <w:szCs w:val="20"/>
        </w:rPr>
        <w:t>100,000 shares of Kinross Gold Corp (“Kinross”) common stock increased in value based upon quoted market prices by $43,000, compared to a loss of $19,000 during the three months ended June 30, 2018.</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recorded interest income of $90,000 during the three</w:t>
      </w:r>
      <w:r>
        <w:rPr>
          <w:sz w:val="20"/>
          <w:szCs w:val="20"/>
        </w:rPr>
        <w:t xml:space="preserve"> months ended June 30, 2019 compared to interest income of $37,000 during the three months ended June 30, 2018 primarily due to (i) an increase in the value of our short-term investments in USTS as a result of a decrease in interest rates during the three </w:t>
      </w:r>
      <w:r>
        <w:rPr>
          <w:sz w:val="20"/>
          <w:szCs w:val="20"/>
        </w:rPr>
        <w:t>months ended June 30, 2019, which increases the value of existing USTS, and (ii) the average interest rates on our existing short term investments was still higher during the three months ended June 30, 2019 than the average interest rates on our short ter</w:t>
      </w:r>
      <w:r>
        <w:rPr>
          <w:sz w:val="20"/>
          <w:szCs w:val="20"/>
        </w:rPr>
        <w:t>m investments during the three months ended June 30, 2018.</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We regularly perform evaluations of our mineral property assets to assess the recoverability of our investments in these assets. All long-lived assets are reviewed for impairment whenever events </w:t>
      </w:r>
      <w:r>
        <w:rPr>
          <w:sz w:val="20"/>
          <w:szCs w:val="20"/>
        </w:rPr>
        <w:t>or circumstances change which indicate the carrying amount of an asset may not be recoverable utilizing guidelines based upon future net cash flows from the asset as well as our estimates of the geological potential of an early stage mineral property and i</w:t>
      </w:r>
      <w:r>
        <w:rPr>
          <w:sz w:val="20"/>
          <w:szCs w:val="20"/>
        </w:rPr>
        <w:t>ts related value for future sale, joint venture or development by us or others. During the three and six months ended June 30, 2019 and 2018, we recorded no property impairments.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At June 30, 2019 and 2018, our net operating loss carryforwards exceeded ou</w:t>
      </w:r>
      <w:r>
        <w:rPr>
          <w:sz w:val="20"/>
          <w:szCs w:val="20"/>
        </w:rPr>
        <w:t>r taxable gains resulting in a net tax asset position for which we provide a valuation allowance for all net deferred tax assets. We recorded no income tax expense or benefit during the three and six months ended June 30, 2019 or 2018. As a result of our e</w:t>
      </w:r>
      <w:r>
        <w:rPr>
          <w:sz w:val="20"/>
          <w:szCs w:val="20"/>
        </w:rPr>
        <w:t xml:space="preserve">xploration activities, we anticipate we will not have currently payable income taxes during 2019. In addition to the valuation allowance discussed above, we provide a valuation allowance for our foreign net operating losses, which are primarily related to </w:t>
      </w:r>
      <w:r>
        <w:rPr>
          <w:sz w:val="20"/>
          <w:szCs w:val="20"/>
        </w:rPr>
        <w:t>our exploration activities in Peru. We anticipate we will continue to provide a valuation allowance for these net operating losses until we are in a net tax liability position with regards to those countries where we operate or until it is more likely than</w:t>
      </w:r>
      <w:r>
        <w:rPr>
          <w:sz w:val="20"/>
          <w:szCs w:val="20"/>
        </w:rPr>
        <w:t xml:space="preserve"> not that we will be able to realize those net operating losses in the future.</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Comparison of the six months ended June 30, 2019 to the six months ended June 30, 2018</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had a net loss of $1,443,000 or $0.02 per basic and diluted share for the six month</w:t>
      </w:r>
      <w:r>
        <w:rPr>
          <w:sz w:val="20"/>
          <w:szCs w:val="20"/>
        </w:rPr>
        <w:t>s ended June 30, 2019 compared to a net loss of $1,617,000 or $0.03 per basic and diluted share for the six months ended June 30, 2018. As explained in more detail below, the primary reasons for the decrease in our net loss were (i) a decrease in general a</w:t>
      </w:r>
      <w:r>
        <w:rPr>
          <w:sz w:val="20"/>
          <w:szCs w:val="20"/>
        </w:rPr>
        <w:t>nd administrative costs to $746,000 during the six months ended June 30, 2019, compared to general and administrative expenses of $1,165,000 including $442,000 of non-cash stock option compensation expense, discussed above, during the six months ended June</w:t>
      </w:r>
      <w:r>
        <w:rPr>
          <w:sz w:val="20"/>
          <w:szCs w:val="20"/>
        </w:rPr>
        <w:t xml:space="preserve"> 30, 2018; (ii) a reduction in the unrealized loss on marketable equity securities to $389,000 during the six months ended June 30, 2019 compared to an unrealized loss on marketable equity securities of $663,000 during the six months ended June 30, 2018; a</w:t>
      </w:r>
      <w:r>
        <w:rPr>
          <w:sz w:val="20"/>
          <w:szCs w:val="20"/>
        </w:rPr>
        <w:t>nd (iii) an increase in interest income to $162,000 during the six months ended June 30, 2019 compared to interest income of $63,000 during the six months ended June 30, 2018. These causes of the decrease in our net loss during the period were partially of</w:t>
      </w:r>
      <w:r>
        <w:rPr>
          <w:sz w:val="20"/>
          <w:szCs w:val="20"/>
        </w:rPr>
        <w:t xml:space="preserve">fset by (i) an increase in exploration expense to $865,000 during the six months ended June 30, 2019 compared to exploration expense of $342,000 during the six months ended June 30, 2018; and (ii) the reduction in mineral property sale revenue to $408,000 </w:t>
      </w:r>
      <w:r>
        <w:rPr>
          <w:sz w:val="20"/>
          <w:szCs w:val="20"/>
        </w:rPr>
        <w:t>from the Royalty Sale compared to the mineral property sale revenue of $502,000 from the Yanacocha Royalty sold during the six months ended June 30, 2018; The significant changes for these items are discussed in more detail below.</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455846"/>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637222946"/>
      </w:pPr>
      <w:r>
        <w:t> </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During the six months ended June </w:t>
      </w:r>
      <w:r>
        <w:rPr>
          <w:sz w:val="20"/>
          <w:szCs w:val="20"/>
        </w:rPr>
        <w:t>30, 2019, we completed the Royalty Sale and recorded net revenues of $408,000. During the six months ended June 30, 2018 we sold our interest in our Yanacocha royalty property to Newmont Mining Corporation for $502,000 in cash, discussed in “Recent Develop</w:t>
      </w:r>
      <w:r>
        <w:rPr>
          <w:sz w:val="20"/>
          <w:szCs w:val="20"/>
        </w:rPr>
        <w:t>ments” in our Form 10-K for the year ended December 31, 2018. We do not anticipate additional significant property sales during the remainder of 2019.</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Our net exploration expense increased to $865,000 during the six months ended June 30, 2019 compared to</w:t>
      </w:r>
      <w:r>
        <w:rPr>
          <w:sz w:val="20"/>
          <w:szCs w:val="20"/>
        </w:rPr>
        <w:t xml:space="preserve"> $342,000 during the six months ended June 30, 2018. The primary reason for the increase was the recording of $527,000 of exploration expense for the completion of drilling by Nexa in excess of the 3,400 meter threshold at the Florida Canyon project during</w:t>
      </w:r>
      <w:r>
        <w:rPr>
          <w:sz w:val="20"/>
          <w:szCs w:val="20"/>
        </w:rPr>
        <w:t xml:space="preserve"> the first six months of 2019, discussed above. The remaining changes in exploration expense for the six-month periods of 2019 and 2018 are shown above, by property and reconnaissance exploration, and are not significantly different between the six months </w:t>
      </w:r>
      <w:r>
        <w:rPr>
          <w:sz w:val="20"/>
          <w:szCs w:val="20"/>
        </w:rPr>
        <w:t>ended June 30, 2019 and June 30, 2018.</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General and administrative costs, excluding stock option compensation costs discussed below, were $573,000 during the six months ended June 30, 2019 compared to $723,000 during the six months ended June 30, 2018. Th</w:t>
      </w:r>
      <w:r>
        <w:rPr>
          <w:sz w:val="20"/>
          <w:szCs w:val="20"/>
        </w:rPr>
        <w:t>e major components of the costs were (i) salaries and benefit expense during the six months ended June 30, 2019 of $215,000 compared to salaries and benefit expense of $319,000 during the six months ended June 30, 2018 as a result of personnel and salary r</w:t>
      </w:r>
      <w:r>
        <w:rPr>
          <w:sz w:val="20"/>
          <w:szCs w:val="20"/>
        </w:rPr>
        <w:t>eductions; (ii) legal and accounting expenditures of $106,000 during the six months ended June 30, 2019, compared to $127,000 during the six months ended June 30, 2018; (iii) office and other costs of $70,000 during the six months ended June 30, 2019 compa</w:t>
      </w:r>
      <w:r>
        <w:rPr>
          <w:sz w:val="20"/>
          <w:szCs w:val="20"/>
        </w:rPr>
        <w:t>red to $76,000 during the six months ended June 30, 2018; and (iv) travel and shareholder relation costs of $181,000 during the six months ended June 30, 2019 compared to $201,000 during the six months ended June 30, 2018.</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During the six months ended Jun</w:t>
      </w:r>
      <w:r>
        <w:rPr>
          <w:sz w:val="20"/>
          <w:szCs w:val="20"/>
        </w:rPr>
        <w:t>e 30, 2019 and 2018, Solitario recorded $173,000 and $442,000, respectively, of stock option expense for the amortization of unvested grant date fair value with a credit to additional paid-in capital. The large decrease was related to the stock option expe</w:t>
      </w:r>
      <w:r>
        <w:rPr>
          <w:sz w:val="20"/>
          <w:szCs w:val="20"/>
        </w:rPr>
        <w:t>nse for the Conditional Options recorded during the six months ended June 30, 2018, as discussed above.</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recorded an unrealized loss on marketable equity securities of $389,000 during the six months ended June 30, 2019 compared to an unrealized loss on</w:t>
      </w:r>
      <w:r>
        <w:rPr>
          <w:sz w:val="20"/>
          <w:szCs w:val="20"/>
        </w:rPr>
        <w:t xml:space="preserve"> marketable equity securities of $663,000 during the six months ended June 30, 2018. The non-cash unrealized loss during the six months ended June 30, 2019 and 2018 was primarily related to a decrease in the value of our holdings of 11,000,000 shares of Ve</w:t>
      </w:r>
      <w:r>
        <w:rPr>
          <w:sz w:val="20"/>
          <w:szCs w:val="20"/>
        </w:rPr>
        <w:t>ndetta common stock which decreased from a fair value of $1,249,000 and 2,191,000, respectively, at December 31, 2018 and 2017 to a fair value of $800,000 and $1,589,000, respectively, at June 30, 2019 and 2018 based on quoted market prices. We may look to</w:t>
      </w:r>
      <w:r>
        <w:rPr>
          <w:sz w:val="20"/>
          <w:szCs w:val="20"/>
        </w:rPr>
        <w:t xml:space="preserve"> reduce our holdings of marketable equity securities as a source of cash flow over the next year, which may reduce the volatility of the changes in unrealized gains and losses in marketable equity securities during the remainder of 2019.</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During the six m</w:t>
      </w:r>
      <w:r>
        <w:rPr>
          <w:sz w:val="20"/>
          <w:szCs w:val="20"/>
        </w:rPr>
        <w:t>onths ended June 30, 2019 our interest income on short-term investments increased to $162,000 compared to interest income of $63,000 for the six months ended June 30, 2018 primarily as a result of the effects of lower interest rates on the quoted market pr</w:t>
      </w:r>
      <w:r>
        <w:rPr>
          <w:sz w:val="20"/>
          <w:szCs w:val="20"/>
        </w:rPr>
        <w:t>ice of our USTS holdings as well as a slightly increased average interest rate received on USTS invested during 2019 compared to 2018. We anticipate as we utilize our short-term investments to provide funds for exploration and general and administrative ex</w:t>
      </w:r>
      <w:r>
        <w:rPr>
          <w:sz w:val="20"/>
          <w:szCs w:val="20"/>
        </w:rPr>
        <w:t>penses, our interest income will be reduced during the remainder of 2019.</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20455462"/>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216475131"/>
      </w:pPr>
      <w:r>
        <w:t> </w:t>
      </w:r>
    </w:p>
    <w:p w:rsidR="00000000" w:rsidRDefault="002A7C39">
      <w:pPr>
        <w:pStyle w:val="a3"/>
        <w:spacing w:before="0" w:beforeAutospacing="0" w:after="0" w:afterAutospacing="0"/>
        <w:ind w:right="792"/>
        <w:rPr>
          <w:b/>
          <w:bCs/>
          <w:sz w:val="20"/>
          <w:szCs w:val="20"/>
        </w:rPr>
      </w:pPr>
      <w:r>
        <w:rPr>
          <w:b/>
          <w:bCs/>
          <w:sz w:val="20"/>
          <w:szCs w:val="20"/>
        </w:rPr>
        <w:t>(c) Liquidity and Capital Resources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Cash and Short-term Investments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As of June 30, 2019, we have $9,278,000 in cash and short-term investments. As of June 30, 2019, we have invested $8,714,000 of our current assets in USTS with maturities of 15 days to 18 months. The USTS are recorded at their fair value, based upon quoted</w:t>
      </w:r>
      <w:r>
        <w:rPr>
          <w:sz w:val="20"/>
          <w:szCs w:val="20"/>
        </w:rPr>
        <w:t xml:space="preserve"> market prices. We anticipate we will roll over that portion of our USTS not used for exploration expenditures, operating costs or mineral property acquisitions as they become due during the remainder of 2019.</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intend to utilize a portion of our cash a</w:t>
      </w:r>
      <w:r>
        <w:rPr>
          <w:sz w:val="20"/>
          <w:szCs w:val="20"/>
        </w:rPr>
        <w:t>nd short-term investments in our exploration activities and the potential acquisition of mineral assets over the next several years. We also expect to use a portion of our cash to repurchase shares of our common stock pursuant to the terms of a stock buy-b</w:t>
      </w:r>
      <w:r>
        <w:rPr>
          <w:sz w:val="20"/>
          <w:szCs w:val="20"/>
        </w:rPr>
        <w:t>ack program announced on October 28, 2015, and discussed above in Note 10, “Shareholders’ Equity,” to the unaudited consolidated financial statements. The stock buy-back program may be terminated at any time and does not require Solitario to purchase a min</w:t>
      </w:r>
      <w:r>
        <w:rPr>
          <w:sz w:val="20"/>
          <w:szCs w:val="20"/>
        </w:rPr>
        <w:t>imum number of shares.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Investment in Marketable Equity Securities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Our marketable equity securities are carried at fair value, which is based upon market quotes of the underlying securities. At June 30, 2019 we own 11,000,000 shares of Vendetta common s</w:t>
      </w:r>
      <w:r>
        <w:rPr>
          <w:sz w:val="20"/>
          <w:szCs w:val="20"/>
        </w:rPr>
        <w:t>tock and 100,000 shares of Kinross common stock. The Vendetta shares are recorded at their fair market value of $800,000 and the Kinross shares are recorded at their fair value of $388,000 at June 30, 2019. In addition, we own other marketable equity secur</w:t>
      </w:r>
      <w:r>
        <w:rPr>
          <w:sz w:val="20"/>
          <w:szCs w:val="20"/>
        </w:rPr>
        <w:t>ities with a fair market value of $8,000 at June 30, 2019. We did not sell any of our marketable equity securities during the three and six months ended June 30, 2019 or 2018.</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Working Capital</w:t>
      </w:r>
    </w:p>
    <w:p w:rsidR="00000000" w:rsidRDefault="002A7C39">
      <w:pPr>
        <w:pStyle w:val="a3"/>
        <w:spacing w:before="0" w:beforeAutospacing="0" w:after="0" w:afterAutospacing="0"/>
        <w:ind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had working capital of $10,184,000 at June 30, 2019 compa</w:t>
      </w:r>
      <w:r>
        <w:rPr>
          <w:sz w:val="20"/>
          <w:szCs w:val="20"/>
        </w:rPr>
        <w:t xml:space="preserve">red to working capital of $11,448,000 as of December 31, 2018. Our working capital at June 30, 2019 consists primarily of our cash and cash equivalents, our investment in USTS and our investment in marketable equity securities of $1,196,000, other current </w:t>
      </w:r>
      <w:r>
        <w:rPr>
          <w:sz w:val="20"/>
          <w:szCs w:val="20"/>
        </w:rPr>
        <w:t>assets of $416,000, which include the SilverStream Note of $267,000 at June 30, 2019, less our current liabilities of $706,000, which consist of accounts payable and the current portion of our operating lease liability. As of June 30, 2019, our cash balanc</w:t>
      </w:r>
      <w:r>
        <w:rPr>
          <w:sz w:val="20"/>
          <w:szCs w:val="20"/>
        </w:rPr>
        <w:t>es along with our short-term investments and marketable equity securities are adequate to fund our expected expenditures over the next year.</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The nature of the mineral exploration </w:t>
      </w:r>
      <w:r>
        <w:rPr>
          <w:sz w:val="20"/>
          <w:szCs w:val="20"/>
        </w:rPr>
        <w:t xml:space="preserve">business requires significant sources of capital to fund exploration, development and operation of mining projects. We will need additional capital if we decide to develop or operate any of our current exploration projects or any projects or assets we may </w:t>
      </w:r>
      <w:r>
        <w:rPr>
          <w:sz w:val="20"/>
          <w:szCs w:val="20"/>
        </w:rPr>
        <w:t>acquire. We anticipate we would finance any such development through the use of our cash reserves, short-term investments, joint ventures, issuance of debt or equity, or the sale of other exploration projects or assets.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Stock-Based Compensation Plans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As of June 30, 2019, and December 31, 2018 there were options outstanding that are exercisable to acquire 4,373,000 and 2,028,428 shares of Solitario common stock, respectively, with exercise prices between $0.77 per share and $0.28 per share. We do not an</w:t>
      </w:r>
      <w:r>
        <w:rPr>
          <w:sz w:val="20"/>
          <w:szCs w:val="20"/>
        </w:rPr>
        <w:t>ticipate the exercise of options to be a significant source of cash flow during the remainder of 2019.</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u w:val="single"/>
        </w:rPr>
        <w:t>Share Repurchase Program</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On October 28, 2015, our Board of Directors approved a share repurchase program that authorized us to purchase up to two mil</w:t>
      </w:r>
      <w:r>
        <w:rPr>
          <w:sz w:val="20"/>
          <w:szCs w:val="20"/>
        </w:rPr>
        <w:t>lion shares of our outstanding common stock. During 2018, our Board of Directors extended the term of the share repurchase program until December 31, 2019. All shares purchased to date have been cancelled and reduced the number of shares of outstanding com</w:t>
      </w:r>
      <w:r>
        <w:rPr>
          <w:sz w:val="20"/>
          <w:szCs w:val="20"/>
        </w:rPr>
        <w:t>mon stock. The amount and timing of any shares purchased has been and will be determined by our management and the purchases will be effected in the open market or in privately negotiated transactions based upon market conditions and other factors, includi</w:t>
      </w:r>
      <w:r>
        <w:rPr>
          <w:sz w:val="20"/>
          <w:szCs w:val="20"/>
        </w:rPr>
        <w:t>ng price, regulatory requirements and capital availability and in compliance with applicable state and federal securities laws. Purchases may also be made in accordance with Rule 10b-18 of the Securities Exchange Act of 1934, as amended (the “1934 Act”). T</w:t>
      </w:r>
      <w:r>
        <w:rPr>
          <w:sz w:val="20"/>
          <w:szCs w:val="20"/>
        </w:rPr>
        <w:t>he repurchase program does not require the purchase of any minimum number of shares of common stock by the Company, and may be suspended, modified or discontinued at any time without prior notice. No purchases will be made outside of the United States, inc</w:t>
      </w:r>
      <w:r>
        <w:rPr>
          <w:sz w:val="20"/>
          <w:szCs w:val="20"/>
        </w:rPr>
        <w:t>luding on the TSX. Payments for shares of common stock repurchased under the program have been funded using the Company’s working capital. As of June 30, 2019, Solitario has purchased a total of 964,100 shares for an aggregate purchase price of $460,000 un</w:t>
      </w:r>
      <w:r>
        <w:rPr>
          <w:sz w:val="20"/>
          <w:szCs w:val="20"/>
        </w:rPr>
        <w:t>der the share repurchase program since its inception and these shares are no longer included in our issued and outstanding shares. We anticipate we will continue to purchase a limited number of shares under the share repurchase plan during the remainder of</w:t>
      </w:r>
      <w:r>
        <w:rPr>
          <w:sz w:val="20"/>
          <w:szCs w:val="20"/>
        </w:rPr>
        <w:t xml:space="preserve"> 2019 as determined by management.</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03684123"/>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726031782"/>
      </w:pPr>
      <w:r>
        <w:t> </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b/>
          <w:bCs/>
          <w:sz w:val="20"/>
          <w:szCs w:val="20"/>
        </w:rPr>
      </w:pPr>
      <w:r>
        <w:rPr>
          <w:b/>
          <w:bCs/>
          <w:sz w:val="20"/>
          <w:szCs w:val="20"/>
        </w:rPr>
        <w:t>(d) Cash Flows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Net cash used in operations during the six months ended June 30, 2019 increased to $995,000 compared to $440,000 during the six months ended June 30,</w:t>
      </w:r>
      <w:r>
        <w:rPr>
          <w:sz w:val="20"/>
          <w:szCs w:val="20"/>
        </w:rPr>
        <w:t xml:space="preserve"> 2018 primarily as a result of (i) the cash outflows of $527,000 for the Nexa drilling exploration expense incurred during 2018, and paid during the second quarter of 2019, with no comparable exploration cash use during the six months ended June 30, 2018; </w:t>
      </w:r>
      <w:r>
        <w:rPr>
          <w:sz w:val="20"/>
          <w:szCs w:val="20"/>
        </w:rPr>
        <w:t>and (ii) the receipt of $185,000 in cash on the mineral property revenue related to the Royalty Sale, compared to the receipt of $502,000 in cash from the Yanacocha royalty property sale, discussed above, during 2018. Partially offsetting these increases i</w:t>
      </w:r>
      <w:r>
        <w:rPr>
          <w:sz w:val="20"/>
          <w:szCs w:val="20"/>
        </w:rPr>
        <w:t>n usages of operating cash were (i) a decrease in non-stock option general and administrative expense to $573,000 during the six months ended June 30, 2019 compared to $723,000 during the six months ended June 30, 2018, discussed above; and (ii) an increas</w:t>
      </w:r>
      <w:r>
        <w:rPr>
          <w:sz w:val="20"/>
          <w:szCs w:val="20"/>
        </w:rPr>
        <w:t>e in cash interest income during the six months ended June 30, 2018 compared to the six months ended June 30, 2018. Based upon projected expenditures in our 2019 budget, we anticipate continued use of funds from operations through the remainder of 2019, pr</w:t>
      </w:r>
      <w:r>
        <w:rPr>
          <w:sz w:val="20"/>
          <w:szCs w:val="20"/>
        </w:rPr>
        <w:t>imarily for exploration related to our Florida Canyon project and our Lik project and reconnaissance exploration. See “Results of Operations” discussed above for further explanation of some of these variances.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During the six months ended June 30, 2019, $1,453,000 in cash was provided from investing activities compared to the provision of $501,000 of cash from investing activities during the six months ended June 31, 2018. The primary sources of cash related to t</w:t>
      </w:r>
      <w:r>
        <w:rPr>
          <w:sz w:val="20"/>
          <w:szCs w:val="20"/>
        </w:rPr>
        <w:t>he net proceeds from short-term investment sales and purchases of $1,453,000 and $509,000, respectively, during the six months ended June 30, 2019 and 2018. During the six months ended June 30, 2018 we purchased $8,000 of office equipment. We do not antici</w:t>
      </w:r>
      <w:r>
        <w:rPr>
          <w:sz w:val="20"/>
          <w:szCs w:val="20"/>
        </w:rPr>
        <w:t>pate significant sales of marketable equity securities during the remainder of 2019. However, we will continue to liquidate a portion of our investments in USTS as needed to fund our operations and potential mineral property acquisitions during the remaind</w:t>
      </w:r>
      <w:r>
        <w:rPr>
          <w:sz w:val="20"/>
          <w:szCs w:val="20"/>
        </w:rPr>
        <w:t>er of 2019. Any potential mineral property acquisition or strategic corporate investment during the remainder of 2019, discussed above under “Business Overview and Summary,” could involve a significant change in our cash provided or used for investing acti</w:t>
      </w:r>
      <w:r>
        <w:rPr>
          <w:sz w:val="20"/>
          <w:szCs w:val="20"/>
        </w:rPr>
        <w:t>vities, depending on the structure of any potential transaction.</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used $11,000 and $65,000, respectively, in financing activities for the purchase of our common stock during the six months ended June 30, 2019 and 2018, as discussed above under “Share R</w:t>
      </w:r>
      <w:r>
        <w:rPr>
          <w:sz w:val="20"/>
          <w:szCs w:val="20"/>
        </w:rPr>
        <w:t>epurchase Program” in “Liquidity and Capital Resources.” We anticipate the use of funds for additional purchases of our common stock during the remainder of 2019, however, this will be limited to the maximum number of shares, permissible under the share re</w:t>
      </w:r>
      <w:r>
        <w:rPr>
          <w:sz w:val="20"/>
          <w:szCs w:val="20"/>
        </w:rPr>
        <w:t>purchase program.</w:t>
      </w:r>
    </w:p>
    <w:p w:rsidR="00000000" w:rsidRDefault="002A7C39">
      <w:pPr>
        <w:pStyle w:val="a3"/>
        <w:spacing w:before="0" w:beforeAutospacing="0" w:after="0" w:afterAutospacing="0"/>
        <w:ind w:right="792" w:firstLine="720"/>
        <w:rPr>
          <w:b/>
          <w:bCs/>
          <w:sz w:val="20"/>
          <w:szCs w:val="20"/>
        </w:rPr>
      </w:pPr>
      <w:r>
        <w:rPr>
          <w:b/>
          <w:bCs/>
          <w:sz w:val="20"/>
          <w:szCs w:val="20"/>
        </w:rPr>
        <w:t> </w:t>
      </w:r>
    </w:p>
    <w:p w:rsidR="00000000" w:rsidRDefault="002A7C39">
      <w:pPr>
        <w:pStyle w:val="a3"/>
        <w:spacing w:before="0" w:beforeAutospacing="0" w:after="0" w:afterAutospacing="0"/>
        <w:ind w:right="792"/>
        <w:rPr>
          <w:sz w:val="20"/>
          <w:szCs w:val="20"/>
        </w:rPr>
      </w:pPr>
      <w:r>
        <w:rPr>
          <w:b/>
          <w:bCs/>
          <w:sz w:val="20"/>
          <w:szCs w:val="20"/>
        </w:rPr>
        <w:t>(e) Off-balance sheet arrangements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As of June 30, 2019, and December 31, 2018 we have no off-balance sheet obligations.</w:t>
      </w:r>
    </w:p>
    <w:p w:rsidR="00000000" w:rsidRDefault="002A7C39">
      <w:pPr>
        <w:pStyle w:val="a3"/>
        <w:spacing w:before="0" w:beforeAutospacing="0" w:after="0" w:afterAutospacing="0"/>
        <w:ind w:right="792" w:firstLine="720"/>
        <w:rPr>
          <w:b/>
          <w:bCs/>
          <w:sz w:val="20"/>
          <w:szCs w:val="20"/>
        </w:rPr>
      </w:pPr>
      <w:r>
        <w:rPr>
          <w:b/>
          <w:bCs/>
          <w:sz w:val="20"/>
          <w:szCs w:val="20"/>
        </w:rPr>
        <w:t> </w:t>
      </w:r>
    </w:p>
    <w:p w:rsidR="00000000" w:rsidRDefault="002A7C39">
      <w:pPr>
        <w:pStyle w:val="a3"/>
        <w:spacing w:before="0" w:beforeAutospacing="0" w:after="0" w:afterAutospacing="0"/>
        <w:ind w:right="792"/>
        <w:rPr>
          <w:sz w:val="20"/>
          <w:szCs w:val="20"/>
        </w:rPr>
      </w:pPr>
      <w:r>
        <w:rPr>
          <w:b/>
          <w:bCs/>
          <w:sz w:val="20"/>
          <w:szCs w:val="20"/>
        </w:rPr>
        <w:t>(f) Development Activities, Exploration Activities, Environmental Compliance and Contractual Obligations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We ar</w:t>
      </w:r>
      <w:r>
        <w:rPr>
          <w:sz w:val="20"/>
          <w:szCs w:val="20"/>
        </w:rPr>
        <w:t>e not involved in any development activities, nor do we have any contractual obligations related to any potential development activities as of June 30, 2019. As of June 30, 2019, there have been no changes to our exploration activities, environmental compl</w:t>
      </w:r>
      <w:r>
        <w:rPr>
          <w:sz w:val="20"/>
          <w:szCs w:val="20"/>
        </w:rPr>
        <w:t>iance or other contractual obligations from those disclosed in our Management’s Discussion and Analysis included in our Annual Report on Form 10-K for the year ended December 31, 2018.</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95714672"/>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91559632"/>
      </w:pPr>
      <w:r>
        <w:t> </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b/>
          <w:bCs/>
          <w:sz w:val="20"/>
          <w:szCs w:val="20"/>
        </w:rPr>
        <w:t>(g) Discontinued Projects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We sold our Brazil, Mexico and Montana royalty properties during the six months ended June 30, 2019 in the Royalty Sale. We did not record any mineral property write-downs during the three and six months ended June 30, 2019 and </w:t>
      </w:r>
      <w:r>
        <w:rPr>
          <w:sz w:val="20"/>
          <w:szCs w:val="20"/>
        </w:rPr>
        <w:t>2018.</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b/>
          <w:bCs/>
          <w:sz w:val="20"/>
          <w:szCs w:val="20"/>
        </w:rPr>
        <w:t>(h) Critical Accounting Estimates</w:t>
      </w:r>
    </w:p>
    <w:p w:rsidR="00000000" w:rsidRDefault="002A7C39">
      <w:pPr>
        <w:pStyle w:val="a3"/>
        <w:spacing w:before="0" w:beforeAutospacing="0" w:after="0" w:afterAutospacing="0"/>
        <w:ind w:right="792" w:firstLine="720"/>
        <w:rPr>
          <w:sz w:val="20"/>
          <w:szCs w:val="20"/>
        </w:rPr>
      </w:pPr>
      <w:r>
        <w:rPr>
          <w:b/>
          <w:bCs/>
          <w:sz w:val="20"/>
          <w:szCs w:val="20"/>
        </w:rPr>
        <w:t> </w:t>
      </w:r>
    </w:p>
    <w:p w:rsidR="00000000" w:rsidRDefault="002A7C39">
      <w:pPr>
        <w:pStyle w:val="a3"/>
        <w:spacing w:before="0" w:beforeAutospacing="0" w:after="0" w:afterAutospacing="0"/>
        <w:ind w:right="792" w:firstLine="720"/>
        <w:rPr>
          <w:sz w:val="20"/>
          <w:szCs w:val="20"/>
        </w:rPr>
      </w:pPr>
      <w:r>
        <w:rPr>
          <w:sz w:val="20"/>
          <w:szCs w:val="20"/>
        </w:rPr>
        <w:t>Management’s Discussion and Analysis of Financial Condition and Results of Operations and Note 1 to the Consolidated Financial Statements included in our Annual Report on Form 10-K for the year ended December 31,</w:t>
      </w:r>
      <w:r>
        <w:rPr>
          <w:sz w:val="20"/>
          <w:szCs w:val="20"/>
        </w:rPr>
        <w:t xml:space="preserve"> 2018, describe the significant accounting estimates and policies used in preparation of our consolidated financial statements. Actual results in these areas could differ from management’s estimates.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b/>
          <w:bCs/>
          <w:sz w:val="20"/>
          <w:szCs w:val="20"/>
        </w:rPr>
        <w:t>(i) Related Party Transactions</w:t>
      </w:r>
    </w:p>
    <w:p w:rsidR="00000000" w:rsidRDefault="002A7C39">
      <w:pPr>
        <w:pStyle w:val="a3"/>
        <w:spacing w:before="0" w:beforeAutospacing="0" w:after="0" w:afterAutospacing="0"/>
        <w:ind w:right="792" w:firstLine="720"/>
        <w:rPr>
          <w:sz w:val="20"/>
          <w:szCs w:val="20"/>
        </w:rPr>
      </w:pPr>
      <w:r>
        <w:rPr>
          <w:b/>
          <w:bCs/>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As of June 30, 2019, </w:t>
      </w:r>
      <w:r>
        <w:rPr>
          <w:sz w:val="20"/>
          <w:szCs w:val="20"/>
        </w:rPr>
        <w:t>and for the three and six months ended June 30, 2019, we have no related party transactions or balances.</w:t>
      </w:r>
    </w:p>
    <w:p w:rsidR="00000000" w:rsidRDefault="002A7C39">
      <w:pPr>
        <w:pStyle w:val="a3"/>
        <w:spacing w:before="0" w:beforeAutospacing="0" w:after="0" w:afterAutospacing="0"/>
        <w:ind w:right="792" w:firstLine="720"/>
        <w:rPr>
          <w:sz w:val="20"/>
          <w:szCs w:val="20"/>
        </w:rPr>
      </w:pPr>
      <w:r>
        <w:rPr>
          <w:b/>
          <w:bCs/>
          <w:sz w:val="20"/>
          <w:szCs w:val="20"/>
        </w:rPr>
        <w:t> </w:t>
      </w:r>
    </w:p>
    <w:p w:rsidR="00000000" w:rsidRDefault="002A7C39">
      <w:pPr>
        <w:pStyle w:val="a3"/>
        <w:spacing w:before="0" w:beforeAutospacing="0" w:after="0" w:afterAutospacing="0"/>
        <w:ind w:right="792"/>
        <w:rPr>
          <w:sz w:val="20"/>
          <w:szCs w:val="20"/>
        </w:rPr>
      </w:pPr>
      <w:r>
        <w:rPr>
          <w:b/>
          <w:bCs/>
          <w:sz w:val="20"/>
          <w:szCs w:val="20"/>
        </w:rPr>
        <w:t>(j) Recent Accounting Pronouncements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See Note 1, “Business and Summary of Significant Accounting Policies,” to the unaudited consolidated financial</w:t>
      </w:r>
      <w:r>
        <w:rPr>
          <w:sz w:val="20"/>
          <w:szCs w:val="20"/>
        </w:rPr>
        <w:t xml:space="preserve"> statements under “</w:t>
      </w:r>
      <w:r>
        <w:rPr>
          <w:i/>
          <w:iCs/>
          <w:sz w:val="20"/>
          <w:szCs w:val="20"/>
        </w:rPr>
        <w:t>Recent Accounting Pronouncements”</w:t>
      </w:r>
      <w:r>
        <w:rPr>
          <w:sz w:val="20"/>
          <w:szCs w:val="20"/>
        </w:rPr>
        <w:t xml:space="preserve"> above for a discussion of recent accounting pronouncements.</w:t>
      </w:r>
    </w:p>
    <w:p w:rsidR="00000000" w:rsidRDefault="002A7C39">
      <w:pPr>
        <w:pStyle w:val="a3"/>
        <w:spacing w:before="0" w:beforeAutospacing="0" w:after="0" w:afterAutospacing="0"/>
        <w:ind w:right="792" w:firstLine="720"/>
        <w:rPr>
          <w:sz w:val="20"/>
          <w:szCs w:val="20"/>
        </w:rPr>
      </w:pPr>
      <w:r>
        <w:rPr>
          <w:b/>
          <w:bCs/>
          <w:sz w:val="20"/>
          <w:szCs w:val="20"/>
        </w:rPr>
        <w:t> </w:t>
      </w:r>
    </w:p>
    <w:p w:rsidR="00000000" w:rsidRDefault="002A7C39">
      <w:pPr>
        <w:pStyle w:val="a3"/>
        <w:spacing w:before="0" w:beforeAutospacing="0" w:after="0" w:afterAutospacing="0"/>
        <w:ind w:right="792"/>
        <w:rPr>
          <w:sz w:val="20"/>
          <w:szCs w:val="20"/>
        </w:rPr>
      </w:pPr>
      <w:r>
        <w:rPr>
          <w:b/>
          <w:bCs/>
          <w:sz w:val="20"/>
          <w:szCs w:val="20"/>
        </w:rPr>
        <w:t>(k) Forward Looking Statements</w:t>
      </w:r>
    </w:p>
    <w:p w:rsidR="00000000" w:rsidRDefault="002A7C39">
      <w:pPr>
        <w:pStyle w:val="a3"/>
        <w:spacing w:before="0" w:beforeAutospacing="0" w:after="0" w:afterAutospacing="0"/>
        <w:ind w:right="792" w:firstLine="720"/>
        <w:rPr>
          <w:sz w:val="20"/>
          <w:szCs w:val="20"/>
        </w:rPr>
      </w:pPr>
      <w:r>
        <w:rPr>
          <w:b/>
          <w:bCs/>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This Form 10-Q contains forward-looking statements, within the meaning of Section 27A of the Securities Act </w:t>
      </w:r>
      <w:r>
        <w:rPr>
          <w:sz w:val="20"/>
          <w:szCs w:val="20"/>
        </w:rPr>
        <w:t>of 1933, as amended and Section 21E of the 1934 Act with respect to our financial condition, results of operations, business prospects, plans, objectives, goals, strategies, future events, capital expenditures, and exploration and development efforts. Word</w:t>
      </w:r>
      <w:r>
        <w:rPr>
          <w:sz w:val="20"/>
          <w:szCs w:val="20"/>
        </w:rPr>
        <w:t>s such as “anticipates,” “expects,” “intends,” “forecasts,” “plans,” “believes,” “seeks,” “estimates,” “may,” “will,” and similar expressions identify forward-looking statements. These forward-looking statements are based on our current expectations and as</w:t>
      </w:r>
      <w:r>
        <w:rPr>
          <w:sz w:val="20"/>
          <w:szCs w:val="20"/>
        </w:rPr>
        <w:t>sumptions about future events and are based on currently available information as to the outcome and timing of future events. When considering forward-looking statements, you should keep in mind the risk factors and other cautionary statements described un</w:t>
      </w:r>
      <w:r>
        <w:rPr>
          <w:sz w:val="20"/>
          <w:szCs w:val="20"/>
        </w:rPr>
        <w:t xml:space="preserve">der the heading "Risk Factors" included in Item 1A of Part I of our Annual Report on Form 10-K for the year ended December 31, 2018. These forward-looking statements appear in a number of places in this report and include statements with respect to, among </w:t>
      </w:r>
      <w:r>
        <w:rPr>
          <w:sz w:val="20"/>
          <w:szCs w:val="20"/>
        </w:rPr>
        <w:t>other things:</w:t>
      </w:r>
    </w:p>
    <w:p w:rsidR="00000000" w:rsidRDefault="002A7C39">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sz w:val="20"/>
                <w:szCs w:val="20"/>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Our estimates of the value and recovery of our short-term investments;</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 xml:space="preserve">Our estimates of future </w:t>
            </w:r>
            <w:r>
              <w:rPr>
                <w:rFonts w:eastAsia="Times New Roman"/>
                <w:sz w:val="20"/>
                <w:szCs w:val="20"/>
              </w:rPr>
              <w:t>exploration, development, general and administrative and other costs;</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Our ability to realize a return on our investment in the Lik project;</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 xml:space="preserve">Our ability to successfully </w:t>
            </w:r>
            <w:r>
              <w:rPr>
                <w:rFonts w:eastAsia="Times New Roman"/>
                <w:sz w:val="20"/>
                <w:szCs w:val="20"/>
              </w:rPr>
              <w:t>identify and execute on transactions to acquire new mineral exploration properties and other related assets;</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Our estimates of fair value of our investment in shares of Vendetta and Kinross;</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 xml:space="preserve">Our estimate of the </w:t>
            </w:r>
            <w:r>
              <w:rPr>
                <w:rFonts w:eastAsia="Times New Roman"/>
                <w:sz w:val="20"/>
                <w:szCs w:val="20"/>
              </w:rPr>
              <w:t>collectability of the SilverStream Note:</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Our expectations regarding development and exploration of our properties, including those properties subject to joint venture and shareholder agreements;</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The impact of political and regulatory developments</w:t>
            </w:r>
            <w:r>
              <w:rPr>
                <w:rFonts w:eastAsia="Times New Roman"/>
                <w:sz w:val="20"/>
                <w:szCs w:val="20"/>
              </w:rPr>
              <w:t>;</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after="200" w:line="276" w:lineRule="auto"/>
              <w:rPr>
                <w:rFonts w:ascii="Calibri" w:eastAsia="Times New Roman" w:hAnsi="Calibri" w:cs="Calibri"/>
                <w:sz w:val="22"/>
                <w:szCs w:val="22"/>
              </w:rPr>
            </w:pPr>
            <w:r>
              <w:rPr>
                <w:rFonts w:eastAsia="Times New Roman"/>
                <w:sz w:val="20"/>
                <w:szCs w:val="20"/>
              </w:rPr>
              <w:t>Our future financial condition or results of operations and our future revenues and expenses; and</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spacing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2A7C39">
            <w:pPr>
              <w:spacing w:line="276" w:lineRule="auto"/>
              <w:rPr>
                <w:rFonts w:ascii="Calibri" w:eastAsia="Times New Roman" w:hAnsi="Calibri" w:cs="Calibri"/>
                <w:sz w:val="22"/>
                <w:szCs w:val="22"/>
              </w:rPr>
            </w:pPr>
            <w:r>
              <w:rPr>
                <w:rFonts w:eastAsia="Times New Roman"/>
                <w:sz w:val="20"/>
                <w:szCs w:val="20"/>
              </w:rPr>
              <w:t>Our business strategy and other plans and objectives for future operations.</w:t>
            </w:r>
          </w:p>
        </w:tc>
      </w:tr>
    </w:tbl>
    <w:p w:rsidR="00000000" w:rsidRDefault="002A7C39">
      <w:pPr>
        <w:pStyle w:val="a3"/>
        <w:spacing w:before="0" w:beforeAutospacing="0" w:after="0" w:afterAutospacing="0" w:line="276" w:lineRule="auto"/>
        <w:ind w:left="1440" w:right="792" w:hanging="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Although we have attempted to identify important factors that could cause actual results to differ materially from those described in forward-looking statements, there may be other factors that cause results not to be as anticipated, estimated or intended.</w:t>
      </w:r>
      <w:r>
        <w:rPr>
          <w:sz w:val="20"/>
          <w:szCs w:val="20"/>
        </w:rPr>
        <w:t xml:space="preserve"> There can be no assurance that these statements will prove to be accurate as actual results and future events could differ materially from those anticipated in the statements. Except as required by law, we assume no obligation to publicly update any forwa</w:t>
      </w:r>
      <w:r>
        <w:rPr>
          <w:sz w:val="20"/>
          <w:szCs w:val="20"/>
        </w:rPr>
        <w:t>rd-looking statements, whether as a result of new information, future events or otherwise.</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34842260"/>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646155184"/>
      </w:pPr>
      <w:r>
        <w:t> </w:t>
      </w:r>
    </w:p>
    <w:p w:rsidR="00000000" w:rsidRDefault="002A7C39">
      <w:pPr>
        <w:pStyle w:val="a3"/>
        <w:spacing w:before="0" w:beforeAutospacing="0" w:after="0" w:afterAutospacing="0" w:line="213" w:lineRule="auto"/>
        <w:ind w:right="792"/>
        <w:rPr>
          <w:sz w:val="20"/>
          <w:szCs w:val="20"/>
        </w:rPr>
      </w:pPr>
      <w:r>
        <w:rPr>
          <w:sz w:val="20"/>
          <w:szCs w:val="20"/>
        </w:rPr>
        <w:t>Item 3.   </w:t>
      </w:r>
      <w:r>
        <w:rPr>
          <w:sz w:val="20"/>
          <w:szCs w:val="20"/>
          <w:u w:val="single"/>
        </w:rPr>
        <w:t>Quantitative and Qualitative Disclosures about Market Risk</w:t>
      </w:r>
    </w:p>
    <w:p w:rsidR="00000000" w:rsidRDefault="002A7C39">
      <w:pPr>
        <w:pStyle w:val="a3"/>
        <w:spacing w:before="0" w:beforeAutospacing="0" w:after="0" w:afterAutospacing="0" w:line="204" w:lineRule="auto"/>
        <w:ind w:firstLine="720"/>
        <w:rPr>
          <w:sz w:val="20"/>
          <w:szCs w:val="20"/>
        </w:rPr>
      </w:pPr>
      <w:r>
        <w:rPr>
          <w:b/>
          <w:bCs/>
          <w:sz w:val="20"/>
          <w:szCs w:val="20"/>
        </w:rPr>
        <w:t> </w:t>
      </w:r>
    </w:p>
    <w:p w:rsidR="00000000" w:rsidRDefault="002A7C39">
      <w:pPr>
        <w:pStyle w:val="a3"/>
        <w:spacing w:before="0" w:beforeAutospacing="0" w:after="0" w:afterAutospacing="0"/>
        <w:ind w:right="792" w:firstLine="720"/>
        <w:rPr>
          <w:sz w:val="20"/>
          <w:szCs w:val="20"/>
        </w:rPr>
      </w:pPr>
      <w:r>
        <w:rPr>
          <w:sz w:val="20"/>
          <w:szCs w:val="20"/>
        </w:rPr>
        <w:t>Smaller Reporting Companies are not requi</w:t>
      </w:r>
      <w:r>
        <w:rPr>
          <w:sz w:val="20"/>
          <w:szCs w:val="20"/>
        </w:rPr>
        <w:t>red to provide the information required by this item.</w:t>
      </w:r>
    </w:p>
    <w:p w:rsidR="00000000" w:rsidRDefault="002A7C39">
      <w:pPr>
        <w:pStyle w:val="a3"/>
        <w:spacing w:before="0" w:beforeAutospacing="0" w:after="0" w:afterAutospacing="0"/>
        <w:ind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rPr>
        <w:t>Item 4.   </w:t>
      </w:r>
      <w:r>
        <w:rPr>
          <w:sz w:val="20"/>
          <w:szCs w:val="20"/>
          <w:u w:val="single"/>
        </w:rPr>
        <w:t>Controls and Procedures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i/>
          <w:iCs/>
          <w:sz w:val="20"/>
          <w:szCs w:val="20"/>
        </w:rPr>
        <w:t>Disclosure Controls and Procedures</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 xml:space="preserve">As required by Rule 13a-15 under </w:t>
      </w:r>
      <w:r>
        <w:rPr>
          <w:sz w:val="20"/>
          <w:szCs w:val="20"/>
        </w:rPr>
        <w:t>the 1934 Act, as of June 30, 2019, we carried out an evaluation of the effectiveness of the design and operation of our disclosure controls and procedures. This evaluation was carried out under the supervision and with the participation of our Chief Execut</w:t>
      </w:r>
      <w:r>
        <w:rPr>
          <w:sz w:val="20"/>
          <w:szCs w:val="20"/>
        </w:rPr>
        <w:t>ive Officer (our principal executive officer) and our Chief Financial Officer (our principal financial officer). Based upon and as of the date of that evaluation, our Chief Executive Officer and Chief Financial Officer concluded that our disclosure control</w:t>
      </w:r>
      <w:r>
        <w:rPr>
          <w:sz w:val="20"/>
          <w:szCs w:val="20"/>
        </w:rPr>
        <w:t>s and procedures were effective as of June 30, 2019.</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Disclosure controls and procedures are controls and other procedures that are designed to ensure that information required to be disclosed in our reports filed or submitted under the 1934 Act is record</w:t>
      </w:r>
      <w:r>
        <w:rPr>
          <w:sz w:val="20"/>
          <w:szCs w:val="20"/>
        </w:rPr>
        <w:t>ed, processed, summarized and reported within the time periods specified in the SEC’s rules and forms. Disclosure controls and procedures include, without limitation, controls and procedures designed to ensure that information required to be disclosed in o</w:t>
      </w:r>
      <w:r>
        <w:rPr>
          <w:sz w:val="20"/>
          <w:szCs w:val="20"/>
        </w:rPr>
        <w:t>ur reports filed under the 1934 Act is accumulated and communicated to our management, including our principal executive officer and our principal financial officer, as appropriate, to allow timely decisions regarding required disclosure.</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jc w:val="both"/>
        <w:rPr>
          <w:sz w:val="20"/>
          <w:szCs w:val="20"/>
        </w:rPr>
      </w:pPr>
      <w:r>
        <w:rPr>
          <w:i/>
          <w:iCs/>
          <w:sz w:val="20"/>
          <w:szCs w:val="20"/>
        </w:rPr>
        <w:t>Changes in Inte</w:t>
      </w:r>
      <w:r>
        <w:rPr>
          <w:i/>
          <w:iCs/>
          <w:sz w:val="20"/>
          <w:szCs w:val="20"/>
        </w:rPr>
        <w:t>rnal Control Over Financial Reporting</w:t>
      </w:r>
    </w:p>
    <w:p w:rsidR="00000000" w:rsidRDefault="002A7C39">
      <w:pPr>
        <w:pStyle w:val="a3"/>
        <w:spacing w:before="0" w:beforeAutospacing="0" w:after="0" w:afterAutospacing="0"/>
        <w:ind w:left="150"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There were no changes in our internal control over financial reporting (as defined in Rules 13a-15(f) and 15d-15(f) promulgated under the 1934 Act) during the quarter ended June 30, 2019 that have materially affected</w:t>
      </w:r>
      <w:r>
        <w:rPr>
          <w:sz w:val="20"/>
          <w:szCs w:val="20"/>
        </w:rPr>
        <w:t>, or are reasonably likely to materially affect, our internal control over financial reporting.</w:t>
      </w:r>
    </w:p>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firstLine="720"/>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rPr>
        <w:t>PART II - OTHER INFORMATION</w:t>
      </w:r>
    </w:p>
    <w:p w:rsidR="00000000" w:rsidRDefault="002A7C39">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2A7C39">
            <w:pPr>
              <w:rPr>
                <w:sz w:val="20"/>
                <w:szCs w:val="20"/>
              </w:rPr>
            </w:pPr>
          </w:p>
        </w:tc>
        <w:tc>
          <w:tcPr>
            <w:tcW w:w="720" w:type="dxa"/>
            <w:hideMark/>
          </w:tcPr>
          <w:p w:rsidR="00000000" w:rsidRDefault="002A7C39">
            <w:pPr>
              <w:rPr>
                <w:rFonts w:eastAsia="Times New Roman"/>
                <w:sz w:val="20"/>
                <w:szCs w:val="20"/>
              </w:rPr>
            </w:pPr>
            <w:r>
              <w:rPr>
                <w:rFonts w:eastAsia="Times New Roman"/>
                <w:sz w:val="20"/>
                <w:szCs w:val="20"/>
              </w:rPr>
              <w:t>Item 1.</w:t>
            </w:r>
          </w:p>
        </w:tc>
        <w:tc>
          <w:tcPr>
            <w:tcW w:w="0" w:type="auto"/>
            <w:hideMark/>
          </w:tcPr>
          <w:p w:rsidR="00000000" w:rsidRDefault="002A7C39">
            <w:pPr>
              <w:rPr>
                <w:rFonts w:eastAsia="Times New Roman"/>
                <w:sz w:val="20"/>
                <w:szCs w:val="20"/>
              </w:rPr>
            </w:pPr>
            <w:r>
              <w:rPr>
                <w:rFonts w:eastAsia="Times New Roman"/>
                <w:sz w:val="20"/>
                <w:szCs w:val="20"/>
                <w:u w:val="single"/>
              </w:rPr>
              <w:t>Legal Proceedings</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None</w:t>
      </w:r>
    </w:p>
    <w:p w:rsidR="00000000" w:rsidRDefault="002A7C39">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2A7C39">
            <w:pPr>
              <w:rPr>
                <w:sz w:val="20"/>
                <w:szCs w:val="20"/>
              </w:rPr>
            </w:pPr>
          </w:p>
        </w:tc>
        <w:tc>
          <w:tcPr>
            <w:tcW w:w="720" w:type="dxa"/>
            <w:hideMark/>
          </w:tcPr>
          <w:p w:rsidR="00000000" w:rsidRDefault="002A7C39">
            <w:pPr>
              <w:rPr>
                <w:rFonts w:eastAsia="Times New Roman"/>
                <w:sz w:val="20"/>
                <w:szCs w:val="20"/>
              </w:rPr>
            </w:pPr>
            <w:r>
              <w:rPr>
                <w:rFonts w:eastAsia="Times New Roman"/>
                <w:sz w:val="20"/>
                <w:szCs w:val="20"/>
              </w:rPr>
              <w:t>Item 1A.</w:t>
            </w:r>
          </w:p>
        </w:tc>
        <w:tc>
          <w:tcPr>
            <w:tcW w:w="0" w:type="auto"/>
            <w:tcMar>
              <w:top w:w="0" w:type="dxa"/>
              <w:left w:w="0" w:type="dxa"/>
              <w:bottom w:w="0" w:type="dxa"/>
              <w:right w:w="792" w:type="dxa"/>
            </w:tcMar>
            <w:hideMark/>
          </w:tcPr>
          <w:p w:rsidR="00000000" w:rsidRDefault="002A7C39">
            <w:pPr>
              <w:rPr>
                <w:rFonts w:eastAsia="Times New Roman"/>
                <w:sz w:val="20"/>
                <w:szCs w:val="20"/>
              </w:rPr>
            </w:pPr>
            <w:r>
              <w:rPr>
                <w:rFonts w:eastAsia="Times New Roman"/>
                <w:sz w:val="20"/>
                <w:szCs w:val="20"/>
                <w:u w:val="single"/>
              </w:rPr>
              <w:t>Risk Factors</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There are no material changes to the Risk Factors associated with our business disclosed in Part I, Item 1A of our Annual Report on Form 10-K for the year ended December 31, 2018.</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61919419"/>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454758282"/>
      </w:pPr>
      <w:r>
        <w:t> </w:t>
      </w:r>
    </w:p>
    <w:p w:rsidR="00000000" w:rsidRDefault="002A7C39">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2A7C39">
            <w:pPr>
              <w:rPr>
                <w:sz w:val="20"/>
                <w:szCs w:val="20"/>
              </w:rPr>
            </w:pPr>
          </w:p>
        </w:tc>
        <w:tc>
          <w:tcPr>
            <w:tcW w:w="720" w:type="dxa"/>
            <w:hideMark/>
          </w:tcPr>
          <w:p w:rsidR="00000000" w:rsidRDefault="002A7C39">
            <w:pPr>
              <w:rPr>
                <w:rFonts w:eastAsia="Times New Roman"/>
                <w:sz w:val="20"/>
                <w:szCs w:val="20"/>
              </w:rPr>
            </w:pPr>
            <w:r>
              <w:rPr>
                <w:rFonts w:eastAsia="Times New Roman"/>
                <w:sz w:val="20"/>
                <w:szCs w:val="20"/>
              </w:rPr>
              <w:t>Item 2.</w:t>
            </w:r>
          </w:p>
        </w:tc>
        <w:tc>
          <w:tcPr>
            <w:tcW w:w="0" w:type="auto"/>
            <w:tcMar>
              <w:top w:w="0" w:type="dxa"/>
              <w:left w:w="0" w:type="dxa"/>
              <w:bottom w:w="0" w:type="dxa"/>
              <w:right w:w="792" w:type="dxa"/>
            </w:tcMar>
            <w:hideMark/>
          </w:tcPr>
          <w:p w:rsidR="00000000" w:rsidRDefault="002A7C39">
            <w:pPr>
              <w:rPr>
                <w:rFonts w:eastAsia="Times New Roman"/>
                <w:sz w:val="20"/>
                <w:szCs w:val="20"/>
              </w:rPr>
            </w:pPr>
            <w:r>
              <w:rPr>
                <w:rFonts w:eastAsia="Times New Roman"/>
                <w:sz w:val="20"/>
                <w:szCs w:val="20"/>
                <w:u w:val="single"/>
              </w:rPr>
              <w:t>Unregistered</w:t>
            </w:r>
            <w:r>
              <w:rPr>
                <w:rFonts w:eastAsia="Times New Roman"/>
                <w:sz w:val="20"/>
                <w:szCs w:val="20"/>
                <w:u w:val="single"/>
              </w:rPr>
              <w:t xml:space="preserve"> Sales of Equity Securities and Use of Proceeds</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02"/>
        <w:rPr>
          <w:sz w:val="20"/>
          <w:szCs w:val="20"/>
        </w:rPr>
      </w:pPr>
      <w:r>
        <w:rPr>
          <w:sz w:val="20"/>
          <w:szCs w:val="20"/>
        </w:rPr>
        <w:t xml:space="preserve">The following table provides information about our purchase </w:t>
      </w:r>
      <w:r>
        <w:rPr>
          <w:sz w:val="20"/>
          <w:szCs w:val="20"/>
        </w:rPr>
        <w:t>of our common shares under the share repurchase program during the three months ended June 30, 2019.</w:t>
      </w:r>
    </w:p>
    <w:tbl>
      <w:tblPr>
        <w:tblW w:w="5000" w:type="pct"/>
        <w:tblCellMar>
          <w:left w:w="0" w:type="dxa"/>
          <w:right w:w="0" w:type="dxa"/>
        </w:tblCellMar>
        <w:tblLook w:val="04A0" w:firstRow="1" w:lastRow="0" w:firstColumn="1" w:lastColumn="0" w:noHBand="0" w:noVBand="1"/>
      </w:tblPr>
      <w:tblGrid>
        <w:gridCol w:w="3320"/>
        <w:gridCol w:w="247"/>
        <w:gridCol w:w="82"/>
        <w:gridCol w:w="830"/>
        <w:gridCol w:w="82"/>
        <w:gridCol w:w="248"/>
        <w:gridCol w:w="101"/>
        <w:gridCol w:w="830"/>
        <w:gridCol w:w="82"/>
        <w:gridCol w:w="248"/>
        <w:gridCol w:w="82"/>
        <w:gridCol w:w="830"/>
        <w:gridCol w:w="82"/>
        <w:gridCol w:w="248"/>
        <w:gridCol w:w="82"/>
        <w:gridCol w:w="830"/>
        <w:gridCol w:w="82"/>
      </w:tblGrid>
      <w:tr w:rsidR="00000000">
        <w:tc>
          <w:tcPr>
            <w:tcW w:w="0" w:type="auto"/>
            <w:gridSpan w:val="17"/>
            <w:vAlign w:val="bottom"/>
            <w:hideMark/>
          </w:tcPr>
          <w:p w:rsidR="00000000" w:rsidRDefault="002A7C39">
            <w:pPr>
              <w:jc w:val="center"/>
              <w:rPr>
                <w:rFonts w:eastAsia="Times New Roman"/>
                <w:b/>
                <w:bCs/>
                <w:sz w:val="20"/>
                <w:szCs w:val="20"/>
              </w:rPr>
            </w:pPr>
            <w:r>
              <w:rPr>
                <w:rFonts w:eastAsia="Times New Roman"/>
                <w:b/>
                <w:bCs/>
                <w:sz w:val="20"/>
                <w:szCs w:val="20"/>
              </w:rPr>
              <w:t>Issuer Purchases of Equity Securities</w:t>
            </w:r>
          </w:p>
        </w:tc>
      </w:tr>
      <w:tr w:rsidR="00000000">
        <w:tc>
          <w:tcPr>
            <w:tcW w:w="0" w:type="auto"/>
            <w:vAlign w:val="bottom"/>
            <w:hideMark/>
          </w:tcPr>
          <w:p w:rsidR="00000000" w:rsidRDefault="002A7C39">
            <w:pPr>
              <w:rPr>
                <w:rFonts w:eastAsia="Times New Roman"/>
                <w:b/>
                <w:bCs/>
                <w:sz w:val="16"/>
                <w:szCs w:val="16"/>
              </w:rPr>
            </w:pPr>
            <w:r>
              <w:rPr>
                <w:rFonts w:eastAsia="Times New Roman"/>
                <w:b/>
                <w:bCs/>
                <w:sz w:val="16"/>
                <w:szCs w:val="16"/>
              </w:rPr>
              <w:t>Period</w:t>
            </w:r>
          </w:p>
        </w:tc>
        <w:tc>
          <w:tcPr>
            <w:tcW w:w="0" w:type="auto"/>
            <w:vAlign w:val="bottom"/>
            <w:hideMark/>
          </w:tcPr>
          <w:p w:rsidR="00000000" w:rsidRDefault="002A7C39">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2A7C39">
            <w:pPr>
              <w:rPr>
                <w:rFonts w:eastAsia="Times New Roman"/>
                <w:b/>
                <w:bCs/>
                <w:sz w:val="16"/>
                <w:szCs w:val="16"/>
              </w:rPr>
            </w:pPr>
            <w:r>
              <w:rPr>
                <w:rFonts w:eastAsia="Times New Roman"/>
                <w:b/>
                <w:bCs/>
                <w:sz w:val="16"/>
                <w:szCs w:val="16"/>
              </w:rPr>
              <w:t>Total Number of Shares Purchased</w:t>
            </w:r>
          </w:p>
        </w:tc>
        <w:tc>
          <w:tcPr>
            <w:tcW w:w="0" w:type="auto"/>
            <w:vAlign w:val="bottom"/>
            <w:hideMark/>
          </w:tcPr>
          <w:p w:rsidR="00000000" w:rsidRDefault="002A7C39">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2A7C39">
            <w:pPr>
              <w:rPr>
                <w:rFonts w:eastAsia="Times New Roman"/>
                <w:b/>
                <w:bCs/>
                <w:sz w:val="16"/>
                <w:szCs w:val="16"/>
              </w:rPr>
            </w:pPr>
            <w:r>
              <w:rPr>
                <w:rFonts w:eastAsia="Times New Roman"/>
                <w:b/>
                <w:bCs/>
                <w:sz w:val="16"/>
                <w:szCs w:val="16"/>
              </w:rPr>
              <w:t>Average Price Paid Per Share</w:t>
            </w:r>
          </w:p>
        </w:tc>
        <w:tc>
          <w:tcPr>
            <w:tcW w:w="0" w:type="auto"/>
            <w:vAlign w:val="bottom"/>
            <w:hideMark/>
          </w:tcPr>
          <w:p w:rsidR="00000000" w:rsidRDefault="002A7C39">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2A7C39">
            <w:pPr>
              <w:rPr>
                <w:rFonts w:eastAsia="Times New Roman"/>
                <w:b/>
                <w:bCs/>
                <w:sz w:val="16"/>
                <w:szCs w:val="16"/>
              </w:rPr>
            </w:pPr>
            <w:r>
              <w:rPr>
                <w:rFonts w:eastAsia="Times New Roman"/>
                <w:b/>
                <w:bCs/>
                <w:sz w:val="16"/>
                <w:szCs w:val="16"/>
              </w:rPr>
              <w:t>Total Number of Shares Purchased as Part of Publicly Announced Plans or Programs</w:t>
            </w:r>
          </w:p>
        </w:tc>
        <w:tc>
          <w:tcPr>
            <w:tcW w:w="0" w:type="auto"/>
            <w:vAlign w:val="bottom"/>
            <w:hideMark/>
          </w:tcPr>
          <w:p w:rsidR="00000000" w:rsidRDefault="002A7C39">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2A7C39">
            <w:pPr>
              <w:rPr>
                <w:rFonts w:eastAsia="Times New Roman"/>
                <w:b/>
                <w:bCs/>
                <w:sz w:val="16"/>
                <w:szCs w:val="16"/>
              </w:rPr>
            </w:pPr>
            <w:r>
              <w:rPr>
                <w:rFonts w:eastAsia="Times New Roman"/>
                <w:b/>
                <w:bCs/>
                <w:sz w:val="16"/>
                <w:szCs w:val="16"/>
              </w:rPr>
              <w:t>Maximum number of Shares that May Yet Be Purchased Under the Plans or Programs</w:t>
            </w:r>
            <w:r>
              <w:rPr>
                <w:rFonts w:eastAsia="Times New Roman"/>
                <w:b/>
                <w:bCs/>
                <w:sz w:val="16"/>
                <w:szCs w:val="16"/>
                <w:vertAlign w:val="superscript"/>
              </w:rPr>
              <w:t>(1)</w:t>
            </w:r>
          </w:p>
        </w:tc>
      </w:tr>
      <w:tr w:rsidR="00000000">
        <w:tc>
          <w:tcPr>
            <w:tcW w:w="2000" w:type="pct"/>
            <w:shd w:val="clear" w:color="auto" w:fill="CCEEFF"/>
            <w:tcMar>
              <w:top w:w="0" w:type="dxa"/>
              <w:left w:w="60"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April 1, 2019- April 30, 2019</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700</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0.41</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700</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1,040,500</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May 1, 2019 – May 31, 2019</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2,904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0.36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2,904</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1,037,596</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 w:type="dxa"/>
              <w:bottom w:w="0" w:type="dxa"/>
              <w:right w:w="0" w:type="dxa"/>
            </w:tcMar>
            <w:vAlign w:val="bottom"/>
            <w:hideMark/>
          </w:tcPr>
          <w:p w:rsidR="00000000" w:rsidRDefault="002A7C39">
            <w:pPr>
              <w:jc w:val="both"/>
              <w:rPr>
                <w:rFonts w:eastAsia="Times New Roman"/>
                <w:sz w:val="20"/>
                <w:szCs w:val="20"/>
              </w:rPr>
            </w:pPr>
            <w:r>
              <w:rPr>
                <w:rFonts w:eastAsia="Times New Roman"/>
                <w:sz w:val="20"/>
                <w:szCs w:val="20"/>
              </w:rPr>
              <w:t>June 1, 2019 – June 30, 2019</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1,696</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0.30</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1,696</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1,035,900</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r>
    </w:tbl>
    <w:p w:rsidR="00000000" w:rsidRDefault="002A7C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2A7C39">
            <w:pPr>
              <w:rPr>
                <w:rFonts w:eastAsia="Times New Roman"/>
              </w:rPr>
            </w:pPr>
          </w:p>
        </w:tc>
        <w:tc>
          <w:tcPr>
            <w:tcW w:w="720" w:type="dxa"/>
            <w:hideMark/>
          </w:tcPr>
          <w:p w:rsidR="00000000" w:rsidRDefault="002A7C39">
            <w:pPr>
              <w:rPr>
                <w:rFonts w:eastAsia="Times New Roman"/>
                <w:sz w:val="20"/>
                <w:szCs w:val="20"/>
              </w:rPr>
            </w:pPr>
            <w:r>
              <w:rPr>
                <w:rFonts w:eastAsia="Times New Roman"/>
                <w:sz w:val="20"/>
                <w:szCs w:val="20"/>
              </w:rPr>
              <w:t>(1)</w:t>
            </w:r>
          </w:p>
        </w:tc>
        <w:tc>
          <w:tcPr>
            <w:tcW w:w="0" w:type="auto"/>
            <w:tcMar>
              <w:top w:w="0" w:type="dxa"/>
              <w:left w:w="0" w:type="dxa"/>
              <w:bottom w:w="0" w:type="dxa"/>
              <w:right w:w="702" w:type="dxa"/>
            </w:tcMar>
            <w:hideMark/>
          </w:tcPr>
          <w:p w:rsidR="00000000" w:rsidRDefault="002A7C39">
            <w:pPr>
              <w:rPr>
                <w:rFonts w:eastAsia="Times New Roman"/>
                <w:sz w:val="20"/>
                <w:szCs w:val="20"/>
              </w:rPr>
            </w:pPr>
            <w:r>
              <w:rPr>
                <w:rFonts w:eastAsia="Times New Roman"/>
                <w:sz w:val="20"/>
                <w:szCs w:val="20"/>
              </w:rPr>
              <w:t>As of June 30, 2019, we have purchased a total of 964,100 shares of common stock for an aggregate purchase price of $460,000 under the share repurchase program and these shares are no longer included in our issued and outstanding shares.</w:t>
            </w:r>
          </w:p>
        </w:tc>
      </w:tr>
    </w:tbl>
    <w:p w:rsidR="00000000" w:rsidRDefault="002A7C39">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2A7C39">
            <w:pPr>
              <w:rPr>
                <w:sz w:val="20"/>
                <w:szCs w:val="20"/>
              </w:rPr>
            </w:pPr>
          </w:p>
        </w:tc>
        <w:tc>
          <w:tcPr>
            <w:tcW w:w="720" w:type="dxa"/>
            <w:hideMark/>
          </w:tcPr>
          <w:p w:rsidR="00000000" w:rsidRDefault="002A7C39">
            <w:pPr>
              <w:rPr>
                <w:rFonts w:eastAsia="Times New Roman"/>
                <w:sz w:val="20"/>
                <w:szCs w:val="20"/>
              </w:rPr>
            </w:pPr>
            <w:r>
              <w:rPr>
                <w:rFonts w:eastAsia="Times New Roman"/>
                <w:sz w:val="20"/>
                <w:szCs w:val="20"/>
              </w:rPr>
              <w:t>Item 3.</w:t>
            </w:r>
          </w:p>
        </w:tc>
        <w:tc>
          <w:tcPr>
            <w:tcW w:w="0" w:type="auto"/>
            <w:tcMar>
              <w:top w:w="0" w:type="dxa"/>
              <w:left w:w="0" w:type="dxa"/>
              <w:bottom w:w="0" w:type="dxa"/>
              <w:right w:w="792" w:type="dxa"/>
            </w:tcMar>
            <w:hideMark/>
          </w:tcPr>
          <w:p w:rsidR="00000000" w:rsidRDefault="002A7C39">
            <w:pPr>
              <w:rPr>
                <w:rFonts w:eastAsia="Times New Roman"/>
                <w:sz w:val="20"/>
                <w:szCs w:val="20"/>
              </w:rPr>
            </w:pPr>
            <w:r>
              <w:rPr>
                <w:rFonts w:eastAsia="Times New Roman"/>
                <w:sz w:val="20"/>
                <w:szCs w:val="20"/>
                <w:u w:val="single"/>
              </w:rPr>
              <w:t>Defaul</w:t>
            </w:r>
            <w:r>
              <w:rPr>
                <w:rFonts w:eastAsia="Times New Roman"/>
                <w:sz w:val="20"/>
                <w:szCs w:val="20"/>
                <w:u w:val="single"/>
              </w:rPr>
              <w:t>ts upon Senior Securities</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None</w:t>
      </w:r>
    </w:p>
    <w:p w:rsidR="00000000" w:rsidRDefault="002A7C39">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2A7C39">
            <w:pPr>
              <w:rPr>
                <w:sz w:val="20"/>
                <w:szCs w:val="20"/>
              </w:rPr>
            </w:pPr>
          </w:p>
        </w:tc>
        <w:tc>
          <w:tcPr>
            <w:tcW w:w="720" w:type="dxa"/>
            <w:hideMark/>
          </w:tcPr>
          <w:p w:rsidR="00000000" w:rsidRDefault="002A7C39">
            <w:pPr>
              <w:rPr>
                <w:rFonts w:eastAsia="Times New Roman"/>
                <w:sz w:val="20"/>
                <w:szCs w:val="20"/>
              </w:rPr>
            </w:pPr>
            <w:r>
              <w:rPr>
                <w:rFonts w:eastAsia="Times New Roman"/>
                <w:sz w:val="20"/>
                <w:szCs w:val="20"/>
              </w:rPr>
              <w:t>Item 4.</w:t>
            </w:r>
          </w:p>
        </w:tc>
        <w:tc>
          <w:tcPr>
            <w:tcW w:w="0" w:type="auto"/>
            <w:tcMar>
              <w:top w:w="0" w:type="dxa"/>
              <w:left w:w="0" w:type="dxa"/>
              <w:bottom w:w="0" w:type="dxa"/>
              <w:right w:w="792" w:type="dxa"/>
            </w:tcMar>
            <w:hideMark/>
          </w:tcPr>
          <w:p w:rsidR="00000000" w:rsidRDefault="002A7C39">
            <w:pPr>
              <w:rPr>
                <w:rFonts w:eastAsia="Times New Roman"/>
                <w:sz w:val="20"/>
                <w:szCs w:val="20"/>
              </w:rPr>
            </w:pPr>
            <w:r>
              <w:rPr>
                <w:rFonts w:eastAsia="Times New Roman"/>
                <w:sz w:val="20"/>
                <w:szCs w:val="20"/>
                <w:u w:val="single"/>
              </w:rPr>
              <w:t>Mine Safety Disclosures</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None</w:t>
      </w:r>
    </w:p>
    <w:p w:rsidR="00000000" w:rsidRDefault="002A7C39">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2A7C39">
            <w:pPr>
              <w:rPr>
                <w:sz w:val="20"/>
                <w:szCs w:val="20"/>
              </w:rPr>
            </w:pPr>
          </w:p>
        </w:tc>
        <w:tc>
          <w:tcPr>
            <w:tcW w:w="720" w:type="dxa"/>
            <w:hideMark/>
          </w:tcPr>
          <w:p w:rsidR="00000000" w:rsidRDefault="002A7C39">
            <w:pPr>
              <w:rPr>
                <w:rFonts w:eastAsia="Times New Roman"/>
                <w:sz w:val="20"/>
                <w:szCs w:val="20"/>
              </w:rPr>
            </w:pPr>
            <w:r>
              <w:rPr>
                <w:rFonts w:eastAsia="Times New Roman"/>
                <w:sz w:val="20"/>
                <w:szCs w:val="20"/>
              </w:rPr>
              <w:t>Item 5.</w:t>
            </w:r>
          </w:p>
        </w:tc>
        <w:tc>
          <w:tcPr>
            <w:tcW w:w="0" w:type="auto"/>
            <w:tcMar>
              <w:top w:w="0" w:type="dxa"/>
              <w:left w:w="0" w:type="dxa"/>
              <w:bottom w:w="0" w:type="dxa"/>
              <w:right w:w="792" w:type="dxa"/>
            </w:tcMar>
            <w:hideMark/>
          </w:tcPr>
          <w:p w:rsidR="00000000" w:rsidRDefault="002A7C39">
            <w:pPr>
              <w:rPr>
                <w:rFonts w:eastAsia="Times New Roman"/>
                <w:sz w:val="20"/>
                <w:szCs w:val="20"/>
              </w:rPr>
            </w:pPr>
            <w:r>
              <w:rPr>
                <w:rFonts w:eastAsia="Times New Roman"/>
                <w:sz w:val="20"/>
                <w:szCs w:val="20"/>
                <w:u w:val="single"/>
              </w:rPr>
              <w:t>Other Information</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None</w:t>
      </w:r>
    </w:p>
    <w:p w:rsidR="00000000" w:rsidRDefault="002A7C39">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2A7C39">
            <w:pPr>
              <w:rPr>
                <w:sz w:val="20"/>
                <w:szCs w:val="20"/>
              </w:rPr>
            </w:pPr>
          </w:p>
        </w:tc>
        <w:tc>
          <w:tcPr>
            <w:tcW w:w="720" w:type="dxa"/>
            <w:hideMark/>
          </w:tcPr>
          <w:p w:rsidR="00000000" w:rsidRDefault="002A7C39">
            <w:pPr>
              <w:rPr>
                <w:rFonts w:eastAsia="Times New Roman"/>
                <w:sz w:val="20"/>
                <w:szCs w:val="20"/>
              </w:rPr>
            </w:pPr>
            <w:r>
              <w:rPr>
                <w:rFonts w:eastAsia="Times New Roman"/>
                <w:sz w:val="20"/>
                <w:szCs w:val="20"/>
              </w:rPr>
              <w:t>Item 6.</w:t>
            </w:r>
          </w:p>
        </w:tc>
        <w:tc>
          <w:tcPr>
            <w:tcW w:w="0" w:type="auto"/>
            <w:tcMar>
              <w:top w:w="0" w:type="dxa"/>
              <w:left w:w="0" w:type="dxa"/>
              <w:bottom w:w="0" w:type="dxa"/>
              <w:right w:w="792" w:type="dxa"/>
            </w:tcMar>
            <w:hideMark/>
          </w:tcPr>
          <w:p w:rsidR="00000000" w:rsidRDefault="002A7C39">
            <w:pPr>
              <w:rPr>
                <w:rFonts w:eastAsia="Times New Roman"/>
                <w:sz w:val="20"/>
                <w:szCs w:val="20"/>
              </w:rPr>
            </w:pPr>
            <w:r>
              <w:rPr>
                <w:rFonts w:eastAsia="Times New Roman"/>
                <w:sz w:val="20"/>
                <w:szCs w:val="20"/>
                <w:u w:val="single"/>
              </w:rPr>
              <w:t>Exhibits</w:t>
            </w:r>
          </w:p>
        </w:tc>
      </w:tr>
    </w:tbl>
    <w:p w:rsidR="00000000" w:rsidRDefault="002A7C39">
      <w:pPr>
        <w:pStyle w:val="a3"/>
        <w:spacing w:before="0" w:beforeAutospacing="0" w:after="0" w:afterAutospacing="0"/>
        <w:ind w:right="792" w:firstLine="720"/>
        <w:rPr>
          <w:sz w:val="20"/>
          <w:szCs w:val="20"/>
        </w:rPr>
      </w:pPr>
      <w:r>
        <w:rPr>
          <w:sz w:val="20"/>
          <w:szCs w:val="20"/>
        </w:rPr>
        <w:t> </w:t>
      </w:r>
    </w:p>
    <w:p w:rsidR="00000000" w:rsidRDefault="002A7C39">
      <w:pPr>
        <w:pStyle w:val="a3"/>
        <w:spacing w:before="0" w:beforeAutospacing="0" w:after="0" w:afterAutospacing="0"/>
        <w:ind w:right="792" w:firstLine="720"/>
        <w:rPr>
          <w:sz w:val="20"/>
          <w:szCs w:val="20"/>
        </w:rPr>
      </w:pPr>
      <w:r>
        <w:rPr>
          <w:sz w:val="20"/>
          <w:szCs w:val="20"/>
        </w:rPr>
        <w:t>The Exhibits to this report are listed in the Exhibit Index.</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13576003"/>
        </w:trPr>
        <w:tc>
          <w:tcPr>
            <w:tcW w:w="1650" w:type="pct"/>
            <w:hideMark/>
          </w:tcPr>
          <w:p w:rsidR="00000000" w:rsidRDefault="002A7C39">
            <w:pPr>
              <w:rPr>
                <w:rFonts w:eastAsia="Times New Roman"/>
                <w:sz w:val="20"/>
                <w:szCs w:val="20"/>
              </w:rPr>
            </w:pPr>
            <w:hyperlink w:anchor="toc" w:history="1">
              <w:r>
                <w:rPr>
                  <w:rStyle w:val="a4"/>
                  <w:rFonts w:eastAsia="Times New Roman"/>
                  <w:i/>
                  <w:iCs/>
                  <w:sz w:val="20"/>
                  <w:szCs w:val="20"/>
                </w:rPr>
                <w:t>Table of Contents</w:t>
              </w:r>
            </w:hyperlink>
            <w:r>
              <w:rPr>
                <w:rFonts w:eastAsia="Times New Roman"/>
                <w:sz w:val="20"/>
                <w:szCs w:val="20"/>
              </w:rPr>
              <w:t> </w:t>
            </w:r>
          </w:p>
        </w:tc>
        <w:tc>
          <w:tcPr>
            <w:tcW w:w="1700" w:type="pct"/>
            <w:hideMark/>
          </w:tcPr>
          <w:p w:rsidR="00000000" w:rsidRDefault="002A7C39">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rsidR="00000000" w:rsidRDefault="002A7C39">
            <w:pPr>
              <w:jc w:val="right"/>
              <w:rPr>
                <w:rFonts w:eastAsia="Times New Roman"/>
                <w:sz w:val="20"/>
                <w:szCs w:val="20"/>
              </w:rPr>
            </w:pPr>
            <w:r>
              <w:rPr>
                <w:rFonts w:eastAsia="Times New Roman"/>
                <w:sz w:val="20"/>
                <w:szCs w:val="20"/>
              </w:rPr>
              <w:t> </w:t>
            </w:r>
          </w:p>
        </w:tc>
      </w:tr>
    </w:tbl>
    <w:p w:rsidR="00000000" w:rsidRDefault="002A7C39">
      <w:pPr>
        <w:pStyle w:val="a3"/>
        <w:pageBreakBefore/>
        <w:spacing w:before="0" w:beforeAutospacing="0" w:after="0" w:afterAutospacing="0"/>
        <w:divId w:val="1475677072"/>
      </w:pPr>
      <w:r>
        <w:t> </w:t>
      </w:r>
    </w:p>
    <w:p w:rsidR="00000000" w:rsidRDefault="002A7C39">
      <w:pPr>
        <w:pStyle w:val="a3"/>
        <w:spacing w:before="0" w:beforeAutospacing="0" w:after="0" w:afterAutospacing="0"/>
        <w:ind w:right="792" w:firstLine="720"/>
        <w:jc w:val="center"/>
        <w:rPr>
          <w:sz w:val="20"/>
          <w:szCs w:val="20"/>
        </w:rPr>
      </w:pPr>
      <w:r>
        <w:rPr>
          <w:b/>
          <w:bCs/>
          <w:sz w:val="20"/>
          <w:szCs w:val="20"/>
        </w:rPr>
        <w:t>SIGNATURES</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2A7C39">
      <w:pPr>
        <w:pStyle w:val="a3"/>
        <w:spacing w:before="0" w:beforeAutospacing="0" w:after="0" w:afterAutospacing="0"/>
        <w:ind w:right="792"/>
        <w:rPr>
          <w:sz w:val="20"/>
          <w:szCs w:val="20"/>
        </w:rPr>
      </w:pPr>
      <w:r>
        <w:rPr>
          <w:sz w:val="20"/>
          <w:szCs w:val="20"/>
        </w:rPr>
        <w:t> </w:t>
      </w:r>
    </w:p>
    <w:p w:rsidR="00000000" w:rsidRDefault="002A7C39">
      <w:pPr>
        <w:pStyle w:val="a3"/>
        <w:spacing w:before="0" w:beforeAutospacing="0" w:after="0" w:afterAutospacing="0"/>
        <w:ind w:right="792"/>
        <w:rPr>
          <w:sz w:val="20"/>
          <w:szCs w:val="20"/>
        </w:rPr>
      </w:pPr>
      <w:r>
        <w:rPr>
          <w:sz w:val="20"/>
          <w:szCs w:val="20"/>
        </w:rPr>
        <w:t>SOLITARIO ZINC CORP.</w:t>
      </w:r>
    </w:p>
    <w:p w:rsidR="00000000" w:rsidRDefault="002A7C39">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66"/>
        <w:gridCol w:w="1189"/>
        <w:gridCol w:w="3351"/>
      </w:tblGrid>
      <w:tr w:rsidR="00000000">
        <w:tc>
          <w:tcPr>
            <w:tcW w:w="2400" w:type="pct"/>
            <w:vMerge w:val="restart"/>
            <w:tcMar>
              <w:top w:w="0" w:type="dxa"/>
              <w:left w:w="108" w:type="dxa"/>
              <w:bottom w:w="0" w:type="dxa"/>
              <w:right w:w="108" w:type="dxa"/>
            </w:tcMar>
            <w:hideMark/>
          </w:tcPr>
          <w:p w:rsidR="00000000" w:rsidRDefault="002A7C39">
            <w:pPr>
              <w:pStyle w:val="a3"/>
              <w:spacing w:before="0" w:beforeAutospacing="0" w:after="0" w:afterAutospacing="0"/>
              <w:ind w:right="792"/>
              <w:rPr>
                <w:sz w:val="20"/>
                <w:szCs w:val="20"/>
              </w:rPr>
            </w:pPr>
            <w:r>
              <w:rPr>
                <w:sz w:val="20"/>
                <w:szCs w:val="20"/>
                <w:u w:val="single"/>
              </w:rPr>
              <w:t>July 3</w:t>
            </w:r>
            <w:r>
              <w:rPr>
                <w:sz w:val="20"/>
                <w:szCs w:val="20"/>
                <w:u w:val="single"/>
              </w:rPr>
              <w:t>0, 2019</w:t>
            </w:r>
          </w:p>
          <w:p w:rsidR="00000000" w:rsidRDefault="002A7C39">
            <w:pPr>
              <w:pStyle w:val="a3"/>
              <w:spacing w:before="0" w:beforeAutospacing="0" w:after="0" w:afterAutospacing="0"/>
              <w:ind w:right="792"/>
              <w:rPr>
                <w:sz w:val="20"/>
                <w:szCs w:val="20"/>
              </w:rPr>
            </w:pPr>
            <w:r>
              <w:rPr>
                <w:sz w:val="20"/>
                <w:szCs w:val="20"/>
              </w:rPr>
              <w:t>Date</w:t>
            </w:r>
          </w:p>
        </w:tc>
        <w:tc>
          <w:tcPr>
            <w:tcW w:w="450" w:type="pct"/>
            <w:tcMar>
              <w:top w:w="0" w:type="dxa"/>
              <w:left w:w="108" w:type="dxa"/>
              <w:bottom w:w="0" w:type="dxa"/>
              <w:right w:w="792" w:type="dxa"/>
            </w:tcMar>
            <w:hideMark/>
          </w:tcPr>
          <w:p w:rsidR="00000000" w:rsidRDefault="002A7C39">
            <w:pPr>
              <w:snapToGrid w:val="0"/>
              <w:jc w:val="both"/>
              <w:rPr>
                <w:rFonts w:eastAsia="Times New Roman"/>
                <w:sz w:val="20"/>
                <w:szCs w:val="20"/>
              </w:rPr>
            </w:pPr>
            <w:r>
              <w:rPr>
                <w:rFonts w:eastAsia="Times New Roman"/>
                <w:sz w:val="20"/>
                <w:szCs w:val="20"/>
              </w:rPr>
              <w:t>By:</w:t>
            </w:r>
          </w:p>
        </w:tc>
        <w:tc>
          <w:tcPr>
            <w:tcW w:w="2150" w:type="pct"/>
            <w:vMerge w:val="restart"/>
            <w:tcMar>
              <w:top w:w="0" w:type="dxa"/>
              <w:left w:w="108" w:type="dxa"/>
              <w:bottom w:w="0" w:type="dxa"/>
              <w:right w:w="109" w:type="dxa"/>
            </w:tcMar>
            <w:hideMark/>
          </w:tcPr>
          <w:p w:rsidR="00000000" w:rsidRDefault="002A7C39">
            <w:pPr>
              <w:snapToGrid w:val="0"/>
              <w:rPr>
                <w:rFonts w:eastAsia="Times New Roman"/>
                <w:sz w:val="20"/>
                <w:szCs w:val="20"/>
              </w:rPr>
            </w:pPr>
            <w:r>
              <w:rPr>
                <w:rFonts w:eastAsia="Times New Roman"/>
                <w:sz w:val="20"/>
                <w:szCs w:val="20"/>
                <w:u w:val="single"/>
              </w:rPr>
              <w:t>/s/ James R. Maronick</w:t>
            </w:r>
            <w:r>
              <w:rPr>
                <w:rFonts w:eastAsia="Times New Roman"/>
                <w:sz w:val="20"/>
                <w:szCs w:val="20"/>
              </w:rPr>
              <w:br/>
              <w:t>James R. Maronick</w:t>
            </w:r>
            <w:r>
              <w:rPr>
                <w:rFonts w:eastAsia="Times New Roman"/>
                <w:sz w:val="20"/>
                <w:szCs w:val="20"/>
              </w:rPr>
              <w:br/>
              <w:t>Chief Financial Officer</w:t>
            </w:r>
          </w:p>
        </w:tc>
      </w:tr>
      <w:tr w:rsidR="00000000">
        <w:tc>
          <w:tcPr>
            <w:tcW w:w="0" w:type="auto"/>
            <w:vMerge/>
            <w:hideMark/>
          </w:tcPr>
          <w:p w:rsidR="00000000" w:rsidRDefault="002A7C39">
            <w:pPr>
              <w:rPr>
                <w:sz w:val="20"/>
                <w:szCs w:val="20"/>
              </w:rPr>
            </w:pPr>
          </w:p>
        </w:tc>
        <w:tc>
          <w:tcPr>
            <w:tcW w:w="0" w:type="auto"/>
            <w:tcMar>
              <w:top w:w="0" w:type="dxa"/>
              <w:left w:w="108" w:type="dxa"/>
              <w:bottom w:w="0" w:type="dxa"/>
              <w:right w:w="792" w:type="dxa"/>
            </w:tcMar>
            <w:hideMark/>
          </w:tcPr>
          <w:p w:rsidR="00000000" w:rsidRDefault="002A7C39">
            <w:pPr>
              <w:snapToGrid w:val="0"/>
              <w:jc w:val="both"/>
              <w:rPr>
                <w:rFonts w:eastAsia="Times New Roman"/>
                <w:sz w:val="20"/>
                <w:szCs w:val="20"/>
              </w:rPr>
            </w:pPr>
            <w:r>
              <w:rPr>
                <w:rFonts w:eastAsia="Times New Roman"/>
                <w:sz w:val="20"/>
                <w:szCs w:val="20"/>
              </w:rPr>
              <w:t> </w:t>
            </w:r>
          </w:p>
        </w:tc>
        <w:tc>
          <w:tcPr>
            <w:tcW w:w="0" w:type="auto"/>
            <w:vMerge/>
            <w:vAlign w:val="center"/>
            <w:hideMark/>
          </w:tcPr>
          <w:p w:rsidR="00000000" w:rsidRDefault="002A7C39">
            <w:pPr>
              <w:rPr>
                <w:rFonts w:eastAsia="Times New Roman"/>
                <w:sz w:val="20"/>
                <w:szCs w:val="20"/>
              </w:rPr>
            </w:pPr>
          </w:p>
        </w:tc>
      </w:tr>
      <w:tr w:rsidR="00000000">
        <w:tc>
          <w:tcPr>
            <w:tcW w:w="0" w:type="auto"/>
            <w:tcMar>
              <w:top w:w="0" w:type="dxa"/>
              <w:left w:w="108" w:type="dxa"/>
              <w:bottom w:w="0" w:type="dxa"/>
              <w:right w:w="792" w:type="dxa"/>
            </w:tcMar>
            <w:hideMark/>
          </w:tcPr>
          <w:p w:rsidR="00000000" w:rsidRDefault="002A7C39">
            <w:pPr>
              <w:snapToGrid w:val="0"/>
              <w:jc w:val="both"/>
              <w:rPr>
                <w:rFonts w:eastAsia="Times New Roman"/>
                <w:sz w:val="20"/>
                <w:szCs w:val="20"/>
              </w:rPr>
            </w:pPr>
            <w:r>
              <w:rPr>
                <w:rFonts w:eastAsia="Times New Roman"/>
                <w:sz w:val="20"/>
                <w:szCs w:val="20"/>
              </w:rPr>
              <w:t> </w:t>
            </w:r>
          </w:p>
        </w:tc>
        <w:tc>
          <w:tcPr>
            <w:tcW w:w="0" w:type="auto"/>
            <w:tcMar>
              <w:top w:w="0" w:type="dxa"/>
              <w:left w:w="108" w:type="dxa"/>
              <w:bottom w:w="0" w:type="dxa"/>
              <w:right w:w="792" w:type="dxa"/>
            </w:tcMar>
            <w:hideMark/>
          </w:tcPr>
          <w:p w:rsidR="00000000" w:rsidRDefault="002A7C39">
            <w:pPr>
              <w:snapToGrid w:val="0"/>
              <w:jc w:val="both"/>
              <w:rPr>
                <w:rFonts w:eastAsia="Times New Roman"/>
                <w:sz w:val="20"/>
                <w:szCs w:val="20"/>
              </w:rPr>
            </w:pPr>
            <w:r>
              <w:rPr>
                <w:rFonts w:eastAsia="Times New Roman"/>
                <w:sz w:val="20"/>
                <w:szCs w:val="20"/>
              </w:rPr>
              <w:t> </w:t>
            </w:r>
          </w:p>
        </w:tc>
        <w:tc>
          <w:tcPr>
            <w:tcW w:w="0" w:type="auto"/>
            <w:vMerge/>
            <w:vAlign w:val="center"/>
            <w:hideMark/>
          </w:tcPr>
          <w:p w:rsidR="00000000" w:rsidRDefault="002A7C39">
            <w:pPr>
              <w:rPr>
                <w:rFonts w:eastAsia="Times New Roman"/>
                <w:sz w:val="20"/>
                <w:szCs w:val="20"/>
              </w:rPr>
            </w:pPr>
          </w:p>
        </w:tc>
      </w:tr>
    </w:tbl>
    <w:p w:rsidR="00000000" w:rsidRDefault="002A7C39">
      <w:pPr>
        <w:pStyle w:val="a3"/>
        <w:spacing w:before="0" w:beforeAutospacing="0" w:after="0" w:afterAutospacing="0"/>
        <w:ind w:right="792"/>
        <w:jc w:val="both"/>
        <w:rPr>
          <w:sz w:val="20"/>
          <w:szCs w:val="20"/>
        </w:rPr>
      </w:pPr>
      <w:r>
        <w:rPr>
          <w:sz w:val="20"/>
          <w:szCs w:val="20"/>
        </w:rPr>
        <w:t> </w:t>
      </w:r>
    </w:p>
    <w:p w:rsidR="00000000" w:rsidRDefault="002A7C39">
      <w:pPr>
        <w:pStyle w:val="a3"/>
        <w:spacing w:before="0" w:beforeAutospacing="0" w:after="0" w:afterAutospacing="0"/>
        <w:ind w:right="792"/>
        <w:jc w:val="center"/>
        <w:rPr>
          <w:sz w:val="20"/>
          <w:szCs w:val="20"/>
        </w:rPr>
      </w:pPr>
      <w:r>
        <w:rPr>
          <w:sz w:val="20"/>
          <w:szCs w:val="20"/>
        </w:rPr>
        <w:t> </w:t>
      </w:r>
    </w:p>
    <w:p w:rsidR="00000000" w:rsidRDefault="002A7C39">
      <w:pPr>
        <w:pStyle w:val="a3"/>
        <w:spacing w:before="0" w:beforeAutospacing="0" w:after="0" w:afterAutospacing="0"/>
        <w:ind w:right="792"/>
        <w:jc w:val="center"/>
        <w:rPr>
          <w:sz w:val="20"/>
          <w:szCs w:val="20"/>
        </w:rPr>
      </w:pPr>
      <w:r>
        <w:rPr>
          <w:b/>
          <w:bCs/>
          <w:sz w:val="20"/>
          <w:szCs w:val="20"/>
        </w:rPr>
        <w:t>EXHIBIT INDEX</w:t>
      </w:r>
    </w:p>
    <w:p w:rsidR="00000000" w:rsidRDefault="002A7C39">
      <w:pPr>
        <w:pStyle w:val="a3"/>
        <w:spacing w:before="0" w:beforeAutospacing="0" w:after="0" w:afterAutospacing="0"/>
        <w:ind w:right="36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8"/>
        <w:gridCol w:w="1491"/>
        <w:gridCol w:w="100"/>
        <w:gridCol w:w="827"/>
        <w:gridCol w:w="5810"/>
      </w:tblGrid>
      <w:tr w:rsidR="00000000">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A7C39">
            <w:pPr>
              <w:jc w:val="right"/>
              <w:rPr>
                <w:rFonts w:eastAsia="Times New Roman"/>
                <w:sz w:val="20"/>
                <w:szCs w:val="20"/>
              </w:rPr>
            </w:pPr>
            <w:r>
              <w:rPr>
                <w:rFonts w:eastAsia="Times New Roman"/>
                <w:sz w:val="20"/>
                <w:szCs w:val="20"/>
              </w:rPr>
              <w:t>3.1</w:t>
            </w:r>
          </w:p>
        </w:tc>
        <w:tc>
          <w:tcPr>
            <w:tcW w:w="5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3500" w:type="pct"/>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Amended and Restated Articles of Incorporation of Solitario Exploration &amp; Royalty Corp., as Amended (incorporated by reference to Exhibit 3.1 to Solitario’s Form 10-Q filed on August 10, 2010)</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3.1.1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Articles of Amendment to Restated Artic</w:t>
            </w:r>
            <w:r>
              <w:rPr>
                <w:rFonts w:eastAsia="Times New Roman"/>
                <w:sz w:val="20"/>
                <w:szCs w:val="20"/>
              </w:rPr>
              <w:t>les of Incorporation of Solitario Zinc Corp. (incorporated by reference to Exhibit 3.1 to Solitario’s Current Report on Form 8-K filed on July 14, 2017)</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Amended and Restated By-laws of Solitario Zinc Corp. (Solitario Exploration &amp; Royalty Corp.) (incorporated by reference to Exhibit 99.1 to Solitario’s Form 10-K filed on March 22, 2013)</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Form of Common Stock Certificate of Solitario Zi</w:t>
            </w:r>
            <w:r>
              <w:rPr>
                <w:rFonts w:eastAsia="Times New Roman"/>
                <w:sz w:val="20"/>
                <w:szCs w:val="20"/>
              </w:rPr>
              <w:t>nc Corp. (incorporated by reference to Exhibit 4.1 to Solitario’s Form 10-Q filed on November 8, 2017)</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31.1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Certification of Chief Executive Officer pursuant to SEC Rule 13a-14(a)/15d-14(a) as adopted pursuant to Section 302 of the Sarbanes-Oxley Act of 2002</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31.2</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xml:space="preserve">Certification of Chief Financial Officer pursuant to SEC Rule 13a-14(a)/15d-14(a) </w:t>
            </w:r>
            <w:r>
              <w:rPr>
                <w:rFonts w:eastAsia="Times New Roman"/>
                <w:sz w:val="20"/>
                <w:szCs w:val="20"/>
              </w:rPr>
              <w:t>as adopted pursuant to Section 302 of the Sarbanes-Oxley Act of 2002</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Certification of Chief Executive Officer and Chief Financial Officer pursuant to 18 U.S.C Section 1350 as adopted pursuant to Section 906 of the Sarbanes-Oxley Act of 2002.</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The following financial statements, formatted in XBRL: (i) Co</w:t>
            </w:r>
            <w:r>
              <w:rPr>
                <w:rFonts w:eastAsia="Times New Roman"/>
                <w:sz w:val="20"/>
                <w:szCs w:val="20"/>
              </w:rPr>
              <w:t>ndensed Consolidated Balance Sheets as of June 30, 2019 and December 31, 2018, (ii) Condensed Consolidated Statements of Operations for the three and six months ended June 30, 2019 and 2018, (iii) Condensed Consolidated Statements of Cash Flows for the six</w:t>
            </w:r>
            <w:r>
              <w:rPr>
                <w:rFonts w:eastAsia="Times New Roman"/>
                <w:sz w:val="20"/>
                <w:szCs w:val="20"/>
              </w:rPr>
              <w:t xml:space="preserve"> months ended June 30, 2019 and 2018; and (iv) Notes to the Condensed Unaudited Consolidated Financial Statements, tagged as blocks of text.</w:t>
            </w:r>
          </w:p>
        </w:tc>
      </w:tr>
      <w:tr w:rsidR="00000000">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A7C3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2A7C39">
            <w:pPr>
              <w:rPr>
                <w:rFonts w:eastAsia="Times New Roman"/>
                <w:sz w:val="20"/>
                <w:szCs w:val="20"/>
              </w:rPr>
            </w:pPr>
            <w:r>
              <w:rPr>
                <w:rFonts w:eastAsia="Times New Roman"/>
                <w:sz w:val="20"/>
                <w:szCs w:val="20"/>
              </w:rPr>
              <w:t>Filed herewith</w:t>
            </w:r>
          </w:p>
        </w:tc>
      </w:tr>
    </w:tbl>
    <w:p w:rsidR="002A7C39" w:rsidRDefault="002A7C39">
      <w:pPr>
        <w:pStyle w:val="a3"/>
        <w:spacing w:before="0" w:beforeAutospacing="0" w:after="0" w:afterAutospacing="0"/>
        <w:ind w:right="792"/>
        <w:rPr>
          <w:sz w:val="20"/>
          <w:szCs w:val="20"/>
        </w:rPr>
      </w:pPr>
      <w:r>
        <w:rPr>
          <w:b/>
          <w:bCs/>
          <w:sz w:val="20"/>
          <w:szCs w:val="20"/>
        </w:rPr>
        <w:t> </w:t>
      </w:r>
    </w:p>
    <w:sectPr w:rsidR="002A7C3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7C39"/>
    <w:rsid w:val="002A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846">
      <w:marLeft w:val="0"/>
      <w:marRight w:val="0"/>
      <w:marTop w:val="120"/>
      <w:marBottom w:val="120"/>
      <w:divBdr>
        <w:top w:val="none" w:sz="0" w:space="0" w:color="auto"/>
        <w:left w:val="none" w:sz="0" w:space="0" w:color="auto"/>
        <w:bottom w:val="none" w:sz="0" w:space="0" w:color="auto"/>
        <w:right w:val="none" w:sz="0" w:space="0" w:color="auto"/>
      </w:divBdr>
    </w:div>
    <w:div w:id="91559632">
      <w:marLeft w:val="0"/>
      <w:marRight w:val="0"/>
      <w:marTop w:val="120"/>
      <w:marBottom w:val="120"/>
      <w:divBdr>
        <w:top w:val="none" w:sz="0" w:space="0" w:color="auto"/>
        <w:left w:val="none" w:sz="0" w:space="0" w:color="auto"/>
        <w:bottom w:val="none" w:sz="0" w:space="0" w:color="auto"/>
        <w:right w:val="none" w:sz="0" w:space="0" w:color="auto"/>
      </w:divBdr>
    </w:div>
    <w:div w:id="95103869">
      <w:marLeft w:val="0"/>
      <w:marRight w:val="0"/>
      <w:marTop w:val="120"/>
      <w:marBottom w:val="120"/>
      <w:divBdr>
        <w:top w:val="none" w:sz="0" w:space="0" w:color="auto"/>
        <w:left w:val="none" w:sz="0" w:space="0" w:color="auto"/>
        <w:bottom w:val="none" w:sz="0" w:space="0" w:color="auto"/>
        <w:right w:val="none" w:sz="0" w:space="0" w:color="auto"/>
      </w:divBdr>
    </w:div>
    <w:div w:id="216475131">
      <w:marLeft w:val="0"/>
      <w:marRight w:val="0"/>
      <w:marTop w:val="120"/>
      <w:marBottom w:val="120"/>
      <w:divBdr>
        <w:top w:val="none" w:sz="0" w:space="0" w:color="auto"/>
        <w:left w:val="none" w:sz="0" w:space="0" w:color="auto"/>
        <w:bottom w:val="none" w:sz="0" w:space="0" w:color="auto"/>
        <w:right w:val="none" w:sz="0" w:space="0" w:color="auto"/>
      </w:divBdr>
    </w:div>
    <w:div w:id="223222848">
      <w:marLeft w:val="0"/>
      <w:marRight w:val="0"/>
      <w:marTop w:val="120"/>
      <w:marBottom w:val="120"/>
      <w:divBdr>
        <w:top w:val="none" w:sz="0" w:space="0" w:color="auto"/>
        <w:left w:val="none" w:sz="0" w:space="0" w:color="auto"/>
        <w:bottom w:val="none" w:sz="0" w:space="0" w:color="auto"/>
        <w:right w:val="none" w:sz="0" w:space="0" w:color="auto"/>
      </w:divBdr>
    </w:div>
    <w:div w:id="325286112">
      <w:marLeft w:val="0"/>
      <w:marRight w:val="0"/>
      <w:marTop w:val="120"/>
      <w:marBottom w:val="120"/>
      <w:divBdr>
        <w:top w:val="none" w:sz="0" w:space="0" w:color="auto"/>
        <w:left w:val="none" w:sz="0" w:space="0" w:color="auto"/>
        <w:bottom w:val="none" w:sz="0" w:space="0" w:color="auto"/>
        <w:right w:val="none" w:sz="0" w:space="0" w:color="auto"/>
      </w:divBdr>
    </w:div>
    <w:div w:id="382339574">
      <w:marLeft w:val="0"/>
      <w:marRight w:val="0"/>
      <w:marTop w:val="120"/>
      <w:marBottom w:val="120"/>
      <w:divBdr>
        <w:top w:val="none" w:sz="0" w:space="0" w:color="auto"/>
        <w:left w:val="none" w:sz="0" w:space="0" w:color="auto"/>
        <w:bottom w:val="none" w:sz="0" w:space="0" w:color="auto"/>
        <w:right w:val="none" w:sz="0" w:space="0" w:color="auto"/>
      </w:divBdr>
    </w:div>
    <w:div w:id="454758282">
      <w:marLeft w:val="0"/>
      <w:marRight w:val="0"/>
      <w:marTop w:val="120"/>
      <w:marBottom w:val="120"/>
      <w:divBdr>
        <w:top w:val="none" w:sz="0" w:space="0" w:color="auto"/>
        <w:left w:val="none" w:sz="0" w:space="0" w:color="auto"/>
        <w:bottom w:val="none" w:sz="0" w:space="0" w:color="auto"/>
        <w:right w:val="none" w:sz="0" w:space="0" w:color="auto"/>
      </w:divBdr>
    </w:div>
    <w:div w:id="458688738">
      <w:marLeft w:val="0"/>
      <w:marRight w:val="0"/>
      <w:marTop w:val="120"/>
      <w:marBottom w:val="120"/>
      <w:divBdr>
        <w:top w:val="none" w:sz="0" w:space="0" w:color="auto"/>
        <w:left w:val="none" w:sz="0" w:space="0" w:color="auto"/>
        <w:bottom w:val="none" w:sz="0" w:space="0" w:color="auto"/>
        <w:right w:val="none" w:sz="0" w:space="0" w:color="auto"/>
      </w:divBdr>
    </w:div>
    <w:div w:id="461919419">
      <w:marLeft w:val="0"/>
      <w:marRight w:val="0"/>
      <w:marTop w:val="120"/>
      <w:marBottom w:val="120"/>
      <w:divBdr>
        <w:top w:val="none" w:sz="0" w:space="0" w:color="auto"/>
        <w:left w:val="none" w:sz="0" w:space="0" w:color="auto"/>
        <w:bottom w:val="none" w:sz="0" w:space="0" w:color="auto"/>
        <w:right w:val="none" w:sz="0" w:space="0" w:color="auto"/>
      </w:divBdr>
    </w:div>
    <w:div w:id="462188762">
      <w:marLeft w:val="0"/>
      <w:marRight w:val="0"/>
      <w:marTop w:val="120"/>
      <w:marBottom w:val="120"/>
      <w:divBdr>
        <w:top w:val="none" w:sz="0" w:space="0" w:color="auto"/>
        <w:left w:val="none" w:sz="0" w:space="0" w:color="auto"/>
        <w:bottom w:val="none" w:sz="0" w:space="0" w:color="auto"/>
        <w:right w:val="none" w:sz="0" w:space="0" w:color="auto"/>
      </w:divBdr>
    </w:div>
    <w:div w:id="525142662">
      <w:marLeft w:val="0"/>
      <w:marRight w:val="0"/>
      <w:marTop w:val="120"/>
      <w:marBottom w:val="120"/>
      <w:divBdr>
        <w:top w:val="none" w:sz="0" w:space="0" w:color="auto"/>
        <w:left w:val="none" w:sz="0" w:space="0" w:color="auto"/>
        <w:bottom w:val="none" w:sz="0" w:space="0" w:color="auto"/>
        <w:right w:val="none" w:sz="0" w:space="0" w:color="auto"/>
      </w:divBdr>
    </w:div>
    <w:div w:id="603684123">
      <w:marLeft w:val="0"/>
      <w:marRight w:val="0"/>
      <w:marTop w:val="120"/>
      <w:marBottom w:val="120"/>
      <w:divBdr>
        <w:top w:val="none" w:sz="0" w:space="0" w:color="auto"/>
        <w:left w:val="none" w:sz="0" w:space="0" w:color="auto"/>
        <w:bottom w:val="none" w:sz="0" w:space="0" w:color="auto"/>
        <w:right w:val="none" w:sz="0" w:space="0" w:color="auto"/>
      </w:divBdr>
    </w:div>
    <w:div w:id="637222946">
      <w:marLeft w:val="0"/>
      <w:marRight w:val="0"/>
      <w:marTop w:val="120"/>
      <w:marBottom w:val="120"/>
      <w:divBdr>
        <w:top w:val="none" w:sz="0" w:space="0" w:color="auto"/>
        <w:left w:val="none" w:sz="0" w:space="0" w:color="auto"/>
        <w:bottom w:val="none" w:sz="0" w:space="0" w:color="auto"/>
        <w:right w:val="none" w:sz="0" w:space="0" w:color="auto"/>
      </w:divBdr>
    </w:div>
    <w:div w:id="680864174">
      <w:marLeft w:val="0"/>
      <w:marRight w:val="0"/>
      <w:marTop w:val="120"/>
      <w:marBottom w:val="120"/>
      <w:divBdr>
        <w:top w:val="none" w:sz="0" w:space="0" w:color="auto"/>
        <w:left w:val="none" w:sz="0" w:space="0" w:color="auto"/>
        <w:bottom w:val="none" w:sz="0" w:space="0" w:color="auto"/>
        <w:right w:val="none" w:sz="0" w:space="0" w:color="auto"/>
      </w:divBdr>
    </w:div>
    <w:div w:id="704059082">
      <w:marLeft w:val="0"/>
      <w:marRight w:val="0"/>
      <w:marTop w:val="120"/>
      <w:marBottom w:val="120"/>
      <w:divBdr>
        <w:top w:val="none" w:sz="0" w:space="0" w:color="auto"/>
        <w:left w:val="none" w:sz="0" w:space="0" w:color="auto"/>
        <w:bottom w:val="none" w:sz="0" w:space="0" w:color="auto"/>
        <w:right w:val="none" w:sz="0" w:space="0" w:color="auto"/>
      </w:divBdr>
    </w:div>
    <w:div w:id="716318394">
      <w:marLeft w:val="0"/>
      <w:marRight w:val="0"/>
      <w:marTop w:val="120"/>
      <w:marBottom w:val="120"/>
      <w:divBdr>
        <w:top w:val="none" w:sz="0" w:space="0" w:color="auto"/>
        <w:left w:val="none" w:sz="0" w:space="0" w:color="auto"/>
        <w:bottom w:val="none" w:sz="0" w:space="0" w:color="auto"/>
        <w:right w:val="none" w:sz="0" w:space="0" w:color="auto"/>
      </w:divBdr>
    </w:div>
    <w:div w:id="726031782">
      <w:marLeft w:val="0"/>
      <w:marRight w:val="0"/>
      <w:marTop w:val="120"/>
      <w:marBottom w:val="120"/>
      <w:divBdr>
        <w:top w:val="none" w:sz="0" w:space="0" w:color="auto"/>
        <w:left w:val="none" w:sz="0" w:space="0" w:color="auto"/>
        <w:bottom w:val="none" w:sz="0" w:space="0" w:color="auto"/>
        <w:right w:val="none" w:sz="0" w:space="0" w:color="auto"/>
      </w:divBdr>
    </w:div>
    <w:div w:id="741684575">
      <w:marLeft w:val="0"/>
      <w:marRight w:val="0"/>
      <w:marTop w:val="120"/>
      <w:marBottom w:val="120"/>
      <w:divBdr>
        <w:top w:val="none" w:sz="0" w:space="0" w:color="auto"/>
        <w:left w:val="none" w:sz="0" w:space="0" w:color="auto"/>
        <w:bottom w:val="none" w:sz="0" w:space="0" w:color="auto"/>
        <w:right w:val="none" w:sz="0" w:space="0" w:color="auto"/>
      </w:divBdr>
    </w:div>
    <w:div w:id="760612714">
      <w:marLeft w:val="0"/>
      <w:marRight w:val="0"/>
      <w:marTop w:val="120"/>
      <w:marBottom w:val="120"/>
      <w:divBdr>
        <w:top w:val="none" w:sz="0" w:space="0" w:color="auto"/>
        <w:left w:val="none" w:sz="0" w:space="0" w:color="auto"/>
        <w:bottom w:val="none" w:sz="0" w:space="0" w:color="auto"/>
        <w:right w:val="none" w:sz="0" w:space="0" w:color="auto"/>
      </w:divBdr>
    </w:div>
    <w:div w:id="916522903">
      <w:marLeft w:val="0"/>
      <w:marRight w:val="0"/>
      <w:marTop w:val="120"/>
      <w:marBottom w:val="120"/>
      <w:divBdr>
        <w:top w:val="none" w:sz="0" w:space="0" w:color="auto"/>
        <w:left w:val="none" w:sz="0" w:space="0" w:color="auto"/>
        <w:bottom w:val="none" w:sz="0" w:space="0" w:color="auto"/>
        <w:right w:val="none" w:sz="0" w:space="0" w:color="auto"/>
      </w:divBdr>
    </w:div>
    <w:div w:id="920455462">
      <w:marLeft w:val="0"/>
      <w:marRight w:val="0"/>
      <w:marTop w:val="120"/>
      <w:marBottom w:val="120"/>
      <w:divBdr>
        <w:top w:val="none" w:sz="0" w:space="0" w:color="auto"/>
        <w:left w:val="none" w:sz="0" w:space="0" w:color="auto"/>
        <w:bottom w:val="none" w:sz="0" w:space="0" w:color="auto"/>
        <w:right w:val="none" w:sz="0" w:space="0" w:color="auto"/>
      </w:divBdr>
    </w:div>
    <w:div w:id="948925532">
      <w:marLeft w:val="0"/>
      <w:marRight w:val="0"/>
      <w:marTop w:val="120"/>
      <w:marBottom w:val="120"/>
      <w:divBdr>
        <w:top w:val="none" w:sz="0" w:space="0" w:color="auto"/>
        <w:left w:val="none" w:sz="0" w:space="0" w:color="auto"/>
        <w:bottom w:val="none" w:sz="0" w:space="0" w:color="auto"/>
        <w:right w:val="none" w:sz="0" w:space="0" w:color="auto"/>
      </w:divBdr>
    </w:div>
    <w:div w:id="982387804">
      <w:marLeft w:val="0"/>
      <w:marRight w:val="0"/>
      <w:marTop w:val="120"/>
      <w:marBottom w:val="120"/>
      <w:divBdr>
        <w:top w:val="none" w:sz="0" w:space="0" w:color="auto"/>
        <w:left w:val="none" w:sz="0" w:space="0" w:color="auto"/>
        <w:bottom w:val="none" w:sz="0" w:space="0" w:color="auto"/>
        <w:right w:val="none" w:sz="0" w:space="0" w:color="auto"/>
      </w:divBdr>
    </w:div>
    <w:div w:id="1021275665">
      <w:marLeft w:val="0"/>
      <w:marRight w:val="0"/>
      <w:marTop w:val="120"/>
      <w:marBottom w:val="120"/>
      <w:divBdr>
        <w:top w:val="none" w:sz="0" w:space="0" w:color="auto"/>
        <w:left w:val="none" w:sz="0" w:space="0" w:color="auto"/>
        <w:bottom w:val="none" w:sz="0" w:space="0" w:color="auto"/>
        <w:right w:val="none" w:sz="0" w:space="0" w:color="auto"/>
      </w:divBdr>
    </w:div>
    <w:div w:id="1155953710">
      <w:marLeft w:val="0"/>
      <w:marRight w:val="0"/>
      <w:marTop w:val="120"/>
      <w:marBottom w:val="120"/>
      <w:divBdr>
        <w:top w:val="none" w:sz="0" w:space="0" w:color="auto"/>
        <w:left w:val="none" w:sz="0" w:space="0" w:color="auto"/>
        <w:bottom w:val="none" w:sz="0" w:space="0" w:color="auto"/>
        <w:right w:val="none" w:sz="0" w:space="0" w:color="auto"/>
      </w:divBdr>
    </w:div>
    <w:div w:id="1206453180">
      <w:marLeft w:val="0"/>
      <w:marRight w:val="0"/>
      <w:marTop w:val="120"/>
      <w:marBottom w:val="120"/>
      <w:divBdr>
        <w:top w:val="none" w:sz="0" w:space="0" w:color="auto"/>
        <w:left w:val="none" w:sz="0" w:space="0" w:color="auto"/>
        <w:bottom w:val="none" w:sz="0" w:space="0" w:color="auto"/>
        <w:right w:val="none" w:sz="0" w:space="0" w:color="auto"/>
      </w:divBdr>
    </w:div>
    <w:div w:id="1263613706">
      <w:marLeft w:val="0"/>
      <w:marRight w:val="0"/>
      <w:marTop w:val="120"/>
      <w:marBottom w:val="120"/>
      <w:divBdr>
        <w:top w:val="none" w:sz="0" w:space="0" w:color="auto"/>
        <w:left w:val="none" w:sz="0" w:space="0" w:color="auto"/>
        <w:bottom w:val="none" w:sz="0" w:space="0" w:color="auto"/>
        <w:right w:val="none" w:sz="0" w:space="0" w:color="auto"/>
      </w:divBdr>
    </w:div>
    <w:div w:id="1284389377">
      <w:marLeft w:val="0"/>
      <w:marRight w:val="0"/>
      <w:marTop w:val="120"/>
      <w:marBottom w:val="120"/>
      <w:divBdr>
        <w:top w:val="none" w:sz="0" w:space="0" w:color="auto"/>
        <w:left w:val="none" w:sz="0" w:space="0" w:color="auto"/>
        <w:bottom w:val="none" w:sz="0" w:space="0" w:color="auto"/>
        <w:right w:val="none" w:sz="0" w:space="0" w:color="auto"/>
      </w:divBdr>
    </w:div>
    <w:div w:id="1295714672">
      <w:marLeft w:val="0"/>
      <w:marRight w:val="0"/>
      <w:marTop w:val="120"/>
      <w:marBottom w:val="120"/>
      <w:divBdr>
        <w:top w:val="none" w:sz="0" w:space="0" w:color="auto"/>
        <w:left w:val="none" w:sz="0" w:space="0" w:color="auto"/>
        <w:bottom w:val="none" w:sz="0" w:space="0" w:color="auto"/>
        <w:right w:val="none" w:sz="0" w:space="0" w:color="auto"/>
      </w:divBdr>
    </w:div>
    <w:div w:id="1330057351">
      <w:marLeft w:val="0"/>
      <w:marRight w:val="0"/>
      <w:marTop w:val="120"/>
      <w:marBottom w:val="120"/>
      <w:divBdr>
        <w:top w:val="none" w:sz="0" w:space="0" w:color="auto"/>
        <w:left w:val="none" w:sz="0" w:space="0" w:color="auto"/>
        <w:bottom w:val="none" w:sz="0" w:space="0" w:color="auto"/>
        <w:right w:val="none" w:sz="0" w:space="0" w:color="auto"/>
      </w:divBdr>
    </w:div>
    <w:div w:id="1333491016">
      <w:marLeft w:val="0"/>
      <w:marRight w:val="0"/>
      <w:marTop w:val="120"/>
      <w:marBottom w:val="120"/>
      <w:divBdr>
        <w:top w:val="none" w:sz="0" w:space="0" w:color="auto"/>
        <w:left w:val="none" w:sz="0" w:space="0" w:color="auto"/>
        <w:bottom w:val="none" w:sz="0" w:space="0" w:color="auto"/>
        <w:right w:val="none" w:sz="0" w:space="0" w:color="auto"/>
      </w:divBdr>
    </w:div>
    <w:div w:id="1405910465">
      <w:marLeft w:val="0"/>
      <w:marRight w:val="0"/>
      <w:marTop w:val="120"/>
      <w:marBottom w:val="120"/>
      <w:divBdr>
        <w:top w:val="none" w:sz="0" w:space="0" w:color="auto"/>
        <w:left w:val="none" w:sz="0" w:space="0" w:color="auto"/>
        <w:bottom w:val="none" w:sz="0" w:space="0" w:color="auto"/>
        <w:right w:val="none" w:sz="0" w:space="0" w:color="auto"/>
      </w:divBdr>
    </w:div>
    <w:div w:id="1475677072">
      <w:marLeft w:val="0"/>
      <w:marRight w:val="0"/>
      <w:marTop w:val="120"/>
      <w:marBottom w:val="120"/>
      <w:divBdr>
        <w:top w:val="none" w:sz="0" w:space="0" w:color="auto"/>
        <w:left w:val="none" w:sz="0" w:space="0" w:color="auto"/>
        <w:bottom w:val="none" w:sz="0" w:space="0" w:color="auto"/>
        <w:right w:val="none" w:sz="0" w:space="0" w:color="auto"/>
      </w:divBdr>
    </w:div>
    <w:div w:id="1516188828">
      <w:marLeft w:val="0"/>
      <w:marRight w:val="0"/>
      <w:marTop w:val="120"/>
      <w:marBottom w:val="120"/>
      <w:divBdr>
        <w:top w:val="none" w:sz="0" w:space="0" w:color="auto"/>
        <w:left w:val="none" w:sz="0" w:space="0" w:color="auto"/>
        <w:bottom w:val="none" w:sz="0" w:space="0" w:color="auto"/>
        <w:right w:val="none" w:sz="0" w:space="0" w:color="auto"/>
      </w:divBdr>
    </w:div>
    <w:div w:id="1590387430">
      <w:marLeft w:val="0"/>
      <w:marRight w:val="0"/>
      <w:marTop w:val="120"/>
      <w:marBottom w:val="120"/>
      <w:divBdr>
        <w:top w:val="none" w:sz="0" w:space="0" w:color="auto"/>
        <w:left w:val="none" w:sz="0" w:space="0" w:color="auto"/>
        <w:bottom w:val="none" w:sz="0" w:space="0" w:color="auto"/>
        <w:right w:val="none" w:sz="0" w:space="0" w:color="auto"/>
      </w:divBdr>
    </w:div>
    <w:div w:id="1590697577">
      <w:marLeft w:val="0"/>
      <w:marRight w:val="0"/>
      <w:marTop w:val="120"/>
      <w:marBottom w:val="120"/>
      <w:divBdr>
        <w:top w:val="none" w:sz="0" w:space="0" w:color="auto"/>
        <w:left w:val="none" w:sz="0" w:space="0" w:color="auto"/>
        <w:bottom w:val="none" w:sz="0" w:space="0" w:color="auto"/>
        <w:right w:val="none" w:sz="0" w:space="0" w:color="auto"/>
      </w:divBdr>
    </w:div>
    <w:div w:id="1639800678">
      <w:marLeft w:val="0"/>
      <w:marRight w:val="0"/>
      <w:marTop w:val="120"/>
      <w:marBottom w:val="120"/>
      <w:divBdr>
        <w:top w:val="none" w:sz="0" w:space="0" w:color="auto"/>
        <w:left w:val="none" w:sz="0" w:space="0" w:color="auto"/>
        <w:bottom w:val="none" w:sz="0" w:space="0" w:color="auto"/>
        <w:right w:val="none" w:sz="0" w:space="0" w:color="auto"/>
      </w:divBdr>
    </w:div>
    <w:div w:id="1646155184">
      <w:marLeft w:val="0"/>
      <w:marRight w:val="0"/>
      <w:marTop w:val="120"/>
      <w:marBottom w:val="120"/>
      <w:divBdr>
        <w:top w:val="none" w:sz="0" w:space="0" w:color="auto"/>
        <w:left w:val="none" w:sz="0" w:space="0" w:color="auto"/>
        <w:bottom w:val="none" w:sz="0" w:space="0" w:color="auto"/>
        <w:right w:val="none" w:sz="0" w:space="0" w:color="auto"/>
      </w:divBdr>
    </w:div>
    <w:div w:id="1713576003">
      <w:marLeft w:val="0"/>
      <w:marRight w:val="0"/>
      <w:marTop w:val="120"/>
      <w:marBottom w:val="120"/>
      <w:divBdr>
        <w:top w:val="none" w:sz="0" w:space="0" w:color="auto"/>
        <w:left w:val="none" w:sz="0" w:space="0" w:color="auto"/>
        <w:bottom w:val="none" w:sz="0" w:space="0" w:color="auto"/>
        <w:right w:val="none" w:sz="0" w:space="0" w:color="auto"/>
      </w:divBdr>
    </w:div>
    <w:div w:id="1732970622">
      <w:marLeft w:val="0"/>
      <w:marRight w:val="0"/>
      <w:marTop w:val="120"/>
      <w:marBottom w:val="120"/>
      <w:divBdr>
        <w:top w:val="none" w:sz="0" w:space="0" w:color="auto"/>
        <w:left w:val="none" w:sz="0" w:space="0" w:color="auto"/>
        <w:bottom w:val="none" w:sz="0" w:space="0" w:color="auto"/>
        <w:right w:val="none" w:sz="0" w:space="0" w:color="auto"/>
      </w:divBdr>
    </w:div>
    <w:div w:id="1766147801">
      <w:marLeft w:val="0"/>
      <w:marRight w:val="0"/>
      <w:marTop w:val="120"/>
      <w:marBottom w:val="120"/>
      <w:divBdr>
        <w:top w:val="none" w:sz="0" w:space="0" w:color="auto"/>
        <w:left w:val="none" w:sz="0" w:space="0" w:color="auto"/>
        <w:bottom w:val="none" w:sz="0" w:space="0" w:color="auto"/>
        <w:right w:val="none" w:sz="0" w:space="0" w:color="auto"/>
      </w:divBdr>
    </w:div>
    <w:div w:id="1813716621">
      <w:marLeft w:val="0"/>
      <w:marRight w:val="0"/>
      <w:marTop w:val="120"/>
      <w:marBottom w:val="120"/>
      <w:divBdr>
        <w:top w:val="none" w:sz="0" w:space="0" w:color="auto"/>
        <w:left w:val="none" w:sz="0" w:space="0" w:color="auto"/>
        <w:bottom w:val="none" w:sz="0" w:space="0" w:color="auto"/>
        <w:right w:val="none" w:sz="0" w:space="0" w:color="auto"/>
      </w:divBdr>
    </w:div>
    <w:div w:id="1854151409">
      <w:marLeft w:val="0"/>
      <w:marRight w:val="0"/>
      <w:marTop w:val="120"/>
      <w:marBottom w:val="120"/>
      <w:divBdr>
        <w:top w:val="none" w:sz="0" w:space="0" w:color="auto"/>
        <w:left w:val="none" w:sz="0" w:space="0" w:color="auto"/>
        <w:bottom w:val="none" w:sz="0" w:space="0" w:color="auto"/>
        <w:right w:val="none" w:sz="0" w:space="0" w:color="auto"/>
      </w:divBdr>
    </w:div>
    <w:div w:id="1911767870">
      <w:marLeft w:val="0"/>
      <w:marRight w:val="0"/>
      <w:marTop w:val="120"/>
      <w:marBottom w:val="120"/>
      <w:divBdr>
        <w:top w:val="none" w:sz="0" w:space="0" w:color="auto"/>
        <w:left w:val="none" w:sz="0" w:space="0" w:color="auto"/>
        <w:bottom w:val="none" w:sz="0" w:space="0" w:color="auto"/>
        <w:right w:val="none" w:sz="0" w:space="0" w:color="auto"/>
      </w:divBdr>
    </w:div>
    <w:div w:id="2034842260">
      <w:marLeft w:val="0"/>
      <w:marRight w:val="0"/>
      <w:marTop w:val="120"/>
      <w:marBottom w:val="120"/>
      <w:divBdr>
        <w:top w:val="none" w:sz="0" w:space="0" w:color="auto"/>
        <w:left w:val="none" w:sz="0" w:space="0" w:color="auto"/>
        <w:bottom w:val="none" w:sz="0" w:space="0" w:color="auto"/>
        <w:right w:val="none" w:sz="0" w:space="0" w:color="auto"/>
      </w:divBdr>
    </w:div>
    <w:div w:id="2037540250">
      <w:marLeft w:val="0"/>
      <w:marRight w:val="0"/>
      <w:marTop w:val="120"/>
      <w:marBottom w:val="120"/>
      <w:divBdr>
        <w:top w:val="none" w:sz="0" w:space="0" w:color="auto"/>
        <w:left w:val="none" w:sz="0" w:space="0" w:color="auto"/>
        <w:bottom w:val="none" w:sz="0" w:space="0" w:color="auto"/>
        <w:right w:val="none" w:sz="0" w:space="0" w:color="auto"/>
      </w:divBdr>
    </w:div>
    <w:div w:id="2099591798">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12783</Words>
  <Characters>72869</Characters>
  <Application>Microsoft Office Word</Application>
  <DocSecurity>0</DocSecurity>
  <Lines>607</Lines>
  <Paragraphs>170</Paragraphs>
  <ScaleCrop>false</ScaleCrop>
  <Company/>
  <LinksUpToDate>false</LinksUpToDate>
  <CharactersWithSpaces>85482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