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23B32">
      <w:pPr>
        <w:rPr>
          <w:rFonts w:eastAsia="Times New Roman"/>
          <w:vanish/>
          <w:sz w:val="20"/>
          <w:szCs w:val="20"/>
        </w:rPr>
      </w:pPr>
      <w:r>
        <w:rPr>
          <w:rFonts w:eastAsia="Times New Roman"/>
          <w:vanish/>
          <w:sz w:val="20"/>
          <w:szCs w:val="20"/>
        </w:rPr>
        <w:t>0000917225false--12-31falseQ120220.011000000000000.0110000000062036399647601230046700000009172252022-01-012022-03-310000917225sodi:ATMAgreementMember2021-02-012021-02-020000917225sodi:ATMAgreementMember2021-01-012021-03-310000917225</w:t>
      </w:r>
      <w:r>
        <w:rPr>
          <w:rFonts w:eastAsia="Times New Roman"/>
          <w:vanish/>
          <w:sz w:val="20"/>
          <w:szCs w:val="20"/>
        </w:rPr>
        <w:t>sodi:ATMAgreementMember2021-03-3100009172252015-10-012015-10-280000917225us-gaap:RetainedEarningsMember2022-03-310000917225us-gaap:AdditionalPaidInCapitalMember2022-03-310000917225us-gaap:CommonStockMember2022-03-310000917225us-gaap:RetainedEarningsMember2</w:t>
      </w:r>
      <w:r>
        <w:rPr>
          <w:rFonts w:eastAsia="Times New Roman"/>
          <w:vanish/>
          <w:sz w:val="20"/>
          <w:szCs w:val="20"/>
        </w:rPr>
        <w:t>022-01-012022-03-310000917225us-gaap:AdditionalPaidInCapitalMember2022-01-012022-03-310000917225us-gaap:CommonStockMember2022-01-012022-03-310000917225us-gaap:RetainedEarningsMember2021-12-310000917225us-gaap:AdditionalPaidInCapitalMember2021-12-3100009172</w:t>
      </w:r>
      <w:r>
        <w:rPr>
          <w:rFonts w:eastAsia="Times New Roman"/>
          <w:vanish/>
          <w:sz w:val="20"/>
          <w:szCs w:val="20"/>
        </w:rPr>
        <w:t>25us-gaap:CommonStockMember2021-12-310000917225us-gaap:RetainedEarningsMember2021-03-310000917225us-gaap:AdditionalPaidInCapitalMember2021-03-310000917225us-gaap:CommonStockMember2021-03-310000917225us-gaap:RetainedEarningsMember2021-01-012021-03-310000917</w:t>
      </w:r>
      <w:r>
        <w:rPr>
          <w:rFonts w:eastAsia="Times New Roman"/>
          <w:vanish/>
          <w:sz w:val="20"/>
          <w:szCs w:val="20"/>
        </w:rPr>
        <w:t>225us-gaap:AdditionalPaidInCapitalMember2021-01-012021-03-310000917225us-gaap:CommonStockMember2021-01-012021-03-310000917225us-gaap:RetainedEarningsMember2020-12-310000917225us-gaap:AdditionalPaidInCapitalMember2020-12-310000917225us-gaap:CommonStockMembe</w:t>
      </w:r>
      <w:r>
        <w:rPr>
          <w:rFonts w:eastAsia="Times New Roman"/>
          <w:vanish/>
          <w:sz w:val="20"/>
          <w:szCs w:val="20"/>
        </w:rPr>
        <w:t>r2020-12-310000917225us-gaap:StockOptionMembersodi:TwoThousandAndThirteenPlanMember2021-01-012021-03-310000917225us-gaap:StockOptionMembersodi:TwoThousandAndThirteenPlanMember2021-12-310000917225us-gaap:StockOptionMembersodi:TwoThousandAndThirteenPlanMembe</w:t>
      </w:r>
      <w:r>
        <w:rPr>
          <w:rFonts w:eastAsia="Times New Roman"/>
          <w:vanish/>
          <w:sz w:val="20"/>
          <w:szCs w:val="20"/>
        </w:rPr>
        <w:t>r2022-03-310000917225us-gaap:StockOptionMembersodi:TwoThousandAndThirteenPlanMember2021-01-012021-12-310000917225us-gaap:StockOptionMembersodi:TwoThousandAndThirteenPlanMember2022-01-012022-03-310000917225sodi:TwoThousandAndThirteenPlanMember2013-06-180000</w:t>
      </w:r>
      <w:r>
        <w:rPr>
          <w:rFonts w:eastAsia="Times New Roman"/>
          <w:vanish/>
          <w:sz w:val="20"/>
          <w:szCs w:val="20"/>
        </w:rPr>
        <w:t>917225us-gaap:FairValueInputsLevel3Member2022-03-310000917225us-gaap:FairValueInputsLevel2Member2022-03-310000917225us-gaap:FairValueInputsLevel1Member2022-03-310000917225us-gaap:FairValueInputsLevel3Member2021-12-310000917225us-gaap:FairValueInputsLevel2M</w:t>
      </w:r>
      <w:r>
        <w:rPr>
          <w:rFonts w:eastAsia="Times New Roman"/>
          <w:vanish/>
          <w:sz w:val="20"/>
          <w:szCs w:val="20"/>
        </w:rPr>
        <w:t>ember2021-12-310000917225us-gaap:FairValueInputsLevel1Member2021-12-310000917225sodi:VendettaMember2019-07-3100009172252019-07-310000917225sodi:ExplorationBondsAndOtherAssetsMember2022-03-310000917225sodi:ExplorationBondsAndOtherAssetsMember2021-12-3100009</w:t>
      </w:r>
      <w:r>
        <w:rPr>
          <w:rFonts w:eastAsia="Times New Roman"/>
          <w:vanish/>
          <w:sz w:val="20"/>
          <w:szCs w:val="20"/>
        </w:rPr>
        <w:t>17225sodi:VendettaWarrantsMember2022-03-310000917225sodi:VendettaWarrantsMember2021-12-310000917225us-gaap:OfficeEquipmentMember2022-03-310000917225us-gaap:OfficeEquipmentMember2021-12-310000917225sodi:LikProjectEquipmentMember2022-03-310000917225sodi:LikP</w:t>
      </w:r>
      <w:r>
        <w:rPr>
          <w:rFonts w:eastAsia="Times New Roman"/>
          <w:vanish/>
          <w:sz w:val="20"/>
          <w:szCs w:val="20"/>
        </w:rPr>
        <w:t>rojectEquipmentMember2021-12-310000917225us-gaap:FurnitureAndFixturesMember2022-03-310000917225us-gaap:FurnitureAndFixturesMember2021-12-310000917225sodi:WRLeaseMember2022-01-012022-03-310000917225sodi:WRLeaseMember2022-03-310000917225sodi:VoxRoyaltyCorpMe</w:t>
      </w:r>
      <w:r>
        <w:rPr>
          <w:rFonts w:eastAsia="Times New Roman"/>
          <w:vanish/>
          <w:sz w:val="20"/>
          <w:szCs w:val="20"/>
        </w:rPr>
        <w:t>mber2021-01-012021-03-310000917225sodi:TNRGoldCorpMember2021-01-012021-03-310000917225sodi:VendettaMiningCorpMember2022-01-012022-03-310000917225sodi:VendettaMiningCorpMember2021-01-012021-03-310000917225sodi:VoxRoyaltyCorpMember2022-03-310000917225sodi:Vo</w:t>
      </w:r>
      <w:r>
        <w:rPr>
          <w:rFonts w:eastAsia="Times New Roman"/>
          <w:vanish/>
          <w:sz w:val="20"/>
          <w:szCs w:val="20"/>
        </w:rPr>
        <w:t>xRoyaltyCorpMember2021-12-310000917225sodi:VendettaMiningCorpMember2022-03-310000917225sodi:VendettaMiningCorpMember2021-12-310000917225sodi:KinrossGoldCorpMember2022-03-310000917225sodi:KinrossGoldCorpMember2021-12-310000917225sodi:GoldenCrestSouthDakotaU</w:t>
      </w:r>
      <w:r>
        <w:rPr>
          <w:rFonts w:eastAsia="Times New Roman"/>
          <w:vanish/>
          <w:sz w:val="20"/>
          <w:szCs w:val="20"/>
        </w:rPr>
        <w:t>SMember2022-03-310000917225sodi:GoldenCrestSouthDakotaUSMember2021-12-310000917225sodi:LikProjectAlaskaUSMember2021-12-310000917225sodi:LikProjectAlaskaUSMember2022-03-3100009172252021-03-3100009172252020-12-3100009172252021-01-012021-03-3100009172252021-1</w:t>
      </w:r>
      <w:r>
        <w:rPr>
          <w:rFonts w:eastAsia="Times New Roman"/>
          <w:vanish/>
          <w:sz w:val="20"/>
          <w:szCs w:val="20"/>
        </w:rPr>
        <w:t>2-3100009172252022-03-3100009172252022-05-04iso4217:USDxbrli:sharesiso4217:USDxbrli:sharesxbrli:pure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hidden/>
        </w:trPr>
        <w:tc>
          <w:tcPr>
            <w:tcW w:w="0" w:type="auto"/>
            <w:tcBorders>
              <w:bottom w:val="single" w:sz="36" w:space="0" w:color="auto"/>
            </w:tcBorders>
            <w:vAlign w:val="center"/>
            <w:hideMark/>
          </w:tcPr>
          <w:p w:rsidR="00000000" w:rsidRDefault="00723B32">
            <w:pPr>
              <w:rPr>
                <w:rFonts w:eastAsia="Times New Roman"/>
                <w:vanish/>
                <w:sz w:val="20"/>
                <w:szCs w:val="20"/>
              </w:rPr>
            </w:pPr>
          </w:p>
        </w:tc>
      </w:tr>
      <w:tr w:rsidR="00000000">
        <w:trPr>
          <w:tblCellSpacing w:w="15" w:type="dxa"/>
        </w:trPr>
        <w:tc>
          <w:tcPr>
            <w:tcW w:w="0" w:type="auto"/>
            <w:tcBorders>
              <w:bottom w:val="single" w:sz="12" w:space="0" w:color="auto"/>
            </w:tcBorders>
            <w:vAlign w:val="center"/>
            <w:hideMark/>
          </w:tcPr>
          <w:p w:rsidR="00000000" w:rsidRDefault="00723B32">
            <w:pPr>
              <w:rPr>
                <w:rFonts w:eastAsia="Times New Roman"/>
                <w:sz w:val="20"/>
                <w:szCs w:val="20"/>
              </w:rPr>
            </w:pP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4"/>
          <w:sz w:val="20"/>
          <w:szCs w:val="20"/>
        </w:rPr>
        <w:t>UNITED STATES SECURITIES AND EXCHANGE COMMISSION</w:t>
      </w:r>
    </w:p>
    <w:p w:rsidR="00000000" w:rsidRDefault="00723B32">
      <w:pPr>
        <w:pStyle w:val="a3"/>
        <w:spacing w:before="0" w:beforeAutospacing="0" w:after="0" w:afterAutospacing="0"/>
        <w:jc w:val="center"/>
        <w:rPr>
          <w:sz w:val="20"/>
          <w:szCs w:val="20"/>
        </w:rPr>
      </w:pPr>
      <w:r>
        <w:rPr>
          <w:rStyle w:val="a4"/>
          <w:sz w:val="20"/>
          <w:szCs w:val="20"/>
        </w:rPr>
        <w:t>Washington, D.C. 20549</w:t>
      </w:r>
    </w:p>
    <w:p w:rsidR="00000000" w:rsidRDefault="00723B32">
      <w:pPr>
        <w:pStyle w:val="a3"/>
        <w:spacing w:before="0" w:beforeAutospacing="0" w:after="0" w:afterAutospacing="0"/>
        <w:jc w:val="center"/>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4"/>
          <w:sz w:val="36"/>
          <w:szCs w:val="36"/>
        </w:rPr>
        <w:t>FORM 10-Q</w:t>
      </w:r>
    </w:p>
    <w:p w:rsidR="00000000" w:rsidRDefault="00723B32">
      <w:pPr>
        <w:pStyle w:val="a3"/>
        <w:spacing w:before="0" w:beforeAutospacing="0" w:after="0" w:afterAutospacing="0"/>
        <w:rPr>
          <w:sz w:val="20"/>
          <w:szCs w:val="20"/>
        </w:rPr>
      </w:pPr>
      <w:r>
        <w:rPr>
          <w:sz w:val="20"/>
          <w:szCs w:val="20"/>
        </w:rPr>
        <w:t>(Mark One)</w:t>
      </w:r>
    </w:p>
    <w:p w:rsidR="00000000" w:rsidRDefault="00723B32">
      <w:pPr>
        <w:pStyle w:val="a3"/>
        <w:spacing w:before="0" w:beforeAutospacing="0" w:after="0" w:afterAutospacing="0"/>
        <w:rPr>
          <w:sz w:val="20"/>
          <w:szCs w:val="20"/>
        </w:rPr>
      </w:pPr>
      <w:r>
        <w:rPr>
          <w:rStyle w:val="a4"/>
          <w:rFonts w:ascii="Segoe UI Symbol" w:hAnsi="Segoe UI Symbol" w:cs="Segoe UI Symbol"/>
          <w:sz w:val="20"/>
          <w:szCs w:val="20"/>
        </w:rPr>
        <w:t>☒</w:t>
      </w:r>
      <w:r>
        <w:rPr>
          <w:rStyle w:val="a4"/>
          <w:sz w:val="20"/>
          <w:szCs w:val="20"/>
        </w:rPr>
        <w:t>   QUARTERLY REPORT PURSUANT TO SECTION 13 OR 15(d) O</w:t>
      </w:r>
      <w:r>
        <w:rPr>
          <w:rStyle w:val="a4"/>
          <w:sz w:val="20"/>
          <w:szCs w:val="20"/>
        </w:rPr>
        <w:t>F THE SECURITIES EXCHANGE ACT OF 1934</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left="1440"/>
        <w:jc w:val="center"/>
        <w:rPr>
          <w:sz w:val="20"/>
          <w:szCs w:val="20"/>
        </w:rPr>
      </w:pPr>
      <w:r>
        <w:rPr>
          <w:sz w:val="20"/>
          <w:szCs w:val="20"/>
        </w:rPr>
        <w:t xml:space="preserve">For the quarterly period ended </w:t>
      </w:r>
      <w:r>
        <w:rPr>
          <w:rStyle w:val="a4"/>
          <w:sz w:val="20"/>
          <w:szCs w:val="20"/>
          <w:u w:val="single"/>
        </w:rPr>
        <w:t xml:space="preserve">March 31, 2022 </w:t>
      </w:r>
    </w:p>
    <w:p w:rsidR="00000000" w:rsidRDefault="00723B32">
      <w:pPr>
        <w:pStyle w:val="a3"/>
        <w:spacing w:before="0" w:beforeAutospacing="0" w:after="0" w:afterAutospacing="0"/>
        <w:ind w:left="1440"/>
        <w:jc w:val="center"/>
        <w:rPr>
          <w:sz w:val="20"/>
          <w:szCs w:val="20"/>
        </w:rPr>
      </w:pPr>
      <w:r>
        <w:rPr>
          <w:sz w:val="20"/>
          <w:szCs w:val="20"/>
        </w:rPr>
        <w:t> </w:t>
      </w:r>
    </w:p>
    <w:p w:rsidR="00000000" w:rsidRDefault="00723B32">
      <w:pPr>
        <w:pStyle w:val="a3"/>
        <w:spacing w:before="0" w:beforeAutospacing="0" w:after="0" w:afterAutospacing="0"/>
        <w:jc w:val="center"/>
        <w:rPr>
          <w:sz w:val="20"/>
          <w:szCs w:val="20"/>
        </w:rPr>
      </w:pPr>
      <w:r>
        <w:rPr>
          <w:sz w:val="20"/>
          <w:szCs w:val="20"/>
        </w:rPr>
        <w:t>OR</w:t>
      </w:r>
    </w:p>
    <w:p w:rsidR="00000000" w:rsidRDefault="00723B32">
      <w:pPr>
        <w:pStyle w:val="a3"/>
        <w:spacing w:before="0" w:beforeAutospacing="0" w:after="0" w:afterAutospacing="0"/>
        <w:jc w:val="center"/>
        <w:rPr>
          <w:sz w:val="20"/>
          <w:szCs w:val="20"/>
        </w:rPr>
      </w:pPr>
      <w:r>
        <w:rPr>
          <w:sz w:val="20"/>
          <w:szCs w:val="20"/>
        </w:rPr>
        <w:t> </w:t>
      </w:r>
    </w:p>
    <w:p w:rsidR="00000000" w:rsidRDefault="00723B32">
      <w:pPr>
        <w:pStyle w:val="a3"/>
        <w:spacing w:before="0" w:beforeAutospacing="0" w:after="0" w:afterAutospacing="0"/>
        <w:rPr>
          <w:sz w:val="20"/>
          <w:szCs w:val="20"/>
        </w:rPr>
      </w:pPr>
      <w:r>
        <w:rPr>
          <w:rStyle w:val="a4"/>
          <w:rFonts w:ascii="Segoe UI Symbol" w:hAnsi="Segoe UI Symbol" w:cs="Segoe UI Symbol"/>
          <w:sz w:val="20"/>
          <w:szCs w:val="20"/>
        </w:rPr>
        <w:t>☐</w:t>
      </w:r>
      <w:r>
        <w:rPr>
          <w:rStyle w:val="a4"/>
          <w:sz w:val="20"/>
          <w:szCs w:val="20"/>
        </w:rPr>
        <w:t xml:space="preserve">   </w:t>
      </w:r>
      <w:r>
        <w:rPr>
          <w:rStyle w:val="a4"/>
          <w:sz w:val="20"/>
          <w:szCs w:val="20"/>
        </w:rPr>
        <w:t>TRANSITION REPORT PURSUANT TO SECTION 13 OR 15(d) OF THE SECURITIES EXCHANGE ACT OF 1934</w:t>
      </w:r>
    </w:p>
    <w:p w:rsidR="00000000" w:rsidRDefault="00723B32">
      <w:pPr>
        <w:pStyle w:val="a3"/>
        <w:spacing w:before="0" w:beforeAutospacing="0" w:after="0" w:afterAutospacing="0"/>
        <w:ind w:left="720"/>
        <w:rPr>
          <w:sz w:val="20"/>
          <w:szCs w:val="20"/>
        </w:rPr>
      </w:pPr>
      <w:r>
        <w:rPr>
          <w:sz w:val="20"/>
          <w:szCs w:val="20"/>
        </w:rPr>
        <w:t> </w:t>
      </w:r>
    </w:p>
    <w:p w:rsidR="00000000" w:rsidRDefault="00723B32">
      <w:pPr>
        <w:pStyle w:val="a3"/>
        <w:spacing w:before="0" w:beforeAutospacing="0" w:after="0" w:afterAutospacing="0"/>
        <w:ind w:left="720"/>
        <w:jc w:val="center"/>
        <w:rPr>
          <w:sz w:val="20"/>
          <w:szCs w:val="20"/>
        </w:rPr>
      </w:pPr>
      <w:r>
        <w:rPr>
          <w:sz w:val="20"/>
          <w:szCs w:val="20"/>
        </w:rPr>
        <w:t>For the transition period from ___________ to __________</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sz w:val="20"/>
          <w:szCs w:val="20"/>
        </w:rPr>
        <w:t xml:space="preserve">Commission File Number. </w:t>
      </w:r>
      <w:r>
        <w:rPr>
          <w:rStyle w:val="a4"/>
          <w:sz w:val="20"/>
          <w:szCs w:val="20"/>
          <w:u w:val="single"/>
        </w:rPr>
        <w:t>001-39278</w:t>
      </w:r>
    </w:p>
    <w:p w:rsidR="00000000" w:rsidRDefault="00723B32">
      <w:pPr>
        <w:pStyle w:val="a3"/>
        <w:spacing w:before="0" w:beforeAutospacing="0" w:after="0" w:afterAutospacing="0"/>
        <w:jc w:val="center"/>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723B32">
            <w:pPr>
              <w:pStyle w:val="a3"/>
              <w:spacing w:before="0" w:beforeAutospacing="0" w:after="0" w:afterAutospacing="0"/>
              <w:jc w:val="center"/>
              <w:rPr>
                <w:sz w:val="20"/>
                <w:szCs w:val="20"/>
              </w:rPr>
            </w:pPr>
            <w:r>
              <w:rPr>
                <w:rStyle w:val="a4"/>
                <w:sz w:val="36"/>
                <w:szCs w:val="36"/>
              </w:rPr>
              <w:t>SOLITARIO ZINC CORP.</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jc w:val="center"/>
              <w:rPr>
                <w:sz w:val="20"/>
                <w:szCs w:val="20"/>
              </w:rPr>
            </w:pPr>
            <w:r>
              <w:rPr>
                <w:sz w:val="20"/>
                <w:szCs w:val="20"/>
              </w:rPr>
              <w:t>(Exact name of registrant as specified in its ch</w:t>
            </w:r>
            <w:r>
              <w:rPr>
                <w:sz w:val="20"/>
                <w:szCs w:val="20"/>
              </w:rPr>
              <w:t>arter)</w:t>
            </w:r>
          </w:p>
        </w:tc>
      </w:tr>
    </w:tbl>
    <w:p w:rsidR="00000000" w:rsidRDefault="00723B32">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vAlign w:val="center"/>
            <w:hideMark/>
          </w:tcPr>
          <w:p w:rsidR="00000000" w:rsidRDefault="00723B32">
            <w:pPr>
              <w:pStyle w:val="a3"/>
              <w:spacing w:before="0" w:beforeAutospacing="0" w:after="0" w:afterAutospacing="0"/>
              <w:jc w:val="center"/>
              <w:rPr>
                <w:sz w:val="20"/>
                <w:szCs w:val="20"/>
              </w:rPr>
            </w:pPr>
            <w:r>
              <w:rPr>
                <w:rStyle w:val="a4"/>
                <w:sz w:val="20"/>
                <w:szCs w:val="20"/>
              </w:rPr>
              <w:t>Colorado</w:t>
            </w:r>
          </w:p>
        </w:tc>
        <w:tc>
          <w:tcPr>
            <w:tcW w:w="500" w:type="pct"/>
            <w:vAlign w:val="center"/>
            <w:hideMark/>
          </w:tcPr>
          <w:p w:rsidR="00000000" w:rsidRDefault="00723B32">
            <w:pPr>
              <w:pStyle w:val="a3"/>
              <w:spacing w:before="0" w:beforeAutospacing="0" w:after="0" w:afterAutospacing="0"/>
              <w:rPr>
                <w:sz w:val="20"/>
                <w:szCs w:val="20"/>
              </w:rPr>
            </w:pPr>
            <w:r>
              <w:rPr>
                <w:sz w:val="20"/>
                <w:szCs w:val="20"/>
              </w:rPr>
              <w:t> </w:t>
            </w:r>
          </w:p>
        </w:tc>
        <w:tc>
          <w:tcPr>
            <w:tcW w:w="2250" w:type="pct"/>
            <w:tcBorders>
              <w:bottom w:val="single" w:sz="6" w:space="0" w:color="000000"/>
            </w:tcBorders>
            <w:vAlign w:val="center"/>
            <w:hideMark/>
          </w:tcPr>
          <w:p w:rsidR="00000000" w:rsidRDefault="00723B32">
            <w:pPr>
              <w:pStyle w:val="a3"/>
              <w:spacing w:before="0" w:beforeAutospacing="0" w:after="0" w:afterAutospacing="0"/>
              <w:jc w:val="center"/>
              <w:rPr>
                <w:sz w:val="20"/>
                <w:szCs w:val="20"/>
              </w:rPr>
            </w:pPr>
            <w:r>
              <w:rPr>
                <w:rStyle w:val="a4"/>
                <w:sz w:val="20"/>
                <w:szCs w:val="20"/>
              </w:rPr>
              <w:t xml:space="preserve">84-1285791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jc w:val="center"/>
              <w:rPr>
                <w:sz w:val="20"/>
                <w:szCs w:val="20"/>
              </w:rPr>
            </w:pPr>
            <w:r>
              <w:rPr>
                <w:rStyle w:val="a4"/>
                <w:sz w:val="20"/>
                <w:szCs w:val="20"/>
              </w:rPr>
              <w:t>(State or other jurisdiction of</w:t>
            </w:r>
          </w:p>
          <w:p w:rsidR="00000000" w:rsidRDefault="00723B32">
            <w:pPr>
              <w:pStyle w:val="a3"/>
              <w:spacing w:before="0" w:beforeAutospacing="0" w:after="0" w:afterAutospacing="0"/>
              <w:jc w:val="center"/>
              <w:rPr>
                <w:sz w:val="20"/>
                <w:szCs w:val="20"/>
              </w:rPr>
            </w:pPr>
            <w:r>
              <w:rPr>
                <w:rStyle w:val="a4"/>
                <w:sz w:val="20"/>
                <w:szCs w:val="20"/>
              </w:rPr>
              <w:t> incorporation or organization)</w:t>
            </w:r>
            <w:r>
              <w:rPr>
                <w:rStyle w:val="a4"/>
                <w:sz w:val="20"/>
                <w:szCs w:val="20"/>
                <w:u w:val="single"/>
              </w:rPr>
              <w:t> </w:t>
            </w: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center"/>
              <w:rPr>
                <w:sz w:val="20"/>
                <w:szCs w:val="20"/>
              </w:rPr>
            </w:pPr>
            <w:r>
              <w:rPr>
                <w:rStyle w:val="a4"/>
                <w:sz w:val="20"/>
                <w:szCs w:val="20"/>
              </w:rPr>
              <w:t>(I.R.S. Employer</w:t>
            </w:r>
          </w:p>
          <w:p w:rsidR="00000000" w:rsidRDefault="00723B32">
            <w:pPr>
              <w:pStyle w:val="a3"/>
              <w:spacing w:before="0" w:beforeAutospacing="0" w:after="0" w:afterAutospacing="0"/>
              <w:jc w:val="center"/>
              <w:rPr>
                <w:sz w:val="20"/>
                <w:szCs w:val="20"/>
              </w:rPr>
            </w:pPr>
            <w:r>
              <w:rPr>
                <w:rStyle w:val="a4"/>
                <w:sz w:val="20"/>
                <w:szCs w:val="20"/>
              </w:rPr>
              <w:t> Identification No.</w:t>
            </w:r>
            <w:r>
              <w:rPr>
                <w:rStyle w:val="a4"/>
                <w:sz w:val="20"/>
                <w:szCs w:val="20"/>
                <w:u w:val="single"/>
              </w:rPr>
              <w:t xml:space="preserve"> </w:t>
            </w:r>
          </w:p>
        </w:tc>
      </w:tr>
    </w:tbl>
    <w:p w:rsidR="00000000" w:rsidRDefault="00723B32">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vAlign w:val="center"/>
            <w:hideMark/>
          </w:tcPr>
          <w:p w:rsidR="00000000" w:rsidRDefault="00723B32">
            <w:pPr>
              <w:pStyle w:val="a3"/>
              <w:spacing w:before="0" w:beforeAutospacing="0" w:after="0" w:afterAutospacing="0"/>
              <w:jc w:val="center"/>
              <w:rPr>
                <w:sz w:val="20"/>
                <w:szCs w:val="20"/>
              </w:rPr>
            </w:pPr>
            <w:r>
              <w:rPr>
                <w:rStyle w:val="a4"/>
                <w:sz w:val="20"/>
                <w:szCs w:val="20"/>
              </w:rPr>
              <w:t>4251 Kipling St. Suite 390, Wheat Ridge, CO</w:t>
            </w:r>
          </w:p>
        </w:tc>
        <w:tc>
          <w:tcPr>
            <w:tcW w:w="500" w:type="pct"/>
            <w:vAlign w:val="center"/>
            <w:hideMark/>
          </w:tcPr>
          <w:p w:rsidR="00000000" w:rsidRDefault="00723B32">
            <w:pPr>
              <w:pStyle w:val="a3"/>
              <w:spacing w:before="0" w:beforeAutospacing="0" w:after="0" w:afterAutospacing="0"/>
              <w:rPr>
                <w:sz w:val="20"/>
                <w:szCs w:val="20"/>
              </w:rPr>
            </w:pPr>
            <w:r>
              <w:rPr>
                <w:sz w:val="20"/>
                <w:szCs w:val="20"/>
              </w:rPr>
              <w:t> </w:t>
            </w:r>
          </w:p>
        </w:tc>
        <w:tc>
          <w:tcPr>
            <w:tcW w:w="2250" w:type="pct"/>
            <w:tcBorders>
              <w:bottom w:val="single" w:sz="6" w:space="0" w:color="000000"/>
            </w:tcBorders>
            <w:vAlign w:val="center"/>
            <w:hideMark/>
          </w:tcPr>
          <w:p w:rsidR="00000000" w:rsidRDefault="00723B32">
            <w:pPr>
              <w:pStyle w:val="a3"/>
              <w:spacing w:before="0" w:beforeAutospacing="0" w:after="0" w:afterAutospacing="0"/>
              <w:jc w:val="center"/>
              <w:rPr>
                <w:sz w:val="20"/>
                <w:szCs w:val="20"/>
              </w:rPr>
            </w:pPr>
            <w:r>
              <w:rPr>
                <w:rStyle w:val="a4"/>
                <w:sz w:val="20"/>
                <w:szCs w:val="20"/>
              </w:rPr>
              <w:t> 80033</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jc w:val="center"/>
              <w:rPr>
                <w:sz w:val="20"/>
                <w:szCs w:val="20"/>
              </w:rPr>
            </w:pPr>
            <w:r>
              <w:rPr>
                <w:rStyle w:val="a4"/>
                <w:sz w:val="20"/>
                <w:szCs w:val="20"/>
              </w:rPr>
              <w:t xml:space="preserve">(Address of principal executive offices)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center"/>
              <w:rPr>
                <w:sz w:val="20"/>
                <w:szCs w:val="20"/>
              </w:rPr>
            </w:pPr>
            <w:r>
              <w:rPr>
                <w:rStyle w:val="a4"/>
                <w:sz w:val="20"/>
                <w:szCs w:val="20"/>
              </w:rPr>
              <w:t>(Zip Code)</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4"/>
          <w:sz w:val="20"/>
          <w:szCs w:val="20"/>
          <w:u w:val="single"/>
        </w:rPr>
        <w:t xml:space="preserve">(303) 534-1030 </w:t>
      </w:r>
    </w:p>
    <w:p w:rsidR="00000000" w:rsidRDefault="00723B32">
      <w:pPr>
        <w:pStyle w:val="a3"/>
        <w:spacing w:before="0" w:beforeAutospacing="0" w:after="0" w:afterAutospacing="0"/>
        <w:jc w:val="center"/>
        <w:rPr>
          <w:sz w:val="20"/>
          <w:szCs w:val="20"/>
        </w:rPr>
      </w:pPr>
      <w:r>
        <w:rPr>
          <w:rStyle w:val="a4"/>
          <w:sz w:val="20"/>
          <w:szCs w:val="20"/>
        </w:rPr>
        <w:t>(Registrant's telephone number, including area code)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4"/>
          <w:sz w:val="20"/>
          <w:szCs w:val="20"/>
        </w:rPr>
        <w:t>Securities registered pursuant to Section 12(b) of the Act:</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483"/>
        <w:gridCol w:w="436"/>
        <w:gridCol w:w="2468"/>
        <w:gridCol w:w="436"/>
        <w:gridCol w:w="2483"/>
      </w:tblGrid>
      <w:tr w:rsidR="00000000">
        <w:trPr>
          <w:trHeight w:val="225"/>
          <w:tblCellSpacing w:w="15" w:type="dxa"/>
        </w:trPr>
        <w:tc>
          <w:tcPr>
            <w:tcW w:w="1500" w:type="pct"/>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Title of Each Class</w:t>
            </w:r>
          </w:p>
        </w:tc>
        <w:tc>
          <w:tcPr>
            <w:tcW w:w="250" w:type="pct"/>
            <w:vAlign w:val="center"/>
            <w:hideMark/>
          </w:tcPr>
          <w:p w:rsidR="00000000" w:rsidRDefault="00723B32">
            <w:pPr>
              <w:pStyle w:val="a3"/>
              <w:spacing w:before="0" w:beforeAutospacing="0" w:after="0" w:afterAutospacing="0"/>
              <w:jc w:val="center"/>
              <w:rPr>
                <w:sz w:val="20"/>
                <w:szCs w:val="20"/>
              </w:rPr>
            </w:pPr>
            <w:r>
              <w:rPr>
                <w:sz w:val="20"/>
                <w:szCs w:val="20"/>
              </w:rPr>
              <w:t> </w:t>
            </w:r>
          </w:p>
        </w:tc>
        <w:tc>
          <w:tcPr>
            <w:tcW w:w="1500" w:type="pct"/>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Trading Symbol</w:t>
            </w:r>
          </w:p>
        </w:tc>
        <w:tc>
          <w:tcPr>
            <w:tcW w:w="250" w:type="pct"/>
            <w:vAlign w:val="center"/>
            <w:hideMark/>
          </w:tcPr>
          <w:p w:rsidR="00000000" w:rsidRDefault="00723B32">
            <w:pPr>
              <w:pStyle w:val="a3"/>
              <w:spacing w:before="0" w:beforeAutospacing="0" w:after="0" w:afterAutospacing="0"/>
              <w:jc w:val="center"/>
              <w:rPr>
                <w:sz w:val="20"/>
                <w:szCs w:val="20"/>
              </w:rPr>
            </w:pPr>
            <w:r>
              <w:rPr>
                <w:sz w:val="20"/>
                <w:szCs w:val="20"/>
              </w:rPr>
              <w:t> </w:t>
            </w:r>
          </w:p>
        </w:tc>
        <w:tc>
          <w:tcPr>
            <w:tcW w:w="1500" w:type="pct"/>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Name of Each Exchange on Which Registered</w:t>
            </w:r>
          </w:p>
        </w:tc>
      </w:tr>
      <w:tr w:rsidR="00000000">
        <w:trPr>
          <w:trHeight w:val="225"/>
          <w:tblCellSpacing w:w="15" w:type="dxa"/>
        </w:trPr>
        <w:tc>
          <w:tcPr>
            <w:tcW w:w="0" w:type="auto"/>
            <w:hideMark/>
          </w:tcPr>
          <w:p w:rsidR="00000000" w:rsidRDefault="00723B32">
            <w:pPr>
              <w:pStyle w:val="a3"/>
              <w:spacing w:before="0" w:beforeAutospacing="0" w:after="0" w:afterAutospacing="0"/>
              <w:jc w:val="center"/>
              <w:rPr>
                <w:sz w:val="20"/>
                <w:szCs w:val="20"/>
              </w:rPr>
            </w:pPr>
            <w:r>
              <w:rPr>
                <w:sz w:val="20"/>
                <w:szCs w:val="20"/>
              </w:rPr>
              <w:t>Common Stock, $0.01 par value</w:t>
            </w:r>
          </w:p>
        </w:tc>
        <w:tc>
          <w:tcPr>
            <w:tcW w:w="0" w:type="auto"/>
            <w:vAlign w:val="center"/>
            <w:hideMark/>
          </w:tcPr>
          <w:p w:rsidR="00000000" w:rsidRDefault="00723B32">
            <w:pPr>
              <w:pStyle w:val="a3"/>
              <w:spacing w:before="0" w:beforeAutospacing="0" w:after="0" w:afterAutospacing="0"/>
              <w:jc w:val="center"/>
              <w:rPr>
                <w:sz w:val="20"/>
                <w:szCs w:val="20"/>
              </w:rPr>
            </w:pPr>
            <w:r>
              <w:rPr>
                <w:sz w:val="20"/>
                <w:szCs w:val="20"/>
              </w:rPr>
              <w:t> </w:t>
            </w:r>
          </w:p>
        </w:tc>
        <w:tc>
          <w:tcPr>
            <w:tcW w:w="0" w:type="auto"/>
            <w:hideMark/>
          </w:tcPr>
          <w:p w:rsidR="00000000" w:rsidRDefault="00723B32">
            <w:pPr>
              <w:pStyle w:val="a3"/>
              <w:spacing w:before="0" w:beforeAutospacing="0" w:after="0" w:afterAutospacing="0"/>
              <w:jc w:val="center"/>
              <w:rPr>
                <w:sz w:val="20"/>
                <w:szCs w:val="20"/>
              </w:rPr>
            </w:pPr>
            <w:r>
              <w:rPr>
                <w:sz w:val="20"/>
                <w:szCs w:val="20"/>
              </w:rPr>
              <w:t>XPL</w:t>
            </w:r>
          </w:p>
        </w:tc>
        <w:tc>
          <w:tcPr>
            <w:tcW w:w="0" w:type="auto"/>
            <w:vAlign w:val="center"/>
            <w:hideMark/>
          </w:tcPr>
          <w:p w:rsidR="00000000" w:rsidRDefault="00723B32">
            <w:pPr>
              <w:pStyle w:val="a3"/>
              <w:spacing w:before="0" w:beforeAutospacing="0" w:after="0" w:afterAutospacing="0"/>
              <w:jc w:val="center"/>
              <w:rPr>
                <w:sz w:val="20"/>
                <w:szCs w:val="20"/>
              </w:rPr>
            </w:pPr>
            <w:r>
              <w:rPr>
                <w:sz w:val="20"/>
                <w:szCs w:val="20"/>
              </w:rPr>
              <w:t> </w:t>
            </w:r>
          </w:p>
        </w:tc>
        <w:tc>
          <w:tcPr>
            <w:tcW w:w="0" w:type="auto"/>
            <w:hideMark/>
          </w:tcPr>
          <w:p w:rsidR="00000000" w:rsidRDefault="00723B32">
            <w:pPr>
              <w:pStyle w:val="a3"/>
              <w:spacing w:before="0" w:beforeAutospacing="0" w:after="0" w:afterAutospacing="0"/>
              <w:jc w:val="center"/>
              <w:rPr>
                <w:sz w:val="20"/>
                <w:szCs w:val="20"/>
              </w:rPr>
            </w:pPr>
            <w:r>
              <w:rPr>
                <w:sz w:val="20"/>
                <w:szCs w:val="20"/>
              </w:rPr>
              <w:t>NYSE American</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Indicate by checkmark whether the registrant (1) has filed all reports required to be filed by Section 13 or 15(d) of the Securities Exchange Act of 1934 duri</w:t>
      </w:r>
      <w:r>
        <w:rPr>
          <w:sz w:val="20"/>
          <w:szCs w:val="20"/>
        </w:rPr>
        <w:t>ng the preceding 12 months (or for such shorter period that the registrant was required to file such reports), and (2) has been subject to such filing requirements for the past 90 days.</w:t>
      </w:r>
    </w:p>
    <w:p w:rsidR="00000000" w:rsidRDefault="00723B32">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1641"/>
        <w:gridCol w:w="1765"/>
        <w:gridCol w:w="3654"/>
      </w:tblGrid>
      <w:tr w:rsidR="00000000">
        <w:trPr>
          <w:trHeight w:val="225"/>
          <w:tblCellSpacing w:w="15" w:type="dxa"/>
        </w:trPr>
        <w:tc>
          <w:tcPr>
            <w:tcW w:w="1150" w:type="pct"/>
            <w:hideMark/>
          </w:tcPr>
          <w:p w:rsidR="00000000" w:rsidRDefault="00723B32">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p>
        </w:tc>
        <w:tc>
          <w:tcPr>
            <w:tcW w:w="1250" w:type="pct"/>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2600" w:type="pct"/>
            <w:hideMark/>
          </w:tcPr>
          <w:p w:rsidR="00000000" w:rsidRDefault="00723B32">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Indicate by check mark whether the registrant has submitted electronically and posted on its Web site, if any, every</w:t>
      </w:r>
    </w:p>
    <w:p w:rsidR="00000000" w:rsidRDefault="00723B32">
      <w:pPr>
        <w:pStyle w:val="a3"/>
        <w:spacing w:before="0" w:beforeAutospacing="0" w:after="0" w:afterAutospacing="0"/>
        <w:rPr>
          <w:sz w:val="20"/>
          <w:szCs w:val="20"/>
        </w:rPr>
      </w:pPr>
      <w:r>
        <w:rPr>
          <w:sz w:val="20"/>
          <w:szCs w:val="20"/>
        </w:rPr>
        <w:t>Interactive Data File required to be submitted and posted pursuant to Rule 405 of Regulation S-T (§232.405 of this chapter) during the prec</w:t>
      </w:r>
      <w:r>
        <w:rPr>
          <w:sz w:val="20"/>
          <w:szCs w:val="20"/>
        </w:rPr>
        <w:t>eding 12 months (or for such shorter period that the registrant was required to submit and post such files).</w:t>
      </w:r>
    </w:p>
    <w:p w:rsidR="00000000" w:rsidRDefault="00723B32">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1641"/>
        <w:gridCol w:w="1765"/>
        <w:gridCol w:w="3654"/>
      </w:tblGrid>
      <w:tr w:rsidR="00000000">
        <w:trPr>
          <w:trHeight w:val="225"/>
          <w:tblCellSpacing w:w="15" w:type="dxa"/>
        </w:trPr>
        <w:tc>
          <w:tcPr>
            <w:tcW w:w="1150" w:type="pct"/>
            <w:hideMark/>
          </w:tcPr>
          <w:p w:rsidR="00000000" w:rsidRDefault="00723B32">
            <w:pPr>
              <w:pStyle w:val="a3"/>
              <w:spacing w:before="0" w:beforeAutospacing="0" w:after="0" w:afterAutospacing="0"/>
              <w:jc w:val="center"/>
              <w:rPr>
                <w:sz w:val="20"/>
                <w:szCs w:val="20"/>
              </w:rPr>
            </w:pPr>
            <w:r>
              <w:rPr>
                <w:sz w:val="20"/>
                <w:szCs w:val="20"/>
              </w:rPr>
              <w:lastRenderedPageBreak/>
              <w:t xml:space="preserve">Yes   </w:t>
            </w:r>
            <w:r>
              <w:rPr>
                <w:rFonts w:ascii="Segoe UI Symbol" w:hAnsi="Segoe UI Symbol" w:cs="Segoe UI Symbol"/>
                <w:sz w:val="20"/>
                <w:szCs w:val="20"/>
              </w:rPr>
              <w:t>☒</w:t>
            </w:r>
          </w:p>
        </w:tc>
        <w:tc>
          <w:tcPr>
            <w:tcW w:w="1250" w:type="pct"/>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2600" w:type="pct"/>
            <w:hideMark/>
          </w:tcPr>
          <w:p w:rsidR="00000000" w:rsidRDefault="00723B32">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Indicate by check mark whether the registrant is a large accelerated filer, an accelerated filer, a non-accelerated filer, sm</w:t>
      </w:r>
      <w:r>
        <w:rPr>
          <w:sz w:val="20"/>
          <w:szCs w:val="20"/>
        </w:rPr>
        <w:t xml:space="preserve">aller reporting company or an emerging growth company. See the definitions of “large accelerated filer,” “accelerated filer,” “smaller reporting company” and “emerging growth company” in Rule 12b-2 of the Exchange Act. </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470"/>
        <w:gridCol w:w="1455"/>
        <w:gridCol w:w="1957"/>
        <w:gridCol w:w="1788"/>
        <w:gridCol w:w="1636"/>
      </w:tblGrid>
      <w:tr w:rsidR="00000000">
        <w:trPr>
          <w:trHeight w:val="225"/>
          <w:tblCellSpacing w:w="15" w:type="dxa"/>
        </w:trPr>
        <w:tc>
          <w:tcPr>
            <w:tcW w:w="850" w:type="pct"/>
            <w:hideMark/>
          </w:tcPr>
          <w:p w:rsidR="00000000" w:rsidRDefault="00723B32">
            <w:pPr>
              <w:pStyle w:val="a3"/>
              <w:spacing w:before="0" w:beforeAutospacing="0" w:after="0" w:afterAutospacing="0"/>
              <w:rPr>
                <w:sz w:val="20"/>
                <w:szCs w:val="20"/>
              </w:rPr>
            </w:pPr>
            <w:r>
              <w:rPr>
                <w:sz w:val="20"/>
                <w:szCs w:val="20"/>
              </w:rPr>
              <w:t xml:space="preserve">Large accelerated filer   </w:t>
            </w:r>
            <w:r>
              <w:rPr>
                <w:rFonts w:ascii="Segoe UI Symbol" w:hAnsi="Segoe UI Symbol" w:cs="Segoe UI Symbol"/>
                <w:sz w:val="20"/>
                <w:szCs w:val="20"/>
              </w:rPr>
              <w:t>☐</w:t>
            </w:r>
          </w:p>
        </w:tc>
        <w:tc>
          <w:tcPr>
            <w:tcW w:w="850" w:type="pct"/>
            <w:hideMark/>
          </w:tcPr>
          <w:p w:rsidR="00000000" w:rsidRDefault="00723B32">
            <w:pPr>
              <w:pStyle w:val="a3"/>
              <w:spacing w:before="0" w:beforeAutospacing="0" w:after="0" w:afterAutospacing="0"/>
              <w:rPr>
                <w:sz w:val="20"/>
                <w:szCs w:val="20"/>
              </w:rPr>
            </w:pPr>
            <w:r>
              <w:rPr>
                <w:sz w:val="20"/>
                <w:szCs w:val="20"/>
              </w:rPr>
              <w:t>Accele</w:t>
            </w:r>
            <w:r>
              <w:rPr>
                <w:sz w:val="20"/>
                <w:szCs w:val="20"/>
              </w:rPr>
              <w:t xml:space="preserve">rated filer   </w:t>
            </w:r>
            <w:r>
              <w:rPr>
                <w:rFonts w:ascii="Segoe UI Symbol" w:hAnsi="Segoe UI Symbol" w:cs="Segoe UI Symbol"/>
                <w:sz w:val="20"/>
                <w:szCs w:val="20"/>
              </w:rPr>
              <w:t>☐</w:t>
            </w:r>
          </w:p>
        </w:tc>
        <w:tc>
          <w:tcPr>
            <w:tcW w:w="1150" w:type="pct"/>
            <w:hideMark/>
          </w:tcPr>
          <w:p w:rsidR="00000000" w:rsidRDefault="00723B32">
            <w:pPr>
              <w:pStyle w:val="a3"/>
              <w:spacing w:before="0" w:beforeAutospacing="0" w:after="0" w:afterAutospacing="0"/>
              <w:rPr>
                <w:sz w:val="20"/>
                <w:szCs w:val="20"/>
              </w:rPr>
            </w:pPr>
            <w:r>
              <w:rPr>
                <w:sz w:val="20"/>
                <w:szCs w:val="20"/>
              </w:rPr>
              <w:t xml:space="preserve">Non-accelerated filer  </w:t>
            </w:r>
            <w:r>
              <w:rPr>
                <w:rFonts w:ascii="Segoe UI Symbol" w:hAnsi="Segoe UI Symbol" w:cs="Segoe UI Symbol"/>
                <w:sz w:val="20"/>
                <w:szCs w:val="20"/>
              </w:rPr>
              <w:t>☒</w:t>
            </w:r>
          </w:p>
        </w:tc>
        <w:tc>
          <w:tcPr>
            <w:tcW w:w="1050" w:type="pct"/>
            <w:hideMark/>
          </w:tcPr>
          <w:p w:rsidR="00000000" w:rsidRDefault="00723B32">
            <w:pPr>
              <w:pStyle w:val="a3"/>
              <w:spacing w:before="0" w:beforeAutospacing="0" w:after="0" w:afterAutospacing="0"/>
              <w:rPr>
                <w:sz w:val="20"/>
                <w:szCs w:val="20"/>
              </w:rPr>
            </w:pPr>
            <w:r>
              <w:rPr>
                <w:sz w:val="20"/>
                <w:szCs w:val="20"/>
              </w:rPr>
              <w:t xml:space="preserve">Smaller reporting company   </w:t>
            </w:r>
            <w:r>
              <w:rPr>
                <w:rFonts w:ascii="Segoe UI Symbol" w:hAnsi="Segoe UI Symbol" w:cs="Segoe UI Symbol"/>
                <w:sz w:val="20"/>
                <w:szCs w:val="20"/>
              </w:rPr>
              <w:t>☒</w:t>
            </w:r>
          </w:p>
        </w:tc>
        <w:tc>
          <w:tcPr>
            <w:tcW w:w="950" w:type="pct"/>
            <w:hideMark/>
          </w:tcPr>
          <w:p w:rsidR="00000000" w:rsidRDefault="00723B32">
            <w:pPr>
              <w:pStyle w:val="a3"/>
              <w:spacing w:before="0" w:beforeAutospacing="0" w:after="0" w:afterAutospacing="0"/>
              <w:rPr>
                <w:sz w:val="20"/>
                <w:szCs w:val="20"/>
              </w:rPr>
            </w:pPr>
            <w:r>
              <w:rPr>
                <w:sz w:val="20"/>
                <w:szCs w:val="20"/>
              </w:rPr>
              <w:t xml:space="preserve">Emerging Growth Company   </w:t>
            </w:r>
            <w:r>
              <w:rPr>
                <w:rFonts w:ascii="Segoe UI Symbol" w:hAnsi="Segoe UI Symbol" w:cs="Segoe UI Symbol"/>
                <w:sz w:val="20"/>
                <w:szCs w:val="20"/>
              </w:rPr>
              <w:t>☐</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I</w:t>
      </w:r>
      <w:r>
        <w:rPr>
          <w:sz w:val="20"/>
          <w:szCs w:val="20"/>
        </w:rPr>
        <w:t>ndicate by check mark whether the registrant is a shell company (as defined in Rule 12b-2 of the Exchange Act).</w:t>
      </w:r>
    </w:p>
    <w:p w:rsidR="00000000" w:rsidRDefault="00723B32">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1641"/>
        <w:gridCol w:w="1765"/>
        <w:gridCol w:w="3654"/>
      </w:tblGrid>
      <w:tr w:rsidR="00000000">
        <w:trPr>
          <w:trHeight w:val="225"/>
          <w:tblCellSpacing w:w="15" w:type="dxa"/>
        </w:trPr>
        <w:tc>
          <w:tcPr>
            <w:tcW w:w="1150" w:type="pct"/>
            <w:hideMark/>
          </w:tcPr>
          <w:p w:rsidR="00000000" w:rsidRDefault="00723B32">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p>
        </w:tc>
        <w:tc>
          <w:tcPr>
            <w:tcW w:w="1250" w:type="pct"/>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2600" w:type="pct"/>
            <w:hideMark/>
          </w:tcPr>
          <w:p w:rsidR="00000000" w:rsidRDefault="00723B32">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There were 64,768,873 shares of $0.01 par value common stock outstanding as of May 4, 2022.</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723B32">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723B32">
            <w:pPr>
              <w:rPr>
                <w:rFonts w:eastAsia="Times New Roman"/>
                <w:sz w:val="20"/>
                <w:szCs w:val="20"/>
              </w:rPr>
            </w:pPr>
          </w:p>
        </w:tc>
      </w:tr>
    </w:tbl>
    <w:p w:rsidR="00000000" w:rsidRDefault="00723B32">
      <w:pPr>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tag"/>
          <w:sz w:val="20"/>
          <w:szCs w:val="20"/>
        </w:rPr>
        <w:t>TABLE OF CONTENT</w:t>
      </w:r>
      <w:r>
        <w:rPr>
          <w:rStyle w:val="atag"/>
          <w:sz w:val="20"/>
          <w:szCs w:val="20"/>
        </w:rPr>
        <w:t>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79"/>
        <w:gridCol w:w="6636"/>
        <w:gridCol w:w="764"/>
        <w:gridCol w:w="127"/>
      </w:tblGrid>
      <w:tr w:rsidR="00000000">
        <w:trPr>
          <w:trHeight w:val="225"/>
          <w:tblCellSpacing w:w="15" w:type="dxa"/>
        </w:trPr>
        <w:tc>
          <w:tcPr>
            <w:tcW w:w="0" w:type="auto"/>
            <w:gridSpan w:val="2"/>
            <w:vAlign w:val="center"/>
            <w:hideMark/>
          </w:tcPr>
          <w:p w:rsidR="00000000" w:rsidRDefault="00723B32">
            <w:pPr>
              <w:rPr>
                <w:sz w:val="20"/>
                <w:szCs w:val="20"/>
              </w:rPr>
            </w:pPr>
          </w:p>
        </w:tc>
        <w:tc>
          <w:tcPr>
            <w:tcW w:w="0" w:type="auto"/>
            <w:tcBorders>
              <w:bottom w:val="single" w:sz="6" w:space="0" w:color="000000"/>
            </w:tcBorders>
            <w:vAlign w:val="center"/>
            <w:hideMark/>
          </w:tcPr>
          <w:p w:rsidR="00000000" w:rsidRDefault="00723B32">
            <w:pPr>
              <w:pStyle w:val="a3"/>
              <w:spacing w:before="0" w:beforeAutospacing="0" w:after="0" w:afterAutospacing="0"/>
              <w:jc w:val="center"/>
              <w:rPr>
                <w:sz w:val="20"/>
                <w:szCs w:val="20"/>
              </w:rPr>
            </w:pPr>
            <w:r>
              <w:rPr>
                <w:rStyle w:val="a4"/>
                <w:sz w:val="20"/>
                <w:szCs w:val="20"/>
              </w:rPr>
              <w:t>Page</w:t>
            </w:r>
          </w:p>
        </w:tc>
        <w:tc>
          <w:tcPr>
            <w:tcW w:w="0" w:type="auto"/>
            <w:vAlign w:val="center"/>
            <w:hideMark/>
          </w:tcPr>
          <w:p w:rsidR="00000000" w:rsidRDefault="00723B32">
            <w:pPr>
              <w:rPr>
                <w:sz w:val="20"/>
                <w:szCs w:val="20"/>
              </w:rPr>
            </w:pPr>
          </w:p>
        </w:tc>
      </w:tr>
      <w:tr w:rsidR="00000000">
        <w:trPr>
          <w:trHeight w:val="225"/>
          <w:tblCellSpacing w:w="15" w:type="dxa"/>
        </w:trPr>
        <w:tc>
          <w:tcPr>
            <w:tcW w:w="0" w:type="auto"/>
            <w:gridSpan w:val="2"/>
            <w:vAlign w:val="center"/>
            <w:hideMark/>
          </w:tcPr>
          <w:p w:rsidR="00000000" w:rsidRDefault="00723B32">
            <w:pPr>
              <w:pStyle w:val="a3"/>
              <w:spacing w:before="0" w:beforeAutospacing="0" w:after="0" w:afterAutospacing="0"/>
              <w:jc w:val="both"/>
              <w:rPr>
                <w:sz w:val="20"/>
                <w:szCs w:val="20"/>
              </w:rPr>
            </w:pPr>
            <w:hyperlink w:anchor="p1" w:history="1">
              <w:r>
                <w:rPr>
                  <w:rStyle w:val="a5"/>
                  <w:sz w:val="20"/>
                  <w:szCs w:val="20"/>
                </w:rPr>
                <w:t>PART 1 - FINANCIAL INFORMATION</w:t>
              </w:r>
            </w:hyperlink>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450" w:type="pct"/>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450" w:type="pct"/>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50" w:type="pct"/>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1new" w:history="1">
              <w:r>
                <w:rPr>
                  <w:rStyle w:val="a5"/>
                  <w:b/>
                  <w:bCs/>
                  <w:sz w:val="20"/>
                  <w:szCs w:val="20"/>
                </w:rPr>
                <w:t>Item 1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1new" w:history="1">
              <w:r>
                <w:rPr>
                  <w:rStyle w:val="a5"/>
                  <w:sz w:val="20"/>
                  <w:szCs w:val="20"/>
                </w:rPr>
                <w:t xml:space="preserve">Financial Statements </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3</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2" w:history="1">
              <w:r>
                <w:rPr>
                  <w:rStyle w:val="a5"/>
                  <w:b/>
                  <w:bCs/>
                  <w:sz w:val="20"/>
                  <w:szCs w:val="20"/>
                </w:rPr>
                <w:t>Item 2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2" w:history="1">
              <w:r>
                <w:rPr>
                  <w:rStyle w:val="a5"/>
                  <w:sz w:val="20"/>
                  <w:szCs w:val="20"/>
                </w:rPr>
                <w:t>Management's Discussion and Analysis of Financial Condition and Results of Operations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13</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3" w:history="1">
              <w:r>
                <w:rPr>
                  <w:rStyle w:val="a5"/>
                  <w:b/>
                  <w:bCs/>
                  <w:sz w:val="20"/>
                  <w:szCs w:val="20"/>
                </w:rPr>
                <w:t>Item 3</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3" w:history="1">
              <w:r>
                <w:rPr>
                  <w:rStyle w:val="a5"/>
                  <w:sz w:val="20"/>
                  <w:szCs w:val="20"/>
                </w:rPr>
                <w:t>Quantitative and Qualitative Disclosures About Market Risk</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20</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4" w:history="1">
              <w:r>
                <w:rPr>
                  <w:rStyle w:val="a5"/>
                  <w:sz w:val="20"/>
                  <w:szCs w:val="20"/>
                </w:rPr>
                <w:t>Item 4</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4" w:history="1">
              <w:r>
                <w:rPr>
                  <w:rStyle w:val="a5"/>
                  <w:sz w:val="20"/>
                  <w:szCs w:val="20"/>
                </w:rPr>
                <w:t xml:space="preserve">Controls and Procedures </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20</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gridSpan w:val="2"/>
            <w:shd w:val="clear" w:color="auto" w:fill="FFFFFF"/>
            <w:vAlign w:val="center"/>
            <w:hideMark/>
          </w:tcPr>
          <w:p w:rsidR="00000000" w:rsidRDefault="00723B32">
            <w:pPr>
              <w:pStyle w:val="a3"/>
              <w:spacing w:before="0" w:beforeAutospacing="0" w:after="0" w:afterAutospacing="0"/>
              <w:jc w:val="both"/>
              <w:rPr>
                <w:sz w:val="20"/>
                <w:szCs w:val="20"/>
              </w:rPr>
            </w:pPr>
            <w:hyperlink w:anchor="p2" w:history="1">
              <w:r>
                <w:rPr>
                  <w:rStyle w:val="a5"/>
                  <w:sz w:val="20"/>
                  <w:szCs w:val="20"/>
                </w:rPr>
                <w:t>PART II - OTHER INFORMATION</w:t>
              </w:r>
            </w:hyperlink>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1n" w:history="1">
              <w:r>
                <w:rPr>
                  <w:rStyle w:val="a5"/>
                  <w:b/>
                  <w:bCs/>
                  <w:sz w:val="20"/>
                  <w:szCs w:val="20"/>
                </w:rPr>
                <w:t>Item 1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1n" w:history="1">
              <w:r>
                <w:rPr>
                  <w:rStyle w:val="a5"/>
                  <w:sz w:val="20"/>
                  <w:szCs w:val="20"/>
                </w:rPr>
                <w:t>Legal Proceedings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1a" w:history="1">
              <w:r>
                <w:rPr>
                  <w:rStyle w:val="a5"/>
                  <w:b/>
                  <w:bCs/>
                  <w:sz w:val="20"/>
                  <w:szCs w:val="20"/>
                </w:rPr>
                <w:t>Item 1A</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1a" w:history="1">
              <w:r>
                <w:rPr>
                  <w:rStyle w:val="a5"/>
                  <w:sz w:val="20"/>
                  <w:szCs w:val="20"/>
                </w:rPr>
                <w:t>Risk Factors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2n" w:history="1">
              <w:r>
                <w:rPr>
                  <w:rStyle w:val="a4"/>
                  <w:color w:val="0000FF"/>
                  <w:sz w:val="20"/>
                  <w:szCs w:val="20"/>
                  <w:u w:val="single"/>
                </w:rPr>
                <w:t>Item 2</w:t>
              </w:r>
              <w:r>
                <w:rPr>
                  <w:rStyle w:val="a5"/>
                  <w:sz w:val="20"/>
                  <w:szCs w:val="20"/>
                </w:rPr>
                <w:t>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2n" w:history="1">
              <w:r>
                <w:rPr>
                  <w:rStyle w:val="a5"/>
                  <w:sz w:val="20"/>
                  <w:szCs w:val="20"/>
                </w:rPr>
                <w:t>Unregistered Sales of Equity Securities and Use of Proceeds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3n" w:history="1">
              <w:r>
                <w:rPr>
                  <w:rStyle w:val="a5"/>
                  <w:b/>
                  <w:bCs/>
                  <w:sz w:val="20"/>
                  <w:szCs w:val="20"/>
                </w:rPr>
                <w:t>Item 3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3n" w:history="1">
              <w:r>
                <w:rPr>
                  <w:rStyle w:val="a5"/>
                  <w:sz w:val="20"/>
                  <w:szCs w:val="20"/>
                </w:rPr>
                <w:t>Defaults Upon Senior Securities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4n" w:history="1">
              <w:r>
                <w:rPr>
                  <w:rStyle w:val="a5"/>
                  <w:b/>
                  <w:bCs/>
                  <w:sz w:val="20"/>
                  <w:szCs w:val="20"/>
                </w:rPr>
                <w:t>Item 4</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4n" w:history="1">
              <w:r>
                <w:rPr>
                  <w:rStyle w:val="a5"/>
                  <w:sz w:val="20"/>
                  <w:szCs w:val="20"/>
                </w:rPr>
                <w:t xml:space="preserve">Mine Safety Disclosures </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5" w:history="1">
              <w:r>
                <w:rPr>
                  <w:rStyle w:val="a4"/>
                  <w:color w:val="0000FF"/>
                  <w:sz w:val="20"/>
                  <w:szCs w:val="20"/>
                  <w:u w:val="single"/>
                </w:rPr>
                <w:t>Item 5</w:t>
              </w:r>
              <w:r>
                <w:rPr>
                  <w:rStyle w:val="a5"/>
                  <w:sz w:val="20"/>
                  <w:szCs w:val="20"/>
                </w:rPr>
                <w:t>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5" w:history="1">
              <w:r>
                <w:rPr>
                  <w:rStyle w:val="a5"/>
                  <w:sz w:val="20"/>
                  <w:szCs w:val="20"/>
                </w:rPr>
                <w:t>Other Information</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6" w:history="1">
              <w:r>
                <w:rPr>
                  <w:rStyle w:val="a5"/>
                  <w:b/>
                  <w:bCs/>
                  <w:sz w:val="20"/>
                  <w:szCs w:val="20"/>
                </w:rPr>
                <w:t>Item 6 </w:t>
              </w:r>
            </w:hyperlink>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hyperlink w:anchor="i6" w:history="1">
              <w:r>
                <w:rPr>
                  <w:rStyle w:val="a5"/>
                  <w:sz w:val="20"/>
                  <w:szCs w:val="20"/>
                </w:rPr>
                <w:t>Exhibits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gridSpan w:val="2"/>
            <w:shd w:val="clear" w:color="auto" w:fill="CCEEFF"/>
            <w:vAlign w:val="center"/>
            <w:hideMark/>
          </w:tcPr>
          <w:p w:rsidR="00000000" w:rsidRDefault="00723B32">
            <w:pPr>
              <w:pStyle w:val="a3"/>
              <w:spacing w:before="0" w:beforeAutospacing="0" w:after="0" w:afterAutospacing="0"/>
              <w:jc w:val="both"/>
              <w:rPr>
                <w:sz w:val="20"/>
                <w:szCs w:val="20"/>
              </w:rPr>
            </w:pPr>
            <w:hyperlink w:anchor="sig" w:history="1">
              <w:r>
                <w:rPr>
                  <w:rStyle w:val="a5"/>
                  <w:sz w:val="20"/>
                  <w:szCs w:val="20"/>
                </w:rPr>
                <w:t>SIGNATURES</w:t>
              </w:r>
            </w:hyperlink>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22</w:t>
            </w:r>
          </w:p>
        </w:tc>
        <w:tc>
          <w:tcPr>
            <w:tcW w:w="0" w:type="auto"/>
            <w:shd w:val="clear" w:color="auto" w:fill="CCEEFF"/>
            <w:vAlign w:val="center"/>
            <w:hideMark/>
          </w:tcPr>
          <w:p w:rsidR="00000000" w:rsidRDefault="00723B32">
            <w:pPr>
              <w:pStyle w:val="a3"/>
              <w:spacing w:before="0" w:beforeAutospacing="0" w:after="0" w:afterAutospacing="0"/>
              <w:jc w:val="right"/>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lastRenderedPageBreak/>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2</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tag"/>
          <w:sz w:val="20"/>
          <w:szCs w:val="20"/>
        </w:rPr>
        <w:t>PART I - FINANCIAL INFORMATIO</w:t>
      </w:r>
      <w:r>
        <w:rPr>
          <w:rStyle w:val="atag"/>
          <w:sz w:val="20"/>
          <w:szCs w:val="20"/>
        </w:rPr>
        <w:t>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Financial Statement</w:t>
      </w:r>
      <w:r>
        <w:rPr>
          <w:rStyle w:val="atag"/>
          <w:sz w:val="20"/>
          <w:szCs w:val="20"/>
          <w:u w:val="single"/>
        </w:rPr>
        <w:t>s</w:t>
      </w:r>
    </w:p>
    <w:p w:rsidR="00000000" w:rsidRDefault="00723B32">
      <w:pPr>
        <w:pStyle w:val="a3"/>
        <w:spacing w:before="0" w:beforeAutospacing="0" w:after="0" w:afterAutospacing="0"/>
        <w:jc w:val="center"/>
        <w:rPr>
          <w:sz w:val="20"/>
          <w:szCs w:val="20"/>
        </w:rPr>
      </w:pPr>
      <w:r>
        <w:rPr>
          <w:sz w:val="20"/>
          <w:szCs w:val="20"/>
        </w:rPr>
        <w:t>SOLITARIO ZINC CORP.</w:t>
      </w:r>
    </w:p>
    <w:p w:rsidR="00000000" w:rsidRDefault="00723B32">
      <w:pPr>
        <w:pStyle w:val="a3"/>
        <w:spacing w:before="0" w:beforeAutospacing="0" w:after="0" w:afterAutospacing="0"/>
        <w:jc w:val="center"/>
        <w:rPr>
          <w:sz w:val="20"/>
          <w:szCs w:val="20"/>
        </w:rPr>
      </w:pPr>
      <w:r>
        <w:rPr>
          <w:sz w:val="20"/>
          <w:szCs w:val="20"/>
        </w:rPr>
        <w:t>CONDENSED CONSOLIDATED BALANCE SHEETS</w:t>
      </w:r>
    </w:p>
    <w:p w:rsidR="00000000" w:rsidRDefault="00723B32">
      <w:pPr>
        <w:pStyle w:val="a3"/>
        <w:spacing w:before="0" w:beforeAutospacing="0" w:after="0" w:afterAutospacing="0"/>
        <w:jc w:val="center"/>
        <w:rPr>
          <w:sz w:val="20"/>
          <w:szCs w:val="20"/>
        </w:rPr>
      </w:pPr>
      <w:r>
        <w:rPr>
          <w:sz w:val="20"/>
          <w:szCs w:val="20"/>
        </w:rPr>
        <w:t>(unaudited)</w:t>
      </w:r>
    </w:p>
    <w:p w:rsidR="00000000" w:rsidRDefault="00723B32">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0"/>
        <w:gridCol w:w="739"/>
        <w:gridCol w:w="98"/>
        <w:gridCol w:w="98"/>
        <w:gridCol w:w="131"/>
        <w:gridCol w:w="783"/>
        <w:gridCol w:w="113"/>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 of U.S. dollars, except share and per share amounts)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8"/>
            <w:vAlign w:val="bottom"/>
            <w:hideMark/>
          </w:tcPr>
          <w:p w:rsidR="00000000" w:rsidRDefault="00723B32">
            <w:pPr>
              <w:pStyle w:val="a3"/>
              <w:spacing w:before="0" w:beforeAutospacing="0" w:after="0" w:afterAutospacing="0"/>
              <w:jc w:val="center"/>
              <w:rPr>
                <w:sz w:val="20"/>
                <w:szCs w:val="20"/>
              </w:rPr>
            </w:pPr>
            <w:r>
              <w:rPr>
                <w:sz w:val="20"/>
                <w:szCs w:val="20"/>
              </w:rPr>
              <w:t>Assets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Cash and cash equivalents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345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462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Short-term investments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6,614</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5,087</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Investments in marketable equity securities, at fair value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1,413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1,307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Prepaid expenses and other</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317</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303</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675"/>
              <w:rPr>
                <w:sz w:val="20"/>
                <w:szCs w:val="20"/>
              </w:rPr>
            </w:pPr>
            <w:r>
              <w:rPr>
                <w:sz w:val="20"/>
                <w:szCs w:val="20"/>
              </w:rPr>
              <w:t>Total current assets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8,689</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7,159</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16,316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16,306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136</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Total assets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25,141</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CCEEFF"/>
            <w:hideMark/>
          </w:tcPr>
          <w:p w:rsidR="00000000" w:rsidRDefault="00723B32">
            <w:pPr>
              <w:pStyle w:val="a3"/>
              <w:spacing w:before="0" w:beforeAutospacing="0" w:after="0" w:afterAutospacing="0"/>
              <w:jc w:val="center"/>
              <w:rPr>
                <w:sz w:val="20"/>
                <w:szCs w:val="20"/>
              </w:rPr>
            </w:pPr>
            <w:r>
              <w:rPr>
                <w:sz w:val="20"/>
                <w:szCs w:val="20"/>
              </w:rPr>
              <w:t>Liabilities and Shareholders’ Equity</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Accounts payable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230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239</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Operating lease liability</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37</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37</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Total current liabilities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267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276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Long-term liabilities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Asset retirement obligation – Lik</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Operating lease liability</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25</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35</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Total long-term liabilities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150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160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 xml:space="preserve">Commitments and contingencies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Equity:</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Shareholders’ equity:</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 xml:space="preserve">Preferred stock, $0.01 par value, authorized 10,000,000 </w:t>
            </w:r>
            <w:r>
              <w:rPr>
                <w:sz w:val="20"/>
                <w:szCs w:val="20"/>
              </w:rPr>
              <w:t>shares (none issued and outstanding at March 31, 2022 and December 31, 2021)</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Common stock, $0.01 par value, authorized 100,000,000 shares (64,760,123 and 62,036,399 shares, respectively, issued and outstanding at March 31, 2022 and Decembe</w:t>
            </w:r>
            <w:r>
              <w:rPr>
                <w:sz w:val="20"/>
                <w:szCs w:val="20"/>
              </w:rPr>
              <w:t>r 31, 2021)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648</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620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Additional paid-in capital</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74,550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72,523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Accumulated deficit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(50,474</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(49,960</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Total shareholders’ equity</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24,724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23,183</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Total liabilities and shareholders’ equity</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25,141</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lastRenderedPageBreak/>
        <w:t>See Notes to Unaudited Condensed Consolidated Financial Statements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3</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sz w:val="20"/>
          <w:szCs w:val="20"/>
        </w:rPr>
        <w:t>SOLITARIO ZINC CORP.</w:t>
      </w:r>
    </w:p>
    <w:p w:rsidR="00000000" w:rsidRDefault="00723B32">
      <w:pPr>
        <w:pStyle w:val="a3"/>
        <w:spacing w:before="0" w:beforeAutospacing="0" w:after="0" w:afterAutospacing="0"/>
        <w:jc w:val="center"/>
        <w:rPr>
          <w:sz w:val="20"/>
          <w:szCs w:val="20"/>
        </w:rPr>
      </w:pPr>
      <w:r>
        <w:rPr>
          <w:sz w:val="20"/>
          <w:szCs w:val="20"/>
        </w:rPr>
        <w:t>CONDENSED CONSOLIDATED STATEMENTS OF OPERATIONS</w:t>
      </w:r>
    </w:p>
    <w:p w:rsidR="00000000" w:rsidRDefault="00723B32">
      <w:pPr>
        <w:pStyle w:val="a3"/>
        <w:spacing w:before="0" w:beforeAutospacing="0" w:after="0" w:afterAutospacing="0"/>
        <w:jc w:val="center"/>
        <w:rPr>
          <w:sz w:val="20"/>
          <w:szCs w:val="20"/>
        </w:rPr>
      </w:pPr>
      <w:r>
        <w:rPr>
          <w:sz w:val="20"/>
          <w:szCs w:val="20"/>
        </w:rPr>
        <w:t>(Unaudited)</w:t>
      </w:r>
    </w:p>
    <w:p w:rsidR="00000000" w:rsidRDefault="00723B32">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 of U.S. dollars, except per share amounts)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Three months ended</w:t>
            </w:r>
          </w:p>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Exploration expense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226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147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Depreciation</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5</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General and administrative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387</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280</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Total costs, expenses and other</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621</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432</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Other (loss) income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Interest and dividend income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31</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Other income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Loss on derivative instruments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(3</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(Loss) gain on sale of marketable equity securities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(81</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(51</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(25</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Unrealized gain (loss) on marketable equity securities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213</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(122</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Total other loss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107</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(96</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Net loss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(514</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(528</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Loss per common share: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Basic and diluted</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Basic and diluted</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62,728</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58,254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See Notes to Unaudited Condensed Consolidated Financial Statements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sz w:val="20"/>
          <w:szCs w:val="20"/>
        </w:rPr>
        <w:t>SOLITARIO ZINC CORP.</w:t>
      </w:r>
    </w:p>
    <w:p w:rsidR="00000000" w:rsidRDefault="00723B32">
      <w:pPr>
        <w:pStyle w:val="a3"/>
        <w:spacing w:before="0" w:beforeAutospacing="0" w:after="0" w:afterAutospacing="0"/>
        <w:jc w:val="center"/>
        <w:rPr>
          <w:sz w:val="20"/>
          <w:szCs w:val="20"/>
        </w:rPr>
      </w:pPr>
      <w:r>
        <w:rPr>
          <w:sz w:val="20"/>
          <w:szCs w:val="20"/>
        </w:rPr>
        <w:t>CONDENSED CONSOLIDATED STATEMENTS OF CASH FLOWS</w:t>
      </w:r>
    </w:p>
    <w:p w:rsidR="00000000" w:rsidRDefault="00723B32">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Three months ended</w:t>
            </w:r>
          </w:p>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 xml:space="preserve">Net loss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(514</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(528</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Depreciation</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5</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Amortization of right of use lease asset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Unrealized (gain) loss of marketable equity securities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(213</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122</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Unrealized loss on short-term investments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lastRenderedPageBreak/>
              <w:t>Employee stock option expense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Loss (gain) on sale of marketable equity securities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81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Loss on derivative instruments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Other income PPP loan forgiveness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Changes in operating assets and liabilities: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675"/>
              <w:rPr>
                <w:sz w:val="20"/>
                <w:szCs w:val="20"/>
              </w:rPr>
            </w:pPr>
            <w:r>
              <w:rPr>
                <w:sz w:val="20"/>
                <w:szCs w:val="20"/>
              </w:rPr>
              <w:t>Prepaid expenses and other assets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(14</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675"/>
              <w:rPr>
                <w:sz w:val="20"/>
                <w:szCs w:val="20"/>
              </w:rPr>
            </w:pPr>
            <w:r>
              <w:rPr>
                <w:sz w:val="20"/>
                <w:szCs w:val="20"/>
              </w:rPr>
              <w:t>Accounts payable and other current liabilities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(20</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(26</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675"/>
              <w:rPr>
                <w:sz w:val="20"/>
                <w:szCs w:val="20"/>
              </w:rPr>
            </w:pPr>
            <w:r>
              <w:rPr>
                <w:sz w:val="20"/>
                <w:szCs w:val="20"/>
              </w:rPr>
              <w:t>Net cash used in operating activities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(597</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(382</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Investing activities: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(Purchase) sale of short-term investments, net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(1,578</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938</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Cash from sale of marketable equity securities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26</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78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Purchase of mineral properties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(10</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450"/>
              <w:rPr>
                <w:sz w:val="20"/>
                <w:szCs w:val="20"/>
              </w:rPr>
            </w:pPr>
            <w:r>
              <w:rPr>
                <w:sz w:val="20"/>
                <w:szCs w:val="20"/>
              </w:rPr>
              <w:t>Net cash (used in) provided by investing activities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(1,562</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1,016</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Financing activities: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Issuance of common stock, net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2,023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98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Stock options exercised</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19</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67</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675"/>
              <w:rPr>
                <w:sz w:val="20"/>
                <w:szCs w:val="20"/>
              </w:rPr>
            </w:pPr>
            <w:r>
              <w:rPr>
                <w:sz w:val="20"/>
                <w:szCs w:val="20"/>
              </w:rPr>
              <w:t>Net cash provided by financing activities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2,042</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165</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Net (decrease) increase in cash and cash equivalents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(117</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799</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Cash and cash equivalents, beginning of period</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462</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605</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Cash and cash equivalents, end of period</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345</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1,404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See Notes to Unaudited Condensed Consolidated Financial Statements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sz w:val="20"/>
          <w:szCs w:val="20"/>
        </w:rPr>
        <w:t>NOTES TO UNAUDITED CONDENSED CONSOLIDATED FINANCIAL STATEMENTS</w:t>
      </w:r>
    </w:p>
    <w:p w:rsidR="00000000" w:rsidRDefault="00723B32">
      <w:pPr>
        <w:pStyle w:val="a3"/>
        <w:spacing w:before="0" w:beforeAutospacing="0" w:after="0" w:afterAutospacing="0"/>
        <w:jc w:val="center"/>
        <w:rPr>
          <w:sz w:val="20"/>
          <w:szCs w:val="20"/>
        </w:rPr>
      </w:pPr>
      <w:r>
        <w:rPr>
          <w:sz w:val="20"/>
          <w:szCs w:val="20"/>
        </w:rPr>
        <w:t>(Unaudited)</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1. </w:t>
      </w:r>
      <w:r>
        <w:rPr>
          <w:rStyle w:val="a4"/>
          <w:sz w:val="20"/>
          <w:szCs w:val="20"/>
        </w:rPr>
        <w:t>Business and Significant Accounting Policies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Business and company formation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Solitario Zinc Corp. (“Solitario,” or the “Company”) is an exploration stage company as defined by rules issued by the United States Securities and Exchange Commission (“SEC”).</w:t>
      </w:r>
      <w:r>
        <w:rPr>
          <w:sz w:val="20"/>
          <w:szCs w:val="20"/>
        </w:rPr>
        <w:t xml:space="preserve">  Solitario was incorporated in the state of Colorado on November 15, 1984 as a wholly-owned subsidiary of Crown Resources Corporation ("Crown").  In July 1994, Solitario became a publicly traded company on the Toronto Stock Exchange through its initial pu</w:t>
      </w:r>
      <w:r>
        <w:rPr>
          <w:sz w:val="20"/>
          <w:szCs w:val="20"/>
        </w:rPr>
        <w:t>blic offering.  Solitario has been actively involved in mineral exploration since 1993.  Solitario’s primary business is to acquire exploration mineral properties or royalties and/or discover economic deposits on its mineral properties and advance these de</w:t>
      </w:r>
      <w:r>
        <w:rPr>
          <w:sz w:val="20"/>
          <w:szCs w:val="20"/>
        </w:rPr>
        <w:t xml:space="preserve">posits, either on its own or through joint ventures, up to the development stage.  At that point, or sometime prior to that point, Solitario would likely attempt to sell its mineral properties, pursue their development either on its own or through a joint </w:t>
      </w:r>
      <w:r>
        <w:rPr>
          <w:sz w:val="20"/>
          <w:szCs w:val="20"/>
        </w:rPr>
        <w:t>venture with a partner that has expertise in mining operations, or create a royalty with a third party that continues to advance the property.  Solitario is primarily focused on the acquisition and exploration of precious metal, zinc and other base metal e</w:t>
      </w:r>
      <w:r>
        <w:rPr>
          <w:sz w:val="20"/>
          <w:szCs w:val="20"/>
        </w:rPr>
        <w:t>xploration mineral properties.  In addition to focusing on its mineral exploration properties and the evaluation of mineral properties for acquisition, Solitario also evaluates potential strategic transactions for the acquisition of new precious and base m</w:t>
      </w:r>
      <w:r>
        <w:rPr>
          <w:sz w:val="20"/>
          <w:szCs w:val="20"/>
        </w:rPr>
        <w:t>etal properties and assets with exploration potential or business combinations that Solitario determines to be favorable to Solitario. </w:t>
      </w:r>
    </w:p>
    <w:p w:rsidR="00000000" w:rsidRDefault="00723B32">
      <w:pPr>
        <w:pStyle w:val="a3"/>
        <w:spacing w:before="0" w:beforeAutospacing="0" w:after="0" w:afterAutospacing="0"/>
        <w:ind w:firstLine="675"/>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 xml:space="preserve">Solitario has recorded revenue in the past from the sale of mineral properties, including the sale of certain mineral </w:t>
      </w:r>
      <w:r>
        <w:rPr>
          <w:sz w:val="20"/>
          <w:szCs w:val="20"/>
        </w:rPr>
        <w:t xml:space="preserve">royalties.  Revenues and / or proceeds from the sale or joint venture of </w:t>
      </w:r>
      <w:r>
        <w:rPr>
          <w:sz w:val="20"/>
          <w:szCs w:val="20"/>
        </w:rPr>
        <w:lastRenderedPageBreak/>
        <w:t>properties or assets, although significant when they occur, have not been a consistent annual source of cash and would only occur in the future, if at all, on an infrequent basis.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w:t>
      </w:r>
      <w:r>
        <w:rPr>
          <w:sz w:val="20"/>
          <w:szCs w:val="20"/>
        </w:rPr>
        <w:t>olitario currently considers its carried interest in the Florida Canyon project in Peru, its interest in the Lik project in Alaska, and its Golden Crest project in South Dakota to be its core mineral property assets.  Nexa Resources, Ltd. (“Nexa”), Solitar</w:t>
      </w:r>
      <w:r>
        <w:rPr>
          <w:sz w:val="20"/>
          <w:szCs w:val="20"/>
        </w:rPr>
        <w:t>io’s joint venture partner, is continuing the exploration and furtherance of the Florida Canyon project and Solitario is monitoring progress at Florida Canyon.  Solitario is working with its 50% joint venture partner in the Lik deposit, Teck American Incor</w:t>
      </w:r>
      <w:r>
        <w:rPr>
          <w:sz w:val="20"/>
          <w:szCs w:val="20"/>
        </w:rPr>
        <w:t>porated, a wholly-owned subsidiary of Teck Resources Limited (both companies are referred to as “Teck”), to further the exploration and evaluate potential development plans for the Lik project.  Solitario is conducting mineral exploration on its Golden Cre</w:t>
      </w:r>
      <w:r>
        <w:rPr>
          <w:sz w:val="20"/>
          <w:szCs w:val="20"/>
        </w:rPr>
        <w:t>st project on its own.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 anticipates using its cash and short-term investments, in part, to fund costs and activities to further the exploration of the Florida Canyon, Lik and Golden Crest projects, and to potentially acquire additional mineral p</w:t>
      </w:r>
      <w:r>
        <w:rPr>
          <w:sz w:val="20"/>
          <w:szCs w:val="20"/>
        </w:rPr>
        <w:t>roperty assets.  The fluctuations in precious metal and other commodity prices contribute to a challenging environment for mineral exploration and development, which has created opportunities as well as challenges for the potential acquisition of early-sta</w:t>
      </w:r>
      <w:r>
        <w:rPr>
          <w:sz w:val="20"/>
          <w:szCs w:val="20"/>
        </w:rPr>
        <w:t xml:space="preserve">ge and advanced mineral exploration projects or other related assets at potentially attractive terms.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accompanying interim condensed consolidated financial statements of Solitario for the three months ended March 31, 2022 are unaudited and are prepa</w:t>
      </w:r>
      <w:r>
        <w:rPr>
          <w:sz w:val="20"/>
          <w:szCs w:val="20"/>
        </w:rPr>
        <w:t>red in accordance with accounting principles generally accepted in the United States of America (“generally accepted accounting principles”).  They do not include all disclosures required by generally accepted accounting principles for annual financial sta</w:t>
      </w:r>
      <w:r>
        <w:rPr>
          <w:sz w:val="20"/>
          <w:szCs w:val="20"/>
        </w:rPr>
        <w:t>tements, but in the opinion of management, include all adjustments necessary for a fair presentation.  Interim results are not necessarily indicative of results which may be achieved in the future or for the full year ending December 31, 2022.</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These financial statements should be read in conjunction with the financial statements and notes thereto which are included in Solitario’s Annual Report on Form 10-K for the year ended December 31, 2021.  The accounting policies set forth in those annual f</w:t>
      </w:r>
      <w:r>
        <w:rPr>
          <w:sz w:val="20"/>
          <w:szCs w:val="20"/>
        </w:rPr>
        <w:t xml:space="preserve">inancial statements are the same as the accounting policies utilized in the preparation of these financial statements, except as modified for appropriate interim financial statement presentation.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Risks and Uncertainties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 faces risks related t</w:t>
      </w:r>
      <w:r>
        <w:rPr>
          <w:sz w:val="20"/>
          <w:szCs w:val="20"/>
        </w:rPr>
        <w:t>o health epidemics and other outbreaks of communicable diseases, which could significantly disrupt its operations and may materially and adversely affect its business and financial condition.</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w:t>
      </w:r>
      <w:r>
        <w:rPr>
          <w:sz w:val="20"/>
          <w:szCs w:val="20"/>
        </w:rPr>
        <w:t xml:space="preserve">io’s business still could be adversely impacted by the effects of the coronavirus (“COVID-19”) or other epidemics or pandemics.  Solitario has recommended all of its employees and contractors follow government guidelines for health and safety policies for </w:t>
      </w:r>
      <w:r>
        <w:rPr>
          <w:sz w:val="20"/>
          <w:szCs w:val="20"/>
        </w:rPr>
        <w:t>employees and contractors, including encouraging tele-commuting and working from home where possible.  Solitario has evaluated the effects of COVID-19 on its operations and taken pro-active steps to address the impacts on its operations, including at times</w:t>
      </w:r>
      <w:r>
        <w:rPr>
          <w:sz w:val="20"/>
          <w:szCs w:val="20"/>
        </w:rPr>
        <w:t xml:space="preserve"> reducing costs, in response to the economic uncertainty associated with potential risks from COVID-19.  These prior cost reductions included implementing salary reductions and evaluating and reducing certain planned 2021 exploration programs through its j</w:t>
      </w:r>
      <w:r>
        <w:rPr>
          <w:sz w:val="20"/>
          <w:szCs w:val="20"/>
        </w:rPr>
        <w:t>oint venture partners at the Florida Canyon and Lik exploration projects.  Also, Solitairo has evaluated the potential impacts on its ability to access future traditional funding sources on the same or reasonably similar terms as in past periods.  Solitari</w:t>
      </w:r>
      <w:r>
        <w:rPr>
          <w:sz w:val="20"/>
          <w:szCs w:val="20"/>
        </w:rPr>
        <w:t xml:space="preserve">o will continue to monitor the effects of COVID-19 on its operations, financial condition and liquidity.  However, the extent to which COVID-19 impacts Solitario’s business, including our exploration and other activities and the market for our securities, </w:t>
      </w:r>
      <w:r>
        <w:rPr>
          <w:sz w:val="20"/>
          <w:szCs w:val="20"/>
        </w:rPr>
        <w:t>will depend on future developments, which are highly uncertain and cannot be predicted at this time, and include the duration, severity and scope of any new outbreak and the actions taken to contain or treat the COVID-19 pandemic.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Financial reporting</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consolidated financial statements include the accounts of Solitario and its wholly owned subsidiaries.  All significant intercompany accounts and transactions have been eliminated in consolidation.  The consolidated financial stat</w:t>
      </w:r>
      <w:r>
        <w:rPr>
          <w:sz w:val="20"/>
          <w:szCs w:val="20"/>
        </w:rPr>
        <w:t>ements are prepared in accordance with generally accepted accounting principles and are expressed in US dollars.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 xml:space="preserve">Cash equivalents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Cash equivalents include investments in highly liquid money-market securities with original maturities of three months or</w:t>
      </w:r>
      <w:r>
        <w:rPr>
          <w:sz w:val="20"/>
          <w:szCs w:val="20"/>
        </w:rPr>
        <w:t xml:space="preserve"> less when purchased.  As of March 31, 2022, $309,000 of Solitario’s cash are held in brokerage accounts and foreign banks, which are not covered under the Federal Deposit Insurance Corporation (“FDIC”) rules for the United States.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Short-term investmen</w:t>
      </w:r>
      <w:r>
        <w:rPr>
          <w:rStyle w:val="a7"/>
          <w:sz w:val="20"/>
          <w:szCs w:val="20"/>
        </w:rPr>
        <w:t>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Solitario has $6,015,000 of its current assets in United States Treasury Securities (“USTS”) with maturities of 15 days to 19 months.  In addition, at March 31, 2022, Solitario has three bank certificates of deposits (“CD’s”) wit</w:t>
      </w:r>
      <w:r>
        <w:rPr>
          <w:sz w:val="20"/>
          <w:szCs w:val="20"/>
        </w:rPr>
        <w:t>h face values between $100,000 and $250,000 recorded at their total fair value of $599,000.  The CD’s have maturities of one month to nine months.  The USTS and CD’s are recorded at their fair value, based upon quoted market prices.  The USTS are not cover</w:t>
      </w:r>
      <w:r>
        <w:rPr>
          <w:sz w:val="20"/>
          <w:szCs w:val="20"/>
        </w:rPr>
        <w:t>ed under the FDIC insurance rules for United States deposits.  Solitario’s USTS and CD’s are highly liquid and may be sold in their entirety at any time at their quoted market price and are classified as a current asset.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Financial statement classification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Solitario separately shows its classification of changes in the fair value of its short-term investment in USTS and CD’s as unrealized gain or loss on short-term investments in the statement of operation</w:t>
      </w:r>
      <w:r>
        <w:rPr>
          <w:sz w:val="20"/>
          <w:szCs w:val="20"/>
        </w:rPr>
        <w:t xml:space="preserve">s rather than a portion of interest and dividend income (net).  During the three months ended March 31, 2022 and 2021 the non-cash decrease in the fair value of its short-term investments, due primarily to changes in interest rates on held securities, was </w:t>
      </w:r>
      <w:r>
        <w:rPr>
          <w:sz w:val="20"/>
          <w:szCs w:val="20"/>
        </w:rPr>
        <w:t>$51,000 and $25,000, respectively.  The 2021 income statement and cash flows have been reclassified for comparability to the 2022 presentation.  Total other income (expense) and net cash used in operations in 2021 was not impacted by the reclassification.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Earnings per share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The calculation of basic and diluted earnings (loss) per share is based on the weighted average number of shares of common stock outstanding during the three months ended March 31, 2022 and 2021.  Potentially dilutive shares related </w:t>
      </w:r>
      <w:r>
        <w:rPr>
          <w:sz w:val="20"/>
          <w:szCs w:val="20"/>
        </w:rPr>
        <w:t>to outstanding common stock options of 5,440,000 and 5,437,650, respectively, for the three months ended March 31, 2022 and 2021 were excluded from the calculation of diluted loss per share because the effects were anti-dilutive.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2. Mineral Properti</w:t>
      </w:r>
      <w:r>
        <w:rPr>
          <w:rStyle w:val="a4"/>
          <w:sz w:val="20"/>
          <w:szCs w:val="20"/>
        </w:rPr>
        <w:t>es</w:t>
      </w:r>
    </w:p>
    <w:p w:rsidR="00000000" w:rsidRDefault="00723B32">
      <w:pPr>
        <w:pStyle w:val="a3"/>
        <w:spacing w:before="0" w:beforeAutospacing="0" w:after="0" w:afterAutospacing="0"/>
        <w:rPr>
          <w:sz w:val="20"/>
          <w:szCs w:val="20"/>
        </w:rPr>
      </w:pPr>
      <w:r>
        <w:rPr>
          <w:rStyle w:val="a4"/>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The following table details Solitario’s investment in Mineral Properties: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0"/>
        <w:gridCol w:w="739"/>
        <w:gridCol w:w="98"/>
        <w:gridCol w:w="98"/>
        <w:gridCol w:w="131"/>
        <w:gridCol w:w="783"/>
        <w:gridCol w:w="113"/>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sz w:val="20"/>
                <w:szCs w:val="20"/>
              </w:rPr>
              <w:t>Exploration</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Lik project (Alaska – US)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Golden Crest (South Dakota – US)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705</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695</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Total exploration mineral properties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16,316</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16,306</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Explo</w:t>
      </w:r>
      <w:r>
        <w:rPr>
          <w:sz w:val="20"/>
          <w:szCs w:val="20"/>
          <w:u w:val="single"/>
        </w:rPr>
        <w:t>ration expense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The following items comprised exploration expense:</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Three months ended</w:t>
            </w:r>
          </w:p>
          <w:p w:rsidR="00000000" w:rsidRDefault="00723B32">
            <w:pPr>
              <w:pStyle w:val="a3"/>
              <w:spacing w:before="0" w:beforeAutospacing="0" w:after="0" w:afterAutospacing="0"/>
              <w:jc w:val="center"/>
              <w:rPr>
                <w:sz w:val="20"/>
                <w:szCs w:val="20"/>
              </w:rPr>
            </w:pPr>
            <w:r>
              <w:rPr>
                <w:rStyle w:val="a4"/>
                <w:sz w:val="20"/>
                <w:szCs w:val="20"/>
              </w:rPr>
              <w:t> 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194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32</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22</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Total exploration costs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226</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147</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Asset Retirement Obligation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xml:space="preserve">                </w:t>
      </w:r>
      <w:r>
        <w:rPr>
          <w:sz w:val="20"/>
          <w:szCs w:val="20"/>
        </w:rPr>
        <w:t>In connection with the acquisition of its interest in the Lik project in 2017, Solitario recorded an asset retirement obligation of $125,000 for Solitario’s estimated reclamation cost of the existing disturbance at the Lik project.  This disturbance consis</w:t>
      </w:r>
      <w:r>
        <w:rPr>
          <w:sz w:val="20"/>
          <w:szCs w:val="20"/>
        </w:rPr>
        <w:t xml:space="preserve">ts of an exploration camp including certain drill sites and access roads at the camp.  The estimate was based upon estimated cash costs for reclamation as determined by the permitting bond required by the State of Alaska, for which Solitario has purchased </w:t>
      </w:r>
      <w:r>
        <w:rPr>
          <w:sz w:val="20"/>
          <w:szCs w:val="20"/>
        </w:rPr>
        <w:t xml:space="preserve">a reclamation bond insurance policy in the event Solitario or its 50% partner, Teck, do not complete required reclamation.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xml:space="preserve">                Solitario has not applied a discount rate to the recorded asset retirement obligation as the estimated time frame </w:t>
      </w:r>
      <w:r>
        <w:rPr>
          <w:sz w:val="20"/>
          <w:szCs w:val="20"/>
        </w:rPr>
        <w:t>for reclamation is not currently known, as reclamation is not expected to occur until the end of the Lik project life, which would follow future development and operations, the start of which cannot be estimated or assured at this time.  Additionally, no d</w:t>
      </w:r>
      <w:r>
        <w:rPr>
          <w:sz w:val="20"/>
          <w:szCs w:val="20"/>
        </w:rPr>
        <w:t>epreciation will be recorded on the related asset for the asset retirement obligation until the Lik project goes into operation, which cannot be assured.</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3. Marketable Equity Securities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Solitario's investments in marketable equity securities are carrie</w:t>
      </w:r>
      <w:r>
        <w:rPr>
          <w:sz w:val="20"/>
          <w:szCs w:val="20"/>
        </w:rPr>
        <w:t>d at fair value, which is based upon quoted prices of the securities owned.  The cost of marketable equity securities sold is determined by the specific identification method.  Changes in market value are recorded in the condensed consolidated statement of</w:t>
      </w:r>
      <w:r>
        <w:rPr>
          <w:sz w:val="20"/>
          <w:szCs w:val="20"/>
        </w:rPr>
        <w:t xml:space="preserve"> operations.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At March 31, 2022 and December 31, 2021 Solitario owns the following marketable equity securities: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63"/>
        <w:gridCol w:w="88"/>
        <w:gridCol w:w="88"/>
        <w:gridCol w:w="830"/>
        <w:gridCol w:w="89"/>
        <w:gridCol w:w="89"/>
        <w:gridCol w:w="130"/>
        <w:gridCol w:w="710"/>
        <w:gridCol w:w="89"/>
        <w:gridCol w:w="89"/>
        <w:gridCol w:w="89"/>
        <w:gridCol w:w="830"/>
        <w:gridCol w:w="89"/>
        <w:gridCol w:w="89"/>
        <w:gridCol w:w="130"/>
        <w:gridCol w:w="710"/>
        <w:gridCol w:w="104"/>
      </w:tblGrid>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March 31 2022</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December 31 2021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Fair value</w:t>
            </w:r>
          </w:p>
          <w:p w:rsidR="00000000" w:rsidRDefault="00723B32">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Fair value</w:t>
            </w:r>
          </w:p>
          <w:p w:rsidR="00000000" w:rsidRDefault="00723B32">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Kinross Gold Corp</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588</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Vendetta Mining Corp.</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8,500,000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442</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9,000,000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356</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Vox Royalty Corp.</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383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370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450"/>
              <w:rPr>
                <w:sz w:val="20"/>
                <w:szCs w:val="20"/>
              </w:rPr>
            </w:pPr>
            <w:r>
              <w:rPr>
                <w:sz w:val="20"/>
                <w:szCs w:val="20"/>
              </w:rPr>
              <w:t xml:space="preserve">Total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1,413</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following tables summarize Solitario’</w:t>
      </w:r>
      <w:r>
        <w:rPr>
          <w:sz w:val="20"/>
          <w:szCs w:val="20"/>
        </w:rPr>
        <w:t>s marketable equity securities and adjustments to fair value:</w:t>
      </w:r>
    </w:p>
    <w:p w:rsidR="00000000" w:rsidRDefault="00723B32">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0"/>
        <w:gridCol w:w="739"/>
        <w:gridCol w:w="98"/>
        <w:gridCol w:w="98"/>
        <w:gridCol w:w="131"/>
        <w:gridCol w:w="783"/>
        <w:gridCol w:w="113"/>
      </w:tblGrid>
      <w:tr w:rsidR="00000000">
        <w:trPr>
          <w:trHeight w:val="225"/>
          <w:tblCellSpacing w:w="15" w:type="dxa"/>
        </w:trPr>
        <w:tc>
          <w:tcPr>
            <w:tcW w:w="0" w:type="auto"/>
            <w:vAlign w:val="bottom"/>
            <w:hideMark/>
          </w:tcPr>
          <w:p w:rsidR="00000000" w:rsidRDefault="00723B32">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March 31,</w:t>
            </w:r>
          </w:p>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December 31,</w:t>
            </w:r>
          </w:p>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Marketable equity securities at cost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1,597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1,704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Cumulative unrealized loss on marketable equity securities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(184</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(397</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Marketable equity securities at fair value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1,413</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following table represents changes in marketable equity securities during the three months ended March 31, 2022 and 2021:</w:t>
      </w:r>
    </w:p>
    <w:p w:rsidR="00000000" w:rsidRDefault="00723B32">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Three months ended</w:t>
            </w:r>
          </w:p>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107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 xml:space="preserve">Realized (loss) gain on marketable equity securities sold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(81</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(26</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(78</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 xml:space="preserve">Net gain (loss) on marketable equity securities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132</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(109</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106</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(187</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The following table represents the realized and unrealized gain (loss) on marketable equity securities: </w:t>
      </w:r>
    </w:p>
    <w:p w:rsidR="00000000" w:rsidRDefault="00723B32">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723B32">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Three months ended</w:t>
            </w:r>
          </w:p>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Unrealized gain (loss) on marketable securities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213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(122</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Realized (loss) gain on marketable equity securities sold</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(81</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Net gain (loss) on marketable securities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132</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(109</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During the three months ended March 31, 2022, Solitario sold 500,000 shares of Vendetta Mining Corp. (“Vendetta”) common stock for proceeds of $26,000 and recorded a loss on sale of $81,000 on the date of sale. During the three months ended March 31, 2021,</w:t>
      </w:r>
      <w:r>
        <w:rPr>
          <w:sz w:val="20"/>
          <w:szCs w:val="20"/>
        </w:rPr>
        <w:t xml:space="preserve"> Solitario sold (i) 1,010,000 shares of Vendetta common stock for proceeds of $51,000 and recorded a loss on sale of $2,000; (ii) 287,000 shares of TNR Gold Corp. common stock for proceeds of $18,000 and recorded a gain on sale of $13,000 and (iii) 3,200 s</w:t>
      </w:r>
      <w:r>
        <w:rPr>
          <w:sz w:val="20"/>
          <w:szCs w:val="20"/>
        </w:rPr>
        <w:t>hares of Vox Royalty Corp. (“Vox”) for proceeds of $9,000 and recorded a gain on sale of $2,000.</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4. Leases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Solitario accounts for its leases in accordance with ASC 842. Solitario leases one facility, its Wheat Ridge, Colorado office (the “WR Lease”), that has a term of more than one year. Solitario has no other material operating lease costs. During the three m</w:t>
      </w:r>
      <w:r>
        <w:rPr>
          <w:sz w:val="20"/>
          <w:szCs w:val="20"/>
        </w:rPr>
        <w:t>onths ended March 31, 2021, Solitario entered into a new lease for the same facility under the WR Lease (both the prior and new lease are referred to as the “WR Lease”) and recorded a net increase in the related asset and liability of $99,000. The WR Lease</w:t>
      </w:r>
      <w:r>
        <w:rPr>
          <w:sz w:val="20"/>
          <w:szCs w:val="20"/>
        </w:rPr>
        <w:t xml:space="preserve"> is classified as an operating lease and has a term of 19 months at March 31, 2022, with no renewal option. At March 31, 2022 and December 31, 2021, the right-of-use office lease asset for the WR Lease is classified as other assets and the related liabilit</w:t>
      </w:r>
      <w:r>
        <w:rPr>
          <w:sz w:val="20"/>
          <w:szCs w:val="20"/>
        </w:rPr>
        <w:t xml:space="preserve">y as current and long-term operating lease liabilities in the condensed consolidated balance sheet. The amortization of right of use lease asset expense is recognized on a straight-line basis over the lease term, with variable lease payments recognized in </w:t>
      </w:r>
      <w:r>
        <w:rPr>
          <w:sz w:val="20"/>
          <w:szCs w:val="20"/>
        </w:rPr>
        <w:t>the period those payments are incurred. During the three months ended March 31, 2022 and 2021, Solitario recognized $10,000 and $10,000, respectively, of non-cash amortization of right of use lease asset expense for the WR Lease included in general and adm</w:t>
      </w:r>
      <w:r>
        <w:rPr>
          <w:sz w:val="20"/>
          <w:szCs w:val="20"/>
        </w:rPr>
        <w:t>inistrative expense. During the three months ended March 31, 2022 and 2021, cash lease payments of $11,000 and $7,000, respectively, were made on the WR Lease. These cash payments, less $1,000 of imputed interest for each period, reduced the related liabil</w:t>
      </w:r>
      <w:r>
        <w:rPr>
          <w:sz w:val="20"/>
          <w:szCs w:val="20"/>
        </w:rPr>
        <w:t>ity on the WR Lease. The discount rate within the WR Lease is not determinable and Solitario has applied a discount rate of 5% based upon Solitario’s estimate of its cost of capital.</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left="675"/>
        <w:rPr>
          <w:sz w:val="20"/>
          <w:szCs w:val="20"/>
        </w:rPr>
      </w:pPr>
      <w:r>
        <w:rPr>
          <w:sz w:val="20"/>
          <w:szCs w:val="20"/>
        </w:rPr>
        <w:t>The maturities of Solitario’s lease liability for its WR Lease are as f</w:t>
      </w:r>
      <w:r>
        <w:rPr>
          <w:sz w:val="20"/>
          <w:szCs w:val="20"/>
        </w:rPr>
        <w:t>ollows at March 31, 2022:</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91"/>
        <w:gridCol w:w="106"/>
        <w:gridCol w:w="130"/>
        <w:gridCol w:w="757"/>
        <w:gridCol w:w="122"/>
      </w:tblGrid>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sz w:val="20"/>
                <w:szCs w:val="20"/>
              </w:rPr>
              <w:t>Future lease payments (in thousands)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2022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29</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2023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36</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Total lease payments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1125"/>
              <w:rPr>
                <w:sz w:val="20"/>
                <w:szCs w:val="20"/>
              </w:rPr>
            </w:pPr>
            <w:r>
              <w:rPr>
                <w:sz w:val="20"/>
                <w:szCs w:val="20"/>
              </w:rPr>
              <w:t>Less the portion of lease payments representing interest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(3</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Present value of lease payments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62</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Supplemental cash flow information related to our operating lease was as follows for the three months ended March 31, 2022 and 2021:</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Three months ended</w:t>
            </w:r>
          </w:p>
          <w:p w:rsidR="00000000" w:rsidRDefault="00723B32">
            <w:pPr>
              <w:pStyle w:val="a3"/>
              <w:spacing w:before="0" w:beforeAutospacing="0" w:after="0" w:afterAutospacing="0"/>
              <w:jc w:val="center"/>
              <w:rPr>
                <w:sz w:val="20"/>
                <w:szCs w:val="20"/>
              </w:rPr>
            </w:pPr>
            <w:r>
              <w:rPr>
                <w:rStyle w:val="a4"/>
                <w:sz w:val="20"/>
                <w:szCs w:val="20"/>
              </w:rPr>
              <w:t> 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sz w:val="20"/>
                <w:szCs w:val="20"/>
              </w:rPr>
              <w:t>Cash paid for amounts included in the measurement of lease liabilities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Operating cash outflows from WR Lease payments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Non-cash amounts related to the WR lease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Leased assets recorded in exchange for new operating lease liabilities -net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5. Other Assets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The following items comprised other assets: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1"/>
        <w:gridCol w:w="738"/>
        <w:gridCol w:w="98"/>
        <w:gridCol w:w="98"/>
        <w:gridCol w:w="131"/>
        <w:gridCol w:w="783"/>
        <w:gridCol w:w="113"/>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5</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72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 xml:space="preserve">Total other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136</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Vendetta Warrants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On July 31, 2019, Solitario purchased 3,450,000 Vendetta units for a total of $233,000</w:t>
      </w:r>
      <w:r>
        <w:rPr>
          <w:sz w:val="20"/>
          <w:szCs w:val="20"/>
        </w:rPr>
        <w:t>. Each Vendetta unit consisted of one share of Vendetta common stock and one Vendetta warrant (the “Vendetta Warrants”). Each Vendetta Warrant entitles the holder to purchase one additional share of Vendetta common stock for a purchase price of Cdn$0.13 pe</w:t>
      </w:r>
      <w:r>
        <w:rPr>
          <w:sz w:val="20"/>
          <w:szCs w:val="20"/>
        </w:rPr>
        <w:t>r share for a period of three years. On the purchase date Solitario recorded marketable equity securities of $165,000 for the Vendetta shares acquired and $68,000 for the Vendetta Warrants based upon an allocation of the purchase price of the Vendetta unit</w:t>
      </w:r>
      <w:r>
        <w:rPr>
          <w:sz w:val="20"/>
          <w:szCs w:val="20"/>
        </w:rPr>
        <w:t>s, based upon (i) the fair value of the Vendetta common shares received, based upon the quoted market price for Vendetta common shares and (ii) the fair value of Vendetta Warrants based upon a Black Scholes model. During the three months ended March 31, 20</w:t>
      </w:r>
      <w:r>
        <w:rPr>
          <w:sz w:val="20"/>
          <w:szCs w:val="20"/>
        </w:rPr>
        <w:t>22 and 2021, Solitario charged loss on derivative instruments $1,000 and $3,000, respectively, for the change in the fair value of the Vendetta Warrants based upon a Black Scholes model.</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6. Fair Value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 accounts for its financial instruments un</w:t>
      </w:r>
      <w:r>
        <w:rPr>
          <w:sz w:val="20"/>
          <w:szCs w:val="20"/>
        </w:rPr>
        <w:t>der ASC 820. For certain of Solitario’s financial instruments, including cash and cash equivalents and payables, the carrying amounts approximate fair value due to their short-term maturities. Solitario’s short-term investments in USTS, CD’s, and marketabl</w:t>
      </w:r>
      <w:r>
        <w:rPr>
          <w:sz w:val="20"/>
          <w:szCs w:val="20"/>
        </w:rPr>
        <w:t>e equity securities are carried at their estimated fair value based on quoted market prices. During the three months ended March 31, 2022 there were no reclassifications in financial assets or liabilities between Level 1, 2 or 3 categories.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following</w:t>
      </w:r>
      <w:r>
        <w:rPr>
          <w:sz w:val="20"/>
          <w:szCs w:val="20"/>
        </w:rPr>
        <w:t xml:space="preserve"> is a listing of Solitario’s financial assets and liabilities required to be measured at fair value on a recurring basis and where they are classified within the hierarchy as of March 31, 2022:</w:t>
      </w:r>
    </w:p>
    <w:p w:rsidR="00000000" w:rsidRDefault="00723B32">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723B32">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 xml:space="preserve">Level 1 </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jc w:val="center"/>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jc w:val="center"/>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 xml:space="preserve">Level 2 </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jc w:val="center"/>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jc w:val="center"/>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jc w:val="center"/>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jc w:val="center"/>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 xml:space="preserve">Total </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6,614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6,614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1,413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1,413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 xml:space="preserve">Vendetta Warrants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following is a listing of Solitario’</w:t>
      </w:r>
      <w:r>
        <w:rPr>
          <w:sz w:val="20"/>
          <w:szCs w:val="20"/>
        </w:rPr>
        <w:t xml:space="preserve">s financial assets and liabilities required to be measured at fair value on a recurring basis and where they are classified within the hierarchy as of December 31, 2021: </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723B32">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Level 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Level 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Total</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23B32">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ind w:left="225"/>
              <w:rPr>
                <w:sz w:val="20"/>
                <w:szCs w:val="20"/>
              </w:rPr>
            </w:pPr>
            <w:r>
              <w:rPr>
                <w:sz w:val="20"/>
                <w:szCs w:val="20"/>
              </w:rPr>
              <w:t>Vendetta Warrants</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7. Income Taxes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 accounts for income taxes in accordance with ASC 740.  Under ASC 740, income taxes are provided for the tax effects of transactions reported in the financial statements and consist of taxes currently due plus deferred taxes related to certain inc</w:t>
      </w:r>
      <w:r>
        <w:rPr>
          <w:sz w:val="20"/>
          <w:szCs w:val="20"/>
        </w:rPr>
        <w:t>ome and expenses recognized in different periods for financial and income tax reporting purposes.  Deferred tax assets and liabilities represent the future tax return consequences of those differences, which will either be taxable or deductible when the as</w:t>
      </w:r>
      <w:r>
        <w:rPr>
          <w:sz w:val="20"/>
          <w:szCs w:val="20"/>
        </w:rPr>
        <w:t>sets and liabilities are recovered or settled.  Deferred taxes are also recognized for operating losses and tax credits that are available to offset future taxable income and income taxes, respectively.  A valuation allowance is provided if it is more like</w:t>
      </w:r>
      <w:r>
        <w:rPr>
          <w:sz w:val="20"/>
          <w:szCs w:val="20"/>
        </w:rPr>
        <w:t>ly than not that some portion or all of the deferred tax assets will not be realized.</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At both March 31, 2022 and December 31, 2021, a valuation allowance has been recorded, which fully offsets Solitario’s net deferred tax assets, because it is more likel</w:t>
      </w:r>
      <w:r>
        <w:rPr>
          <w:sz w:val="20"/>
          <w:szCs w:val="20"/>
        </w:rPr>
        <w:t xml:space="preserve">y than not that the Company will not realize some portion or all of its deferred tax assets.  The Company continually assesses both positive and negative evidence to determine whether it is more likely than not that the deferred tax assets can be realized </w:t>
      </w:r>
      <w:r>
        <w:rPr>
          <w:sz w:val="20"/>
          <w:szCs w:val="20"/>
        </w:rPr>
        <w:t>prior to their expiration.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During the three months ended March 31, 2022 and 2021, Solitario recorded no deferred tax expense.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8. Commitments and contingencies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 has recorded an asset retirement obligation of $125,000 related to its Lik proj</w:t>
      </w:r>
      <w:r>
        <w:rPr>
          <w:sz w:val="20"/>
          <w:szCs w:val="20"/>
        </w:rPr>
        <w:t>ect in Alaska.  See Note 2, “Mineral Properties,” above.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Solitario leases office space under the WR Lease which provides for total minimum rent payments of $65,000 through October of 2023.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9. Employee Stock Compensation Plans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On June 18, 2013, Solitario’s shareholders approved the 2013 Solitario Exploration</w:t>
      </w:r>
      <w:r>
        <w:rPr>
          <w:sz w:val="20"/>
          <w:szCs w:val="20"/>
        </w:rPr>
        <w:t xml:space="preserve"> &amp; Royalty Corp. Omnibus Stock and Incentive Plan (the “2013 Plan”).  Under the terms of the 2013 Plan, as amended, a total of 5,750,000 shares of Solitario common stock were reserved for awards to directors, officers, employees and consultants.  Awards gr</w:t>
      </w:r>
      <w:r>
        <w:rPr>
          <w:sz w:val="20"/>
          <w:szCs w:val="20"/>
        </w:rPr>
        <w:t>anted under the 2013 Plan may take the form of stock options, stock appreciation rights, restricted stock, and restricted stock units.  The terms and conditions of the awards are pursuant to the 2013 Plan and are granted by the Board of Directors or a comm</w:t>
      </w:r>
      <w:r>
        <w:rPr>
          <w:sz w:val="20"/>
          <w:szCs w:val="20"/>
        </w:rPr>
        <w:t>ittee appointed by the Board of Directors.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and December 31, 2021 there were options outstanding that are exercisable to acquire 5,440,000 and 5,513,000, respectively, shares of</w:t>
      </w:r>
      <w:r>
        <w:rPr>
          <w:sz w:val="20"/>
          <w:szCs w:val="20"/>
        </w:rPr>
        <w:t xml:space="preserve"> Solitario common stock, with exercise prices between $0.20 and $0.77 per share.  During the three months ended March 31, 2022 and 2021, Solitario did not grant any options.  During the three months ended March 31, 2022, options for 73,000 shares were exer</w:t>
      </w:r>
      <w:r>
        <w:rPr>
          <w:sz w:val="20"/>
          <w:szCs w:val="20"/>
        </w:rPr>
        <w:t>cised with an average exercise price of $0.26 per share for proceeds of $19,000.  During the three months ended March 31, 2021, options for 120,350 shares were exercised with an average exercise price of $0.56 per share for proceeds of $67,000.  During the</w:t>
      </w:r>
      <w:r>
        <w:rPr>
          <w:sz w:val="20"/>
          <w:szCs w:val="20"/>
        </w:rPr>
        <w:t xml:space="preserve"> three months ended March 31, 2022 and 2021, Solitario recorded stock option compensation expense of $13,000 and $28,000, respectively.  At March 31, 2022, the total unrecognized stock option compensation cost related to non-vested options is $67,000 and i</w:t>
      </w:r>
      <w:r>
        <w:rPr>
          <w:sz w:val="20"/>
          <w:szCs w:val="20"/>
        </w:rPr>
        <w:t xml:space="preserve">s expected to be recognized over a weighted average period of 18 months.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10. Shareholders’ Equity</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Shareholders’ Equity for the three months ended March 31, 2022:</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189"/>
        <w:gridCol w:w="80"/>
        <w:gridCol w:w="80"/>
        <w:gridCol w:w="930"/>
        <w:gridCol w:w="80"/>
        <w:gridCol w:w="80"/>
        <w:gridCol w:w="131"/>
        <w:gridCol w:w="779"/>
        <w:gridCol w:w="80"/>
        <w:gridCol w:w="80"/>
        <w:gridCol w:w="131"/>
        <w:gridCol w:w="823"/>
        <w:gridCol w:w="80"/>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Balance at December 31, 2021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62,036,399</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620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72,523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(49,960</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23,183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13</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2,650,724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1,996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2,023</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73,000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19</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(514</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(514</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 xml:space="preserve">Balance at March 31, 2022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64,760,123</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648</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74,550</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(50,474</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24,724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Shareho</w:t>
      </w:r>
      <w:r>
        <w:rPr>
          <w:sz w:val="20"/>
          <w:szCs w:val="20"/>
          <w:u w:val="single"/>
        </w:rPr>
        <w:t>lders’ Equity for the three months ended March 31, 2021:</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189"/>
        <w:gridCol w:w="80"/>
        <w:gridCol w:w="80"/>
        <w:gridCol w:w="930"/>
        <w:gridCol w:w="80"/>
        <w:gridCol w:w="80"/>
        <w:gridCol w:w="131"/>
        <w:gridCol w:w="779"/>
        <w:gridCol w:w="80"/>
        <w:gridCol w:w="80"/>
        <w:gridCol w:w="131"/>
        <w:gridCol w:w="823"/>
        <w:gridCol w:w="80"/>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23B32">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center"/>
            <w:hideMark/>
          </w:tcPr>
          <w:p w:rsidR="00000000" w:rsidRDefault="00723B32">
            <w:pPr>
              <w:rPr>
                <w:sz w:val="20"/>
                <w:szCs w:val="20"/>
              </w:rPr>
            </w:pP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rStyle w:val="a4"/>
                <w:sz w:val="20"/>
                <w:szCs w:val="20"/>
              </w:rPr>
              <w:t>Balance at December 31, 2020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58,108,366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70,514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(47,593</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Style w:val="a4"/>
                <w:rFonts w:eastAsia="Times New Roman"/>
                <w:sz w:val="20"/>
                <w:szCs w:val="20"/>
              </w:rPr>
              <w:t>23,502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28</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150,400</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96</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98</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120,350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66</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67</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(528</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(528</w:t>
            </w:r>
          </w:p>
        </w:tc>
        <w:tc>
          <w:tcPr>
            <w:tcW w:w="50" w:type="pct"/>
            <w:shd w:val="clear" w:color="auto" w:fill="CCEEFF"/>
            <w:noWrap/>
            <w:tcMar>
              <w:top w:w="0" w:type="dxa"/>
              <w:left w:w="0" w:type="dxa"/>
              <w:bottom w:w="15" w:type="dxa"/>
              <w:right w:w="0" w:type="dxa"/>
            </w:tcMar>
            <w:vAlign w:val="bottom"/>
            <w:hideMark/>
          </w:tcPr>
          <w:p w:rsidR="00000000" w:rsidRDefault="00723B32">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rPr>
                <w:sz w:val="20"/>
                <w:szCs w:val="20"/>
              </w:rPr>
            </w:pPr>
            <w:r>
              <w:rPr>
                <w:rStyle w:val="a4"/>
                <w:sz w:val="20"/>
                <w:szCs w:val="20"/>
              </w:rPr>
              <w:t xml:space="preserve">Balance at March 31, 2021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58,379,116</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584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70,704</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(48,121</w:t>
            </w:r>
          </w:p>
        </w:tc>
        <w:tc>
          <w:tcPr>
            <w:tcW w:w="50" w:type="pct"/>
            <w:shd w:val="clear" w:color="auto" w:fill="FFFFFF"/>
            <w:noWrap/>
            <w:tcMar>
              <w:top w:w="0" w:type="dxa"/>
              <w:left w:w="0" w:type="dxa"/>
              <w:bottom w:w="15" w:type="dxa"/>
              <w:right w:w="0" w:type="dxa"/>
            </w:tcMar>
            <w:vAlign w:val="bottom"/>
            <w:hideMark/>
          </w:tcPr>
          <w:p w:rsidR="00000000" w:rsidRDefault="00723B32">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Style w:val="a4"/>
                <w:rFonts w:eastAsia="Times New Roman"/>
                <w:sz w:val="20"/>
                <w:szCs w:val="20"/>
              </w:rPr>
              <w:t>23,167</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 xml:space="preserve">At the </w:t>
      </w:r>
      <w:r>
        <w:rPr>
          <w:sz w:val="20"/>
          <w:szCs w:val="20"/>
          <w:u w:val="single"/>
        </w:rPr>
        <w:t>Market Offering Agreement</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On February 2, 2021, Solitario entered into an at-the-market offering agreement (the “ATM Agreement”) with H. C. Wainwright &amp; Co., LLC (“Wainwright”), under which Solitario may, from time to time, issue and sell shares of Solita</w:t>
      </w:r>
      <w:r>
        <w:rPr>
          <w:sz w:val="20"/>
          <w:szCs w:val="20"/>
        </w:rPr>
        <w:t>rio’s common stock through Wainwright as sales manager in an at-the-market offering under a prospectus supplement for aggregate sales proceeds of up to $9.0 million (the “ATM Program”).  The common stock is distributed at the market prices prevailing at th</w:t>
      </w:r>
      <w:r>
        <w:rPr>
          <w:sz w:val="20"/>
          <w:szCs w:val="20"/>
        </w:rPr>
        <w:t>e time of sale. As a result, prices of the common stock sold under the ATM Program may vary as between purchasers and during the period of distribution. The ATM Agreement provides that Wainwright is entitled to compensation for its services at a commission</w:t>
      </w:r>
      <w:r>
        <w:rPr>
          <w:sz w:val="20"/>
          <w:szCs w:val="20"/>
        </w:rPr>
        <w:t xml:space="preserve"> rate of 3.0% of the gross sales price per share of common stock sold.  </w:t>
      </w:r>
    </w:p>
    <w:p w:rsidR="00000000" w:rsidRDefault="00723B32">
      <w:pPr>
        <w:pStyle w:val="a3"/>
        <w:spacing w:before="0" w:beforeAutospacing="0" w:after="0" w:afterAutospacing="0"/>
        <w:ind w:firstLine="675"/>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 xml:space="preserve">During the three months ended March 31, 2022, Solitario sold an aggregate of 2,650,724 </w:t>
      </w:r>
      <w:r>
        <w:rPr>
          <w:sz w:val="20"/>
          <w:szCs w:val="20"/>
        </w:rPr>
        <w:t>shares of common stock under the ATM Agreement at an average price of $0.79 per share for net proceeds of $2,023,000 after commissions and sale expenses.  During the three months ended March 31, 2021, Solitario sold an aggregate of 150,400 shares of common</w:t>
      </w:r>
      <w:r>
        <w:rPr>
          <w:sz w:val="20"/>
          <w:szCs w:val="20"/>
        </w:rPr>
        <w:t xml:space="preserve"> stock under the ATM Agreement at an average price of $1.21 per share for net proceeds of $177,000 after commissions and sale expenses. During the three months ended March 31, 2021, Solitario recorded $79,000 as a charge to additional paid-in-capital for o</w:t>
      </w:r>
      <w:r>
        <w:rPr>
          <w:sz w:val="20"/>
          <w:szCs w:val="20"/>
        </w:rPr>
        <w:t>ne-time expenses related to entering into the ATM Agreement.</w:t>
      </w:r>
    </w:p>
    <w:p w:rsidR="00000000" w:rsidRDefault="00723B32">
      <w:pPr>
        <w:pStyle w:val="a3"/>
        <w:spacing w:before="0" w:beforeAutospacing="0" w:after="0" w:afterAutospacing="0"/>
        <w:ind w:firstLine="675"/>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Share Repurchase Program</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On October 28, 2015, Solitario’s Board of Directors approved a share repurchase program that authorized Solitario to purchase up to two million shares of its outstand</w:t>
      </w:r>
      <w:r>
        <w:rPr>
          <w:sz w:val="20"/>
          <w:szCs w:val="20"/>
        </w:rPr>
        <w:t>ing common stock.  Solitario did not purchase any shares under the share repurchase plan during the three months ended March 31, 2022 and 2021.  Solitario has purchased a total of 994,000 shares for an aggregate purchase price of $467,000 under the share r</w:t>
      </w:r>
      <w:r>
        <w:rPr>
          <w:sz w:val="20"/>
          <w:szCs w:val="20"/>
        </w:rPr>
        <w:t>epurchase program since its inception.  The share repurchase plan expired on December 31, 2021, and no additional shares will be purchased under the plan in the future.</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xml:space="preserve">Item 2. </w:t>
      </w:r>
      <w:r>
        <w:rPr>
          <w:sz w:val="20"/>
          <w:szCs w:val="20"/>
          <w:u w:val="single"/>
        </w:rPr>
        <w:t>Management’s Discussi</w:t>
      </w:r>
      <w:r>
        <w:rPr>
          <w:sz w:val="20"/>
          <w:szCs w:val="20"/>
          <w:u w:val="single"/>
        </w:rPr>
        <w:t>on and Analysis of Financial Condition and Results of Operations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 xml:space="preserve">The following discussion should be read in conjunction with the information contained in the consolidated financial statements of Solitario for the years ended December 31, 2021 and 2020, and Management’s Discussion and Analysis of Financial Condition and </w:t>
      </w:r>
      <w:r>
        <w:rPr>
          <w:sz w:val="20"/>
          <w:szCs w:val="20"/>
        </w:rPr>
        <w:t>Results of Operations contained in Solitario’s Annual Report on Form 10-K for the year ended December 31, 2021.  Solitario's financial condition and results of operations are not necessarily indicative of what may be expected in future periods.  Unless oth</w:t>
      </w:r>
      <w:r>
        <w:rPr>
          <w:sz w:val="20"/>
          <w:szCs w:val="20"/>
        </w:rPr>
        <w:t>erwise indicated, all references to dollars are to U.S. dollars.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(a) Business Overview and Summary</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We are an exploration stage company as defined by rules issued by the SEC, with a focus on the acquisition of precious and base metal properties with exploration potential and the development or purchase of royalty interests.  Currently our primary focus i</w:t>
      </w:r>
      <w:r>
        <w:rPr>
          <w:sz w:val="20"/>
          <w:szCs w:val="20"/>
        </w:rPr>
        <w:t>s the acquisition and exploration of precious metal, zinc and other base metal exploration mineral properties.  We hold a portfolio of mineral exploration properties and assets for future sale, joint venture or on which to create a royalty prior to the est</w:t>
      </w:r>
      <w:r>
        <w:rPr>
          <w:sz w:val="20"/>
          <w:szCs w:val="20"/>
        </w:rPr>
        <w:t>ablishment of proven and probable reserves.  Although our mineral properties may be developed in the future by us, through a joint venture or by a third party, we have never developed a mineral property.  In addition to focusing on our current mineral expl</w:t>
      </w:r>
      <w:r>
        <w:rPr>
          <w:sz w:val="20"/>
          <w:szCs w:val="20"/>
        </w:rPr>
        <w:t xml:space="preserve">oration properties, we also from time to time evaluate potential strategic transactions for the acquisition of new precious and base metal properties and assets with exploration potential.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In analyzing our activities, the most significant aspect of ou</w:t>
      </w:r>
      <w:r>
        <w:rPr>
          <w:sz w:val="20"/>
          <w:szCs w:val="20"/>
        </w:rPr>
        <w:t>r business relates to results of our exploration and potential development activities and those of our joint venture partners on a property-by-property basis.  When our exploration or potential development activities, including drilling, sampling and geolo</w:t>
      </w:r>
      <w:r>
        <w:rPr>
          <w:sz w:val="20"/>
          <w:szCs w:val="20"/>
        </w:rPr>
        <w:t xml:space="preserve">gic testing, indicate a project may not be economically feasible or contain sufficient geologic or economic potential we may impair or completely write-off the property.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Our current geographic focus for the evaluation of potential mineral property asset</w:t>
      </w:r>
      <w:r>
        <w:rPr>
          <w:sz w:val="20"/>
          <w:szCs w:val="20"/>
        </w:rPr>
        <w:t>s is in North and South America; however, we have conducted property evaluations for potential acquisition in other parts of the world.  At March 31, 2022, we consider our carried interest in the Florida Canyon project in Peru, our interest in the Lik proj</w:t>
      </w:r>
      <w:r>
        <w:rPr>
          <w:sz w:val="20"/>
          <w:szCs w:val="20"/>
        </w:rPr>
        <w:t xml:space="preserve">ect in Alaska, and our Golden Crest project in South Dakota to be our core mineral property assets.  We are conducting exploration activities in Peru and the United States both on our own and through joint ventures operated by our partners in Peru and the </w:t>
      </w:r>
      <w:r>
        <w:rPr>
          <w:sz w:val="20"/>
          <w:szCs w:val="20"/>
        </w:rPr>
        <w:t>United States, respectively.  We also conduct potential acquisition evaluations in other countries located in South and North America.</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We have recorded revenue in the past from the sale of mineral properties, however, revenues and / or proceeds from the </w:t>
      </w:r>
      <w:r>
        <w:rPr>
          <w:sz w:val="20"/>
          <w:szCs w:val="20"/>
        </w:rPr>
        <w:t>sale or joint venture of properties or assets, although generally significant when they have occurred in the past, have not been a consistent source of revenue and would only occur in the future, if at all, on an infrequent basis.  We have reduced our expo</w:t>
      </w:r>
      <w:r>
        <w:rPr>
          <w:sz w:val="20"/>
          <w:szCs w:val="20"/>
        </w:rPr>
        <w:t xml:space="preserve">sure to the costs of our exploration activities in the past through the use of joint ventures.  Although we anticipate that the use of joint venture funding for some of our exploration activities will continue for the foreseeable future, we can provide no </w:t>
      </w:r>
      <w:r>
        <w:rPr>
          <w:sz w:val="20"/>
          <w:szCs w:val="20"/>
        </w:rPr>
        <w:t>assurance that these or other sources of capital will be available in sufficient amounts to meet our needs, if at all.</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we have balances of cash and short-term investments that we anticipate using, in part, to (i) fund costs and acti</w:t>
      </w:r>
      <w:r>
        <w:rPr>
          <w:sz w:val="20"/>
          <w:szCs w:val="20"/>
        </w:rPr>
        <w:t>vities intended to further the exploration of our Lik project, (ii) fund costs and activities intended to further the exploration at our Florida Canyon project, (iii) fund costs and activities to further our Golden Crest project; (iv) conduct reconnaissanc</w:t>
      </w:r>
      <w:r>
        <w:rPr>
          <w:sz w:val="20"/>
          <w:szCs w:val="20"/>
        </w:rPr>
        <w:t>e exploration and (v) potentially acquire additional mineral property assets.  The fluctuations in precious metal and other commodity prices contribute to a challenging environment for mineral exploration and development, which has created opportunities as</w:t>
      </w:r>
      <w:r>
        <w:rPr>
          <w:sz w:val="20"/>
          <w:szCs w:val="20"/>
        </w:rPr>
        <w:t xml:space="preserve"> well as challenges for the potential acquisition of advanced mineral exploration projects or other related assets at potentially attractive terms.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we do not expect the effects of COVID-19 or other pandemics to have a material eff</w:t>
      </w:r>
      <w:r>
        <w:rPr>
          <w:sz w:val="20"/>
          <w:szCs w:val="20"/>
        </w:rPr>
        <w:t>ect on Solitario’s planned activities related to the exploration of its Lik, Florida Canyon and Golden Crest projects.  However, going forward for the remainder of 2022, we will continue to monitor planned activities for 2022 at Golden Crest, Florida Canyo</w:t>
      </w:r>
      <w:r>
        <w:rPr>
          <w:sz w:val="20"/>
          <w:szCs w:val="20"/>
        </w:rPr>
        <w:t>n and Lik.  The extent to which COVID-19 or other pandemics impacts our business, including our exploration and other activities and the market for our securities, will depend on future developments, which are highly uncertain and cannot be predicted at th</w:t>
      </w:r>
      <w:r>
        <w:rPr>
          <w:sz w:val="20"/>
          <w:szCs w:val="20"/>
        </w:rPr>
        <w:t>is time.  Please see Item 1A, “Risk Factors,” in our Annual Report on Form 10-K for the year ended December 31, 2021.</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 (b) Results of Operations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Comparison of the quarter ended March 31, 2022 to the quarter ended March 31, 2021.</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had a net loss of $514,000 or $0.01 per basic and diluted share for the three months ended March 31, 2022 compared to a net loss of $528,000 or $0.01 per basic and dil</w:t>
      </w:r>
      <w:r>
        <w:rPr>
          <w:sz w:val="20"/>
          <w:szCs w:val="20"/>
        </w:rPr>
        <w:t>uted share for the three months ended March 31, 2021.  As explained in more detail below, the primary reasons for the decrease in the net loss in the three months ended March 31, 2022 compared to the loss in the three months ended March 31, 2021 was the re</w:t>
      </w:r>
      <w:r>
        <w:rPr>
          <w:sz w:val="20"/>
          <w:szCs w:val="20"/>
        </w:rPr>
        <w:t>cording of an unrealized gain on marketable equity securities of $213,000 during the three months ended March 31, 2022 compared to an unrealized loss on marketable equity securities of $122,000 during the three months ended March 31, 2021.  Partially offse</w:t>
      </w:r>
      <w:r>
        <w:rPr>
          <w:sz w:val="20"/>
          <w:szCs w:val="20"/>
        </w:rPr>
        <w:t>tting this decrease in the net loss were (i) an increase in exploration expense to $226,000 during the three months ended March 31, 2022 compared to exploration expense of $147,000 during the three months ended March 31, 2021; (ii) an increase in general a</w:t>
      </w:r>
      <w:r>
        <w:rPr>
          <w:sz w:val="20"/>
          <w:szCs w:val="20"/>
        </w:rPr>
        <w:t xml:space="preserve">nd administrative costs to $387,000 during the three months ended March 31, 2022 compared to general and administrative costs of $280,000 during the three months ended March 31, 2021; (iii) a reduction in interest income to $27,000 during the three months </w:t>
      </w:r>
      <w:r>
        <w:rPr>
          <w:sz w:val="20"/>
          <w:szCs w:val="20"/>
        </w:rPr>
        <w:t>ended March 31, 2022 compared to interest income of $31,000 during the three months ended March 31, 2021; (iv) a loss on the sale of marketable equity securities of $81,000 during the three months ended March 31, 2022 compared to a gain on the sale of mark</w:t>
      </w:r>
      <w:r>
        <w:rPr>
          <w:sz w:val="20"/>
          <w:szCs w:val="20"/>
        </w:rPr>
        <w:t xml:space="preserve">etable equity securities of $13,000 during the three months ended March 31, 2021; (v) an unrealized loss on short-term investments of $51,000 recorded during the three months ended March 31, 2022 compared to an unrealized loss on short-term investments of </w:t>
      </w:r>
      <w:r>
        <w:rPr>
          <w:sz w:val="20"/>
          <w:szCs w:val="20"/>
        </w:rPr>
        <w:t>$25,000 recorded during the three months ended March 31, 2021 and (vi) other income of $10,000 from the forgiveness and cancellation of the Paycheck Protection Program loan during the three months ended March 31, 2021, with no similar item in the three mon</w:t>
      </w:r>
      <w:r>
        <w:rPr>
          <w:sz w:val="20"/>
          <w:szCs w:val="20"/>
        </w:rPr>
        <w:t xml:space="preserve">ths ended March 31, 2022.  Each of the major components of these items is discussed in more detail below.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Our exploration expense increased to $226,000 during the three months ended March 31, 2022 compared to exploration expense of $147,</w:t>
      </w:r>
      <w:r>
        <w:rPr>
          <w:sz w:val="20"/>
          <w:szCs w:val="20"/>
        </w:rPr>
        <w:t>000 during the three months ended March 31, 2021.  The increase was primarily as a result of (i) an increase in expenses at our Golden Crest project to $127,000 during the three months ended March 31, 2022 with no similar expenditure during 2021; (ii) a sl</w:t>
      </w:r>
      <w:r>
        <w:rPr>
          <w:sz w:val="20"/>
          <w:szCs w:val="20"/>
        </w:rPr>
        <w:t>ight increase in exploration costs at our Lik project in Alaska to $4,000 during the three months ended March 31, 2022 compared to $1,000 during the three months ended March 31, 2021; and (iii) an increase reconnaissance exploration expenses to $95,000 dur</w:t>
      </w:r>
      <w:r>
        <w:rPr>
          <w:sz w:val="20"/>
          <w:szCs w:val="20"/>
        </w:rPr>
        <w:t>ing the three months ended March 31, 2022 compared to reconnaissance exploration expenses of $87,000 during the three months ended March 31, 2021.  These increased expenditures were offset by (i) $50,000 related to our Florida Canyon project in Peru, where</w:t>
      </w:r>
      <w:r>
        <w:rPr>
          <w:sz w:val="20"/>
          <w:szCs w:val="20"/>
        </w:rPr>
        <w:t xml:space="preserve"> we substantially completed a 43-101 resource update during the three months ended March 31, 2021 compared to no Florida Canyon project costs during the three months ended March 31, 2022 and (ii) we performed certain initial exploration evaluation expenses</w:t>
      </w:r>
      <w:r>
        <w:rPr>
          <w:sz w:val="20"/>
          <w:szCs w:val="20"/>
        </w:rPr>
        <w:t xml:space="preserve"> of $9,000 during the three months ended March 31, 2021 at our former Gold Coin project in Arizona compared to no Gold Coin costs during the three months ended March 31, 2022 as we dropped the project during 2021;  Our exploration expenditures are normally</w:t>
      </w:r>
      <w:r>
        <w:rPr>
          <w:sz w:val="20"/>
          <w:szCs w:val="20"/>
        </w:rPr>
        <w:t xml:space="preserve"> lower during the first quarter of our fiscal year as a result of weather limitations.  During the three months ended March 31, 2022 we had two contract geologists at our Golden Crest project along with two full-time staff and several part-time employees a</w:t>
      </w:r>
      <w:r>
        <w:rPr>
          <w:sz w:val="20"/>
          <w:szCs w:val="20"/>
        </w:rPr>
        <w:t xml:space="preserve">t our Golden Crest project.  Our Denver personnel spent a majority of their time on reconnaissance exploration activities described above and related matters.  Our 2022 total exploration and development budget is approximately $2,350,000, which reflects a </w:t>
      </w:r>
      <w:r>
        <w:rPr>
          <w:sz w:val="20"/>
          <w:szCs w:val="20"/>
        </w:rPr>
        <w:t>significant increase in the anticipated activities at the Golden Crest project as well as a proposed exploration and drilling program at Lik.  The proposed 2022 budget does not reflect any costs for drilling the Golden Crest project or any exploration cost</w:t>
      </w:r>
      <w:r>
        <w:rPr>
          <w:sz w:val="20"/>
          <w:szCs w:val="20"/>
        </w:rPr>
        <w:t>s for projects or assets we may acquire during 2022.  Our planned exploration activities in 2022 may be modified, as necessary for any drilling programs we may undertake at Golden Crest or projects we may acquire.  Changes may occur to our planed 2022 expl</w:t>
      </w:r>
      <w:r>
        <w:rPr>
          <w:sz w:val="20"/>
          <w:szCs w:val="20"/>
        </w:rPr>
        <w:t>oration expenditures related to any number of factors including COVID-19 adjustments and delays, potential acquisition of new properties, joint venture funding, commodity prices and changes in the deployment of our capital. We expect our full-year explorat</w:t>
      </w:r>
      <w:r>
        <w:rPr>
          <w:sz w:val="20"/>
          <w:szCs w:val="20"/>
        </w:rPr>
        <w:t>ion expenditures for 2022 to be above the exploration expenditures for full-year 2021.</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675"/>
        <w:rPr>
          <w:sz w:val="20"/>
          <w:szCs w:val="20"/>
        </w:rPr>
      </w:pPr>
      <w:r>
        <w:rPr>
          <w:sz w:val="20"/>
          <w:szCs w:val="20"/>
        </w:rPr>
        <w:t>Exploration expense (in thousands) by project for the three months ended March 31, 2022 and 2021 consisted of the following:</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3"/>
        <w:gridCol w:w="104"/>
        <w:gridCol w:w="131"/>
        <w:gridCol w:w="745"/>
        <w:gridCol w:w="104"/>
        <w:gridCol w:w="104"/>
        <w:gridCol w:w="131"/>
        <w:gridCol w:w="745"/>
        <w:gridCol w:w="119"/>
      </w:tblGrid>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723B32">
            <w:pPr>
              <w:pStyle w:val="a3"/>
              <w:spacing w:before="0" w:beforeAutospacing="0" w:after="0" w:afterAutospacing="0"/>
              <w:jc w:val="center"/>
              <w:rPr>
                <w:sz w:val="20"/>
                <w:szCs w:val="20"/>
              </w:rPr>
            </w:pPr>
            <w:r>
              <w:rPr>
                <w:rStyle w:val="a4"/>
                <w:sz w:val="20"/>
                <w:szCs w:val="20"/>
              </w:rPr>
              <w:t>March 31,</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bottom"/>
            <w:hideMark/>
          </w:tcPr>
          <w:p w:rsidR="00000000" w:rsidRDefault="00723B32">
            <w:pPr>
              <w:pStyle w:val="a3"/>
              <w:spacing w:before="0" w:beforeAutospacing="0" w:after="0" w:afterAutospacing="0"/>
              <w:jc w:val="both"/>
              <w:rPr>
                <w:sz w:val="20"/>
                <w:szCs w:val="20"/>
              </w:rPr>
            </w:pPr>
            <w:r>
              <w:rPr>
                <w:rStyle w:val="a4"/>
                <w:sz w:val="20"/>
                <w:szCs w:val="20"/>
              </w:rPr>
              <w:t>Project Name</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723B32">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723B32">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jc w:val="both"/>
              <w:rPr>
                <w:sz w:val="20"/>
                <w:szCs w:val="20"/>
              </w:rPr>
            </w:pPr>
            <w:r>
              <w:rPr>
                <w:sz w:val="20"/>
                <w:szCs w:val="20"/>
              </w:rPr>
              <w:t>Golden Crest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127</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23B3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jc w:val="both"/>
              <w:rPr>
                <w:sz w:val="20"/>
                <w:szCs w:val="20"/>
              </w:rPr>
            </w:pPr>
            <w:r>
              <w:rPr>
                <w:sz w:val="20"/>
                <w:szCs w:val="20"/>
              </w:rPr>
              <w:t>Florida Canyon</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50</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jc w:val="both"/>
              <w:rPr>
                <w:sz w:val="20"/>
                <w:szCs w:val="20"/>
              </w:rPr>
            </w:pPr>
            <w:r>
              <w:rPr>
                <w:sz w:val="20"/>
                <w:szCs w:val="20"/>
              </w:rPr>
              <w:t>Lik</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4</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23B32">
            <w:pPr>
              <w:jc w:val="right"/>
              <w:rPr>
                <w:rFonts w:eastAsia="Times New Roman"/>
                <w:sz w:val="20"/>
                <w:szCs w:val="20"/>
              </w:rPr>
            </w:pPr>
            <w:r>
              <w:rPr>
                <w:rFonts w:eastAsia="Times New Roman"/>
                <w:sz w:val="20"/>
                <w:szCs w:val="20"/>
              </w:rPr>
              <w:t>1</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jc w:val="both"/>
              <w:rPr>
                <w:sz w:val="20"/>
                <w:szCs w:val="20"/>
              </w:rPr>
            </w:pPr>
            <w:r>
              <w:rPr>
                <w:sz w:val="20"/>
                <w:szCs w:val="20"/>
              </w:rPr>
              <w:t>Gold Coin</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23B32">
            <w:pPr>
              <w:jc w:val="right"/>
              <w:rPr>
                <w:rFonts w:eastAsia="Times New Roman"/>
                <w:sz w:val="20"/>
                <w:szCs w:val="20"/>
              </w:rPr>
            </w:pPr>
            <w:r>
              <w:rPr>
                <w:rFonts w:eastAsia="Times New Roman"/>
                <w:sz w:val="20"/>
                <w:szCs w:val="20"/>
              </w:rPr>
              <w:t>9</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jc w:val="both"/>
              <w:rPr>
                <w:sz w:val="20"/>
                <w:szCs w:val="20"/>
              </w:rPr>
            </w:pPr>
            <w:r>
              <w:rPr>
                <w:sz w:val="20"/>
                <w:szCs w:val="20"/>
              </w:rPr>
              <w:t>Reconnaissance</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95</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23B32">
            <w:pPr>
              <w:jc w:val="right"/>
              <w:rPr>
                <w:rFonts w:eastAsia="Times New Roman"/>
                <w:sz w:val="20"/>
                <w:szCs w:val="20"/>
              </w:rPr>
            </w:pPr>
            <w:r>
              <w:rPr>
                <w:rFonts w:eastAsia="Times New Roman"/>
                <w:sz w:val="20"/>
                <w:szCs w:val="20"/>
              </w:rPr>
              <w:t>87</w:t>
            </w:r>
          </w:p>
        </w:tc>
        <w:tc>
          <w:tcPr>
            <w:tcW w:w="50" w:type="pct"/>
            <w:shd w:val="clear" w:color="auto" w:fill="CCEE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23B32">
            <w:pPr>
              <w:pStyle w:val="a3"/>
              <w:spacing w:before="0" w:beforeAutospacing="0" w:after="0" w:afterAutospacing="0"/>
              <w:jc w:val="both"/>
              <w:rPr>
                <w:sz w:val="20"/>
                <w:szCs w:val="20"/>
              </w:rPr>
            </w:pPr>
            <w:r>
              <w:rPr>
                <w:sz w:val="20"/>
                <w:szCs w:val="20"/>
              </w:rPr>
              <w:t>Total exploration expense</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226</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23B32">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23B32">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23B32">
            <w:pPr>
              <w:jc w:val="right"/>
              <w:rPr>
                <w:rFonts w:eastAsia="Times New Roman"/>
                <w:sz w:val="20"/>
                <w:szCs w:val="20"/>
              </w:rPr>
            </w:pPr>
            <w:r>
              <w:rPr>
                <w:rFonts w:eastAsia="Times New Roman"/>
                <w:sz w:val="20"/>
                <w:szCs w:val="20"/>
              </w:rPr>
              <w:t>147</w:t>
            </w:r>
          </w:p>
        </w:tc>
        <w:tc>
          <w:tcPr>
            <w:tcW w:w="50" w:type="pct"/>
            <w:shd w:val="clear" w:color="auto" w:fill="FFFFFF"/>
            <w:noWrap/>
            <w:tcMar>
              <w:top w:w="0" w:type="dxa"/>
              <w:left w:w="0" w:type="dxa"/>
              <w:bottom w:w="15" w:type="dxa"/>
              <w:right w:w="0" w:type="dxa"/>
            </w:tcMar>
            <w:vAlign w:val="center"/>
            <w:hideMark/>
          </w:tcPr>
          <w:p w:rsidR="00000000" w:rsidRDefault="00723B32">
            <w:pPr>
              <w:pStyle w:val="a3"/>
              <w:spacing w:before="0" w:beforeAutospacing="0" w:after="0" w:afterAutospacing="0"/>
              <w:rPr>
                <w:sz w:val="20"/>
                <w:szCs w:val="20"/>
              </w:rPr>
            </w:pPr>
            <w:r>
              <w:rPr>
                <w:sz w:val="20"/>
                <w:szCs w:val="20"/>
              </w:rPr>
              <w:t> </w:t>
            </w:r>
          </w:p>
        </w:tc>
      </w:tr>
    </w:tbl>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General and administrative costs, excluding stock option compensation costs, discussed below, were $374,000 during the three months ended March 31, 2022 compared to $252,000 during the three months ended March</w:t>
      </w:r>
      <w:r>
        <w:rPr>
          <w:sz w:val="20"/>
          <w:szCs w:val="20"/>
        </w:rPr>
        <w:t xml:space="preserve"> 31, 2021.  The major components of these costs were related to (i) salaries and benefit expense of $119,000 during the three months ended March 31, 2022 compared to salary and benefit costs of $58,000 during the three months ended March 31, 2021, primaril</w:t>
      </w:r>
      <w:r>
        <w:rPr>
          <w:sz w:val="20"/>
          <w:szCs w:val="20"/>
        </w:rPr>
        <w:t>y due to a bonus of $15,000 paid to our each of our three officers during the three months ended March 31, 2022 with no similar bonus during the three months ended March 31, 2021; (ii) legal and professional expenditures of $132,000 during the three months</w:t>
      </w:r>
      <w:r>
        <w:rPr>
          <w:sz w:val="20"/>
          <w:szCs w:val="20"/>
        </w:rPr>
        <w:t xml:space="preserve"> ended March 31, 2022, compared to $68,000 during the three months ended March 31, 2021, with the increase primarily related to increased costs for accounting services, including work performed on our SK-1300 mineral reserve reports and increased legal fee</w:t>
      </w:r>
      <w:r>
        <w:rPr>
          <w:sz w:val="20"/>
          <w:szCs w:val="20"/>
        </w:rPr>
        <w:t>s related to our Golden Crest project during the three months ended March 31, 2022; (iii) office rent and expenses of $20,000 during the three months ended March 31, 2022, compared to $20,000 during the three months ended March 31, 2021; and (iv) travel an</w:t>
      </w:r>
      <w:r>
        <w:rPr>
          <w:sz w:val="20"/>
          <w:szCs w:val="20"/>
        </w:rPr>
        <w:t xml:space="preserve">d shareholder relation costs of $103,000 during the three months ended March 31, 2022 compared to $106,000 during the three months ended March 31, 2021.  We anticipate the full-year general and administrative costs will be higher for 2022 compared to 2021 </w:t>
      </w:r>
      <w:r>
        <w:rPr>
          <w:sz w:val="20"/>
          <w:szCs w:val="20"/>
        </w:rPr>
        <w:t>primarily due to increased activity at both our Golden Crest and Lik projects.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We recorded $13,000 of stock option expense for the amortization of unvested grant date fair value with a credit to additional paid-in-capital during the three months ended </w:t>
      </w:r>
      <w:r>
        <w:rPr>
          <w:sz w:val="20"/>
          <w:szCs w:val="20"/>
        </w:rPr>
        <w:t>March 31, 2022 compared to $28,000 of stock option compensation expense during the three months ended March 31, 2021.  The lower costs in 2022 related to the grant date fair value of certain option grants which became fully vested during 2021 and were no l</w:t>
      </w:r>
      <w:r>
        <w:rPr>
          <w:sz w:val="20"/>
          <w:szCs w:val="20"/>
        </w:rPr>
        <w:t>onger being amortized during 2022.  These non-cash charges for the amortization of grant date fair values are related to vesting of stock options outstanding during the three months ended March 31, 2022 and 2021.  See Note 9, “Employee Stock Compensation P</w:t>
      </w:r>
      <w:r>
        <w:rPr>
          <w:sz w:val="20"/>
          <w:szCs w:val="20"/>
        </w:rPr>
        <w:t>lans,” above, for additional information on our stock option expense.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During the three months ended March 31, 2022, we sold 500,000 shares of Vendetta common stock for proceeds of $26,000 and recorded a loss on sale of marketable equity securities of $</w:t>
      </w:r>
      <w:r>
        <w:rPr>
          <w:sz w:val="20"/>
          <w:szCs w:val="20"/>
        </w:rPr>
        <w:t>81,000. During the three months ended March 31, 2021, we sold various shares of our of marketable equity securities for proceeds of $78,000 and recorded a gain on sale of marketable equity securities of $13,000.  See Note 3 “Marketable Equity Securities” a</w:t>
      </w:r>
      <w:r>
        <w:rPr>
          <w:sz w:val="20"/>
          <w:szCs w:val="20"/>
        </w:rPr>
        <w:t>bove to the condensed consolidated financial statements for a discussion of the sale of Marketable Equity Securities.  We may sell additional shares of our holdings of marketable equity securities during the remainder of 2022; however, we do not expect sal</w:t>
      </w:r>
      <w:r>
        <w:rPr>
          <w:sz w:val="20"/>
          <w:szCs w:val="20"/>
        </w:rPr>
        <w:t>es of marketable equity securities to be a significant source of cash for the year ended December 31, 2022.</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We recorded an unrealized gain on marketable equity securities of $213,000 during the three months ended March 31, 2022 compared to an unrealized </w:t>
      </w:r>
      <w:r>
        <w:rPr>
          <w:sz w:val="20"/>
          <w:szCs w:val="20"/>
        </w:rPr>
        <w:t>loss on marketable equity securities of $122,000 during the three months ended March 31, 2021. The gain during the three months ended March 31, 2022 was primarily related to an increase in the value of our holdings, after the sales of marketable equity sec</w:t>
      </w:r>
      <w:r>
        <w:rPr>
          <w:sz w:val="20"/>
          <w:szCs w:val="20"/>
        </w:rPr>
        <w:t>urities discussed above in Note 3 “Marketable Equity Securities” to the condensed consolidated financial statements, of (i) 100,000 shares of Kinross Gold Corp. (“Kinross”) common stock, which increased from a fair value of $581,000 at December 31, 2021 to</w:t>
      </w:r>
      <w:r>
        <w:rPr>
          <w:sz w:val="20"/>
          <w:szCs w:val="20"/>
        </w:rPr>
        <w:t xml:space="preserve"> a fair value of $588,000 at March 31, 2022; (ii) 134,055 shares of Vox common stock, which increased from a fair value of $370,000 at December 31, 2021 to a fair value of $383,000 at March 31, 2022; (iii) 8,500,000 shares of Vendetta common stock, which i</w:t>
      </w:r>
      <w:r>
        <w:rPr>
          <w:sz w:val="20"/>
          <w:szCs w:val="20"/>
        </w:rPr>
        <w:t>ncreased from a fair value of $356,000 at December 31, 2021 to a fair value of $442,000 at March 31, 2022; and the transfer of $81,000 of realized loss on the sale of 500,000 shares of Vendetta common stock, discussed above, the combination of which accoun</w:t>
      </w:r>
      <w:r>
        <w:rPr>
          <w:sz w:val="20"/>
          <w:szCs w:val="20"/>
        </w:rPr>
        <w:t xml:space="preserve">ted for the bulk of the unrealized loss on marketable equity securities during the quarter ended March 31, 2022.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recorded interest income of $27,000 during the three months ended March 31, 2022 compared to interest income of $31,000 during the three months ended March 31, 2021.  This reduction was primarily due to a decrease in the interest earned on our short-ter</w:t>
      </w:r>
      <w:r>
        <w:rPr>
          <w:sz w:val="20"/>
          <w:szCs w:val="20"/>
        </w:rPr>
        <w:t>m investments in USTS as a result of a decrease in the total amount of outstanding short-term investments during the bulk of the time during the three months ended March 31, 2022 compared to the three months ended March 31, 2021.  We did add $1,578,000, ne</w:t>
      </w:r>
      <w:r>
        <w:rPr>
          <w:sz w:val="20"/>
          <w:szCs w:val="20"/>
        </w:rPr>
        <w:t>t, to our USTS holdings near the end of the three months ended March 31, 2022, which did not result in any significant interest income during 2022.  We anticipate our interest income will decrease in 2022 compared to 2021 as a result of the use of our shor</w:t>
      </w:r>
      <w:r>
        <w:rPr>
          <w:sz w:val="20"/>
          <w:szCs w:val="20"/>
        </w:rPr>
        <w:t>t-term investments and our cash balances for ordinary overhead, operational costs, and the exploration, evaluation and or acquisition of mineral properties discussed above.  See “Liquidity and Capital Resources” below for further discussion of our cash and</w:t>
      </w:r>
      <w:r>
        <w:rPr>
          <w:sz w:val="20"/>
          <w:szCs w:val="20"/>
        </w:rPr>
        <w:t xml:space="preserve"> cash equivalent balances.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recorded a non-cash unrealized loss on our short-term investments of $51,000 during the three months ended March 31, 2022 compared to an unrealized loss on our short-te</w:t>
      </w:r>
      <w:r>
        <w:rPr>
          <w:sz w:val="20"/>
          <w:szCs w:val="20"/>
        </w:rPr>
        <w:t>rm investments of $25,000 during the three months ended March 31, 2021 primarily due to an increase in market interest rates on USTS, which reduces the quoted fair value of our existing USTS and to a lesser degree our CD’s.  These changes in interest rates</w:t>
      </w:r>
      <w:r>
        <w:rPr>
          <w:sz w:val="20"/>
          <w:szCs w:val="20"/>
        </w:rPr>
        <w:t xml:space="preserve"> are related to many factors that are not related to our business and do not affect the yield-to-maturity quoted for our investments in USTS or CD’s at the time we acquire these short term investments, to the extent we hold the investments to maturity.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We regularly perform evaluations of our mineral property assets to assess the recoverability of our investments in these assets.  All long-lived assets are reviewed for impairment whenever events or circumstances change which indicate the carrying amount </w:t>
      </w:r>
      <w:r>
        <w:rPr>
          <w:sz w:val="20"/>
          <w:szCs w:val="20"/>
        </w:rPr>
        <w:t>of an asset may not be recoverable utilizing guidelines based upon future net cash flows from the asset as well as our estimates of the geological potential of an early-stage mineral property and its related value for future sale, joint venture or developm</w:t>
      </w:r>
      <w:r>
        <w:rPr>
          <w:sz w:val="20"/>
          <w:szCs w:val="20"/>
        </w:rPr>
        <w:t xml:space="preserve">ent by us or others.  During the three months ended March 31, 2022 and 2021, we recorded no property impairments.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At March 31, 2022 and 2021, our net operating loss carry-forwards exceed our built-in gains on marketable equity securities resulting in </w:t>
      </w:r>
      <w:r>
        <w:rPr>
          <w:sz w:val="20"/>
          <w:szCs w:val="20"/>
        </w:rPr>
        <w:t>a net tax asset position for which we provide a valuation allowance for all net deferred tax assets. We recorded no income tax expense or benefit during the three months ended March 31, 2022 or 2021.  As a result of our exploration activities, we anticipat</w:t>
      </w:r>
      <w:r>
        <w:rPr>
          <w:sz w:val="20"/>
          <w:szCs w:val="20"/>
        </w:rPr>
        <w:t>e we will not have currently payable income taxes during 2022.  In addition to the valuation allowance discussed above, we provide a valuation allowance for our foreign net operating losses, which are primarily related to our exploration activities in Peru</w:t>
      </w:r>
      <w:r>
        <w:rPr>
          <w:sz w:val="20"/>
          <w:szCs w:val="20"/>
        </w:rPr>
        <w:t>.  We anticipate we will continue to provide a valuation allowance for these net operating losses until we are in a net tax liability position with regard to those countries where we operate or until it is more likely than not that we will be able to reali</w:t>
      </w:r>
      <w:r>
        <w:rPr>
          <w:sz w:val="20"/>
          <w:szCs w:val="20"/>
        </w:rPr>
        <w:t>ze those net operating losses in the future.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 xml:space="preserve">(c) Liquidity and Capital Resources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Cash</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we had $345,000 in cash.  </w:t>
      </w:r>
      <w:r>
        <w:rPr>
          <w:sz w:val="20"/>
          <w:szCs w:val="20"/>
        </w:rPr>
        <w:t xml:space="preserve">We intend to utilize a portion of this cash and a portion of our short-term investments, discussed below, to fund our ordinary overhead, operational costs, exploration activities and for the potential acquisition of additional mineral properties and other </w:t>
      </w:r>
      <w:r>
        <w:rPr>
          <w:sz w:val="20"/>
          <w:szCs w:val="20"/>
        </w:rPr>
        <w:t xml:space="preserve">assets over the next several years.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Short-term Investments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we had $6,614,000 in short-term investments.  As of March 31, 2022, we had $6,015,000 of our current assets in USTS with maturities of 15 days to 19 months.  In additio</w:t>
      </w:r>
      <w:r>
        <w:rPr>
          <w:sz w:val="20"/>
          <w:szCs w:val="20"/>
        </w:rPr>
        <w:t>n, as of March 31, 2022 we had three CD’s with face values between $100,000 and $250,000, recorded at their total fair value of $599,000.  The USTS and CD’s are recorded at their fair value, based upon quoted market prices.  We anticipate we will roll over</w:t>
      </w:r>
      <w:r>
        <w:rPr>
          <w:sz w:val="20"/>
          <w:szCs w:val="20"/>
        </w:rPr>
        <w:t xml:space="preserve"> that portion of our short-term investments not used for exploration expenditures, operating costs or mineral property acquisitions as they become due during the remainder of 2022.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Investment in Marketable Equity Securities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Our marketable equity secu</w:t>
      </w:r>
      <w:r>
        <w:rPr>
          <w:sz w:val="20"/>
          <w:szCs w:val="20"/>
        </w:rPr>
        <w:t>rities are carried at fair value, which is based upon market quotes of the underlying securities.  At March 31, 2022, we owned (i) 8,500,000 shares of Vendetta common stock with a fair value of $442,000; (ii) 100,000 shares of Kinross common stock with a f</w:t>
      </w:r>
      <w:r>
        <w:rPr>
          <w:sz w:val="20"/>
          <w:szCs w:val="20"/>
        </w:rPr>
        <w:t xml:space="preserve">air value of $588,000; and (iii) 134,055 shares of Vox common stock with a fair value of $383,000.  All of our marketable equity securities are carried at their fair values based upon quoted market prices.  During the three months ended March 31, 2022 and </w:t>
      </w:r>
      <w:r>
        <w:rPr>
          <w:sz w:val="20"/>
          <w:szCs w:val="20"/>
        </w:rPr>
        <w:t>2021 we sold certain portions of our marketable equity securities for proceeds of $26,000 and $78,000, respectively and realized a (loss) gain on sale of marketable equity securities of ($81,000) and $13,000, respectively.  We anticipate we may sell some o</w:t>
      </w:r>
      <w:r>
        <w:rPr>
          <w:sz w:val="20"/>
          <w:szCs w:val="20"/>
        </w:rPr>
        <w:t xml:space="preserve">f our marketable equity securities during the remainder of 2022 depending upon cash needs and market conditions.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Working Capital</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had working capital of $8,422,000 at March 31, 2022 compared to working capital of $6,883,000 as of December 31, 2021.  Our working capital at March 31, 2022 consists primarily of our cash and cash equivalents, our investment in USTS and CD’s, our inves</w:t>
      </w:r>
      <w:r>
        <w:rPr>
          <w:sz w:val="20"/>
          <w:szCs w:val="20"/>
        </w:rPr>
        <w:t>tment in marketable equity securities of $1,413,000, and other current assets of $317,000, less our accounts payable of $230,000 and other current liabilities of $37,000.  As of March 31, 2022, we believe our cash balances along with our short-term investm</w:t>
      </w:r>
      <w:r>
        <w:rPr>
          <w:sz w:val="20"/>
          <w:szCs w:val="20"/>
        </w:rPr>
        <w:t xml:space="preserve">ents and marketable equity securities are adequate to fund our expected expenditures over the next year.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nature of the mineral exploration business requires significant sources of capital to fund exploration, development and operation of mining proj</w:t>
      </w:r>
      <w:r>
        <w:rPr>
          <w:sz w:val="20"/>
          <w:szCs w:val="20"/>
        </w:rPr>
        <w:t>ects.  We will need additional capital if we decide to develop or operate any of our current exploration projects or any projects or assets we may acquire. We anticipate we would finance any such development through the use of our cash reserves, short-term</w:t>
      </w:r>
      <w:r>
        <w:rPr>
          <w:sz w:val="20"/>
          <w:szCs w:val="20"/>
        </w:rPr>
        <w:t xml:space="preserve"> investments, joint ventures, issuance of debt or equity, or the sale of other exploration projects or assets.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Stock-Based Compensation Plans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and December 31, 2021 there were options outstanding to acquire 5,440,000 and 5,513,000,</w:t>
      </w:r>
      <w:r>
        <w:rPr>
          <w:sz w:val="20"/>
          <w:szCs w:val="20"/>
        </w:rPr>
        <w:t xml:space="preserve"> respectively, shares of Solitario common stock.  The outstanding options have exercise prices between $0.20 per share and $0.77 per share.  During the three months ended March 31, 2022, options for 73,000 shares were exercised with an average exercise pri</w:t>
      </w:r>
      <w:r>
        <w:rPr>
          <w:sz w:val="20"/>
          <w:szCs w:val="20"/>
        </w:rPr>
        <w:t>ce of $0.26 per share for proceeds of $19,000.  During the three months ended March 31, 2021, options for 120,350 shares were exercised with an average exercise price of $0.56 per share for proceeds of $67,000.  Options for 2,360,000 shares of Solitario Co</w:t>
      </w:r>
      <w:r>
        <w:rPr>
          <w:sz w:val="20"/>
          <w:szCs w:val="20"/>
        </w:rPr>
        <w:t>mmon Stock, with an exercise price of $0.77 per share, expire in August 2022.  Unless the quoted market price of a share of our common stock exceeds $0.77 per share prior to the exercise date of these shares, we do not anticipate the exercise of options wi</w:t>
      </w:r>
      <w:r>
        <w:rPr>
          <w:sz w:val="20"/>
          <w:szCs w:val="20"/>
        </w:rPr>
        <w:t xml:space="preserve">ll be a significant source of cash flow during the remainder of 2022.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u w:val="single"/>
        </w:rPr>
        <w:t>At the Market Offering Agreement</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On February 2, 2021, Solitario entered into the ATM Agreement with Wainwright, under which Solitario may, from time to time, issue and sell shares o</w:t>
      </w:r>
      <w:r>
        <w:rPr>
          <w:sz w:val="20"/>
          <w:szCs w:val="20"/>
        </w:rPr>
        <w:t>f Solitario’s common stock through Wainwright as sales manager in an at-the-market offering under a prospectus supplement for aggregate sales proceeds of up to $9.0 million.  During the three months ended March 31, 2022, Solitario sold an aggregate of 2,65</w:t>
      </w:r>
      <w:r>
        <w:rPr>
          <w:sz w:val="20"/>
          <w:szCs w:val="20"/>
        </w:rPr>
        <w:t>0,724 shares of common stock under the ATM Agreement at an average price of $0.79 per share for net proceeds after commissions and expenses of approximately $2,023,000.  During the three months ended March 31, 2021, Solitario sold an aggregate of 150,400 s</w:t>
      </w:r>
      <w:r>
        <w:rPr>
          <w:sz w:val="20"/>
          <w:szCs w:val="20"/>
        </w:rPr>
        <w:t>hares of common stock under the ATM Agreement at an average price of $1.21 per share of common stock for net proceeds after commissions and expenses of approximately $177,000.  During the three months ended March 31, 2021, Solitario recorded $79,000 as a c</w:t>
      </w:r>
      <w:r>
        <w:rPr>
          <w:sz w:val="20"/>
          <w:szCs w:val="20"/>
        </w:rPr>
        <w:t>harge to additional paid-in-capital for one-time expenses related to entering into the ATM Agreement.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 (d) Cash Flows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Net cash used in operations during the three months ended March 31, 2022 increased to $597,000 compared to $382,000 of net cash us</w:t>
      </w:r>
      <w:r>
        <w:rPr>
          <w:sz w:val="20"/>
          <w:szCs w:val="20"/>
        </w:rPr>
        <w:t>ed in operations for the three months ended March 31, 2021 primarily as a result of (i) an increase in exploration expense to $226,000 during the three months ended March 31, 2022 compared to exploration expense of $147,000 during the three months ended Ma</w:t>
      </w:r>
      <w:r>
        <w:rPr>
          <w:sz w:val="20"/>
          <w:szCs w:val="20"/>
        </w:rPr>
        <w:t xml:space="preserve">rch 31, 2021 (ii) an increase in non-stock option general and administrative expense to $374,000 during the three months ended March 31, 2022 compared to $252,000 during the three months ended March 31, 2021, discussed above (iii) a use of cash of $20,000 </w:t>
      </w:r>
      <w:r>
        <w:rPr>
          <w:sz w:val="20"/>
          <w:szCs w:val="20"/>
        </w:rPr>
        <w:t>for the reduction of accounts payable and other liabilities during the three months ended March 31, 2022 compared to a use of cash from a decrease in accounts payable and other liabilities of $26,000 during the three months ended March 31, 2021; (iv) a dec</w:t>
      </w:r>
      <w:r>
        <w:rPr>
          <w:sz w:val="20"/>
          <w:szCs w:val="20"/>
        </w:rPr>
        <w:t>rease in interest income during the three months ended March 31, 2022 to $27,000 compared to interest income of $31,000 during the three months ended March 31, 2021; and (v) a use of cash of $14,000 for an increase in prepaid and other current assets durin</w:t>
      </w:r>
      <w:r>
        <w:rPr>
          <w:sz w:val="20"/>
          <w:szCs w:val="20"/>
        </w:rPr>
        <w:t>g the three months ended March 31, 2022 compared to a provision of cash from a decrease in prepaid expenses and other current assets of $2,000 during the three months ended March 31, 2021.  Based upon projected expenditures in our 2022 budget, we anticipat</w:t>
      </w:r>
      <w:r>
        <w:rPr>
          <w:sz w:val="20"/>
          <w:szCs w:val="20"/>
        </w:rPr>
        <w:t>e continued use of funds from operations through the remainder of 2022, primarily for exploration related to our Golden Crest and Lik projects and reconnaissance exploration.  See “Results of Operations” discussed above for further explanation of some of t</w:t>
      </w:r>
      <w:r>
        <w:rPr>
          <w:sz w:val="20"/>
          <w:szCs w:val="20"/>
        </w:rPr>
        <w:t>hese variances.</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During the three months ended March 31, 2022, we used $1,562,000 in cash from investing activities compared to $1,016,000 of cash provided from investing activities during the three months ended March 31, 2021.  The primary use of the cash during the three</w:t>
      </w:r>
      <w:r>
        <w:rPr>
          <w:sz w:val="20"/>
          <w:szCs w:val="20"/>
        </w:rPr>
        <w:t xml:space="preserve"> months ended March 31, 2022 was for the net purchase of $1,578,000 in short-term investments from the proceeds of our sales of our common stock under our ATM program compared to the net sale of $938,000 of short-term investments during the three months en</w:t>
      </w:r>
      <w:r>
        <w:rPr>
          <w:sz w:val="20"/>
          <w:szCs w:val="20"/>
        </w:rPr>
        <w:t>ded March 31, 2021.  In addition, during the three months ended March 31, 2022 and 2021 we sold marketable equity securities for proceeds of $26,000 and $78,000, respectively as discussed above in Note 3, “Marketable Equity Securities” to the condensed con</w:t>
      </w:r>
      <w:r>
        <w:rPr>
          <w:sz w:val="20"/>
          <w:szCs w:val="20"/>
        </w:rPr>
        <w:t>solidated financial statements.  We may sell additional marketable equity securities during the remainder of 2022, as discussed above, however, we do not anticipate the sale of marketable equity securities will be a significant source of cash during the re</w:t>
      </w:r>
      <w:r>
        <w:rPr>
          <w:sz w:val="20"/>
          <w:szCs w:val="20"/>
        </w:rPr>
        <w:t xml:space="preserve">mainder of 2022.  We will continue to liquidate a portion of our short-term investments as needed to fund our operations and our potential mineral property acquisitions during the remainder of 2022.  Any potential mineral property acquisition or strategic </w:t>
      </w:r>
      <w:r>
        <w:rPr>
          <w:sz w:val="20"/>
          <w:szCs w:val="20"/>
        </w:rPr>
        <w:t>corporate investment during the remainder of 2022 could involve a significant change in our cash provided or used for investing activities, depending on the structure of any potential transaction.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During the three months ended March 31, 2022, and 2021 we</w:t>
      </w:r>
      <w:r>
        <w:rPr>
          <w:sz w:val="20"/>
          <w:szCs w:val="20"/>
        </w:rPr>
        <w:t xml:space="preserve"> received net cash of $2,023,000 and $98,000, respectively, from the issuance of common stock under the ATM Program.  In addition, during the three months ended March 31, 2022 and 2021 we received $19,000 and $67,000, respectively, from the issuance of com</w:t>
      </w:r>
      <w:r>
        <w:rPr>
          <w:sz w:val="20"/>
          <w:szCs w:val="20"/>
        </w:rPr>
        <w:t>mon stock from the exercise of stock options, discussed above in Note 9, “Employee Stock Compensation Plans” to the condensed consolidated financial statements.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(e) Mineral Resources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CAUTIONARY NOTE REGARDING DISCLOSURE OF MINERAL PROPERTIES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w:t>
      </w:r>
      <w:r>
        <w:rPr>
          <w:rStyle w:val="a7"/>
          <w:sz w:val="20"/>
          <w:szCs w:val="20"/>
        </w:rPr>
        <w:t>Miner</w:t>
      </w:r>
      <w:r>
        <w:rPr>
          <w:rStyle w:val="a7"/>
          <w:sz w:val="20"/>
          <w:szCs w:val="20"/>
        </w:rPr>
        <w:t>al</w:t>
      </w:r>
      <w:r>
        <w:rPr>
          <w:sz w:val="20"/>
          <w:szCs w:val="20"/>
        </w:rPr>
        <w:t> </w:t>
      </w:r>
      <w:r>
        <w:rPr>
          <w:rStyle w:val="a7"/>
          <w:sz w:val="20"/>
          <w:szCs w:val="20"/>
        </w:rPr>
        <w:t>Reserves and Resources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are subject to the reporting requirements of the Securities Exchange Act of 1934, as amended (the “1934 Act”</w:t>
      </w:r>
      <w:r>
        <w:rPr>
          <w:sz w:val="20"/>
          <w:szCs w:val="20"/>
        </w:rPr>
        <w:t>) and applicable Canadian securities laws, and as a result we report our mineral resources according to two different standards. U.S. reporting requirements, are governed by Item 1300 of Regulation S-K (“S-K 1300”), as issued by the SEC. Canadian reporting</w:t>
      </w:r>
      <w:r>
        <w:rPr>
          <w:sz w:val="20"/>
          <w:szCs w:val="20"/>
        </w:rPr>
        <w:t xml:space="preserve"> requirements for disclosure of mineral properties are governed by National Instrument 43-101 Standards of Disclosure for Mineral Projects (“NI 43-101”), as adopted from the definitions provided by the Canadian Institute of Mining, Metallurgy and Petroleum</w:t>
      </w:r>
      <w:r>
        <w:rPr>
          <w:sz w:val="20"/>
          <w:szCs w:val="20"/>
        </w:rPr>
        <w:t>. Both sets of reporting standards have similar goals in terms of conveying an appropriate level of confidence in the disclosures being reported, but the standards generally embody slightly different approaches and definitions.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In our public filings in t</w:t>
      </w:r>
      <w:r>
        <w:rPr>
          <w:sz w:val="20"/>
          <w:szCs w:val="20"/>
        </w:rPr>
        <w:t>he U.S. and Canada and in certain other announcements not filed with the SEC, we disclose measured, indicated and inferred resources, each as defined in S-K 1300. The estimation of measured resources and indicated resources involve greater uncertainty as t</w:t>
      </w:r>
      <w:r>
        <w:rPr>
          <w:sz w:val="20"/>
          <w:szCs w:val="20"/>
        </w:rPr>
        <w:t>o their existence and economic feasibility than the estimation of proven and probable reserves, and therefore investors are cautioned not to assume that all or any part of measured or indicated resources will ever be converted into S-K 1300-compliant reser</w:t>
      </w:r>
      <w:r>
        <w:rPr>
          <w:sz w:val="20"/>
          <w:szCs w:val="20"/>
        </w:rPr>
        <w:t>ves. The estimation of inferred resources involves far greater uncertainty as to their existence and economic viability than the estimation of other categories of resources, and therefore it cannot be assumed that all or any part of inferred resources will</w:t>
      </w:r>
      <w:r>
        <w:rPr>
          <w:sz w:val="20"/>
          <w:szCs w:val="20"/>
        </w:rPr>
        <w:t xml:space="preserve"> ever be upgraded to a higher category. Therefore, investors are cautioned not to assume that all or any part of inferred resources exist, or that they can be mined legally or economically.</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(f) Off-balance sheet arrangements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and D</w:t>
      </w:r>
      <w:r>
        <w:rPr>
          <w:sz w:val="20"/>
          <w:szCs w:val="20"/>
        </w:rPr>
        <w:t>ecember 31, 2021 we have no off-balance sheet obligations.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(g) Development Activities, Exploration Activities, Environmental Compliance and Contractual Obligations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are not involved in any development activities, nor do we have any contractual obliga</w:t>
      </w:r>
      <w:r>
        <w:rPr>
          <w:sz w:val="20"/>
          <w:szCs w:val="20"/>
        </w:rPr>
        <w:t xml:space="preserve">tions related to any potential development activities as of March 31, 2022.  As of March 31, 2022, there have been no changes to our exploration activities, environmental compliance or other contractual obligations from those disclosed in our Management’s </w:t>
      </w:r>
      <w:r>
        <w:rPr>
          <w:sz w:val="20"/>
          <w:szCs w:val="20"/>
        </w:rPr>
        <w:t>Discussion and Analysis included in our Annual Report on Form 10-K for the year ended December 31, 2021.</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(h) Discontinued Projects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We did not record any mineral property write-downs during the three months ended March 31, 2022 and 2021.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(i) Significant Accounting Policies and Critical Accounting Estimates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See Note 1 to the Consolidated Financial Statements included in our A</w:t>
      </w:r>
      <w:r>
        <w:rPr>
          <w:sz w:val="20"/>
          <w:szCs w:val="20"/>
        </w:rPr>
        <w:t>nnual Report on Form 10-K for the year ended December 31, 2021 for a discussion of our significant accounting policies.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Solitario’s valuation of mineral properties is a critical accounting estimate. We review and evaluate our mineral properties for imp</w:t>
      </w:r>
      <w:r>
        <w:rPr>
          <w:sz w:val="20"/>
          <w:szCs w:val="20"/>
        </w:rPr>
        <w:t xml:space="preserve">airment when events or changes in circumstances indicate that the related carrying amounts may not be recoverable. Significant negative industry or economic trends, adverse social or political developments, geologic results, geo-technical difficulties, or </w:t>
      </w:r>
      <w:r>
        <w:rPr>
          <w:sz w:val="20"/>
          <w:szCs w:val="20"/>
        </w:rPr>
        <w:t>other disruptions to our business are a few examples of events that we monitor, as they could indicate that the carrying value of the mineral properties may not be recoverable. In such cases, a recoverability test may be necessary to determine if an impair</w:t>
      </w:r>
      <w:r>
        <w:rPr>
          <w:sz w:val="20"/>
          <w:szCs w:val="20"/>
        </w:rPr>
        <w:t>ment charge is required.  There has been no change to our assumptions, estimates or calculations during the three months ended March 31, 2022.</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(j) Related Party Transactions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and for the three months ended March 31, 2022, we have n</w:t>
      </w:r>
      <w:r>
        <w:rPr>
          <w:sz w:val="20"/>
          <w:szCs w:val="20"/>
        </w:rPr>
        <w:t>o related party transactions or balances.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(k) Recent Accounting Pronouncements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 xml:space="preserve">See Note 1, “Business and Summary of Significant Accounting Policies,” </w:t>
      </w:r>
      <w:r>
        <w:rPr>
          <w:sz w:val="20"/>
          <w:szCs w:val="20"/>
        </w:rPr>
        <w:t xml:space="preserve">to the unaudited condensed consolidated financial statements under </w:t>
      </w:r>
      <w:r>
        <w:rPr>
          <w:rStyle w:val="a7"/>
          <w:sz w:val="20"/>
          <w:szCs w:val="20"/>
        </w:rPr>
        <w:t>Recent Accounting Pronouncements”</w:t>
      </w:r>
      <w:r>
        <w:rPr>
          <w:sz w:val="20"/>
          <w:szCs w:val="20"/>
        </w:rPr>
        <w:t xml:space="preserve"> above for a discussion of our significant accounting policies.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4"/>
          <w:sz w:val="20"/>
          <w:szCs w:val="20"/>
        </w:rPr>
        <w:t>(k) Forward Looking Statements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This Form 10-Q contains forward-looking statements, within the meaning of Section 27A of the Securities Act of 1933, as amended and Section 21E of the Securities Exchange Act of 1934, as amended (the “1934 Act”) with respect to our financial condition, res</w:t>
      </w:r>
      <w:r>
        <w:rPr>
          <w:sz w:val="20"/>
          <w:szCs w:val="20"/>
        </w:rPr>
        <w:t>ults of operations, business prospects, plans, objectives, goals, strategies, future events, capital expenditures, and exploration and development efforts. Words such as “anticipates,” “expects,” “intends,” “forecasts,” “plans,” “believes,” “seeks,” “estim</w:t>
      </w:r>
      <w:r>
        <w:rPr>
          <w:sz w:val="20"/>
          <w:szCs w:val="20"/>
        </w:rPr>
        <w:t>ates,” “may,” “will,” and similar expressions identify forward-looking statements.  These forward-looking statements are based on our current expectations and assumptions about future events and are based on currently available information as to the outcom</w:t>
      </w:r>
      <w:r>
        <w:rPr>
          <w:sz w:val="20"/>
          <w:szCs w:val="20"/>
        </w:rPr>
        <w:t>e and timing of future events. When considering forward-looking statements, you should keep in mind the risk factors and other cautionary statements described herein and under the heading "Risk Factors" included in Item 1A of Part I of our Annual Report on</w:t>
      </w:r>
      <w:r>
        <w:rPr>
          <w:sz w:val="20"/>
          <w:szCs w:val="20"/>
        </w:rPr>
        <w:t xml:space="preserve"> Form 10-K for the year ended December 31, 2021. These forward-looking statements appear in a number of places in this report and include statements with respect to, among other things:</w:t>
      </w:r>
    </w:p>
    <w:p w:rsidR="00000000" w:rsidRDefault="00723B32">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723B32">
            <w:pPr>
              <w:pStyle w:val="a3"/>
              <w:spacing w:before="0" w:beforeAutospacing="0" w:after="0" w:afterAutospacing="0"/>
              <w:rPr>
                <w:sz w:val="20"/>
                <w:szCs w:val="20"/>
              </w:rPr>
            </w:pPr>
            <w:r>
              <w:rPr>
                <w:sz w:val="20"/>
                <w:szCs w:val="20"/>
              </w:rPr>
              <w:t> </w:t>
            </w:r>
          </w:p>
        </w:tc>
        <w:tc>
          <w:tcPr>
            <w:tcW w:w="200" w:type="pct"/>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estimates of the value and recovery of our short-term invest</w:t>
            </w:r>
            <w:r>
              <w:rPr>
                <w:rFonts w:eastAsia="Times New Roman"/>
                <w:sz w:val="20"/>
                <w:szCs w:val="20"/>
              </w:rPr>
              <w:t>ments;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estimates of the value and recovery of our mineral resources.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estimates of future exploration, development, general and administrative and other costs;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ability to realize a return on our investment in the Lik and Golden Crest projects;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 xml:space="preserve">Our ability to successfully identify, and execute </w:t>
            </w:r>
            <w:r>
              <w:rPr>
                <w:rFonts w:eastAsia="Times New Roman"/>
                <w:sz w:val="20"/>
                <w:szCs w:val="20"/>
              </w:rPr>
              <w:t>on transactions to acquire new mineral exploration properties and other related assets;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estimates of fair value of our investment in shares of Vendetta, Vox and Kinross;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expectations regarding development and exploration of our properties including those subject to joint venture and shareholder agreements;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 xml:space="preserve">The </w:t>
            </w:r>
            <w:r>
              <w:rPr>
                <w:rFonts w:eastAsia="Times New Roman"/>
                <w:sz w:val="20"/>
                <w:szCs w:val="20"/>
              </w:rPr>
              <w:t>impact of political and regulatory developments;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future financial condition or results of operations and our future revenues and expenses;</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Our business strategy and other plans and objectives for future operations; and</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hideMark/>
          </w:tcPr>
          <w:p w:rsidR="00000000" w:rsidRDefault="00723B32">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23B32">
            <w:pPr>
              <w:rPr>
                <w:rFonts w:eastAsia="Times New Roman"/>
                <w:sz w:val="20"/>
                <w:szCs w:val="20"/>
              </w:rPr>
            </w:pPr>
            <w:r>
              <w:rPr>
                <w:rFonts w:eastAsia="Times New Roman"/>
                <w:sz w:val="20"/>
                <w:szCs w:val="20"/>
              </w:rPr>
              <w:t>Risks related to pandemics, including the outbreak of COVID-19.</w:t>
            </w:r>
          </w:p>
        </w:tc>
      </w:tr>
    </w:tbl>
    <w:p w:rsidR="00000000" w:rsidRDefault="00723B32">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Although we have attempted to identify important factors that could cause actual results to differ materially from those described in forward-looking statements, there may be other factors that cause results not to be as anticipated, estimated or intended.</w:t>
      </w:r>
      <w:r>
        <w:rPr>
          <w:sz w:val="20"/>
          <w:szCs w:val="20"/>
        </w:rPr>
        <w:t xml:space="preserve"> There can be no assurance that these statements will prove to be accurate as actual results and future events could differ materially from those anticipated in the statements. Except as required by law, we assume no obligation to publicly update any forwa</w:t>
      </w:r>
      <w:r>
        <w:rPr>
          <w:sz w:val="20"/>
          <w:szCs w:val="20"/>
        </w:rPr>
        <w:t>rd-looking statements, whether as a result of new information, future events or otherwise.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Item 3.  </w:t>
      </w:r>
      <w:r>
        <w:rPr>
          <w:rStyle w:val="atag"/>
          <w:sz w:val="20"/>
          <w:szCs w:val="20"/>
          <w:u w:val="single"/>
        </w:rPr>
        <w:t>Quantitative and Qualitative Disclosures about Market Ris</w:t>
      </w:r>
      <w:r>
        <w:rPr>
          <w:rStyle w:val="atag"/>
          <w:sz w:val="20"/>
          <w:szCs w:val="20"/>
          <w:u w:val="single"/>
        </w:rPr>
        <w:t>k</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Smaller Reporting Companies are not required to provide the information required by this item</w:t>
      </w:r>
      <w:r>
        <w:rPr>
          <w:sz w:val="20"/>
          <w:szCs w:val="20"/>
        </w:rPr>
        <w:t>.  </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Item 4.  </w:t>
      </w:r>
      <w:r>
        <w:rPr>
          <w:rStyle w:val="atag"/>
          <w:sz w:val="20"/>
          <w:szCs w:val="20"/>
          <w:u w:val="single"/>
        </w:rPr>
        <w:t>Controls and Procedure</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Disclosure Controls and Procedures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required by Rule 13a-15 under the 1934 Act, as of March 31, 2022, we carried out an evaluation of the effectiveness of the design and operation of our disclosure controls and procedures. This evaluation was carried out under the supervision and with the</w:t>
      </w:r>
      <w:r>
        <w:rPr>
          <w:sz w:val="20"/>
          <w:szCs w:val="20"/>
        </w:rPr>
        <w:t xml:space="preserve"> participation of our Chief Executive Officer (our principal executive officer) and our Chief Financial Officer (our principal financial officer). Based upon and as of the date of that evaluation, our Chief Executive Officer and Chief Financial Officer con</w:t>
      </w:r>
      <w:r>
        <w:rPr>
          <w:sz w:val="20"/>
          <w:szCs w:val="20"/>
        </w:rPr>
        <w:t>cluded that our disclosure controls and procedures were effective as of March 31, 2022.</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Disclosure controls and procedures are controls and other procedures that are designed to ensure that information required to be disclosed in our reports filed or sub</w:t>
      </w:r>
      <w:r>
        <w:rPr>
          <w:sz w:val="20"/>
          <w:szCs w:val="20"/>
        </w:rPr>
        <w:t>mitted under the 1934 Act is recorded, processed, summarized and reported within the time periods specified in the SEC’s rules and forms. Disclosure controls and procedures include, without limitation, controls and procedures designed to ensure that inform</w:t>
      </w:r>
      <w:r>
        <w:rPr>
          <w:sz w:val="20"/>
          <w:szCs w:val="20"/>
        </w:rPr>
        <w:t>ation required to be disclosed in our reports filed under the 1934 Act is accumulated and communicated to our management, including our principal executive officer and our principal financial officer, as appropriate, to allow timely decisions regarding req</w:t>
      </w:r>
      <w:r>
        <w:rPr>
          <w:sz w:val="20"/>
          <w:szCs w:val="20"/>
        </w:rPr>
        <w:t>uired disclosure.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7"/>
          <w:sz w:val="20"/>
          <w:szCs w:val="20"/>
        </w:rPr>
        <w:t>Changes in Internal Control Over Financial Reporting</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There were no changes in our internal control over financial reporting (as defined in Rules 13a-15(f) and 15d-15(f) promulgated under the 1934 Act) during the quarter ended March 31</w:t>
      </w:r>
      <w:r>
        <w:rPr>
          <w:sz w:val="20"/>
          <w:szCs w:val="20"/>
        </w:rPr>
        <w:t>, 2022 that have materially affected, or are reasonably likely to materially affect, our internal control over financial reporting.</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PART II - OTHER INFORMATIO</w:t>
      </w:r>
      <w:r>
        <w:rPr>
          <w:rStyle w:val="atag"/>
          <w:sz w:val="20"/>
          <w:szCs w:val="20"/>
        </w:rPr>
        <w:t>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Legal Proceeding</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None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1A. </w:t>
      </w:r>
      <w:r>
        <w:rPr>
          <w:rStyle w:val="atag"/>
          <w:sz w:val="20"/>
          <w:szCs w:val="20"/>
          <w:u w:val="single"/>
        </w:rPr>
        <w:t>Risk Factor</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As of March 31, 2022, there were no material changes to the Risk Factors associated with our business disclosed in Part I, Item 1A of our Annual Report on Form 10-K for the year ended December 31, 2021.</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Unregistered Sales of Equity Securities and Use of Proceed</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None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Defaults upon Senior Securitie</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None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Mine Safety Disclosure</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None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5. </w:t>
      </w:r>
      <w:r>
        <w:rPr>
          <w:rStyle w:val="atag"/>
          <w:sz w:val="20"/>
          <w:szCs w:val="20"/>
          <w:u w:val="single"/>
        </w:rPr>
        <w:t>Other Informatio</w:t>
      </w:r>
      <w:r>
        <w:rPr>
          <w:rStyle w:val="atag"/>
          <w:sz w:val="20"/>
          <w:szCs w:val="20"/>
          <w:u w:val="single"/>
        </w:rPr>
        <w:t>n</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None</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rStyle w:val="atag"/>
          <w:sz w:val="20"/>
          <w:szCs w:val="20"/>
        </w:rPr>
        <w:t xml:space="preserve">Item 6. </w:t>
      </w:r>
      <w:r>
        <w:rPr>
          <w:rStyle w:val="atag"/>
          <w:sz w:val="20"/>
          <w:szCs w:val="20"/>
          <w:u w:val="single"/>
        </w:rPr>
        <w:t>Exhibit</w:t>
      </w:r>
      <w:r>
        <w:rPr>
          <w:rStyle w:val="atag"/>
          <w:sz w:val="20"/>
          <w:szCs w:val="20"/>
          <w:u w:val="single"/>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rPr>
          <w:sz w:val="20"/>
          <w:szCs w:val="20"/>
        </w:rPr>
      </w:pPr>
      <w:r>
        <w:rPr>
          <w:sz w:val="20"/>
          <w:szCs w:val="20"/>
        </w:rPr>
        <w:t>The Exhibits to this report are listed in the Exhibit Index.</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ind w:firstLine="720"/>
        <w:jc w:val="center"/>
        <w:rPr>
          <w:sz w:val="20"/>
          <w:szCs w:val="20"/>
        </w:rPr>
      </w:pPr>
      <w:r>
        <w:rPr>
          <w:rStyle w:val="atag"/>
          <w:b/>
          <w:bCs/>
          <w:sz w:val="20"/>
          <w:szCs w:val="20"/>
        </w:rPr>
        <w:t>SIGNATURE</w:t>
      </w:r>
      <w:r>
        <w:rPr>
          <w:rStyle w:val="atag"/>
          <w:b/>
          <w:bCs/>
          <w:sz w:val="20"/>
          <w:szCs w:val="20"/>
        </w:rPr>
        <w:t>S</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rPr>
          <w:sz w:val="20"/>
          <w:szCs w:val="20"/>
        </w:rPr>
      </w:pPr>
      <w:r>
        <w:rPr>
          <w:sz w:val="20"/>
          <w:szCs w:val="20"/>
        </w:rPr>
        <w:t xml:space="preserve">SOLITARIO ZINC CORP. </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2500" w:type="pct"/>
            <w:vAlign w:val="center"/>
            <w:hideMark/>
          </w:tcPr>
          <w:p w:rsidR="00000000" w:rsidRDefault="00723B32">
            <w:pPr>
              <w:pStyle w:val="a3"/>
              <w:spacing w:before="0" w:beforeAutospacing="0" w:after="0" w:afterAutospacing="0"/>
              <w:jc w:val="both"/>
              <w:rPr>
                <w:sz w:val="20"/>
                <w:szCs w:val="20"/>
              </w:rPr>
            </w:pPr>
            <w:r>
              <w:rPr>
                <w:sz w:val="20"/>
                <w:szCs w:val="20"/>
                <w:u w:val="single"/>
              </w:rPr>
              <w:t>May 4, 2022</w:t>
            </w:r>
          </w:p>
        </w:tc>
        <w:tc>
          <w:tcPr>
            <w:tcW w:w="150" w:type="pct"/>
            <w:vAlign w:val="center"/>
            <w:hideMark/>
          </w:tcPr>
          <w:p w:rsidR="00000000" w:rsidRDefault="00723B32">
            <w:pPr>
              <w:pStyle w:val="a3"/>
              <w:spacing w:before="0" w:beforeAutospacing="0" w:after="0" w:afterAutospacing="0"/>
              <w:jc w:val="both"/>
              <w:rPr>
                <w:sz w:val="20"/>
                <w:szCs w:val="20"/>
              </w:rPr>
            </w:pPr>
            <w:r>
              <w:rPr>
                <w:sz w:val="20"/>
                <w:szCs w:val="20"/>
              </w:rPr>
              <w:t>By:</w:t>
            </w:r>
          </w:p>
        </w:tc>
        <w:tc>
          <w:tcPr>
            <w:tcW w:w="1750" w:type="pct"/>
            <w:tcBorders>
              <w:bottom w:val="single" w:sz="6" w:space="0" w:color="000000"/>
            </w:tcBorders>
            <w:vAlign w:val="center"/>
            <w:hideMark/>
          </w:tcPr>
          <w:p w:rsidR="00000000" w:rsidRDefault="00723B32">
            <w:pPr>
              <w:pStyle w:val="a3"/>
              <w:spacing w:before="0" w:beforeAutospacing="0" w:after="0" w:afterAutospacing="0"/>
              <w:jc w:val="both"/>
              <w:rPr>
                <w:sz w:val="20"/>
                <w:szCs w:val="20"/>
              </w:rPr>
            </w:pPr>
            <w:r>
              <w:rPr>
                <w:sz w:val="20"/>
                <w:szCs w:val="20"/>
              </w:rPr>
              <w:t xml:space="preserve">/s/ James R. Maronick </w:t>
            </w:r>
          </w:p>
        </w:tc>
        <w:tc>
          <w:tcPr>
            <w:tcW w:w="600" w:type="pct"/>
            <w:vAlign w:val="center"/>
            <w:hideMark/>
          </w:tcPr>
          <w:p w:rsidR="00000000" w:rsidRDefault="00723B32">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Dat</w:t>
            </w:r>
            <w:r>
              <w:rPr>
                <w:sz w:val="20"/>
                <w:szCs w:val="20"/>
              </w:rPr>
              <w:t>e</w:t>
            </w:r>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James R. Maronick</w:t>
            </w:r>
          </w:p>
        </w:tc>
        <w:tc>
          <w:tcPr>
            <w:tcW w:w="0" w:type="auto"/>
            <w:vAlign w:val="center"/>
            <w:hideMark/>
          </w:tcPr>
          <w:p w:rsidR="00000000" w:rsidRDefault="00723B32">
            <w:pPr>
              <w:rPr>
                <w:sz w:val="20"/>
                <w:szCs w:val="20"/>
              </w:rPr>
            </w:pPr>
          </w:p>
        </w:tc>
      </w:tr>
      <w:tr w:rsidR="00000000">
        <w:trPr>
          <w:trHeight w:val="225"/>
          <w:tblCellSpacing w:w="15" w:type="dxa"/>
        </w:trPr>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23B32">
            <w:pPr>
              <w:pStyle w:val="a3"/>
              <w:spacing w:before="0" w:beforeAutospacing="0" w:after="0" w:afterAutospacing="0"/>
              <w:jc w:val="both"/>
              <w:rPr>
                <w:sz w:val="20"/>
                <w:szCs w:val="20"/>
              </w:rPr>
            </w:pPr>
            <w:r>
              <w:rPr>
                <w:sz w:val="20"/>
                <w:szCs w:val="20"/>
              </w:rPr>
              <w:t>Chief Financial Officer</w:t>
            </w:r>
          </w:p>
        </w:tc>
        <w:tc>
          <w:tcPr>
            <w:tcW w:w="0" w:type="auto"/>
            <w:vAlign w:val="center"/>
            <w:hideMark/>
          </w:tcPr>
          <w:p w:rsidR="00000000" w:rsidRDefault="00723B32">
            <w:pPr>
              <w:rPr>
                <w:sz w:val="20"/>
                <w:szCs w:val="20"/>
              </w:rPr>
            </w:pPr>
          </w:p>
        </w:tc>
      </w:tr>
    </w:tbl>
    <w:p w:rsidR="00000000" w:rsidRDefault="00723B32">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723B32">
            <w:pPr>
              <w:rPr>
                <w:rFonts w:eastAsia="Times New Roman"/>
                <w:sz w:val="20"/>
                <w:szCs w:val="20"/>
              </w:rPr>
            </w:pPr>
          </w:p>
        </w:tc>
      </w:tr>
      <w:tr w:rsidR="00000000">
        <w:trPr>
          <w:trHeight w:val="225"/>
          <w:tblCellSpacing w:w="15" w:type="dxa"/>
        </w:trPr>
        <w:tc>
          <w:tcPr>
            <w:tcW w:w="0" w:type="auto"/>
            <w:vAlign w:val="center"/>
            <w:hideMark/>
          </w:tcPr>
          <w:p w:rsidR="00000000" w:rsidRDefault="00723B32">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723B32">
      <w:pPr>
        <w:pStyle w:val="a3"/>
        <w:spacing w:before="0" w:beforeAutospacing="0" w:after="0" w:afterAutospacing="0"/>
        <w:rPr>
          <w:sz w:val="20"/>
          <w:szCs w:val="20"/>
        </w:rPr>
      </w:pPr>
      <w:r>
        <w:rPr>
          <w:sz w:val="20"/>
          <w:szCs w:val="20"/>
        </w:rPr>
        <w:t> </w:t>
      </w:r>
    </w:p>
    <w:p w:rsidR="00000000" w:rsidRDefault="00723B32">
      <w:pPr>
        <w:pStyle w:val="a3"/>
        <w:spacing w:before="0" w:beforeAutospacing="0" w:after="0" w:afterAutospacing="0"/>
        <w:jc w:val="center"/>
        <w:rPr>
          <w:sz w:val="20"/>
          <w:szCs w:val="20"/>
        </w:rPr>
      </w:pPr>
      <w:r>
        <w:rPr>
          <w:rStyle w:val="a4"/>
          <w:sz w:val="20"/>
          <w:szCs w:val="20"/>
        </w:rPr>
        <w:t>EXHIBIT INDEX</w:t>
      </w:r>
    </w:p>
    <w:p w:rsidR="00000000" w:rsidRDefault="00723B32">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00"/>
        <w:gridCol w:w="112"/>
        <w:gridCol w:w="7494"/>
      </w:tblGrid>
      <w:tr w:rsidR="00000000">
        <w:trPr>
          <w:trHeight w:val="225"/>
          <w:tblCellSpacing w:w="15" w:type="dxa"/>
        </w:trPr>
        <w:tc>
          <w:tcPr>
            <w:tcW w:w="400" w:type="pct"/>
            <w:shd w:val="clear" w:color="auto" w:fill="CCEEFF"/>
            <w:hideMark/>
          </w:tcPr>
          <w:p w:rsidR="00000000" w:rsidRDefault="00723B32">
            <w:pPr>
              <w:pStyle w:val="a3"/>
              <w:spacing w:before="0" w:beforeAutospacing="0" w:after="0" w:afterAutospacing="0"/>
              <w:rPr>
                <w:sz w:val="20"/>
                <w:szCs w:val="20"/>
              </w:rPr>
            </w:pPr>
            <w:hyperlink r:id="rId4" w:history="1">
              <w:r>
                <w:rPr>
                  <w:rStyle w:val="a5"/>
                  <w:sz w:val="20"/>
                  <w:szCs w:val="20"/>
                </w:rPr>
                <w:t>3.1</w:t>
              </w:r>
            </w:hyperlink>
          </w:p>
        </w:tc>
        <w:tc>
          <w:tcPr>
            <w:tcW w:w="50" w:type="pct"/>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723B32">
            <w:pPr>
              <w:pStyle w:val="a3"/>
              <w:spacing w:before="0" w:beforeAutospacing="0" w:after="0" w:afterAutospacing="0"/>
              <w:rPr>
                <w:sz w:val="20"/>
                <w:szCs w:val="20"/>
              </w:rPr>
            </w:pPr>
            <w:hyperlink r:id="rId5" w:history="1">
              <w:r>
                <w:rPr>
                  <w:rStyle w:val="a5"/>
                  <w:sz w:val="20"/>
                  <w:szCs w:val="20"/>
                </w:rPr>
                <w:t>Amended and Restated Articles of Incorporation of Solitario Explorat</w:t>
              </w:r>
              <w:r>
                <w:rPr>
                  <w:rStyle w:val="a5"/>
                  <w:sz w:val="20"/>
                  <w:szCs w:val="20"/>
                </w:rPr>
                <w:t>ion &amp; Royalty Corp., as Amended (incorporated by reference to Exhibit 3.1 to Solitario’s Form 10-Q filed on August 10, 2010)</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hyperlink r:id="rId6" w:history="1">
              <w:r>
                <w:rPr>
                  <w:rStyle w:val="a5"/>
                  <w:sz w:val="20"/>
                  <w:szCs w:val="20"/>
                </w:rPr>
                <w:t>3.1.1</w:t>
              </w:r>
            </w:hyperlink>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723B32">
            <w:pPr>
              <w:pStyle w:val="a3"/>
              <w:spacing w:before="0" w:beforeAutospacing="0" w:after="0" w:afterAutospacing="0"/>
              <w:rPr>
                <w:sz w:val="20"/>
                <w:szCs w:val="20"/>
              </w:rPr>
            </w:pPr>
            <w:hyperlink r:id="rId7" w:history="1">
              <w:r>
                <w:rPr>
                  <w:rStyle w:val="a5"/>
                  <w:sz w:val="20"/>
                  <w:szCs w:val="20"/>
                </w:rPr>
                <w:t>Articles of Amendment to Restated Articles of Incorporation of Solitario Zinc Corp. (incorporated by reference to Exhibit 3.1 to Solitario’s Current Report on Form 8-K filed on July 14, 201</w:t>
              </w:r>
              <w:r>
                <w:rPr>
                  <w:rStyle w:val="a5"/>
                  <w:sz w:val="20"/>
                  <w:szCs w:val="20"/>
                </w:rPr>
                <w:t>7)</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hyperlink r:id="rId8" w:history="1">
              <w:r>
                <w:rPr>
                  <w:rStyle w:val="a5"/>
                  <w:sz w:val="20"/>
                  <w:szCs w:val="20"/>
                </w:rPr>
                <w:t>3.2</w:t>
              </w:r>
            </w:hyperlink>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723B32">
            <w:pPr>
              <w:pStyle w:val="a3"/>
              <w:spacing w:before="0" w:beforeAutospacing="0" w:after="0" w:afterAutospacing="0"/>
              <w:rPr>
                <w:sz w:val="20"/>
                <w:szCs w:val="20"/>
              </w:rPr>
            </w:pPr>
            <w:hyperlink r:id="rId9" w:history="1">
              <w:r>
                <w:rPr>
                  <w:rStyle w:val="a5"/>
                  <w:sz w:val="20"/>
                  <w:szCs w:val="20"/>
                </w:rPr>
                <w:t>Amended and Restated By-laws of Solitario Zinc Corp.  (incorporated by reference to Exhibit 3.1 to Solitario’s Form 8-K filed on April 23, 2021)</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hyperlink r:id="rId10" w:history="1">
              <w:r>
                <w:rPr>
                  <w:rStyle w:val="a5"/>
                  <w:sz w:val="20"/>
                  <w:szCs w:val="20"/>
                </w:rPr>
                <w:t>4.1</w:t>
              </w:r>
            </w:hyperlink>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723B32">
            <w:pPr>
              <w:pStyle w:val="a3"/>
              <w:spacing w:before="0" w:beforeAutospacing="0" w:after="0" w:afterAutospacing="0"/>
              <w:rPr>
                <w:sz w:val="20"/>
                <w:szCs w:val="20"/>
              </w:rPr>
            </w:pPr>
            <w:hyperlink r:id="rId11" w:history="1">
              <w:r>
                <w:rPr>
                  <w:rStyle w:val="a5"/>
                  <w:sz w:val="20"/>
                  <w:szCs w:val="20"/>
                </w:rPr>
                <w:t>Form of Common Stock Certificate of Solitario Zinc Corp. (incorporated by ref</w:t>
              </w:r>
              <w:r>
                <w:rPr>
                  <w:rStyle w:val="a5"/>
                  <w:sz w:val="20"/>
                  <w:szCs w:val="20"/>
                </w:rPr>
                <w:t>erence to Exhibit 4.1 to Solitario’s Form 10-Q filed on November 8, 2017)</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hyperlink r:id="rId12" w:history="1">
              <w:r>
                <w:rPr>
                  <w:rStyle w:val="a5"/>
                  <w:sz w:val="20"/>
                  <w:szCs w:val="20"/>
                </w:rPr>
                <w:t>31.1*</w:t>
              </w:r>
            </w:hyperlink>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23B32">
            <w:pPr>
              <w:pStyle w:val="a3"/>
              <w:spacing w:before="0" w:beforeAutospacing="0" w:after="0" w:afterAutospacing="0"/>
              <w:rPr>
                <w:sz w:val="20"/>
                <w:szCs w:val="20"/>
              </w:rPr>
            </w:pPr>
            <w:hyperlink r:id="rId13" w:history="1">
              <w:r>
                <w:rPr>
                  <w:rStyle w:val="a5"/>
                  <w:sz w:val="20"/>
                  <w:szCs w:val="20"/>
                </w:rPr>
                <w:t>Certification of Chief Executive Officer pursuant to SEC Rule 13a-14(a)/15d-14(a) as adopted pursuant to</w:t>
              </w:r>
              <w:r>
                <w:rPr>
                  <w:rStyle w:val="a5"/>
                  <w:sz w:val="20"/>
                  <w:szCs w:val="20"/>
                </w:rPr>
                <w:t xml:space="preserve">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hyperlink r:id="rId14" w:history="1">
              <w:r>
                <w:rPr>
                  <w:rStyle w:val="a5"/>
                  <w:sz w:val="20"/>
                  <w:szCs w:val="20"/>
                </w:rPr>
                <w:t>31.2*</w:t>
              </w:r>
            </w:hyperlink>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23B32">
            <w:pPr>
              <w:pStyle w:val="a3"/>
              <w:spacing w:before="0" w:beforeAutospacing="0" w:after="0" w:afterAutospacing="0"/>
              <w:rPr>
                <w:sz w:val="20"/>
                <w:szCs w:val="20"/>
              </w:rPr>
            </w:pPr>
            <w:hyperlink r:id="rId15" w:history="1">
              <w:r>
                <w:rPr>
                  <w:rStyle w:val="a5"/>
                  <w:sz w:val="20"/>
                  <w:szCs w:val="20"/>
                </w:rPr>
                <w:t>Certification of Chief Financial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hyperlink r:id="rId16" w:history="1">
              <w:r>
                <w:rPr>
                  <w:rStyle w:val="a5"/>
                  <w:sz w:val="20"/>
                  <w:szCs w:val="20"/>
                </w:rPr>
                <w:t>32.1*</w:t>
              </w:r>
            </w:hyperlink>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23B32">
            <w:pPr>
              <w:pStyle w:val="a3"/>
              <w:spacing w:before="0" w:beforeAutospacing="0" w:after="0" w:afterAutospacing="0"/>
              <w:rPr>
                <w:sz w:val="20"/>
                <w:szCs w:val="20"/>
              </w:rPr>
            </w:pPr>
            <w:hyperlink r:id="rId17" w:history="1">
              <w:r>
                <w:rPr>
                  <w:rStyle w:val="a5"/>
                  <w:sz w:val="20"/>
                  <w:szCs w:val="20"/>
                </w:rPr>
                <w:t>Certification of Chief Executive Officer and Chief Financial Officer pursuant to 18 U.S.C Section 1350 as adopted pursuant to Section 906 of the Sarbanes-Oxley Act of 2002.</w:t>
              </w:r>
            </w:hyperlink>
          </w:p>
        </w:tc>
      </w:tr>
      <w:tr w:rsidR="00000000">
        <w:trPr>
          <w:trHeight w:val="225"/>
          <w:tblCellSpacing w:w="15" w:type="dxa"/>
        </w:trPr>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23B32">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101*</w:t>
            </w:r>
          </w:p>
        </w:tc>
        <w:tc>
          <w:tcPr>
            <w:tcW w:w="0" w:type="auto"/>
            <w:shd w:val="clear" w:color="auto" w:fill="CCEEFF"/>
            <w:vAlign w:val="center"/>
            <w:hideMark/>
          </w:tcPr>
          <w:p w:rsidR="00000000" w:rsidRDefault="00723B32">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23B32">
            <w:pPr>
              <w:pStyle w:val="a3"/>
              <w:spacing w:before="0" w:beforeAutospacing="0" w:after="0" w:afterAutospacing="0"/>
              <w:rPr>
                <w:sz w:val="20"/>
                <w:szCs w:val="20"/>
              </w:rPr>
            </w:pPr>
            <w:r>
              <w:rPr>
                <w:sz w:val="20"/>
                <w:szCs w:val="20"/>
              </w:rPr>
              <w:t>The following financial statements, formatted in XBRL: (i) Condensed</w:t>
            </w:r>
            <w:r>
              <w:rPr>
                <w:sz w:val="20"/>
                <w:szCs w:val="20"/>
              </w:rPr>
              <w:t xml:space="preserve"> Consolidated Balance Sheets as of March 31, 2022 and December 31, 2021, (ii) Condensed Consolidated Statements of Operations for the three months ended March 31, 2022 and 2021, (iii) Condensed Consolidated Statements of Cash Flows for the three months end</w:t>
            </w:r>
            <w:r>
              <w:rPr>
                <w:sz w:val="20"/>
                <w:szCs w:val="20"/>
              </w:rPr>
              <w:t>ed March 31, 2022 and 2021; and (iv) Notes to the Condensed Unaudited Consolidated Financial Statements, tagged as blocks of text.  </w:t>
            </w:r>
          </w:p>
        </w:tc>
      </w:tr>
    </w:tbl>
    <w:p w:rsidR="00000000" w:rsidRDefault="00723B32">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trPr>
          <w:trHeight w:val="225"/>
          <w:tblCellSpacing w:w="15" w:type="dxa"/>
        </w:trPr>
        <w:tc>
          <w:tcPr>
            <w:tcW w:w="200" w:type="pct"/>
            <w:shd w:val="clear" w:color="auto" w:fill="FFFFFF"/>
            <w:hideMark/>
          </w:tcPr>
          <w:p w:rsidR="00000000" w:rsidRDefault="00723B32">
            <w:pPr>
              <w:pStyle w:val="a3"/>
              <w:spacing w:before="0" w:beforeAutospacing="0" w:after="0" w:afterAutospacing="0"/>
              <w:rPr>
                <w:sz w:val="20"/>
                <w:szCs w:val="20"/>
              </w:rPr>
            </w:pPr>
            <w:r>
              <w:rPr>
                <w:sz w:val="20"/>
                <w:szCs w:val="20"/>
              </w:rPr>
              <w:t>*</w:t>
            </w:r>
          </w:p>
        </w:tc>
        <w:tc>
          <w:tcPr>
            <w:tcW w:w="0" w:type="auto"/>
            <w:shd w:val="clear" w:color="auto" w:fill="FFFFFF"/>
            <w:hideMark/>
          </w:tcPr>
          <w:p w:rsidR="00000000" w:rsidRDefault="00723B32">
            <w:pPr>
              <w:pStyle w:val="a3"/>
              <w:spacing w:before="0" w:beforeAutospacing="0" w:after="0" w:afterAutospacing="0"/>
              <w:rPr>
                <w:sz w:val="20"/>
                <w:szCs w:val="20"/>
              </w:rPr>
            </w:pPr>
            <w:r>
              <w:rPr>
                <w:sz w:val="20"/>
                <w:szCs w:val="20"/>
              </w:rPr>
              <w:t>Filed herewith</w:t>
            </w:r>
          </w:p>
        </w:tc>
      </w:tr>
    </w:tbl>
    <w:p w:rsidR="00000000" w:rsidRDefault="00723B32">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23B32">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23B32">
            <w:pPr>
              <w:jc w:val="center"/>
              <w:rPr>
                <w:rFonts w:eastAsia="Times New Roman"/>
                <w:sz w:val="20"/>
                <w:szCs w:val="20"/>
              </w:rPr>
            </w:pPr>
            <w:r>
              <w:rPr>
                <w:rFonts w:eastAsia="Times New Roman"/>
                <w:sz w:val="20"/>
                <w:szCs w:val="20"/>
              </w:rPr>
              <w:t>23</w:t>
            </w:r>
          </w:p>
        </w:tc>
      </w:tr>
    </w:tbl>
    <w:p w:rsidR="00723B32" w:rsidRDefault="00723B32">
      <w:pPr>
        <w:pStyle w:val="a3"/>
        <w:spacing w:before="0" w:beforeAutospacing="0" w:after="0" w:afterAutospacing="0"/>
        <w:rPr>
          <w:sz w:val="20"/>
          <w:szCs w:val="20"/>
        </w:rPr>
      </w:pPr>
      <w:r>
        <w:rPr>
          <w:sz w:val="20"/>
          <w:szCs w:val="20"/>
        </w:rPr>
        <w:t> </w:t>
      </w:r>
    </w:p>
    <w:sectPr w:rsidR="00723B3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3B32"/>
    <w:rsid w:val="00723B32"/>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1"/>
  <w:attachedSchema w:val="http://www.w3.org/1999/xlink"/>
  <w:attachedSchema w:val="http://www.xbrl.org/2003/linkbase"/>
  <w:attachedSchema w:val="http://www.xbrl.org/2003/instance"/>
  <w:attachedSchema w:val="http://xbrl.org/2005/xbrldt"/>
  <w:attachedSchema w:val="http://xbrl.org/2006/xbrldi"/>
  <w:attachedSchema w:val="http://xbrl.sec.gov/dei/2021q4"/>
  <w:attachedSchema w:val="http://www.xbrl.org/dtr/type/numeric"/>
  <w:attachedSchema w:val="http://www.xbrl.org/dtr/type/non-numeric"/>
  <w:attachedSchema w:val="http://www.xbrl.org/2006/ref"/>
  <w:attachedSchema w:val="http://www.xbrl.org/2003/iso4217"/>
  <w:attachedSchema w:val="http://fasb.org/us-roles/2021-01-31"/>
  <w:attachedSchema w:val="http://xbrl.sec.gov/country/2021"/>
  <w:attachedSchema w:val="http://www.xbrl.org/2009/utr"/>
  <w:attachedSchema w:val="http://fasb.org/srt-types/2021-01-31"/>
  <w:attachedSchema w:val="http://www.xbrl.org/dtr/type/2020-01-21"/>
  <w:attachedSchema w:val="http://fasb.org/srt/2021-01-31"/>
  <w:attachedSchema w:val="http://fasb.org/us-gaap/2021-01-31"/>
  <w:attachedSchema w:val="http://sodi.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7225/000165495421004579/slr_ex31.htm" TargetMode="External"/><Relationship Id="rId13" Type="http://schemas.openxmlformats.org/officeDocument/2006/relationships/hyperlink" Target="sodi_ex311.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917225/000091722517000020/exh31.htm" TargetMode="External"/><Relationship Id="rId12" Type="http://schemas.openxmlformats.org/officeDocument/2006/relationships/hyperlink" Target="sodi_ex311.htm" TargetMode="External"/><Relationship Id="rId17" Type="http://schemas.openxmlformats.org/officeDocument/2006/relationships/hyperlink" Target="sodi_ex321.htm" TargetMode="External"/><Relationship Id="rId2" Type="http://schemas.openxmlformats.org/officeDocument/2006/relationships/settings" Target="settings.xml"/><Relationship Id="rId16" Type="http://schemas.openxmlformats.org/officeDocument/2006/relationships/hyperlink" Target="sodi_ex321.htm" TargetMode="External"/><Relationship Id="rId1" Type="http://schemas.openxmlformats.org/officeDocument/2006/relationships/styles" Target="styles.xml"/><Relationship Id="rId6" Type="http://schemas.openxmlformats.org/officeDocument/2006/relationships/hyperlink" Target="http://www.sec.gov/Archives/edgar/data/917225/000091722517000020/exh31.htm" TargetMode="External"/><Relationship Id="rId11" Type="http://schemas.openxmlformats.org/officeDocument/2006/relationships/hyperlink" Target="http://www.sec.gov/Archives/edgar/data/917225/000091722517000041/exh41.htm" TargetMode="External"/><Relationship Id="rId5" Type="http://schemas.openxmlformats.org/officeDocument/2006/relationships/hyperlink" Target="http://www.sec.gov/Archives/edgar/data/917225/000091722510000017/exh31.htm" TargetMode="External"/><Relationship Id="rId15" Type="http://schemas.openxmlformats.org/officeDocument/2006/relationships/hyperlink" Target="sodi_ex312.htm" TargetMode="External"/><Relationship Id="rId10" Type="http://schemas.openxmlformats.org/officeDocument/2006/relationships/hyperlink" Target="http://www.sec.gov/Archives/edgar/data/917225/000091722517000041/exh41.htm" TargetMode="External"/><Relationship Id="rId19" Type="http://schemas.openxmlformats.org/officeDocument/2006/relationships/theme" Target="theme/theme1.xml"/><Relationship Id="rId4" Type="http://schemas.openxmlformats.org/officeDocument/2006/relationships/hyperlink" Target="http://www.sec.gov/Archives/edgar/data/917225/000091722510000017/exh31.htm" TargetMode="External"/><Relationship Id="rId9" Type="http://schemas.openxmlformats.org/officeDocument/2006/relationships/hyperlink" Target="http://www.sec.gov/Archives/edgar/data/917225/000165495421004579/slr_ex31.htm" TargetMode="External"/><Relationship Id="rId14" Type="http://schemas.openxmlformats.org/officeDocument/2006/relationships/hyperlink" Target="sodi_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12005</Words>
  <Characters>68429</Characters>
  <Application>Microsoft Office Word</Application>
  <DocSecurity>0</DocSecurity>
  <Lines>570</Lines>
  <Paragraphs>160</Paragraphs>
  <ScaleCrop>false</ScaleCrop>
  <Company/>
  <LinksUpToDate>false</LinksUpToDate>
  <CharactersWithSpaces>80274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sodi_10q.htm</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