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6105" w14:textId="77777777" w:rsidR="00000000" w:rsidRDefault="0015578C">
      <w:pPr>
        <w:jc w:val="both"/>
        <w:rPr>
          <w:rFonts w:eastAsia="Times New Roman"/>
          <w:vanish/>
          <w:sz w:val="20"/>
          <w:szCs w:val="20"/>
        </w:rPr>
      </w:pPr>
      <w:r>
        <w:rPr>
          <w:rFonts w:eastAsia="Times New Roman"/>
          <w:vanish/>
          <w:sz w:val="20"/>
          <w:szCs w:val="20"/>
        </w:rPr>
        <w:t>0000917225false--12-31FY20220.011000000000000.011000000006203639964801373038000000009172252022-01-012022-12-310000917225sodi:ATMAgreementMember2021-02-012021-02-020000917225sodi:ATMAgreementMember2021-01-012021-12-310000917225</w:t>
      </w:r>
      <w:r>
        <w:rPr>
          <w:rFonts w:eastAsia="Times New Roman"/>
          <w:vanish/>
          <w:sz w:val="20"/>
          <w:szCs w:val="20"/>
        </w:rPr>
        <w:t>sodi:ATMAgreementMember2022-01-012022-12-310000917225sodi:ATMAgreementMember2021-12-310000917225sodi:ShareRepurchaseProgramMember2021-01-012021-12-310000917225us-gaap:StockOptionMembersodi:TwoThousandAndThirteenPlanMember2022-12-310000917225us-gaap:StockOp</w:t>
      </w:r>
      <w:r>
        <w:rPr>
          <w:rFonts w:eastAsia="Times New Roman"/>
          <w:vanish/>
          <w:sz w:val="20"/>
          <w:szCs w:val="20"/>
        </w:rPr>
        <w:t>tionMembersodi:TwoThousandAndThirteenPlanMember2021-12-310000917225us-gaap:StockOptionMembersodi:TwoThousandAndThirteenPlanMember2021-01-012021-12-310000917225us-gaap:StockOptionMembersodi:TwoThousandAndThirteenPlanMember2022-01-012022-12-310000917225sodi:</w:t>
      </w:r>
      <w:r>
        <w:rPr>
          <w:rFonts w:eastAsia="Times New Roman"/>
          <w:vanish/>
          <w:sz w:val="20"/>
          <w:szCs w:val="20"/>
        </w:rPr>
        <w:t>TwoThousandAndThirteenPlanMember2013-06-180000917225sodi:Grant1Membersodi:Plan2013Member2022-01-012022-12-310000917225sodi:Grant2Membersodi:Plan2013Member2021-01-012021-12-310000917225sodi:Grant3Membersodi:Plan2013Member2021-01-012021-12-310000917225us-gaa</w:t>
      </w:r>
      <w:r>
        <w:rPr>
          <w:rFonts w:eastAsia="Times New Roman"/>
          <w:vanish/>
          <w:sz w:val="20"/>
          <w:szCs w:val="20"/>
        </w:rPr>
        <w:t>p:FairValueInputsLevel3Member2022-12-310000917225us-gaap:FairValueInputsLevel2Member2022-12-310000917225us-gaap:FairValueInputsLevel3Member2021-12-310000917225us-gaap:FairValueInputsLevel2Member2021-12-310000917225us-gaap:FairValueInputsLevel1Member2021-12</w:t>
      </w:r>
      <w:r>
        <w:rPr>
          <w:rFonts w:eastAsia="Times New Roman"/>
          <w:vanish/>
          <w:sz w:val="20"/>
          <w:szCs w:val="20"/>
        </w:rPr>
        <w:t>-310000917225us-gaap:FairValueInputsLevel1Member2022-12-310000917225sodi:KinrossCallsMember2021-01-012021-12-310000917225us-gaap:ForeignCountryMember2022-12-310000917225us-gaap:StateAndLocalJurisdictionMember2022-12-310000917225us-gaap:DomesticCountryMembe</w:t>
      </w:r>
      <w:r>
        <w:rPr>
          <w:rFonts w:eastAsia="Times New Roman"/>
          <w:vanish/>
          <w:sz w:val="20"/>
          <w:szCs w:val="20"/>
        </w:rPr>
        <w:t>r2022-12-310000917225sodi:ExplorationBondsAndOtherAssetsMember2021-12-310000917225sodi:ExplorationBondsAndOtherAssetsMember2022-12-310000917225sodi:VendettaWarrantsMember2021-12-310000917225sodi:VendettaWarrantsMember2022-12-310000917225us-gaap:OfficeEquip</w:t>
      </w:r>
      <w:r>
        <w:rPr>
          <w:rFonts w:eastAsia="Times New Roman"/>
          <w:vanish/>
          <w:sz w:val="20"/>
          <w:szCs w:val="20"/>
        </w:rPr>
        <w:t>mentMember2021-12-310000917225us-gaap:OfficeEquipmentMember2022-12-310000917225sodi:LikProjectEquipmentMember2021-12-310000917225sodi:LikProjectEquipmentMember2022-12-310000917225us-gaap:FurnitureAndFixturesMember2021-12-310000917225us-gaap:FurnitureAndFix</w:t>
      </w:r>
      <w:r>
        <w:rPr>
          <w:rFonts w:eastAsia="Times New Roman"/>
          <w:vanish/>
          <w:sz w:val="20"/>
          <w:szCs w:val="20"/>
        </w:rPr>
        <w:t>turesMember2022-12-310000917225sodi:WRLeaseMember2022-01-012022-12-310000917225sodi:WRLeaseMember2021-12-310000917225sodi:VoxRoyaltyCorpMember2022-01-012022-12-310000917225sodi:TNRGoldCorpMember2022-01-012022-12-310000917225sodi:VendettaMiningCorpMember202</w:t>
      </w:r>
      <w:r>
        <w:rPr>
          <w:rFonts w:eastAsia="Times New Roman"/>
          <w:vanish/>
          <w:sz w:val="20"/>
          <w:szCs w:val="20"/>
        </w:rPr>
        <w:t>1-01-012021-12-310000917225sodi:VendettaMiningCorpMember2022-01-012022-12-3100009172252019-01-012019-07-310000917225sodi:VoxRoyaltyCorpMember2022-12-310000917225sodi:HighlandSilverCorpMember2021-12-310000917225sodi:HighlandSilverCorpMember2022-12-310000917</w:t>
      </w:r>
      <w:r>
        <w:rPr>
          <w:rFonts w:eastAsia="Times New Roman"/>
          <w:vanish/>
          <w:sz w:val="20"/>
          <w:szCs w:val="20"/>
        </w:rPr>
        <w:t>225sodi:VoxRoyaltyCorpMember2021-12-310000917225sodi:VendettaMiningCorpMember2022-12-310000917225sodi:VendettaMiningCorpMember2021-12-310000917225sodi:KinrossGoldCorpMember2022-12-310000917225sodi:KinrossGoldCorpMember2021-12-310000917225sodi:GoldenCrestAg</w:t>
      </w:r>
      <w:r>
        <w:rPr>
          <w:rFonts w:eastAsia="Times New Roman"/>
          <w:vanish/>
          <w:sz w:val="20"/>
          <w:szCs w:val="20"/>
        </w:rPr>
        <w:t>reementMember2021-05-270000917225sodi:GoldenCrestAgreementMember2021-01-012021-12-310000917225sodi:GoldenCrestAgreementMember2022-01-012022-12-310000917225sodi:LikPropertyMember2017-07-012017-07-310000917225sodi:GoldenCrestAgreementMember2021-05-012021-05-</w:t>
      </w:r>
      <w:r>
        <w:rPr>
          <w:rFonts w:eastAsia="Times New Roman"/>
          <w:vanish/>
          <w:sz w:val="20"/>
          <w:szCs w:val="20"/>
        </w:rPr>
        <w:t>270000917225sodi:GoldenCrestSouthDakotaUSMember2021-12-310000917225sodi:GoldenCrestSouthDakotaUSMember2022-12-310000917225sodi:LikProjectAlaskaUSMember2021-12-310000917225sodi:LikProjectAlaskaUSMember2022-12-310000917225us-gaap:RetainedEarningsMember2022-1</w:t>
      </w:r>
      <w:r>
        <w:rPr>
          <w:rFonts w:eastAsia="Times New Roman"/>
          <w:vanish/>
          <w:sz w:val="20"/>
          <w:szCs w:val="20"/>
        </w:rPr>
        <w:t>2-310000917225us-gaap:AdditionalPaidInCapitalMember2022-12-310000917225us-gaap:CommonStockMember2022-12-310000917225us-gaap:RetainedEarningsMember2022-01-012022-12-310000917225us-gaap:CommonStockMember2022-01-012022-12-310000917225us-gaap:AdditionalPaidInC</w:t>
      </w:r>
      <w:r>
        <w:rPr>
          <w:rFonts w:eastAsia="Times New Roman"/>
          <w:vanish/>
          <w:sz w:val="20"/>
          <w:szCs w:val="20"/>
        </w:rPr>
        <w:t>apitalMember2022-01-012022-12-310000917225us-gaap:RetainedEarningsMember2021-12-310000917225us-gaap:AdditionalPaidInCapitalMember2021-12-310000917225us-gaap:CommonStockMember2021-12-310000917225us-gaap:RetainedEarningsMember2021-01-012021-12-310000917225us</w:t>
      </w:r>
      <w:r>
        <w:rPr>
          <w:rFonts w:eastAsia="Times New Roman"/>
          <w:vanish/>
          <w:sz w:val="20"/>
          <w:szCs w:val="20"/>
        </w:rPr>
        <w:t>-gaap:AdditionalPaidInCapitalMember2021-01-012021-12-310000917225us-gaap:CommonStockMember2021-01-012021-12-3100009172252020-12-310000917225us-gaap:RetainedEarningsMember2020-12-310000917225us-gaap:AdditionalPaidInCapitalMember2020-12-310000917225us-gaap:C</w:t>
      </w:r>
      <w:r>
        <w:rPr>
          <w:rFonts w:eastAsia="Times New Roman"/>
          <w:vanish/>
          <w:sz w:val="20"/>
          <w:szCs w:val="20"/>
        </w:rPr>
        <w:t>ommonStockMember2020-12-3100009172252021-01-012021-12-3100009172252021-12-3100009172252022-12-3100009172252023-03-1500009172252022-06-30iso4217:USDxbrli:sharesiso4217:USDxbrli:sharesxbrli:pure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14:paraId="2DD4B99A" w14:textId="77777777">
        <w:trPr>
          <w:tblCellSpacing w:w="15" w:type="dxa"/>
          <w:hidden/>
        </w:trPr>
        <w:tc>
          <w:tcPr>
            <w:tcW w:w="0" w:type="auto"/>
            <w:tcBorders>
              <w:bottom w:val="single" w:sz="36" w:space="0" w:color="auto"/>
            </w:tcBorders>
            <w:vAlign w:val="center"/>
            <w:hideMark/>
          </w:tcPr>
          <w:p w14:paraId="6638D874" w14:textId="77777777" w:rsidR="00000000" w:rsidRDefault="0015578C">
            <w:pPr>
              <w:jc w:val="both"/>
              <w:rPr>
                <w:rFonts w:eastAsia="Times New Roman"/>
                <w:vanish/>
                <w:sz w:val="20"/>
                <w:szCs w:val="20"/>
              </w:rPr>
            </w:pPr>
          </w:p>
        </w:tc>
      </w:tr>
      <w:tr w:rsidR="00000000" w14:paraId="589C31BF" w14:textId="77777777">
        <w:trPr>
          <w:tblCellSpacing w:w="15" w:type="dxa"/>
        </w:trPr>
        <w:tc>
          <w:tcPr>
            <w:tcW w:w="0" w:type="auto"/>
            <w:tcBorders>
              <w:bottom w:val="single" w:sz="12" w:space="0" w:color="auto"/>
            </w:tcBorders>
            <w:vAlign w:val="center"/>
            <w:hideMark/>
          </w:tcPr>
          <w:p w14:paraId="54E10C28" w14:textId="77777777" w:rsidR="00000000" w:rsidRDefault="0015578C">
            <w:pPr>
              <w:rPr>
                <w:rFonts w:eastAsia="Times New Roman"/>
                <w:sz w:val="20"/>
                <w:szCs w:val="20"/>
              </w:rPr>
            </w:pPr>
          </w:p>
        </w:tc>
      </w:tr>
    </w:tbl>
    <w:p w14:paraId="7B2D56B5" w14:textId="77777777" w:rsidR="00000000" w:rsidRDefault="0015578C">
      <w:pPr>
        <w:pStyle w:val="a3"/>
        <w:spacing w:before="0" w:beforeAutospacing="0" w:after="0" w:afterAutospacing="0"/>
        <w:jc w:val="center"/>
        <w:rPr>
          <w:sz w:val="20"/>
          <w:szCs w:val="20"/>
        </w:rPr>
      </w:pPr>
      <w:r>
        <w:rPr>
          <w:rStyle w:val="a4"/>
          <w:sz w:val="20"/>
          <w:szCs w:val="20"/>
        </w:rPr>
        <w:t> </w:t>
      </w:r>
    </w:p>
    <w:p w14:paraId="1564544B" w14:textId="77777777" w:rsidR="00000000" w:rsidRDefault="0015578C">
      <w:pPr>
        <w:pStyle w:val="a3"/>
        <w:spacing w:before="0" w:beforeAutospacing="0" w:after="0" w:afterAutospacing="0"/>
        <w:jc w:val="center"/>
        <w:rPr>
          <w:sz w:val="20"/>
          <w:szCs w:val="20"/>
        </w:rPr>
      </w:pPr>
      <w:r>
        <w:rPr>
          <w:rStyle w:val="a4"/>
          <w:sz w:val="20"/>
          <w:szCs w:val="20"/>
        </w:rPr>
        <w:t xml:space="preserve">UNITED STATES </w:t>
      </w:r>
    </w:p>
    <w:p w14:paraId="45028282" w14:textId="77777777" w:rsidR="00000000" w:rsidRDefault="0015578C">
      <w:pPr>
        <w:pStyle w:val="a3"/>
        <w:spacing w:before="0" w:beforeAutospacing="0" w:after="0" w:afterAutospacing="0"/>
        <w:jc w:val="center"/>
        <w:rPr>
          <w:sz w:val="20"/>
          <w:szCs w:val="20"/>
        </w:rPr>
      </w:pPr>
      <w:r>
        <w:rPr>
          <w:rStyle w:val="a4"/>
          <w:sz w:val="20"/>
          <w:szCs w:val="20"/>
        </w:rPr>
        <w:t xml:space="preserve">SECURITIES AND EXCHANGE COMMISSION </w:t>
      </w:r>
    </w:p>
    <w:p w14:paraId="0C559716" w14:textId="77777777" w:rsidR="00000000" w:rsidRDefault="0015578C">
      <w:pPr>
        <w:pStyle w:val="a3"/>
        <w:spacing w:before="0" w:beforeAutospacing="0" w:after="0" w:afterAutospacing="0"/>
        <w:jc w:val="center"/>
        <w:rPr>
          <w:sz w:val="20"/>
          <w:szCs w:val="20"/>
        </w:rPr>
      </w:pPr>
      <w:r>
        <w:rPr>
          <w:rStyle w:val="a4"/>
          <w:sz w:val="20"/>
          <w:szCs w:val="20"/>
        </w:rPr>
        <w:t>Washin</w:t>
      </w:r>
      <w:r>
        <w:rPr>
          <w:rStyle w:val="a4"/>
          <w:sz w:val="20"/>
          <w:szCs w:val="20"/>
        </w:rPr>
        <w:t>gton, D.C.  20549</w:t>
      </w:r>
    </w:p>
    <w:p w14:paraId="4A91E302" w14:textId="77777777" w:rsidR="00000000" w:rsidRDefault="0015578C">
      <w:pPr>
        <w:pStyle w:val="a3"/>
        <w:spacing w:before="0" w:beforeAutospacing="0" w:after="0" w:afterAutospacing="0"/>
        <w:jc w:val="center"/>
        <w:rPr>
          <w:sz w:val="20"/>
          <w:szCs w:val="20"/>
        </w:rPr>
      </w:pPr>
      <w:r>
        <w:rPr>
          <w:sz w:val="20"/>
          <w:szCs w:val="20"/>
        </w:rPr>
        <w:t xml:space="preserve">   </w:t>
      </w:r>
    </w:p>
    <w:p w14:paraId="59BEB085" w14:textId="77777777" w:rsidR="00000000" w:rsidRDefault="0015578C">
      <w:pPr>
        <w:pStyle w:val="a3"/>
        <w:spacing w:before="0" w:beforeAutospacing="0" w:after="0" w:afterAutospacing="0"/>
        <w:jc w:val="center"/>
        <w:rPr>
          <w:sz w:val="20"/>
          <w:szCs w:val="20"/>
        </w:rPr>
      </w:pPr>
      <w:r>
        <w:rPr>
          <w:rStyle w:val="a4"/>
          <w:sz w:val="36"/>
          <w:szCs w:val="36"/>
        </w:rPr>
        <w:t>FORM 10-K</w:t>
      </w:r>
    </w:p>
    <w:p w14:paraId="0386D4A2" w14:textId="77777777" w:rsidR="00000000" w:rsidRDefault="0015578C">
      <w:pPr>
        <w:pStyle w:val="a3"/>
        <w:spacing w:before="0" w:beforeAutospacing="0" w:after="0" w:afterAutospacing="0"/>
        <w:jc w:val="center"/>
        <w:rPr>
          <w:sz w:val="20"/>
          <w:szCs w:val="20"/>
        </w:rPr>
      </w:pPr>
      <w:r>
        <w:rPr>
          <w:sz w:val="20"/>
          <w:szCs w:val="20"/>
        </w:rPr>
        <w:t> </w:t>
      </w:r>
    </w:p>
    <w:p w14:paraId="6697F70F" w14:textId="77777777" w:rsidR="00000000" w:rsidRDefault="0015578C">
      <w:pPr>
        <w:pStyle w:val="a3"/>
        <w:spacing w:before="0" w:beforeAutospacing="0" w:after="0" w:afterAutospacing="0"/>
        <w:rPr>
          <w:sz w:val="20"/>
          <w:szCs w:val="20"/>
        </w:rPr>
      </w:pPr>
      <w:r>
        <w:rPr>
          <w:sz w:val="20"/>
          <w:szCs w:val="20"/>
        </w:rPr>
        <w:t> (Mark One)</w:t>
      </w:r>
    </w:p>
    <w:p w14:paraId="6EEDDABB" w14:textId="77777777" w:rsidR="00000000" w:rsidRDefault="0015578C">
      <w:pPr>
        <w:pStyle w:val="a3"/>
        <w:spacing w:before="0" w:beforeAutospacing="0" w:after="0" w:afterAutospacing="0"/>
        <w:jc w:val="center"/>
        <w:rPr>
          <w:sz w:val="20"/>
          <w:szCs w:val="20"/>
        </w:rPr>
      </w:pPr>
      <w:r>
        <w:rPr>
          <w:sz w:val="20"/>
          <w:szCs w:val="20"/>
        </w:rPr>
        <w:t xml:space="preserve">  </w:t>
      </w:r>
    </w:p>
    <w:p w14:paraId="35ED216F" w14:textId="77777777" w:rsidR="00000000" w:rsidRDefault="0015578C">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xml:space="preserve">   Annual report pursuant to Section 13 or 15(d) of the Securities Exchange Act of 1934 for the fiscal year ended </w:t>
      </w:r>
      <w:r>
        <w:rPr>
          <w:rStyle w:val="a4"/>
          <w:sz w:val="20"/>
          <w:szCs w:val="20"/>
        </w:rPr>
        <w:t>December 31, 2022</w:t>
      </w:r>
    </w:p>
    <w:p w14:paraId="65286F92" w14:textId="77777777" w:rsidR="00000000" w:rsidRDefault="0015578C">
      <w:pPr>
        <w:pStyle w:val="a3"/>
        <w:spacing w:before="0" w:beforeAutospacing="0" w:after="0" w:afterAutospacing="0"/>
        <w:jc w:val="center"/>
        <w:rPr>
          <w:sz w:val="20"/>
          <w:szCs w:val="20"/>
        </w:rPr>
      </w:pPr>
      <w:r>
        <w:rPr>
          <w:sz w:val="20"/>
          <w:szCs w:val="20"/>
        </w:rPr>
        <w:t> </w:t>
      </w:r>
    </w:p>
    <w:p w14:paraId="5B4D227B" w14:textId="77777777" w:rsidR="00000000" w:rsidRDefault="0015578C">
      <w:pPr>
        <w:pStyle w:val="a3"/>
        <w:spacing w:before="0" w:beforeAutospacing="0" w:after="0" w:afterAutospacing="0"/>
        <w:jc w:val="center"/>
        <w:rPr>
          <w:sz w:val="20"/>
          <w:szCs w:val="20"/>
        </w:rPr>
      </w:pPr>
      <w:r>
        <w:rPr>
          <w:sz w:val="20"/>
          <w:szCs w:val="20"/>
        </w:rPr>
        <w:t>or</w:t>
      </w:r>
    </w:p>
    <w:p w14:paraId="3930BED9" w14:textId="77777777" w:rsidR="00000000" w:rsidRDefault="0015578C">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w:t>
      </w:r>
      <w:r>
        <w:rPr>
          <w:sz w:val="20"/>
          <w:szCs w:val="20"/>
        </w:rPr>
        <w:t xml:space="preserve">Transition report pursuant to Section 13 or 15(d) of the Securities Exchange Act of 1934 </w:t>
      </w:r>
    </w:p>
    <w:p w14:paraId="1E164F78" w14:textId="77777777" w:rsidR="00000000" w:rsidRDefault="0015578C">
      <w:pPr>
        <w:pStyle w:val="a3"/>
        <w:spacing w:before="0" w:beforeAutospacing="0" w:after="0" w:afterAutospacing="0"/>
        <w:jc w:val="center"/>
        <w:rPr>
          <w:sz w:val="20"/>
          <w:szCs w:val="20"/>
        </w:rPr>
      </w:pPr>
      <w:r>
        <w:rPr>
          <w:sz w:val="20"/>
          <w:szCs w:val="20"/>
        </w:rPr>
        <w:t> </w:t>
      </w:r>
    </w:p>
    <w:p w14:paraId="58F370C1" w14:textId="77777777" w:rsidR="00000000" w:rsidRDefault="0015578C">
      <w:pPr>
        <w:pStyle w:val="a3"/>
        <w:spacing w:before="0" w:beforeAutospacing="0" w:after="0" w:afterAutospacing="0"/>
        <w:jc w:val="center"/>
        <w:rPr>
          <w:sz w:val="20"/>
          <w:szCs w:val="20"/>
        </w:rPr>
      </w:pPr>
      <w:r>
        <w:rPr>
          <w:sz w:val="20"/>
          <w:szCs w:val="20"/>
        </w:rPr>
        <w:t>For the transition period from</w:t>
      </w:r>
      <w:r>
        <w:rPr>
          <w:sz w:val="20"/>
          <w:szCs w:val="20"/>
          <w:u w:val="single"/>
        </w:rPr>
        <w:t>             </w:t>
      </w:r>
      <w:r>
        <w:rPr>
          <w:sz w:val="20"/>
          <w:szCs w:val="20"/>
        </w:rPr>
        <w:t>to</w:t>
      </w:r>
      <w:r>
        <w:rPr>
          <w:sz w:val="20"/>
          <w:szCs w:val="20"/>
          <w:u w:val="single"/>
        </w:rPr>
        <w:t xml:space="preserve">              </w:t>
      </w:r>
    </w:p>
    <w:p w14:paraId="0E3984DE" w14:textId="77777777" w:rsidR="00000000" w:rsidRDefault="0015578C">
      <w:pPr>
        <w:pStyle w:val="a3"/>
        <w:spacing w:before="0" w:beforeAutospacing="0" w:after="0" w:afterAutospacing="0"/>
        <w:jc w:val="center"/>
        <w:rPr>
          <w:sz w:val="20"/>
          <w:szCs w:val="20"/>
        </w:rPr>
      </w:pPr>
      <w:r>
        <w:rPr>
          <w:sz w:val="20"/>
          <w:szCs w:val="20"/>
        </w:rPr>
        <w:t> </w:t>
      </w:r>
    </w:p>
    <w:p w14:paraId="4FAAE993" w14:textId="77777777" w:rsidR="00000000" w:rsidRDefault="0015578C">
      <w:pPr>
        <w:pStyle w:val="a3"/>
        <w:spacing w:before="0" w:beforeAutospacing="0" w:after="0" w:afterAutospacing="0"/>
        <w:jc w:val="center"/>
        <w:rPr>
          <w:sz w:val="20"/>
          <w:szCs w:val="20"/>
        </w:rPr>
      </w:pPr>
      <w:r>
        <w:rPr>
          <w:sz w:val="20"/>
          <w:szCs w:val="20"/>
        </w:rPr>
        <w:t xml:space="preserve">Commission file number </w:t>
      </w:r>
      <w:r>
        <w:rPr>
          <w:rStyle w:val="a4"/>
          <w:sz w:val="20"/>
          <w:szCs w:val="20"/>
          <w:u w:val="single"/>
        </w:rPr>
        <w:t>001-32978</w:t>
      </w:r>
      <w:r>
        <w:rPr>
          <w:rStyle w:val="a4"/>
          <w:sz w:val="20"/>
          <w:szCs w:val="20"/>
        </w:rPr>
        <w:t xml:space="preserve"> </w:t>
      </w:r>
    </w:p>
    <w:p w14:paraId="6ACF9DB1" w14:textId="77777777" w:rsidR="00000000" w:rsidRDefault="0015578C">
      <w:pPr>
        <w:pStyle w:val="a3"/>
        <w:spacing w:before="0" w:beforeAutospacing="0" w:after="0" w:afterAutospacing="0"/>
        <w:jc w:val="center"/>
        <w:rPr>
          <w:sz w:val="20"/>
          <w:szCs w:val="20"/>
        </w:rPr>
      </w:pPr>
      <w:r>
        <w:rPr>
          <w:rStyle w:val="a4"/>
          <w:sz w:val="20"/>
          <w:szCs w:val="20"/>
        </w:rPr>
        <w:t xml:space="preserve">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14:paraId="1B3A3169" w14:textId="77777777">
        <w:trPr>
          <w:trHeight w:val="225"/>
          <w:tblCellSpacing w:w="15" w:type="dxa"/>
        </w:trPr>
        <w:tc>
          <w:tcPr>
            <w:tcW w:w="0" w:type="auto"/>
            <w:tcBorders>
              <w:bottom w:val="single" w:sz="6" w:space="0" w:color="000000"/>
            </w:tcBorders>
            <w:vAlign w:val="center"/>
            <w:hideMark/>
          </w:tcPr>
          <w:p w14:paraId="39E181B8" w14:textId="77777777" w:rsidR="00000000" w:rsidRDefault="0015578C">
            <w:pPr>
              <w:pStyle w:val="a3"/>
              <w:spacing w:before="0" w:beforeAutospacing="0" w:after="0" w:afterAutospacing="0"/>
              <w:jc w:val="center"/>
              <w:rPr>
                <w:sz w:val="20"/>
                <w:szCs w:val="20"/>
              </w:rPr>
            </w:pPr>
            <w:r>
              <w:rPr>
                <w:rStyle w:val="a4"/>
                <w:sz w:val="36"/>
                <w:szCs w:val="36"/>
              </w:rPr>
              <w:t> SOLITARIO ZINC CORP.</w:t>
            </w:r>
          </w:p>
        </w:tc>
      </w:tr>
      <w:tr w:rsidR="00000000" w14:paraId="127195B4" w14:textId="77777777">
        <w:trPr>
          <w:trHeight w:val="225"/>
          <w:tblCellSpacing w:w="15" w:type="dxa"/>
        </w:trPr>
        <w:tc>
          <w:tcPr>
            <w:tcW w:w="0" w:type="auto"/>
            <w:vAlign w:val="center"/>
            <w:hideMark/>
          </w:tcPr>
          <w:p w14:paraId="22863A26" w14:textId="77777777" w:rsidR="00000000" w:rsidRDefault="0015578C">
            <w:pPr>
              <w:pStyle w:val="a3"/>
              <w:spacing w:before="0" w:beforeAutospacing="0" w:after="0" w:afterAutospacing="0"/>
              <w:jc w:val="center"/>
              <w:rPr>
                <w:sz w:val="20"/>
                <w:szCs w:val="20"/>
              </w:rPr>
            </w:pPr>
            <w:r>
              <w:rPr>
                <w:sz w:val="20"/>
                <w:szCs w:val="20"/>
              </w:rPr>
              <w:t> (Exact name of registrant as specified i</w:t>
            </w:r>
            <w:r>
              <w:rPr>
                <w:sz w:val="20"/>
                <w:szCs w:val="20"/>
              </w:rPr>
              <w:t xml:space="preserve">n charter) </w:t>
            </w:r>
          </w:p>
        </w:tc>
      </w:tr>
    </w:tbl>
    <w:p w14:paraId="2A88E253" w14:textId="77777777" w:rsidR="00000000" w:rsidRDefault="0015578C">
      <w:pPr>
        <w:pStyle w:val="a3"/>
        <w:spacing w:before="0" w:beforeAutospacing="0" w:after="0" w:afterAutospacing="0"/>
        <w:jc w:val="both"/>
        <w:rPr>
          <w:sz w:val="20"/>
          <w:szCs w:val="20"/>
        </w:rPr>
      </w:pPr>
      <w:r>
        <w:rPr>
          <w:sz w:val="20"/>
          <w:szCs w:val="20"/>
        </w:rPr>
        <w:t xml:space="preserve">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14:paraId="711E5EAC" w14:textId="77777777">
        <w:trPr>
          <w:trHeight w:val="225"/>
          <w:tblCellSpacing w:w="15" w:type="dxa"/>
        </w:trPr>
        <w:tc>
          <w:tcPr>
            <w:tcW w:w="0" w:type="auto"/>
            <w:tcBorders>
              <w:bottom w:val="single" w:sz="6" w:space="0" w:color="000000"/>
            </w:tcBorders>
            <w:vAlign w:val="center"/>
            <w:hideMark/>
          </w:tcPr>
          <w:p w14:paraId="605F4C03" w14:textId="77777777" w:rsidR="00000000" w:rsidRDefault="0015578C">
            <w:pPr>
              <w:pStyle w:val="a3"/>
              <w:spacing w:before="0" w:beforeAutospacing="0" w:after="0" w:afterAutospacing="0"/>
              <w:jc w:val="center"/>
              <w:rPr>
                <w:sz w:val="20"/>
                <w:szCs w:val="20"/>
              </w:rPr>
            </w:pPr>
            <w:r>
              <w:rPr>
                <w:rStyle w:val="a4"/>
                <w:sz w:val="20"/>
                <w:szCs w:val="20"/>
              </w:rPr>
              <w:t>Colorado</w:t>
            </w:r>
          </w:p>
        </w:tc>
        <w:tc>
          <w:tcPr>
            <w:tcW w:w="0" w:type="auto"/>
            <w:vAlign w:val="center"/>
            <w:hideMark/>
          </w:tcPr>
          <w:p w14:paraId="42F40254" w14:textId="77777777" w:rsidR="00000000" w:rsidRDefault="0015578C">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vAlign w:val="center"/>
            <w:hideMark/>
          </w:tcPr>
          <w:p w14:paraId="260A384B" w14:textId="77777777" w:rsidR="00000000" w:rsidRDefault="0015578C">
            <w:pPr>
              <w:pStyle w:val="a3"/>
              <w:spacing w:before="0" w:beforeAutospacing="0" w:after="0" w:afterAutospacing="0"/>
              <w:jc w:val="center"/>
              <w:rPr>
                <w:sz w:val="20"/>
                <w:szCs w:val="20"/>
              </w:rPr>
            </w:pPr>
            <w:r>
              <w:rPr>
                <w:rStyle w:val="a4"/>
                <w:sz w:val="20"/>
                <w:szCs w:val="20"/>
              </w:rPr>
              <w:t>84-1285791</w:t>
            </w:r>
          </w:p>
        </w:tc>
      </w:tr>
      <w:tr w:rsidR="00000000" w14:paraId="794D05BC" w14:textId="77777777">
        <w:trPr>
          <w:trHeight w:val="225"/>
          <w:tblCellSpacing w:w="15" w:type="dxa"/>
        </w:trPr>
        <w:tc>
          <w:tcPr>
            <w:tcW w:w="2250" w:type="pct"/>
            <w:hideMark/>
          </w:tcPr>
          <w:p w14:paraId="3522ECFD" w14:textId="77777777" w:rsidR="00000000" w:rsidRDefault="0015578C">
            <w:pPr>
              <w:pStyle w:val="a3"/>
              <w:spacing w:before="0" w:beforeAutospacing="0" w:after="0" w:afterAutospacing="0"/>
              <w:jc w:val="center"/>
              <w:rPr>
                <w:sz w:val="20"/>
                <w:szCs w:val="20"/>
              </w:rPr>
            </w:pPr>
            <w:r>
              <w:rPr>
                <w:sz w:val="20"/>
                <w:szCs w:val="20"/>
              </w:rPr>
              <w:t>(State or other jurisdiction of incorporation or organization)</w:t>
            </w:r>
            <w:r>
              <w:rPr>
                <w:rStyle w:val="a4"/>
                <w:sz w:val="20"/>
                <w:szCs w:val="20"/>
              </w:rPr>
              <w:t xml:space="preserve"> </w:t>
            </w:r>
          </w:p>
        </w:tc>
        <w:tc>
          <w:tcPr>
            <w:tcW w:w="500" w:type="pct"/>
            <w:vAlign w:val="center"/>
            <w:hideMark/>
          </w:tcPr>
          <w:p w14:paraId="17EA6D2B" w14:textId="77777777" w:rsidR="00000000" w:rsidRDefault="0015578C">
            <w:pPr>
              <w:pStyle w:val="a3"/>
              <w:spacing w:before="0" w:beforeAutospacing="0" w:after="0" w:afterAutospacing="0"/>
              <w:jc w:val="center"/>
              <w:rPr>
                <w:sz w:val="20"/>
                <w:szCs w:val="20"/>
              </w:rPr>
            </w:pPr>
            <w:r>
              <w:rPr>
                <w:sz w:val="20"/>
                <w:szCs w:val="20"/>
              </w:rPr>
              <w:t> </w:t>
            </w:r>
          </w:p>
        </w:tc>
        <w:tc>
          <w:tcPr>
            <w:tcW w:w="2250" w:type="pct"/>
            <w:hideMark/>
          </w:tcPr>
          <w:p w14:paraId="176ADA7F" w14:textId="77777777" w:rsidR="00000000" w:rsidRDefault="0015578C">
            <w:pPr>
              <w:pStyle w:val="a3"/>
              <w:spacing w:before="0" w:beforeAutospacing="0" w:after="0" w:afterAutospacing="0"/>
              <w:jc w:val="center"/>
              <w:rPr>
                <w:sz w:val="20"/>
                <w:szCs w:val="20"/>
              </w:rPr>
            </w:pPr>
            <w:r>
              <w:rPr>
                <w:sz w:val="20"/>
                <w:szCs w:val="20"/>
              </w:rPr>
              <w:t>(I.R.S. Employer Identification No.)</w:t>
            </w:r>
          </w:p>
        </w:tc>
      </w:tr>
      <w:tr w:rsidR="00000000" w14:paraId="2C2B5BD7" w14:textId="77777777">
        <w:trPr>
          <w:trHeight w:val="225"/>
          <w:tblCellSpacing w:w="15" w:type="dxa"/>
        </w:trPr>
        <w:tc>
          <w:tcPr>
            <w:tcW w:w="0" w:type="auto"/>
            <w:vAlign w:val="center"/>
            <w:hideMark/>
          </w:tcPr>
          <w:p w14:paraId="1AE20811" w14:textId="77777777" w:rsidR="00000000" w:rsidRDefault="0015578C">
            <w:pPr>
              <w:pStyle w:val="a3"/>
              <w:spacing w:before="0" w:beforeAutospacing="0" w:after="0" w:afterAutospacing="0"/>
              <w:jc w:val="both"/>
              <w:rPr>
                <w:sz w:val="20"/>
                <w:szCs w:val="20"/>
              </w:rPr>
            </w:pPr>
            <w:r>
              <w:rPr>
                <w:sz w:val="20"/>
                <w:szCs w:val="20"/>
              </w:rPr>
              <w:t> </w:t>
            </w:r>
          </w:p>
        </w:tc>
        <w:tc>
          <w:tcPr>
            <w:tcW w:w="0" w:type="auto"/>
            <w:vAlign w:val="center"/>
            <w:hideMark/>
          </w:tcPr>
          <w:p w14:paraId="6C5C36EF" w14:textId="77777777" w:rsidR="00000000" w:rsidRDefault="0015578C">
            <w:pPr>
              <w:pStyle w:val="a3"/>
              <w:spacing w:before="0" w:beforeAutospacing="0" w:after="0" w:afterAutospacing="0"/>
              <w:jc w:val="both"/>
              <w:rPr>
                <w:sz w:val="20"/>
                <w:szCs w:val="20"/>
              </w:rPr>
            </w:pPr>
            <w:r>
              <w:rPr>
                <w:sz w:val="20"/>
                <w:szCs w:val="20"/>
              </w:rPr>
              <w:t> </w:t>
            </w:r>
          </w:p>
        </w:tc>
        <w:tc>
          <w:tcPr>
            <w:tcW w:w="0" w:type="auto"/>
            <w:vAlign w:val="center"/>
            <w:hideMark/>
          </w:tcPr>
          <w:p w14:paraId="28B468F6" w14:textId="77777777" w:rsidR="00000000" w:rsidRDefault="0015578C">
            <w:pPr>
              <w:pStyle w:val="a3"/>
              <w:spacing w:before="0" w:beforeAutospacing="0" w:after="0" w:afterAutospacing="0"/>
              <w:jc w:val="both"/>
              <w:rPr>
                <w:sz w:val="20"/>
                <w:szCs w:val="20"/>
              </w:rPr>
            </w:pPr>
            <w:r>
              <w:rPr>
                <w:sz w:val="20"/>
                <w:szCs w:val="20"/>
              </w:rPr>
              <w:t> </w:t>
            </w:r>
          </w:p>
        </w:tc>
      </w:tr>
      <w:tr w:rsidR="00000000" w14:paraId="709865CC" w14:textId="77777777">
        <w:trPr>
          <w:trHeight w:val="225"/>
          <w:tblCellSpacing w:w="15" w:type="dxa"/>
        </w:trPr>
        <w:tc>
          <w:tcPr>
            <w:tcW w:w="0" w:type="auto"/>
            <w:tcBorders>
              <w:bottom w:val="single" w:sz="6" w:space="0" w:color="000000"/>
            </w:tcBorders>
            <w:vAlign w:val="center"/>
            <w:hideMark/>
          </w:tcPr>
          <w:p w14:paraId="166F22F8" w14:textId="77777777" w:rsidR="00000000" w:rsidRDefault="0015578C">
            <w:pPr>
              <w:pStyle w:val="a3"/>
              <w:spacing w:before="0" w:beforeAutospacing="0" w:after="0" w:afterAutospacing="0"/>
              <w:jc w:val="center"/>
              <w:rPr>
                <w:sz w:val="20"/>
                <w:szCs w:val="20"/>
              </w:rPr>
            </w:pPr>
            <w:r>
              <w:rPr>
                <w:rStyle w:val="a4"/>
                <w:sz w:val="20"/>
                <w:szCs w:val="20"/>
              </w:rPr>
              <w:t xml:space="preserve">4251 Kipling St. Suite 390, Wheat Ridge, CO </w:t>
            </w:r>
          </w:p>
        </w:tc>
        <w:tc>
          <w:tcPr>
            <w:tcW w:w="0" w:type="auto"/>
            <w:vAlign w:val="center"/>
            <w:hideMark/>
          </w:tcPr>
          <w:p w14:paraId="409D5218" w14:textId="77777777" w:rsidR="00000000" w:rsidRDefault="0015578C">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vAlign w:val="center"/>
            <w:hideMark/>
          </w:tcPr>
          <w:p w14:paraId="6E633FED" w14:textId="77777777" w:rsidR="00000000" w:rsidRDefault="0015578C">
            <w:pPr>
              <w:pStyle w:val="a3"/>
              <w:spacing w:before="0" w:beforeAutospacing="0" w:after="0" w:afterAutospacing="0"/>
              <w:jc w:val="center"/>
              <w:rPr>
                <w:sz w:val="20"/>
                <w:szCs w:val="20"/>
              </w:rPr>
            </w:pPr>
            <w:r>
              <w:rPr>
                <w:rStyle w:val="a4"/>
                <w:sz w:val="20"/>
                <w:szCs w:val="20"/>
              </w:rPr>
              <w:t>80033</w:t>
            </w:r>
          </w:p>
        </w:tc>
      </w:tr>
      <w:tr w:rsidR="00000000" w14:paraId="13728647" w14:textId="77777777">
        <w:trPr>
          <w:trHeight w:val="225"/>
          <w:tblCellSpacing w:w="15" w:type="dxa"/>
        </w:trPr>
        <w:tc>
          <w:tcPr>
            <w:tcW w:w="0" w:type="auto"/>
            <w:hideMark/>
          </w:tcPr>
          <w:p w14:paraId="2186494F" w14:textId="77777777" w:rsidR="00000000" w:rsidRDefault="0015578C">
            <w:pPr>
              <w:pStyle w:val="a3"/>
              <w:spacing w:before="0" w:beforeAutospacing="0" w:after="0" w:afterAutospacing="0"/>
              <w:jc w:val="center"/>
              <w:rPr>
                <w:sz w:val="20"/>
                <w:szCs w:val="20"/>
              </w:rPr>
            </w:pPr>
            <w:r>
              <w:rPr>
                <w:sz w:val="20"/>
                <w:szCs w:val="20"/>
              </w:rPr>
              <w:t>(Address of principal executive offices)</w:t>
            </w:r>
          </w:p>
        </w:tc>
        <w:tc>
          <w:tcPr>
            <w:tcW w:w="0" w:type="auto"/>
            <w:vAlign w:val="center"/>
            <w:hideMark/>
          </w:tcPr>
          <w:p w14:paraId="37B71B77" w14:textId="77777777" w:rsidR="00000000" w:rsidRDefault="0015578C">
            <w:pPr>
              <w:pStyle w:val="a3"/>
              <w:spacing w:before="0" w:beforeAutospacing="0" w:after="0" w:afterAutospacing="0"/>
              <w:jc w:val="center"/>
              <w:rPr>
                <w:sz w:val="20"/>
                <w:szCs w:val="20"/>
              </w:rPr>
            </w:pPr>
            <w:r>
              <w:rPr>
                <w:sz w:val="20"/>
                <w:szCs w:val="20"/>
              </w:rPr>
              <w:t> </w:t>
            </w:r>
          </w:p>
        </w:tc>
        <w:tc>
          <w:tcPr>
            <w:tcW w:w="0" w:type="auto"/>
            <w:hideMark/>
          </w:tcPr>
          <w:p w14:paraId="06A56DD0" w14:textId="77777777" w:rsidR="00000000" w:rsidRDefault="0015578C">
            <w:pPr>
              <w:pStyle w:val="a3"/>
              <w:spacing w:before="0" w:beforeAutospacing="0" w:after="0" w:afterAutospacing="0"/>
              <w:jc w:val="center"/>
              <w:rPr>
                <w:sz w:val="20"/>
                <w:szCs w:val="20"/>
              </w:rPr>
            </w:pPr>
            <w:r>
              <w:rPr>
                <w:sz w:val="20"/>
                <w:szCs w:val="20"/>
              </w:rPr>
              <w:t>(Zip Code)</w:t>
            </w:r>
          </w:p>
        </w:tc>
      </w:tr>
    </w:tbl>
    <w:p w14:paraId="2B9610BC" w14:textId="77777777" w:rsidR="00000000" w:rsidRDefault="0015578C">
      <w:pPr>
        <w:pStyle w:val="a3"/>
        <w:spacing w:before="0" w:beforeAutospacing="0" w:after="0" w:afterAutospacing="0"/>
        <w:jc w:val="center"/>
        <w:rPr>
          <w:sz w:val="20"/>
          <w:szCs w:val="20"/>
        </w:rPr>
      </w:pPr>
      <w:r>
        <w:rPr>
          <w:sz w:val="20"/>
          <w:szCs w:val="20"/>
        </w:rPr>
        <w:t> </w:t>
      </w:r>
    </w:p>
    <w:p w14:paraId="370CC5F4" w14:textId="77777777" w:rsidR="00000000" w:rsidRDefault="0015578C">
      <w:pPr>
        <w:pStyle w:val="a3"/>
        <w:spacing w:before="0" w:beforeAutospacing="0" w:after="0" w:afterAutospacing="0"/>
        <w:jc w:val="center"/>
        <w:rPr>
          <w:sz w:val="20"/>
          <w:szCs w:val="20"/>
        </w:rPr>
      </w:pPr>
      <w:r>
        <w:rPr>
          <w:sz w:val="20"/>
          <w:szCs w:val="20"/>
        </w:rPr>
        <w:t>Registrant's telephone number, including area code </w:t>
      </w:r>
      <w:r>
        <w:rPr>
          <w:rStyle w:val="a4"/>
          <w:sz w:val="20"/>
          <w:szCs w:val="20"/>
        </w:rPr>
        <w:t>(303)  534-1030</w:t>
      </w:r>
      <w:r>
        <w:rPr>
          <w:sz w:val="20"/>
          <w:szCs w:val="20"/>
        </w:rPr>
        <w:t> </w:t>
      </w:r>
    </w:p>
    <w:p w14:paraId="0012EA53" w14:textId="77777777" w:rsidR="00000000" w:rsidRDefault="0015578C">
      <w:pPr>
        <w:pStyle w:val="a3"/>
        <w:spacing w:before="0" w:beforeAutospacing="0" w:after="0" w:afterAutospacing="0"/>
        <w:jc w:val="both"/>
        <w:rPr>
          <w:sz w:val="20"/>
          <w:szCs w:val="20"/>
        </w:rPr>
      </w:pPr>
      <w:r>
        <w:rPr>
          <w:sz w:val="20"/>
          <w:szCs w:val="20"/>
        </w:rPr>
        <w:t> </w:t>
      </w:r>
    </w:p>
    <w:p w14:paraId="70B42CF8" w14:textId="77777777" w:rsidR="00000000" w:rsidRDefault="0015578C">
      <w:pPr>
        <w:pStyle w:val="a3"/>
        <w:spacing w:before="0" w:beforeAutospacing="0" w:after="0" w:afterAutospacing="0"/>
        <w:jc w:val="center"/>
        <w:rPr>
          <w:sz w:val="20"/>
          <w:szCs w:val="20"/>
        </w:rPr>
      </w:pPr>
      <w:r>
        <w:rPr>
          <w:sz w:val="20"/>
          <w:szCs w:val="20"/>
        </w:rPr>
        <w:t>Securities registered pursuant to Section 12(b) of the Act:  </w:t>
      </w:r>
    </w:p>
    <w:p w14:paraId="4B2E167D" w14:textId="77777777" w:rsidR="00000000" w:rsidRDefault="0015578C">
      <w:pPr>
        <w:pStyle w:val="a3"/>
        <w:spacing w:before="0" w:beforeAutospacing="0" w:after="0" w:afterAutospacing="0"/>
        <w:jc w:val="center"/>
        <w:rPr>
          <w:sz w:val="20"/>
          <w:szCs w:val="20"/>
        </w:rPr>
      </w:pPr>
      <w:r>
        <w:rPr>
          <w:sz w:val="20"/>
          <w:szCs w:val="20"/>
        </w:rPr>
        <w:t xml:space="preserve">   </w:t>
      </w:r>
    </w:p>
    <w:tbl>
      <w:tblPr>
        <w:tblW w:w="5000" w:type="pct"/>
        <w:tblCellSpacing w:w="15" w:type="dxa"/>
        <w:tblBorders>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2741"/>
        <w:gridCol w:w="2808"/>
        <w:gridCol w:w="2741"/>
      </w:tblGrid>
      <w:tr w:rsidR="00000000" w14:paraId="0A324933" w14:textId="77777777">
        <w:trPr>
          <w:trHeight w:val="225"/>
          <w:tblCellSpacing w:w="15" w:type="dxa"/>
        </w:trPr>
        <w:tc>
          <w:tcPr>
            <w:tcW w:w="1650" w:type="pct"/>
            <w:tcBorders>
              <w:top w:val="single" w:sz="6" w:space="0" w:color="000000"/>
              <w:left w:val="single" w:sz="6" w:space="0" w:color="000000"/>
            </w:tcBorders>
            <w:tcMar>
              <w:top w:w="30" w:type="dxa"/>
              <w:left w:w="30" w:type="dxa"/>
              <w:bottom w:w="30" w:type="dxa"/>
              <w:right w:w="30" w:type="dxa"/>
            </w:tcMar>
            <w:hideMark/>
          </w:tcPr>
          <w:p w14:paraId="42218C5B" w14:textId="77777777" w:rsidR="00000000" w:rsidRDefault="0015578C">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tcBorders>
            <w:tcMar>
              <w:top w:w="30" w:type="dxa"/>
              <w:left w:w="30" w:type="dxa"/>
              <w:bottom w:w="30" w:type="dxa"/>
              <w:right w:w="30" w:type="dxa"/>
            </w:tcMar>
            <w:hideMark/>
          </w:tcPr>
          <w:p w14:paraId="1C125BD3" w14:textId="77777777" w:rsidR="00000000" w:rsidRDefault="0015578C">
            <w:pPr>
              <w:pStyle w:val="a3"/>
              <w:spacing w:before="0" w:beforeAutospacing="0" w:after="0" w:afterAutospacing="0"/>
              <w:jc w:val="center"/>
              <w:rPr>
                <w:sz w:val="20"/>
                <w:szCs w:val="20"/>
              </w:rPr>
            </w:pPr>
            <w:r>
              <w:rPr>
                <w:sz w:val="20"/>
                <w:szCs w:val="20"/>
              </w:rPr>
              <w:t>Trading symbol</w:t>
            </w:r>
          </w:p>
        </w:tc>
        <w:tc>
          <w:tcPr>
            <w:tcW w:w="1650" w:type="pct"/>
            <w:tcBorders>
              <w:top w:val="single" w:sz="6" w:space="0" w:color="000000"/>
              <w:left w:val="single" w:sz="6" w:space="0" w:color="000000"/>
            </w:tcBorders>
            <w:tcMar>
              <w:top w:w="30" w:type="dxa"/>
              <w:left w:w="30" w:type="dxa"/>
              <w:bottom w:w="30" w:type="dxa"/>
              <w:right w:w="30" w:type="dxa"/>
            </w:tcMar>
            <w:hideMark/>
          </w:tcPr>
          <w:p w14:paraId="07595C30" w14:textId="77777777" w:rsidR="00000000" w:rsidRDefault="0015578C">
            <w:pPr>
              <w:pStyle w:val="a3"/>
              <w:spacing w:before="0" w:beforeAutospacing="0" w:after="0" w:afterAutospacing="0"/>
              <w:jc w:val="center"/>
              <w:rPr>
                <w:sz w:val="20"/>
                <w:szCs w:val="20"/>
              </w:rPr>
            </w:pPr>
            <w:r>
              <w:rPr>
                <w:sz w:val="20"/>
                <w:szCs w:val="20"/>
              </w:rPr>
              <w:t>Name of exchange on which re</w:t>
            </w:r>
            <w:r>
              <w:rPr>
                <w:sz w:val="20"/>
                <w:szCs w:val="20"/>
              </w:rPr>
              <w:t>gistered</w:t>
            </w:r>
          </w:p>
        </w:tc>
      </w:tr>
      <w:tr w:rsidR="00000000" w14:paraId="097FDCBC" w14:textId="77777777">
        <w:trPr>
          <w:trHeight w:val="225"/>
          <w:tblCellSpacing w:w="15" w:type="dxa"/>
        </w:trPr>
        <w:tc>
          <w:tcPr>
            <w:tcW w:w="0" w:type="auto"/>
            <w:tcBorders>
              <w:top w:val="single" w:sz="6" w:space="0" w:color="000000"/>
              <w:left w:val="single" w:sz="6" w:space="0" w:color="000000"/>
            </w:tcBorders>
            <w:tcMar>
              <w:top w:w="30" w:type="dxa"/>
              <w:left w:w="30" w:type="dxa"/>
              <w:bottom w:w="30" w:type="dxa"/>
              <w:right w:w="30" w:type="dxa"/>
            </w:tcMar>
            <w:hideMark/>
          </w:tcPr>
          <w:p w14:paraId="462EE000" w14:textId="77777777" w:rsidR="00000000" w:rsidRDefault="0015578C">
            <w:pPr>
              <w:pStyle w:val="a3"/>
              <w:spacing w:before="0" w:beforeAutospacing="0" w:after="0" w:afterAutospacing="0"/>
              <w:jc w:val="center"/>
              <w:rPr>
                <w:sz w:val="20"/>
                <w:szCs w:val="20"/>
              </w:rPr>
            </w:pPr>
            <w:r>
              <w:rPr>
                <w:rStyle w:val="a4"/>
                <w:sz w:val="20"/>
                <w:szCs w:val="20"/>
              </w:rPr>
              <w:t>Common Stock, $0.01 par value</w:t>
            </w:r>
          </w:p>
        </w:tc>
        <w:tc>
          <w:tcPr>
            <w:tcW w:w="0" w:type="auto"/>
            <w:tcBorders>
              <w:top w:val="single" w:sz="6" w:space="0" w:color="000000"/>
              <w:left w:val="single" w:sz="6" w:space="0" w:color="000000"/>
            </w:tcBorders>
            <w:tcMar>
              <w:top w:w="30" w:type="dxa"/>
              <w:left w:w="30" w:type="dxa"/>
              <w:bottom w:w="30" w:type="dxa"/>
              <w:right w:w="30" w:type="dxa"/>
            </w:tcMar>
            <w:hideMark/>
          </w:tcPr>
          <w:p w14:paraId="0F543BDE" w14:textId="77777777" w:rsidR="00000000" w:rsidRDefault="0015578C">
            <w:pPr>
              <w:pStyle w:val="a3"/>
              <w:spacing w:before="0" w:beforeAutospacing="0" w:after="0" w:afterAutospacing="0"/>
              <w:jc w:val="center"/>
              <w:rPr>
                <w:sz w:val="20"/>
                <w:szCs w:val="20"/>
              </w:rPr>
            </w:pPr>
            <w:r>
              <w:rPr>
                <w:rStyle w:val="a4"/>
                <w:sz w:val="20"/>
                <w:szCs w:val="20"/>
              </w:rPr>
              <w:t>XPL</w:t>
            </w:r>
          </w:p>
        </w:tc>
        <w:tc>
          <w:tcPr>
            <w:tcW w:w="0" w:type="auto"/>
            <w:tcBorders>
              <w:top w:val="single" w:sz="6" w:space="0" w:color="000000"/>
              <w:left w:val="single" w:sz="6" w:space="0" w:color="000000"/>
            </w:tcBorders>
            <w:tcMar>
              <w:top w:w="30" w:type="dxa"/>
              <w:left w:w="30" w:type="dxa"/>
              <w:bottom w:w="30" w:type="dxa"/>
              <w:right w:w="30" w:type="dxa"/>
            </w:tcMar>
            <w:hideMark/>
          </w:tcPr>
          <w:p w14:paraId="2D895B49" w14:textId="77777777" w:rsidR="00000000" w:rsidRDefault="0015578C">
            <w:pPr>
              <w:pStyle w:val="a3"/>
              <w:spacing w:before="0" w:beforeAutospacing="0" w:after="0" w:afterAutospacing="0"/>
              <w:jc w:val="center"/>
              <w:rPr>
                <w:sz w:val="20"/>
                <w:szCs w:val="20"/>
              </w:rPr>
            </w:pPr>
            <w:r>
              <w:rPr>
                <w:rStyle w:val="a4"/>
                <w:sz w:val="20"/>
                <w:szCs w:val="20"/>
              </w:rPr>
              <w:t>NYSE American</w:t>
            </w:r>
          </w:p>
        </w:tc>
      </w:tr>
    </w:tbl>
    <w:p w14:paraId="0943CA47" w14:textId="77777777" w:rsidR="00000000" w:rsidRDefault="0015578C">
      <w:pPr>
        <w:pStyle w:val="a3"/>
        <w:spacing w:before="0" w:beforeAutospacing="0" w:after="0" w:afterAutospacing="0"/>
        <w:jc w:val="center"/>
        <w:rPr>
          <w:sz w:val="20"/>
          <w:szCs w:val="20"/>
        </w:rPr>
      </w:pPr>
      <w:r>
        <w:rPr>
          <w:sz w:val="20"/>
          <w:szCs w:val="20"/>
        </w:rPr>
        <w:t> </w:t>
      </w:r>
    </w:p>
    <w:p w14:paraId="08B3BF31" w14:textId="77777777" w:rsidR="00000000" w:rsidRDefault="0015578C">
      <w:pPr>
        <w:pStyle w:val="a3"/>
        <w:spacing w:before="0" w:beforeAutospacing="0" w:after="0" w:afterAutospacing="0"/>
        <w:jc w:val="both"/>
        <w:rPr>
          <w:sz w:val="20"/>
          <w:szCs w:val="20"/>
        </w:rPr>
      </w:pPr>
      <w:r>
        <w:rPr>
          <w:sz w:val="20"/>
          <w:szCs w:val="20"/>
        </w:rPr>
        <w:t>Securities registered pursuant to Section 12(g) of the Act:  None</w:t>
      </w:r>
    </w:p>
    <w:p w14:paraId="72BA7385" w14:textId="77777777" w:rsidR="00000000" w:rsidRDefault="0015578C">
      <w:pPr>
        <w:pStyle w:val="a3"/>
        <w:spacing w:before="0" w:beforeAutospacing="0" w:after="0" w:afterAutospacing="0"/>
        <w:jc w:val="both"/>
        <w:rPr>
          <w:sz w:val="20"/>
          <w:szCs w:val="20"/>
        </w:rPr>
      </w:pPr>
      <w:r>
        <w:rPr>
          <w:sz w:val="20"/>
          <w:szCs w:val="20"/>
        </w:rPr>
        <w:t> </w:t>
      </w:r>
    </w:p>
    <w:p w14:paraId="75EEA269" w14:textId="77777777" w:rsidR="00000000" w:rsidRDefault="0015578C">
      <w:pPr>
        <w:pStyle w:val="a3"/>
        <w:spacing w:before="0" w:beforeAutospacing="0" w:after="0" w:afterAutospacing="0"/>
        <w:jc w:val="both"/>
        <w:rPr>
          <w:sz w:val="20"/>
          <w:szCs w:val="20"/>
        </w:rPr>
      </w:pPr>
      <w:r>
        <w:rPr>
          <w:sz w:val="20"/>
          <w:szCs w:val="20"/>
        </w:rPr>
        <w:t>Indicate by check mark if the registrant is a well-known seasoned issuer, as defined in Rule 405 of the Securities Act.</w:t>
      </w:r>
    </w:p>
    <w:p w14:paraId="5ED981F7" w14:textId="77777777" w:rsidR="00000000" w:rsidRDefault="0015578C">
      <w:pPr>
        <w:pStyle w:val="a3"/>
        <w:spacing w:before="0" w:beforeAutospacing="0" w:after="0" w:afterAutospacing="0"/>
        <w:jc w:val="both"/>
        <w:rPr>
          <w:sz w:val="20"/>
          <w:szCs w:val="20"/>
        </w:rPr>
      </w:pPr>
      <w:r>
        <w:rPr>
          <w:sz w:val="20"/>
          <w:szCs w:val="20"/>
        </w:rPr>
        <w:t> </w:t>
      </w:r>
    </w:p>
    <w:p w14:paraId="595BC941"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144AB5D" w14:textId="77777777" w:rsidR="00000000" w:rsidRDefault="0015578C">
      <w:pPr>
        <w:pStyle w:val="a3"/>
        <w:spacing w:before="0" w:beforeAutospacing="0" w:after="0" w:afterAutospacing="0"/>
        <w:jc w:val="center"/>
        <w:rPr>
          <w:sz w:val="20"/>
          <w:szCs w:val="20"/>
        </w:rPr>
      </w:pPr>
      <w:r>
        <w:rPr>
          <w:sz w:val="20"/>
          <w:szCs w:val="20"/>
        </w:rPr>
        <w:t xml:space="preserve">  </w:t>
      </w:r>
    </w:p>
    <w:p w14:paraId="326EE614" w14:textId="77777777" w:rsidR="00000000" w:rsidRDefault="0015578C">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Section 15(d) of </w:t>
      </w:r>
      <w:r>
        <w:rPr>
          <w:sz w:val="20"/>
          <w:szCs w:val="20"/>
        </w:rPr>
        <w:t xml:space="preserve">the Act. </w:t>
      </w:r>
    </w:p>
    <w:p w14:paraId="637D5831" w14:textId="77777777" w:rsidR="00000000" w:rsidRDefault="0015578C">
      <w:pPr>
        <w:pStyle w:val="a3"/>
        <w:spacing w:before="0" w:beforeAutospacing="0" w:after="0" w:afterAutospacing="0"/>
        <w:jc w:val="both"/>
        <w:rPr>
          <w:sz w:val="20"/>
          <w:szCs w:val="20"/>
        </w:rPr>
      </w:pPr>
      <w:r>
        <w:rPr>
          <w:sz w:val="20"/>
          <w:szCs w:val="20"/>
        </w:rPr>
        <w:t xml:space="preserve">  </w:t>
      </w:r>
    </w:p>
    <w:p w14:paraId="5AAD4237"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3D21FD5" w14:textId="77777777" w:rsidR="00000000" w:rsidRDefault="0015578C">
      <w:pPr>
        <w:pStyle w:val="a3"/>
        <w:spacing w:before="0" w:beforeAutospacing="0" w:after="0" w:afterAutospacing="0"/>
        <w:jc w:val="center"/>
        <w:rPr>
          <w:sz w:val="20"/>
          <w:szCs w:val="20"/>
        </w:rPr>
      </w:pPr>
      <w:r>
        <w:rPr>
          <w:sz w:val="20"/>
          <w:szCs w:val="20"/>
        </w:rPr>
        <w:t xml:space="preserve">  </w:t>
      </w:r>
    </w:p>
    <w:p w14:paraId="6F1BFEC6" w14:textId="77777777" w:rsidR="00000000" w:rsidRDefault="0015578C">
      <w:pPr>
        <w:pStyle w:val="a3"/>
        <w:spacing w:before="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w:t>
      </w:r>
      <w:r>
        <w:rPr>
          <w:sz w:val="20"/>
          <w:szCs w:val="20"/>
        </w:rPr>
        <w:lastRenderedPageBreak/>
        <w:t>period that the re</w:t>
      </w:r>
      <w:r>
        <w:rPr>
          <w:sz w:val="20"/>
          <w:szCs w:val="20"/>
        </w:rPr>
        <w:t xml:space="preserve">gistrant was required to file such reports), and (2) has been subject to such filing requirements for the past 90 days. </w:t>
      </w:r>
    </w:p>
    <w:p w14:paraId="2009EE50" w14:textId="77777777" w:rsidR="00000000" w:rsidRDefault="0015578C">
      <w:pPr>
        <w:pStyle w:val="a3"/>
        <w:spacing w:before="0" w:beforeAutospacing="0" w:after="0" w:afterAutospacing="0"/>
        <w:jc w:val="both"/>
        <w:rPr>
          <w:sz w:val="20"/>
          <w:szCs w:val="20"/>
        </w:rPr>
      </w:pPr>
      <w:r>
        <w:rPr>
          <w:sz w:val="20"/>
          <w:szCs w:val="20"/>
        </w:rPr>
        <w:t> </w:t>
      </w:r>
    </w:p>
    <w:p w14:paraId="38083A9F"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r>
        <w:rPr>
          <w:sz w:val="20"/>
          <w:szCs w:val="20"/>
        </w:rPr>
        <w:t xml:space="preserve"> </w:t>
      </w:r>
    </w:p>
    <w:p w14:paraId="2EBDAB26" w14:textId="77777777" w:rsidR="00000000" w:rsidRDefault="0015578C">
      <w:pPr>
        <w:pStyle w:val="a3"/>
        <w:spacing w:before="0" w:beforeAutospacing="0" w:after="0" w:afterAutospacing="0"/>
        <w:jc w:val="center"/>
        <w:rPr>
          <w:sz w:val="20"/>
          <w:szCs w:val="20"/>
        </w:rPr>
      </w:pPr>
      <w:r>
        <w:rPr>
          <w:sz w:val="20"/>
          <w:szCs w:val="20"/>
        </w:rPr>
        <w:t xml:space="preserve">  </w:t>
      </w:r>
    </w:p>
    <w:p w14:paraId="3D5B8BEC" w14:textId="77777777" w:rsidR="00000000" w:rsidRDefault="0015578C">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20"/>
          <w:szCs w:val="20"/>
        </w:rPr>
        <w:t>at the registrant was required to submit such files).</w:t>
      </w:r>
    </w:p>
    <w:p w14:paraId="7C13C2A2" w14:textId="77777777" w:rsidR="00000000" w:rsidRDefault="0015578C">
      <w:pPr>
        <w:pStyle w:val="a3"/>
        <w:spacing w:before="0" w:beforeAutospacing="0" w:after="0" w:afterAutospacing="0"/>
        <w:jc w:val="both"/>
        <w:rPr>
          <w:sz w:val="20"/>
          <w:szCs w:val="20"/>
        </w:rPr>
      </w:pPr>
      <w:r>
        <w:rPr>
          <w:sz w:val="20"/>
          <w:szCs w:val="20"/>
        </w:rPr>
        <w:t xml:space="preserve">  </w:t>
      </w:r>
    </w:p>
    <w:p w14:paraId="1D1EC241"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00F05C4" w14:textId="77777777" w:rsidR="00000000" w:rsidRDefault="0015578C">
      <w:pPr>
        <w:pStyle w:val="a3"/>
        <w:spacing w:before="0" w:beforeAutospacing="0" w:after="0" w:afterAutospacing="0"/>
        <w:jc w:val="center"/>
        <w:rPr>
          <w:sz w:val="20"/>
          <w:szCs w:val="20"/>
        </w:rPr>
      </w:pPr>
      <w:r>
        <w:rPr>
          <w:sz w:val="20"/>
          <w:szCs w:val="20"/>
        </w:rPr>
        <w:t xml:space="preserve">   </w:t>
      </w:r>
    </w:p>
    <w:p w14:paraId="1B5CF4FD" w14:textId="77777777" w:rsidR="00000000" w:rsidRDefault="0015578C">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w:t>
      </w:r>
      <w:r>
        <w:rPr>
          <w:sz w:val="20"/>
          <w:szCs w:val="20"/>
        </w:rPr>
        <w:t>y. See the definitions of "large accelerated filer," "accelerated filer," "smaller reporting company" and “emerging growth company” in Rule 12b-2 of the Exchange Act:</w:t>
      </w:r>
    </w:p>
    <w:p w14:paraId="582F5E02" w14:textId="77777777" w:rsidR="00000000" w:rsidRDefault="0015578C">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2118"/>
        <w:gridCol w:w="1412"/>
        <w:gridCol w:w="2103"/>
        <w:gridCol w:w="1427"/>
      </w:tblGrid>
      <w:tr w:rsidR="00000000" w14:paraId="520207FE" w14:textId="77777777">
        <w:trPr>
          <w:trHeight w:val="225"/>
          <w:tblCellSpacing w:w="15" w:type="dxa"/>
        </w:trPr>
        <w:tc>
          <w:tcPr>
            <w:tcW w:w="1500" w:type="pct"/>
            <w:hideMark/>
          </w:tcPr>
          <w:p w14:paraId="2C36533C" w14:textId="77777777" w:rsidR="00000000" w:rsidRDefault="0015578C">
            <w:pPr>
              <w:pStyle w:val="a3"/>
              <w:spacing w:before="0" w:beforeAutospacing="0" w:after="0" w:afterAutospacing="0"/>
              <w:jc w:val="both"/>
              <w:rPr>
                <w:sz w:val="20"/>
                <w:szCs w:val="20"/>
              </w:rPr>
            </w:pPr>
            <w:r>
              <w:rPr>
                <w:sz w:val="20"/>
                <w:szCs w:val="20"/>
              </w:rPr>
              <w:t xml:space="preserve">Large accelerated filer </w:t>
            </w:r>
          </w:p>
        </w:tc>
        <w:tc>
          <w:tcPr>
            <w:tcW w:w="1000" w:type="pct"/>
            <w:hideMark/>
          </w:tcPr>
          <w:p w14:paraId="3B23FCD7" w14:textId="77777777" w:rsidR="00000000" w:rsidRDefault="0015578C">
            <w:pPr>
              <w:jc w:val="both"/>
              <w:rPr>
                <w:rFonts w:eastAsia="Times New Roman"/>
                <w:sz w:val="20"/>
                <w:szCs w:val="20"/>
              </w:rPr>
            </w:pPr>
            <w:r>
              <w:rPr>
                <w:rFonts w:ascii="Segoe UI Symbol" w:eastAsia="Times New Roman" w:hAnsi="Segoe UI Symbol" w:cs="Segoe UI Symbol"/>
                <w:sz w:val="20"/>
                <w:szCs w:val="20"/>
              </w:rPr>
              <w:t>☐</w:t>
            </w:r>
          </w:p>
        </w:tc>
        <w:tc>
          <w:tcPr>
            <w:tcW w:w="1500" w:type="pct"/>
            <w:hideMark/>
          </w:tcPr>
          <w:p w14:paraId="6EA787FD" w14:textId="77777777" w:rsidR="00000000" w:rsidRDefault="0015578C">
            <w:pPr>
              <w:pStyle w:val="a3"/>
              <w:spacing w:before="0" w:beforeAutospacing="0" w:after="0" w:afterAutospacing="0"/>
              <w:jc w:val="both"/>
              <w:rPr>
                <w:sz w:val="20"/>
                <w:szCs w:val="20"/>
              </w:rPr>
            </w:pPr>
            <w:r>
              <w:rPr>
                <w:sz w:val="20"/>
                <w:szCs w:val="20"/>
              </w:rPr>
              <w:t>Non-accelerated filer</w:t>
            </w:r>
          </w:p>
        </w:tc>
        <w:tc>
          <w:tcPr>
            <w:tcW w:w="1000" w:type="pct"/>
            <w:hideMark/>
          </w:tcPr>
          <w:p w14:paraId="2C18E47B" w14:textId="77777777" w:rsidR="00000000" w:rsidRDefault="0015578C">
            <w:pPr>
              <w:jc w:val="both"/>
              <w:rPr>
                <w:rFonts w:eastAsia="Times New Roman"/>
                <w:sz w:val="20"/>
                <w:szCs w:val="20"/>
              </w:rPr>
            </w:pPr>
            <w:r>
              <w:rPr>
                <w:rFonts w:ascii="Segoe UI Symbol" w:eastAsia="Times New Roman" w:hAnsi="Segoe UI Symbol" w:cs="Segoe UI Symbol"/>
                <w:sz w:val="20"/>
                <w:szCs w:val="20"/>
              </w:rPr>
              <w:t>☒</w:t>
            </w:r>
          </w:p>
        </w:tc>
      </w:tr>
      <w:tr w:rsidR="00000000" w14:paraId="41E328B2" w14:textId="77777777">
        <w:trPr>
          <w:trHeight w:val="225"/>
          <w:tblCellSpacing w:w="15" w:type="dxa"/>
        </w:trPr>
        <w:tc>
          <w:tcPr>
            <w:tcW w:w="0" w:type="auto"/>
            <w:vAlign w:val="center"/>
            <w:hideMark/>
          </w:tcPr>
          <w:p w14:paraId="32F975CA" w14:textId="77777777" w:rsidR="00000000" w:rsidRDefault="0015578C">
            <w:pPr>
              <w:pStyle w:val="a3"/>
              <w:spacing w:before="0" w:beforeAutospacing="0" w:after="0" w:afterAutospacing="0"/>
              <w:jc w:val="both"/>
              <w:rPr>
                <w:sz w:val="20"/>
                <w:szCs w:val="20"/>
              </w:rPr>
            </w:pPr>
            <w:r>
              <w:rPr>
                <w:sz w:val="20"/>
                <w:szCs w:val="20"/>
              </w:rPr>
              <w:t xml:space="preserve">Accelerated filer </w:t>
            </w:r>
          </w:p>
        </w:tc>
        <w:tc>
          <w:tcPr>
            <w:tcW w:w="0" w:type="auto"/>
            <w:vAlign w:val="center"/>
            <w:hideMark/>
          </w:tcPr>
          <w:p w14:paraId="27288A0B" w14:textId="77777777" w:rsidR="00000000" w:rsidRDefault="0015578C">
            <w:pPr>
              <w:pStyle w:val="a3"/>
              <w:spacing w:before="0" w:beforeAutospacing="0" w:after="0" w:afterAutospacing="0"/>
              <w:jc w:val="both"/>
              <w:rPr>
                <w:sz w:val="20"/>
                <w:szCs w:val="20"/>
              </w:rPr>
            </w:pPr>
            <w:r>
              <w:rPr>
                <w:rFonts w:ascii="Segoe UI Symbol" w:hAnsi="Segoe UI Symbol" w:cs="Segoe UI Symbol"/>
                <w:sz w:val="20"/>
                <w:szCs w:val="20"/>
              </w:rPr>
              <w:t>☐</w:t>
            </w:r>
          </w:p>
        </w:tc>
        <w:tc>
          <w:tcPr>
            <w:tcW w:w="0" w:type="auto"/>
            <w:vAlign w:val="center"/>
            <w:hideMark/>
          </w:tcPr>
          <w:p w14:paraId="5944A2A8" w14:textId="77777777" w:rsidR="00000000" w:rsidRDefault="0015578C">
            <w:pPr>
              <w:pStyle w:val="a3"/>
              <w:spacing w:before="0" w:beforeAutospacing="0" w:after="0" w:afterAutospacing="0"/>
              <w:jc w:val="both"/>
              <w:rPr>
                <w:sz w:val="20"/>
                <w:szCs w:val="20"/>
              </w:rPr>
            </w:pPr>
            <w:r>
              <w:rPr>
                <w:sz w:val="20"/>
                <w:szCs w:val="20"/>
              </w:rPr>
              <w:t>Smaller report</w:t>
            </w:r>
            <w:r>
              <w:rPr>
                <w:sz w:val="20"/>
                <w:szCs w:val="20"/>
              </w:rPr>
              <w:t xml:space="preserve">ing company </w:t>
            </w:r>
          </w:p>
        </w:tc>
        <w:tc>
          <w:tcPr>
            <w:tcW w:w="0" w:type="auto"/>
            <w:vAlign w:val="center"/>
            <w:hideMark/>
          </w:tcPr>
          <w:p w14:paraId="3920FEFE" w14:textId="77777777" w:rsidR="00000000" w:rsidRDefault="0015578C">
            <w:pPr>
              <w:pStyle w:val="a3"/>
              <w:spacing w:before="0" w:beforeAutospacing="0" w:after="0" w:afterAutospacing="0"/>
              <w:jc w:val="both"/>
              <w:rPr>
                <w:sz w:val="20"/>
                <w:szCs w:val="20"/>
              </w:rPr>
            </w:pPr>
            <w:r>
              <w:rPr>
                <w:rFonts w:ascii="Segoe UI Symbol" w:hAnsi="Segoe UI Symbol" w:cs="Segoe UI Symbol"/>
                <w:sz w:val="20"/>
                <w:szCs w:val="20"/>
              </w:rPr>
              <w:t>☒</w:t>
            </w:r>
          </w:p>
        </w:tc>
      </w:tr>
      <w:tr w:rsidR="00000000" w14:paraId="452EEC1D" w14:textId="77777777">
        <w:trPr>
          <w:trHeight w:val="225"/>
          <w:tblCellSpacing w:w="15" w:type="dxa"/>
        </w:trPr>
        <w:tc>
          <w:tcPr>
            <w:tcW w:w="0" w:type="auto"/>
            <w:vAlign w:val="center"/>
            <w:hideMark/>
          </w:tcPr>
          <w:p w14:paraId="429D0703" w14:textId="77777777" w:rsidR="00000000" w:rsidRDefault="0015578C">
            <w:pPr>
              <w:pStyle w:val="a3"/>
              <w:spacing w:before="0" w:beforeAutospacing="0" w:after="0" w:afterAutospacing="0"/>
              <w:jc w:val="both"/>
              <w:rPr>
                <w:sz w:val="20"/>
                <w:szCs w:val="20"/>
              </w:rPr>
            </w:pPr>
            <w:r>
              <w:rPr>
                <w:sz w:val="20"/>
                <w:szCs w:val="20"/>
              </w:rPr>
              <w:t> </w:t>
            </w:r>
          </w:p>
        </w:tc>
        <w:tc>
          <w:tcPr>
            <w:tcW w:w="0" w:type="auto"/>
            <w:vAlign w:val="center"/>
            <w:hideMark/>
          </w:tcPr>
          <w:p w14:paraId="1D22C978" w14:textId="77777777" w:rsidR="00000000" w:rsidRDefault="0015578C">
            <w:pPr>
              <w:pStyle w:val="a3"/>
              <w:spacing w:before="0" w:beforeAutospacing="0" w:after="0" w:afterAutospacing="0"/>
              <w:jc w:val="both"/>
              <w:rPr>
                <w:sz w:val="20"/>
                <w:szCs w:val="20"/>
              </w:rPr>
            </w:pPr>
            <w:r>
              <w:rPr>
                <w:sz w:val="20"/>
                <w:szCs w:val="20"/>
              </w:rPr>
              <w:t> </w:t>
            </w:r>
          </w:p>
        </w:tc>
        <w:tc>
          <w:tcPr>
            <w:tcW w:w="0" w:type="auto"/>
            <w:vAlign w:val="center"/>
            <w:hideMark/>
          </w:tcPr>
          <w:p w14:paraId="5A97D017" w14:textId="77777777" w:rsidR="00000000" w:rsidRDefault="0015578C">
            <w:pPr>
              <w:pStyle w:val="a3"/>
              <w:spacing w:before="0" w:beforeAutospacing="0" w:after="0" w:afterAutospacing="0"/>
              <w:jc w:val="both"/>
              <w:rPr>
                <w:sz w:val="20"/>
                <w:szCs w:val="20"/>
              </w:rPr>
            </w:pPr>
            <w:r>
              <w:rPr>
                <w:sz w:val="20"/>
                <w:szCs w:val="20"/>
              </w:rPr>
              <w:t xml:space="preserve">Emerging growth company </w:t>
            </w:r>
          </w:p>
        </w:tc>
        <w:tc>
          <w:tcPr>
            <w:tcW w:w="0" w:type="auto"/>
            <w:vAlign w:val="center"/>
            <w:hideMark/>
          </w:tcPr>
          <w:p w14:paraId="0D16F7D9" w14:textId="77777777" w:rsidR="00000000" w:rsidRDefault="0015578C">
            <w:pPr>
              <w:pStyle w:val="a3"/>
              <w:spacing w:before="0" w:beforeAutospacing="0" w:after="0" w:afterAutospacing="0"/>
              <w:jc w:val="both"/>
              <w:rPr>
                <w:sz w:val="20"/>
                <w:szCs w:val="20"/>
              </w:rPr>
            </w:pPr>
            <w:r>
              <w:rPr>
                <w:rFonts w:ascii="Segoe UI Symbol" w:hAnsi="Segoe UI Symbol" w:cs="Segoe UI Symbol"/>
                <w:sz w:val="20"/>
                <w:szCs w:val="20"/>
              </w:rPr>
              <w:t>☐</w:t>
            </w:r>
          </w:p>
        </w:tc>
      </w:tr>
    </w:tbl>
    <w:p w14:paraId="3424FBCA" w14:textId="77777777" w:rsidR="00000000" w:rsidRDefault="0015578C">
      <w:pPr>
        <w:pStyle w:val="a3"/>
        <w:spacing w:before="0" w:beforeAutospacing="0" w:after="0" w:afterAutospacing="0"/>
        <w:jc w:val="both"/>
        <w:rPr>
          <w:sz w:val="20"/>
          <w:szCs w:val="20"/>
        </w:rPr>
      </w:pPr>
      <w:r>
        <w:rPr>
          <w:sz w:val="20"/>
          <w:szCs w:val="20"/>
        </w:rPr>
        <w:t> </w:t>
      </w:r>
    </w:p>
    <w:p w14:paraId="09DC3367" w14:textId="77777777" w:rsidR="00000000" w:rsidRDefault="0015578C">
      <w:pPr>
        <w:pStyle w:val="a3"/>
        <w:spacing w:before="0" w:beforeAutospacing="0" w:after="0" w:afterAutospacing="0"/>
        <w:jc w:val="both"/>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FACA0AD" w14:textId="77777777" w:rsidR="00000000" w:rsidRDefault="0015578C">
      <w:pPr>
        <w:pStyle w:val="a3"/>
        <w:spacing w:before="0" w:beforeAutospacing="0" w:after="0" w:afterAutospacing="0"/>
        <w:jc w:val="both"/>
        <w:rPr>
          <w:sz w:val="20"/>
          <w:szCs w:val="20"/>
        </w:rPr>
      </w:pPr>
      <w:r>
        <w:rPr>
          <w:sz w:val="20"/>
          <w:szCs w:val="20"/>
        </w:rPr>
        <w:t> </w:t>
      </w:r>
    </w:p>
    <w:p w14:paraId="7C9CF7C4" w14:textId="77777777" w:rsidR="00000000" w:rsidRDefault="0015578C">
      <w:pPr>
        <w:pStyle w:val="a3"/>
        <w:spacing w:before="0" w:beforeAutospacing="0" w:after="0" w:afterAutospacing="0"/>
        <w:jc w:val="both"/>
        <w:rPr>
          <w:sz w:val="20"/>
          <w:szCs w:val="20"/>
        </w:rPr>
      </w:pPr>
      <w:r>
        <w:rPr>
          <w:sz w:val="20"/>
          <w:szCs w:val="20"/>
        </w:rPr>
        <w:t>I</w:t>
      </w:r>
      <w:r>
        <w:rPr>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sz w:val="20"/>
          <w:szCs w:val="20"/>
        </w:rPr>
        <w:t>e registered public accounting firm that prepared or issued its audit report.</w:t>
      </w:r>
    </w:p>
    <w:p w14:paraId="2CDA2220"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75BEC48" w14:textId="77777777" w:rsidR="00000000" w:rsidRDefault="0015578C">
      <w:pPr>
        <w:pStyle w:val="a3"/>
        <w:spacing w:before="0" w:beforeAutospacing="0" w:after="0" w:afterAutospacing="0"/>
        <w:jc w:val="both"/>
        <w:rPr>
          <w:sz w:val="20"/>
          <w:szCs w:val="20"/>
        </w:rPr>
      </w:pPr>
      <w:r>
        <w:rPr>
          <w:sz w:val="20"/>
          <w:szCs w:val="20"/>
        </w:rPr>
        <w:t> </w:t>
      </w:r>
    </w:p>
    <w:p w14:paraId="2C846B03" w14:textId="77777777" w:rsidR="00000000" w:rsidRDefault="0015578C">
      <w:pPr>
        <w:pStyle w:val="a3"/>
        <w:spacing w:before="0" w:beforeAutospacing="0" w:after="0" w:afterAutospacing="0"/>
        <w:jc w:val="both"/>
        <w:rPr>
          <w:sz w:val="20"/>
          <w:szCs w:val="20"/>
        </w:rPr>
      </w:pPr>
      <w:r>
        <w:rPr>
          <w:sz w:val="20"/>
          <w:szCs w:val="20"/>
        </w:rPr>
        <w:t>If securities are registered pursuant to Section 12(b) of the Act, indicate by check mark whether the financial statements of the registrant included in the fili</w:t>
      </w:r>
      <w:r>
        <w:rPr>
          <w:sz w:val="20"/>
          <w:szCs w:val="20"/>
        </w:rPr>
        <w:t xml:space="preserve">ng reflect the correction of an error to previously issued financial statements. </w:t>
      </w:r>
      <w:r>
        <w:rPr>
          <w:rFonts w:ascii="Segoe UI Symbol" w:hAnsi="Segoe UI Symbol" w:cs="Segoe UI Symbol"/>
          <w:sz w:val="20"/>
          <w:szCs w:val="20"/>
        </w:rPr>
        <w:t>☐</w:t>
      </w:r>
    </w:p>
    <w:p w14:paraId="6F0A184C" w14:textId="77777777" w:rsidR="00000000" w:rsidRDefault="0015578C">
      <w:pPr>
        <w:pStyle w:val="a3"/>
        <w:spacing w:before="0" w:beforeAutospacing="0" w:after="0" w:afterAutospacing="0"/>
        <w:jc w:val="both"/>
        <w:rPr>
          <w:sz w:val="20"/>
          <w:szCs w:val="20"/>
        </w:rPr>
      </w:pPr>
      <w:r>
        <w:rPr>
          <w:sz w:val="20"/>
          <w:szCs w:val="20"/>
        </w:rPr>
        <w:t> </w:t>
      </w:r>
    </w:p>
    <w:p w14:paraId="7152FD03" w14:textId="77777777" w:rsidR="00000000" w:rsidRDefault="0015578C">
      <w:pPr>
        <w:pStyle w:val="a3"/>
        <w:spacing w:before="0" w:beforeAutospacing="0" w:after="0" w:afterAutospacing="0"/>
        <w:jc w:val="both"/>
        <w:rPr>
          <w:sz w:val="20"/>
          <w:szCs w:val="20"/>
        </w:rPr>
      </w:pPr>
      <w:r>
        <w:rPr>
          <w:sz w:val="20"/>
          <w:szCs w:val="20"/>
        </w:rPr>
        <w:t>Indicate by check mark whether any of those error corrections are restatements that required a recovery analysis of incentive-based compensation received by any of the reg</w:t>
      </w:r>
      <w:r>
        <w:rPr>
          <w:sz w:val="20"/>
          <w:szCs w:val="20"/>
        </w:rPr>
        <w:t xml:space="preserve">istrant’s executive officers during the relevant recovery period pursuant to §240.10D-1(b). </w:t>
      </w:r>
      <w:r>
        <w:rPr>
          <w:rFonts w:ascii="Segoe UI Symbol" w:hAnsi="Segoe UI Symbol" w:cs="Segoe UI Symbol"/>
          <w:sz w:val="20"/>
          <w:szCs w:val="20"/>
        </w:rPr>
        <w:t>☐</w:t>
      </w:r>
    </w:p>
    <w:p w14:paraId="17C16164" w14:textId="77777777" w:rsidR="00000000" w:rsidRDefault="0015578C">
      <w:pPr>
        <w:pStyle w:val="a3"/>
        <w:spacing w:before="0" w:beforeAutospacing="0" w:after="0" w:afterAutospacing="0"/>
        <w:jc w:val="both"/>
        <w:rPr>
          <w:sz w:val="20"/>
          <w:szCs w:val="20"/>
        </w:rPr>
      </w:pPr>
      <w:r>
        <w:rPr>
          <w:sz w:val="20"/>
          <w:szCs w:val="20"/>
        </w:rPr>
        <w:t> </w:t>
      </w:r>
    </w:p>
    <w:p w14:paraId="70C1F232" w14:textId="77777777" w:rsidR="00000000" w:rsidRDefault="0015578C">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Act). </w:t>
      </w:r>
    </w:p>
    <w:p w14:paraId="5B756332" w14:textId="77777777" w:rsidR="00000000" w:rsidRDefault="0015578C">
      <w:pPr>
        <w:pStyle w:val="a3"/>
        <w:spacing w:before="0" w:beforeAutospacing="0" w:after="0" w:afterAutospacing="0"/>
        <w:jc w:val="both"/>
        <w:rPr>
          <w:sz w:val="20"/>
          <w:szCs w:val="20"/>
        </w:rPr>
      </w:pPr>
      <w:r>
        <w:rPr>
          <w:sz w:val="20"/>
          <w:szCs w:val="20"/>
        </w:rPr>
        <w:t xml:space="preserve">  </w:t>
      </w:r>
    </w:p>
    <w:p w14:paraId="416B58E5"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E3E19F7" w14:textId="77777777" w:rsidR="00000000" w:rsidRDefault="0015578C">
      <w:pPr>
        <w:pStyle w:val="a3"/>
        <w:spacing w:before="0" w:beforeAutospacing="0" w:after="0" w:afterAutospacing="0"/>
        <w:jc w:val="center"/>
        <w:rPr>
          <w:sz w:val="20"/>
          <w:szCs w:val="20"/>
        </w:rPr>
      </w:pPr>
      <w:r>
        <w:rPr>
          <w:sz w:val="20"/>
          <w:szCs w:val="20"/>
        </w:rPr>
        <w:t xml:space="preserve">  </w:t>
      </w:r>
    </w:p>
    <w:p w14:paraId="3F76EB3A" w14:textId="77777777" w:rsidR="00000000" w:rsidRDefault="0015578C">
      <w:pPr>
        <w:pStyle w:val="a3"/>
        <w:spacing w:before="0" w:beforeAutospacing="0" w:after="0" w:afterAutospacing="0"/>
        <w:jc w:val="both"/>
        <w:rPr>
          <w:sz w:val="20"/>
          <w:szCs w:val="20"/>
        </w:rPr>
      </w:pPr>
      <w:r>
        <w:rPr>
          <w:sz w:val="20"/>
          <w:szCs w:val="20"/>
        </w:rPr>
        <w:t>Indicate by check mark whether the</w:t>
      </w:r>
      <w:r>
        <w:rPr>
          <w:sz w:val="20"/>
          <w:szCs w:val="20"/>
        </w:rPr>
        <w:t xml:space="preserve"> registrant has filed a report on and attestation to its management’s assessment of the effectiveness of its internal control over financial reporting under Section 404(b) of the Sarbanes-Oxley Act (15 U.S.C. 7262(b)) by the registered public accounting fi</w:t>
      </w:r>
      <w:r>
        <w:rPr>
          <w:sz w:val="20"/>
          <w:szCs w:val="20"/>
        </w:rPr>
        <w:t>rm that prepared or issued its audit report. </w:t>
      </w:r>
    </w:p>
    <w:p w14:paraId="502AE962" w14:textId="77777777" w:rsidR="00000000" w:rsidRDefault="0015578C">
      <w:pPr>
        <w:pStyle w:val="a3"/>
        <w:spacing w:before="0" w:beforeAutospacing="0" w:after="0" w:afterAutospacing="0"/>
        <w:jc w:val="both"/>
        <w:rPr>
          <w:sz w:val="20"/>
          <w:szCs w:val="20"/>
        </w:rPr>
      </w:pPr>
      <w:r>
        <w:rPr>
          <w:sz w:val="20"/>
          <w:szCs w:val="20"/>
        </w:rPr>
        <w:t xml:space="preserve">  </w:t>
      </w:r>
    </w:p>
    <w:p w14:paraId="19484239" w14:textId="77777777" w:rsidR="00000000" w:rsidRDefault="0015578C">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4215496" w14:textId="77777777" w:rsidR="00000000" w:rsidRDefault="0015578C">
      <w:pPr>
        <w:pStyle w:val="a3"/>
        <w:spacing w:before="0" w:beforeAutospacing="0" w:after="0" w:afterAutospacing="0"/>
        <w:jc w:val="center"/>
        <w:rPr>
          <w:sz w:val="20"/>
          <w:szCs w:val="20"/>
        </w:rPr>
      </w:pPr>
      <w:r>
        <w:rPr>
          <w:sz w:val="20"/>
          <w:szCs w:val="20"/>
        </w:rPr>
        <w:t xml:space="preserve">   </w:t>
      </w:r>
    </w:p>
    <w:p w14:paraId="0DB6A3BC" w14:textId="77777777" w:rsidR="00000000" w:rsidRDefault="0015578C">
      <w:pPr>
        <w:pStyle w:val="a3"/>
        <w:spacing w:before="0" w:beforeAutospacing="0" w:after="0" w:afterAutospacing="0"/>
        <w:jc w:val="both"/>
        <w:rPr>
          <w:sz w:val="20"/>
          <w:szCs w:val="20"/>
        </w:rPr>
      </w:pPr>
      <w:r>
        <w:rPr>
          <w:sz w:val="20"/>
          <w:szCs w:val="20"/>
        </w:rPr>
        <w:t>The aggregate market value of the voting and non-voting common stock held by non-affiliates of the registrant as of the last business day of the registrant's most recently completed second fiscal quarter, based upon the closing sale price of the registrant</w:t>
      </w:r>
      <w:r>
        <w:rPr>
          <w:sz w:val="20"/>
          <w:szCs w:val="20"/>
        </w:rPr>
        <w:t xml:space="preserve">'s common stock on June 30, 2022 as reported on NYSE American, was approximately $33,511,000.  </w:t>
      </w:r>
    </w:p>
    <w:p w14:paraId="32B42157" w14:textId="77777777" w:rsidR="00000000" w:rsidRDefault="0015578C">
      <w:pPr>
        <w:pStyle w:val="a3"/>
        <w:spacing w:before="0" w:beforeAutospacing="0" w:after="0" w:afterAutospacing="0"/>
        <w:jc w:val="both"/>
        <w:rPr>
          <w:sz w:val="20"/>
          <w:szCs w:val="20"/>
        </w:rPr>
      </w:pPr>
      <w:r>
        <w:rPr>
          <w:sz w:val="20"/>
          <w:szCs w:val="20"/>
        </w:rPr>
        <w:t> </w:t>
      </w:r>
    </w:p>
    <w:p w14:paraId="436FC95E" w14:textId="77777777" w:rsidR="00000000" w:rsidRDefault="0015578C">
      <w:pPr>
        <w:pStyle w:val="a3"/>
        <w:spacing w:before="0" w:beforeAutospacing="0" w:after="0" w:afterAutospacing="0"/>
        <w:jc w:val="both"/>
        <w:rPr>
          <w:sz w:val="20"/>
          <w:szCs w:val="20"/>
        </w:rPr>
      </w:pPr>
      <w:r>
        <w:rPr>
          <w:sz w:val="20"/>
          <w:szCs w:val="20"/>
        </w:rPr>
        <w:t>There were 64,801,373 shares of common stock, $0.01 par value, outstanding on March 15, 2023.</w:t>
      </w:r>
    </w:p>
    <w:p w14:paraId="328CEEEB" w14:textId="77777777" w:rsidR="00000000" w:rsidRDefault="0015578C">
      <w:pPr>
        <w:pStyle w:val="a3"/>
        <w:spacing w:before="0" w:beforeAutospacing="0" w:after="0" w:afterAutospacing="0"/>
        <w:jc w:val="center"/>
        <w:rPr>
          <w:sz w:val="20"/>
          <w:szCs w:val="20"/>
        </w:rPr>
      </w:pPr>
      <w:r>
        <w:rPr>
          <w:sz w:val="20"/>
          <w:szCs w:val="20"/>
        </w:rPr>
        <w:t> </w:t>
      </w:r>
    </w:p>
    <w:p w14:paraId="63B68A0E" w14:textId="77777777" w:rsidR="00000000" w:rsidRDefault="0015578C">
      <w:pPr>
        <w:pStyle w:val="a3"/>
        <w:spacing w:before="0" w:beforeAutospacing="0" w:after="0" w:afterAutospacing="0"/>
        <w:jc w:val="center"/>
        <w:rPr>
          <w:sz w:val="20"/>
          <w:szCs w:val="20"/>
        </w:rPr>
      </w:pPr>
      <w:r>
        <w:rPr>
          <w:rStyle w:val="a4"/>
          <w:sz w:val="20"/>
          <w:szCs w:val="20"/>
        </w:rPr>
        <w:lastRenderedPageBreak/>
        <w:t>DOCUMENTS INCORPORATED BY REFERENCE</w:t>
      </w:r>
    </w:p>
    <w:p w14:paraId="6CDB2F5F" w14:textId="77777777" w:rsidR="00000000" w:rsidRDefault="0015578C">
      <w:pPr>
        <w:pStyle w:val="a3"/>
        <w:spacing w:before="0" w:beforeAutospacing="0" w:after="0" w:afterAutospacing="0"/>
        <w:jc w:val="center"/>
        <w:rPr>
          <w:sz w:val="20"/>
          <w:szCs w:val="20"/>
        </w:rPr>
      </w:pPr>
      <w:r>
        <w:rPr>
          <w:sz w:val="20"/>
          <w:szCs w:val="20"/>
        </w:rPr>
        <w:t> </w:t>
      </w:r>
    </w:p>
    <w:p w14:paraId="2FB54C1E" w14:textId="77777777" w:rsidR="00000000" w:rsidRDefault="0015578C">
      <w:pPr>
        <w:pStyle w:val="a3"/>
        <w:spacing w:before="0" w:beforeAutospacing="0" w:after="0" w:afterAutospacing="0"/>
        <w:jc w:val="both"/>
        <w:rPr>
          <w:sz w:val="20"/>
          <w:szCs w:val="20"/>
        </w:rPr>
      </w:pPr>
      <w:r>
        <w:rPr>
          <w:sz w:val="20"/>
          <w:szCs w:val="20"/>
        </w:rPr>
        <w:t>Portions of the definiti</w:t>
      </w:r>
      <w:r>
        <w:rPr>
          <w:sz w:val="20"/>
          <w:szCs w:val="20"/>
        </w:rPr>
        <w:t>ve Proxy Statement for the Registrant’s Annual Meeting of Shareholders, which is expected to be filed by April 30, 2023, have been incorporated by reference into Part III of this Annual Report on Form 10-K.</w:t>
      </w:r>
    </w:p>
    <w:p w14:paraId="5935F76F"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14:paraId="02CB2256" w14:textId="77777777">
        <w:trPr>
          <w:tblCellSpacing w:w="15" w:type="dxa"/>
        </w:trPr>
        <w:tc>
          <w:tcPr>
            <w:tcW w:w="0" w:type="auto"/>
            <w:tcBorders>
              <w:bottom w:val="single" w:sz="12" w:space="0" w:color="auto"/>
            </w:tcBorders>
            <w:vAlign w:val="center"/>
            <w:hideMark/>
          </w:tcPr>
          <w:p w14:paraId="066243AE" w14:textId="77777777" w:rsidR="00000000" w:rsidRDefault="0015578C">
            <w:pPr>
              <w:rPr>
                <w:sz w:val="20"/>
                <w:szCs w:val="20"/>
              </w:rPr>
            </w:pPr>
          </w:p>
        </w:tc>
      </w:tr>
      <w:tr w:rsidR="00000000" w14:paraId="47977149" w14:textId="77777777">
        <w:trPr>
          <w:tblCellSpacing w:w="15" w:type="dxa"/>
        </w:trPr>
        <w:tc>
          <w:tcPr>
            <w:tcW w:w="0" w:type="auto"/>
            <w:tcBorders>
              <w:bottom w:val="single" w:sz="36" w:space="0" w:color="auto"/>
            </w:tcBorders>
            <w:vAlign w:val="center"/>
            <w:hideMark/>
          </w:tcPr>
          <w:p w14:paraId="45F0F297" w14:textId="77777777" w:rsidR="00000000" w:rsidRDefault="0015578C">
            <w:pPr>
              <w:rPr>
                <w:rFonts w:eastAsia="Times New Roman"/>
                <w:sz w:val="20"/>
                <w:szCs w:val="20"/>
              </w:rPr>
            </w:pPr>
          </w:p>
        </w:tc>
      </w:tr>
    </w:tbl>
    <w:p w14:paraId="17E1D39D" w14:textId="77777777" w:rsidR="00000000" w:rsidRDefault="0015578C">
      <w:pPr>
        <w:jc w:val="both"/>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208E193" w14:textId="77777777">
        <w:trPr>
          <w:trHeight w:val="225"/>
          <w:tblCellSpacing w:w="15" w:type="dxa"/>
        </w:trPr>
        <w:tc>
          <w:tcPr>
            <w:tcW w:w="0" w:type="auto"/>
            <w:vAlign w:val="center"/>
            <w:hideMark/>
          </w:tcPr>
          <w:p w14:paraId="4D7FFC8F" w14:textId="77777777" w:rsidR="00000000" w:rsidRDefault="0015578C">
            <w:pPr>
              <w:rPr>
                <w:rFonts w:eastAsia="Times New Roman"/>
                <w:sz w:val="20"/>
                <w:szCs w:val="20"/>
              </w:rPr>
            </w:pPr>
            <w:r>
              <w:rPr>
                <w:rFonts w:eastAsia="Times New Roman"/>
                <w:sz w:val="20"/>
                <w:szCs w:val="20"/>
              </w:rPr>
              <w:t> </w:t>
            </w:r>
          </w:p>
        </w:tc>
      </w:tr>
      <w:tr w:rsidR="00000000" w14:paraId="6B71145B" w14:textId="77777777">
        <w:trPr>
          <w:trHeight w:val="225"/>
          <w:tblCellSpacing w:w="15" w:type="dxa"/>
        </w:trPr>
        <w:tc>
          <w:tcPr>
            <w:tcW w:w="0" w:type="auto"/>
            <w:vAlign w:val="center"/>
            <w:hideMark/>
          </w:tcPr>
          <w:p w14:paraId="69C2A642" w14:textId="77777777" w:rsidR="00000000" w:rsidRDefault="0015578C">
            <w:pPr>
              <w:rPr>
                <w:rFonts w:eastAsia="Times New Roman"/>
                <w:sz w:val="20"/>
                <w:szCs w:val="20"/>
              </w:rPr>
            </w:pPr>
          </w:p>
        </w:tc>
      </w:tr>
      <w:tr w:rsidR="00000000" w14:paraId="289A4882" w14:textId="77777777">
        <w:trPr>
          <w:trHeight w:val="225"/>
          <w:tblCellSpacing w:w="15" w:type="dxa"/>
        </w:trPr>
        <w:tc>
          <w:tcPr>
            <w:tcW w:w="0" w:type="auto"/>
            <w:vAlign w:val="center"/>
            <w:hideMark/>
          </w:tcPr>
          <w:p w14:paraId="6C26D3DA" w14:textId="77777777" w:rsidR="00000000" w:rsidRDefault="0015578C">
            <w:pPr>
              <w:rPr>
                <w:rFonts w:eastAsia="Times New Roman"/>
                <w:sz w:val="20"/>
                <w:szCs w:val="20"/>
              </w:rPr>
            </w:pPr>
          </w:p>
        </w:tc>
      </w:tr>
      <w:tr w:rsidR="00000000" w14:paraId="41A2D343" w14:textId="77777777">
        <w:trPr>
          <w:trHeight w:val="225"/>
          <w:tblCellSpacing w:w="15" w:type="dxa"/>
        </w:trPr>
        <w:tc>
          <w:tcPr>
            <w:tcW w:w="0" w:type="auto"/>
            <w:vAlign w:val="center"/>
            <w:hideMark/>
          </w:tcPr>
          <w:p w14:paraId="41DC75DF" w14:textId="77777777" w:rsidR="00000000" w:rsidRDefault="0015578C">
            <w:pPr>
              <w:rPr>
                <w:rFonts w:eastAsia="Times New Roman"/>
                <w:sz w:val="20"/>
                <w:szCs w:val="20"/>
              </w:rPr>
            </w:pPr>
            <w:r>
              <w:rPr>
                <w:rFonts w:eastAsia="Times New Roman"/>
                <w:sz w:val="20"/>
                <w:szCs w:val="20"/>
              </w:rPr>
              <w:t> </w:t>
            </w:r>
          </w:p>
        </w:tc>
      </w:tr>
    </w:tbl>
    <w:p w14:paraId="1E8F96B8" w14:textId="77777777" w:rsidR="00000000" w:rsidRDefault="0015578C">
      <w:pPr>
        <w:pStyle w:val="a3"/>
        <w:spacing w:before="0" w:beforeAutospacing="0" w:after="0" w:afterAutospacing="0"/>
        <w:jc w:val="both"/>
        <w:rPr>
          <w:sz w:val="20"/>
          <w:szCs w:val="20"/>
        </w:rPr>
      </w:pPr>
      <w:r>
        <w:rPr>
          <w:sz w:val="20"/>
          <w:szCs w:val="20"/>
        </w:rPr>
        <w:t>    </w:t>
      </w:r>
    </w:p>
    <w:p w14:paraId="0595E178" w14:textId="77777777" w:rsidR="00000000" w:rsidRDefault="0015578C">
      <w:pPr>
        <w:pStyle w:val="a3"/>
        <w:spacing w:before="0" w:beforeAutospacing="0" w:after="0" w:afterAutospacing="0"/>
        <w:jc w:val="both"/>
        <w:rPr>
          <w:sz w:val="20"/>
          <w:szCs w:val="20"/>
        </w:rPr>
      </w:pPr>
      <w:r>
        <w:rPr>
          <w:rStyle w:val="atag"/>
          <w:b/>
          <w:bCs/>
          <w:sz w:val="20"/>
          <w:szCs w:val="20"/>
          <w:u w:val="single"/>
        </w:rPr>
        <w:t>TABLE OF CONTENT</w:t>
      </w:r>
      <w:r>
        <w:rPr>
          <w:rStyle w:val="atag"/>
          <w:b/>
          <w:bCs/>
          <w:sz w:val="20"/>
          <w:szCs w:val="20"/>
          <w:u w:val="single"/>
        </w:rPr>
        <w:t>S</w:t>
      </w:r>
    </w:p>
    <w:p w14:paraId="61F77D2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97"/>
        <w:gridCol w:w="6718"/>
        <w:gridCol w:w="112"/>
        <w:gridCol w:w="779"/>
      </w:tblGrid>
      <w:tr w:rsidR="00000000" w14:paraId="325E3A3B" w14:textId="77777777">
        <w:trPr>
          <w:trHeight w:val="225"/>
          <w:tblCellSpacing w:w="15" w:type="dxa"/>
        </w:trPr>
        <w:tc>
          <w:tcPr>
            <w:tcW w:w="400" w:type="pct"/>
            <w:vAlign w:val="center"/>
            <w:hideMark/>
          </w:tcPr>
          <w:p w14:paraId="6E8922B9"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E060015" w14:textId="77777777" w:rsidR="00000000" w:rsidRDefault="0015578C">
            <w:pPr>
              <w:pStyle w:val="a3"/>
              <w:spacing w:before="0" w:beforeAutospacing="0" w:after="0" w:afterAutospacing="0"/>
              <w:rPr>
                <w:sz w:val="20"/>
                <w:szCs w:val="20"/>
              </w:rPr>
            </w:pPr>
            <w:r>
              <w:rPr>
                <w:sz w:val="20"/>
                <w:szCs w:val="20"/>
              </w:rPr>
              <w:t> </w:t>
            </w:r>
          </w:p>
        </w:tc>
        <w:tc>
          <w:tcPr>
            <w:tcW w:w="50" w:type="pct"/>
            <w:vAlign w:val="center"/>
            <w:hideMark/>
          </w:tcPr>
          <w:p w14:paraId="673DD64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hideMark/>
          </w:tcPr>
          <w:p w14:paraId="4A517765" w14:textId="77777777" w:rsidR="00000000" w:rsidRDefault="0015578C">
            <w:pPr>
              <w:pStyle w:val="a3"/>
              <w:spacing w:before="0" w:beforeAutospacing="0" w:after="0" w:afterAutospacing="0"/>
              <w:jc w:val="center"/>
              <w:rPr>
                <w:sz w:val="20"/>
                <w:szCs w:val="20"/>
              </w:rPr>
            </w:pPr>
            <w:r>
              <w:rPr>
                <w:rStyle w:val="a4"/>
                <w:sz w:val="20"/>
                <w:szCs w:val="20"/>
              </w:rPr>
              <w:t>Page</w:t>
            </w:r>
          </w:p>
        </w:tc>
      </w:tr>
      <w:tr w:rsidR="00000000" w14:paraId="242EA68B" w14:textId="77777777">
        <w:trPr>
          <w:trHeight w:val="225"/>
          <w:tblCellSpacing w:w="15" w:type="dxa"/>
        </w:trPr>
        <w:tc>
          <w:tcPr>
            <w:tcW w:w="0" w:type="auto"/>
            <w:hideMark/>
          </w:tcPr>
          <w:p w14:paraId="63ECA96C" w14:textId="77777777" w:rsidR="00000000" w:rsidRDefault="0015578C">
            <w:pPr>
              <w:pStyle w:val="a3"/>
              <w:spacing w:before="0" w:beforeAutospacing="0" w:after="0" w:afterAutospacing="0"/>
              <w:rPr>
                <w:sz w:val="20"/>
                <w:szCs w:val="20"/>
              </w:rPr>
            </w:pPr>
            <w:hyperlink w:anchor="p1" w:history="1">
              <w:r>
                <w:rPr>
                  <w:rStyle w:val="a5"/>
                  <w:sz w:val="20"/>
                  <w:szCs w:val="20"/>
                </w:rPr>
                <w:t>PART 1 </w:t>
              </w:r>
            </w:hyperlink>
          </w:p>
        </w:tc>
        <w:tc>
          <w:tcPr>
            <w:tcW w:w="0" w:type="auto"/>
            <w:vAlign w:val="center"/>
            <w:hideMark/>
          </w:tcPr>
          <w:p w14:paraId="092C72B9"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939D88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B35A604" w14:textId="77777777" w:rsidR="00000000" w:rsidRDefault="0015578C">
            <w:pPr>
              <w:pStyle w:val="a3"/>
              <w:spacing w:before="0" w:beforeAutospacing="0" w:after="0" w:afterAutospacing="0"/>
              <w:jc w:val="right"/>
              <w:rPr>
                <w:sz w:val="20"/>
                <w:szCs w:val="20"/>
              </w:rPr>
            </w:pPr>
            <w:r>
              <w:rPr>
                <w:sz w:val="20"/>
                <w:szCs w:val="20"/>
              </w:rPr>
              <w:t> </w:t>
            </w:r>
          </w:p>
        </w:tc>
      </w:tr>
      <w:tr w:rsidR="00000000" w14:paraId="27F6ADD7" w14:textId="77777777">
        <w:trPr>
          <w:trHeight w:val="225"/>
          <w:tblCellSpacing w:w="15" w:type="dxa"/>
        </w:trPr>
        <w:tc>
          <w:tcPr>
            <w:tcW w:w="0" w:type="auto"/>
            <w:shd w:val="clear" w:color="auto" w:fill="CCEEFF"/>
            <w:hideMark/>
          </w:tcPr>
          <w:p w14:paraId="2CB7FA17" w14:textId="77777777" w:rsidR="00000000" w:rsidRDefault="0015578C">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CCEEFF"/>
            <w:hideMark/>
          </w:tcPr>
          <w:p w14:paraId="290204CC" w14:textId="77777777" w:rsidR="00000000" w:rsidRDefault="0015578C">
            <w:pPr>
              <w:pStyle w:val="a3"/>
              <w:spacing w:before="0" w:beforeAutospacing="0" w:after="0" w:afterAutospacing="0"/>
              <w:rPr>
                <w:sz w:val="20"/>
                <w:szCs w:val="20"/>
              </w:rPr>
            </w:pPr>
            <w:hyperlink w:anchor="i1" w:history="1">
              <w:r>
                <w:rPr>
                  <w:rStyle w:val="a5"/>
                  <w:sz w:val="20"/>
                  <w:szCs w:val="20"/>
                </w:rPr>
                <w:t>Business</w:t>
              </w:r>
            </w:hyperlink>
          </w:p>
        </w:tc>
        <w:tc>
          <w:tcPr>
            <w:tcW w:w="0" w:type="auto"/>
            <w:shd w:val="clear" w:color="auto" w:fill="CCEEFF"/>
            <w:vAlign w:val="center"/>
            <w:hideMark/>
          </w:tcPr>
          <w:p w14:paraId="4D7EC1A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12D8F333" w14:textId="77777777" w:rsidR="00000000" w:rsidRDefault="0015578C">
            <w:pPr>
              <w:pStyle w:val="a3"/>
              <w:spacing w:before="0" w:beforeAutospacing="0" w:after="0" w:afterAutospacing="0"/>
              <w:jc w:val="right"/>
              <w:rPr>
                <w:sz w:val="20"/>
                <w:szCs w:val="20"/>
              </w:rPr>
            </w:pPr>
            <w:r>
              <w:rPr>
                <w:sz w:val="20"/>
                <w:szCs w:val="20"/>
              </w:rPr>
              <w:t>3</w:t>
            </w:r>
          </w:p>
        </w:tc>
      </w:tr>
      <w:tr w:rsidR="00000000" w14:paraId="4C37A47B" w14:textId="77777777">
        <w:trPr>
          <w:trHeight w:val="225"/>
          <w:tblCellSpacing w:w="15" w:type="dxa"/>
        </w:trPr>
        <w:tc>
          <w:tcPr>
            <w:tcW w:w="0" w:type="auto"/>
            <w:shd w:val="clear" w:color="auto" w:fill="FFFFFF"/>
            <w:hideMark/>
          </w:tcPr>
          <w:p w14:paraId="3D77E16E" w14:textId="77777777" w:rsidR="00000000" w:rsidRDefault="0015578C">
            <w:pPr>
              <w:pStyle w:val="a3"/>
              <w:spacing w:before="0" w:beforeAutospacing="0" w:after="0" w:afterAutospacing="0"/>
              <w:rPr>
                <w:sz w:val="20"/>
                <w:szCs w:val="20"/>
              </w:rPr>
            </w:pPr>
            <w:hyperlink w:anchor="i1a" w:history="1">
              <w:r>
                <w:rPr>
                  <w:rStyle w:val="a5"/>
                  <w:b/>
                  <w:bCs/>
                  <w:sz w:val="20"/>
                  <w:szCs w:val="20"/>
                </w:rPr>
                <w:t xml:space="preserve">Item 1A </w:t>
              </w:r>
            </w:hyperlink>
          </w:p>
        </w:tc>
        <w:tc>
          <w:tcPr>
            <w:tcW w:w="0" w:type="auto"/>
            <w:shd w:val="clear" w:color="auto" w:fill="FFFFFF"/>
            <w:hideMark/>
          </w:tcPr>
          <w:p w14:paraId="3B100803" w14:textId="77777777" w:rsidR="00000000" w:rsidRDefault="0015578C">
            <w:pPr>
              <w:pStyle w:val="a3"/>
              <w:spacing w:before="0" w:beforeAutospacing="0" w:after="0" w:afterAutospacing="0"/>
              <w:rPr>
                <w:sz w:val="20"/>
                <w:szCs w:val="20"/>
              </w:rPr>
            </w:pPr>
            <w:hyperlink w:anchor="i1a" w:history="1">
              <w:r>
                <w:rPr>
                  <w:rStyle w:val="a5"/>
                  <w:sz w:val="20"/>
                  <w:szCs w:val="20"/>
                </w:rPr>
                <w:t>Risk Factors</w:t>
              </w:r>
            </w:hyperlink>
          </w:p>
        </w:tc>
        <w:tc>
          <w:tcPr>
            <w:tcW w:w="0" w:type="auto"/>
            <w:shd w:val="clear" w:color="auto" w:fill="FFFFFF"/>
            <w:vAlign w:val="center"/>
            <w:hideMark/>
          </w:tcPr>
          <w:p w14:paraId="711026C4"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13AC1894" w14:textId="77777777" w:rsidR="00000000" w:rsidRDefault="0015578C">
            <w:pPr>
              <w:pStyle w:val="a3"/>
              <w:spacing w:before="0" w:beforeAutospacing="0" w:after="0" w:afterAutospacing="0"/>
              <w:jc w:val="right"/>
              <w:rPr>
                <w:sz w:val="20"/>
                <w:szCs w:val="20"/>
              </w:rPr>
            </w:pPr>
            <w:r>
              <w:rPr>
                <w:sz w:val="20"/>
                <w:szCs w:val="20"/>
              </w:rPr>
              <w:t>6</w:t>
            </w:r>
          </w:p>
        </w:tc>
      </w:tr>
      <w:tr w:rsidR="00000000" w14:paraId="136D8F5F" w14:textId="77777777">
        <w:trPr>
          <w:trHeight w:val="225"/>
          <w:tblCellSpacing w:w="15" w:type="dxa"/>
        </w:trPr>
        <w:tc>
          <w:tcPr>
            <w:tcW w:w="0" w:type="auto"/>
            <w:shd w:val="clear" w:color="auto" w:fill="CCEEFF"/>
            <w:hideMark/>
          </w:tcPr>
          <w:p w14:paraId="0DADDDCD" w14:textId="77777777" w:rsidR="00000000" w:rsidRDefault="0015578C">
            <w:pPr>
              <w:pStyle w:val="a3"/>
              <w:spacing w:before="0" w:beforeAutospacing="0" w:after="0" w:afterAutospacing="0"/>
              <w:rPr>
                <w:sz w:val="20"/>
                <w:szCs w:val="20"/>
              </w:rPr>
            </w:pPr>
            <w:hyperlink w:anchor="i1b" w:history="1">
              <w:r>
                <w:rPr>
                  <w:rStyle w:val="a5"/>
                  <w:b/>
                  <w:bCs/>
                  <w:sz w:val="20"/>
                  <w:szCs w:val="20"/>
                </w:rPr>
                <w:t xml:space="preserve">Item 1B </w:t>
              </w:r>
            </w:hyperlink>
          </w:p>
        </w:tc>
        <w:tc>
          <w:tcPr>
            <w:tcW w:w="0" w:type="auto"/>
            <w:shd w:val="clear" w:color="auto" w:fill="CCEEFF"/>
            <w:hideMark/>
          </w:tcPr>
          <w:p w14:paraId="6222B027" w14:textId="77777777" w:rsidR="00000000" w:rsidRDefault="0015578C">
            <w:pPr>
              <w:pStyle w:val="a3"/>
              <w:spacing w:before="0" w:beforeAutospacing="0" w:after="0" w:afterAutospacing="0"/>
              <w:rPr>
                <w:sz w:val="20"/>
                <w:szCs w:val="20"/>
              </w:rPr>
            </w:pPr>
            <w:hyperlink w:anchor="i1b" w:history="1">
              <w:r>
                <w:rPr>
                  <w:rStyle w:val="a5"/>
                  <w:sz w:val="20"/>
                  <w:szCs w:val="20"/>
                </w:rPr>
                <w:t>Unresolved Staff Comments</w:t>
              </w:r>
            </w:hyperlink>
          </w:p>
        </w:tc>
        <w:tc>
          <w:tcPr>
            <w:tcW w:w="0" w:type="auto"/>
            <w:shd w:val="clear" w:color="auto" w:fill="CCEEFF"/>
            <w:vAlign w:val="center"/>
            <w:hideMark/>
          </w:tcPr>
          <w:p w14:paraId="67CCA839"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315E8DAA" w14:textId="77777777" w:rsidR="00000000" w:rsidRDefault="0015578C">
            <w:pPr>
              <w:pStyle w:val="a3"/>
              <w:spacing w:before="0" w:beforeAutospacing="0" w:after="0" w:afterAutospacing="0"/>
              <w:jc w:val="right"/>
              <w:rPr>
                <w:sz w:val="20"/>
                <w:szCs w:val="20"/>
              </w:rPr>
            </w:pPr>
            <w:r>
              <w:rPr>
                <w:sz w:val="20"/>
                <w:szCs w:val="20"/>
              </w:rPr>
              <w:t>14</w:t>
            </w:r>
          </w:p>
        </w:tc>
      </w:tr>
      <w:tr w:rsidR="00000000" w14:paraId="0959F9F9" w14:textId="77777777">
        <w:trPr>
          <w:trHeight w:val="225"/>
          <w:tblCellSpacing w:w="15" w:type="dxa"/>
        </w:trPr>
        <w:tc>
          <w:tcPr>
            <w:tcW w:w="0" w:type="auto"/>
            <w:shd w:val="clear" w:color="auto" w:fill="FFFFFF"/>
            <w:hideMark/>
          </w:tcPr>
          <w:p w14:paraId="6D21F677" w14:textId="77777777" w:rsidR="00000000" w:rsidRDefault="0015578C">
            <w:pPr>
              <w:pStyle w:val="a3"/>
              <w:spacing w:before="0" w:beforeAutospacing="0" w:after="0" w:afterAutospacing="0"/>
              <w:rPr>
                <w:sz w:val="20"/>
                <w:szCs w:val="20"/>
              </w:rPr>
            </w:pPr>
            <w:hyperlink w:anchor="i2" w:history="1">
              <w:r>
                <w:rPr>
                  <w:rStyle w:val="a5"/>
                  <w:b/>
                  <w:bCs/>
                  <w:sz w:val="20"/>
                  <w:szCs w:val="20"/>
                </w:rPr>
                <w:t xml:space="preserve">Item 2 </w:t>
              </w:r>
            </w:hyperlink>
          </w:p>
        </w:tc>
        <w:tc>
          <w:tcPr>
            <w:tcW w:w="0" w:type="auto"/>
            <w:shd w:val="clear" w:color="auto" w:fill="FFFFFF"/>
            <w:hideMark/>
          </w:tcPr>
          <w:p w14:paraId="4AF933F5" w14:textId="77777777" w:rsidR="00000000" w:rsidRDefault="0015578C">
            <w:pPr>
              <w:pStyle w:val="a3"/>
              <w:spacing w:before="0" w:beforeAutospacing="0" w:after="0" w:afterAutospacing="0"/>
              <w:rPr>
                <w:sz w:val="20"/>
                <w:szCs w:val="20"/>
              </w:rPr>
            </w:pPr>
            <w:hyperlink w:anchor="i2" w:history="1">
              <w:r>
                <w:rPr>
                  <w:rStyle w:val="a5"/>
                  <w:sz w:val="20"/>
                  <w:szCs w:val="20"/>
                </w:rPr>
                <w:t>Properties</w:t>
              </w:r>
            </w:hyperlink>
          </w:p>
        </w:tc>
        <w:tc>
          <w:tcPr>
            <w:tcW w:w="0" w:type="auto"/>
            <w:shd w:val="clear" w:color="auto" w:fill="FFFFFF"/>
            <w:vAlign w:val="center"/>
            <w:hideMark/>
          </w:tcPr>
          <w:p w14:paraId="554B1A3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3D3A8701" w14:textId="77777777" w:rsidR="00000000" w:rsidRDefault="0015578C">
            <w:pPr>
              <w:pStyle w:val="a3"/>
              <w:spacing w:before="0" w:beforeAutospacing="0" w:after="0" w:afterAutospacing="0"/>
              <w:jc w:val="right"/>
              <w:rPr>
                <w:sz w:val="20"/>
                <w:szCs w:val="20"/>
              </w:rPr>
            </w:pPr>
            <w:r>
              <w:rPr>
                <w:sz w:val="20"/>
                <w:szCs w:val="20"/>
              </w:rPr>
              <w:t>14</w:t>
            </w:r>
          </w:p>
        </w:tc>
      </w:tr>
      <w:tr w:rsidR="00000000" w14:paraId="6B702767" w14:textId="77777777">
        <w:trPr>
          <w:trHeight w:val="225"/>
          <w:tblCellSpacing w:w="15" w:type="dxa"/>
        </w:trPr>
        <w:tc>
          <w:tcPr>
            <w:tcW w:w="0" w:type="auto"/>
            <w:shd w:val="clear" w:color="auto" w:fill="CCEEFF"/>
            <w:hideMark/>
          </w:tcPr>
          <w:p w14:paraId="5BD7794E" w14:textId="77777777" w:rsidR="00000000" w:rsidRDefault="0015578C">
            <w:pPr>
              <w:pStyle w:val="a3"/>
              <w:spacing w:before="0" w:beforeAutospacing="0" w:after="0" w:afterAutospacing="0"/>
              <w:rPr>
                <w:sz w:val="20"/>
                <w:szCs w:val="20"/>
              </w:rPr>
            </w:pPr>
            <w:hyperlink w:anchor="i3" w:history="1">
              <w:r>
                <w:rPr>
                  <w:rStyle w:val="a5"/>
                  <w:b/>
                  <w:bCs/>
                  <w:sz w:val="20"/>
                  <w:szCs w:val="20"/>
                </w:rPr>
                <w:t xml:space="preserve">Item 3 </w:t>
              </w:r>
            </w:hyperlink>
          </w:p>
        </w:tc>
        <w:tc>
          <w:tcPr>
            <w:tcW w:w="0" w:type="auto"/>
            <w:shd w:val="clear" w:color="auto" w:fill="CCEEFF"/>
            <w:hideMark/>
          </w:tcPr>
          <w:p w14:paraId="745599D9" w14:textId="77777777" w:rsidR="00000000" w:rsidRDefault="0015578C">
            <w:pPr>
              <w:pStyle w:val="a3"/>
              <w:spacing w:before="0" w:beforeAutospacing="0" w:after="0" w:afterAutospacing="0"/>
              <w:rPr>
                <w:sz w:val="20"/>
                <w:szCs w:val="20"/>
              </w:rPr>
            </w:pPr>
            <w:hyperlink w:anchor="i3" w:history="1">
              <w:r>
                <w:rPr>
                  <w:rStyle w:val="a5"/>
                  <w:sz w:val="20"/>
                  <w:szCs w:val="20"/>
                </w:rPr>
                <w:t>Legal Proceedings</w:t>
              </w:r>
            </w:hyperlink>
          </w:p>
        </w:tc>
        <w:tc>
          <w:tcPr>
            <w:tcW w:w="0" w:type="auto"/>
            <w:shd w:val="clear" w:color="auto" w:fill="CCEEFF"/>
            <w:vAlign w:val="center"/>
            <w:hideMark/>
          </w:tcPr>
          <w:p w14:paraId="12FC04FC"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6957E16E" w14:textId="77777777" w:rsidR="00000000" w:rsidRDefault="0015578C">
            <w:pPr>
              <w:pStyle w:val="a3"/>
              <w:spacing w:before="0" w:beforeAutospacing="0" w:after="0" w:afterAutospacing="0"/>
              <w:jc w:val="right"/>
              <w:rPr>
                <w:sz w:val="20"/>
                <w:szCs w:val="20"/>
              </w:rPr>
            </w:pPr>
            <w:r>
              <w:rPr>
                <w:sz w:val="20"/>
                <w:szCs w:val="20"/>
              </w:rPr>
              <w:t>36</w:t>
            </w:r>
          </w:p>
        </w:tc>
      </w:tr>
      <w:tr w:rsidR="00000000" w14:paraId="3F681844" w14:textId="77777777">
        <w:trPr>
          <w:trHeight w:val="225"/>
          <w:tblCellSpacing w:w="15" w:type="dxa"/>
        </w:trPr>
        <w:tc>
          <w:tcPr>
            <w:tcW w:w="0" w:type="auto"/>
            <w:shd w:val="clear" w:color="auto" w:fill="FFFFFF"/>
            <w:hideMark/>
          </w:tcPr>
          <w:p w14:paraId="48A49094" w14:textId="77777777" w:rsidR="00000000" w:rsidRDefault="0015578C">
            <w:pPr>
              <w:pStyle w:val="a3"/>
              <w:spacing w:before="0" w:beforeAutospacing="0" w:after="0" w:afterAutospacing="0"/>
              <w:rPr>
                <w:sz w:val="20"/>
                <w:szCs w:val="20"/>
              </w:rPr>
            </w:pPr>
            <w:hyperlink w:anchor="i4" w:history="1">
              <w:r>
                <w:rPr>
                  <w:rStyle w:val="a5"/>
                  <w:b/>
                  <w:bCs/>
                  <w:sz w:val="20"/>
                  <w:szCs w:val="20"/>
                </w:rPr>
                <w:t xml:space="preserve">Item 4 </w:t>
              </w:r>
            </w:hyperlink>
          </w:p>
        </w:tc>
        <w:tc>
          <w:tcPr>
            <w:tcW w:w="0" w:type="auto"/>
            <w:shd w:val="clear" w:color="auto" w:fill="FFFFFF"/>
            <w:hideMark/>
          </w:tcPr>
          <w:p w14:paraId="6C4B68D6" w14:textId="77777777" w:rsidR="00000000" w:rsidRDefault="0015578C">
            <w:pPr>
              <w:pStyle w:val="a3"/>
              <w:spacing w:before="0" w:beforeAutospacing="0" w:after="0" w:afterAutospacing="0"/>
              <w:rPr>
                <w:sz w:val="20"/>
                <w:szCs w:val="20"/>
              </w:rPr>
            </w:pPr>
            <w:hyperlink w:anchor="i4" w:history="1">
              <w:r>
                <w:rPr>
                  <w:rStyle w:val="a5"/>
                  <w:sz w:val="20"/>
                  <w:szCs w:val="20"/>
                </w:rPr>
                <w:t>Mine Safety Disclosures</w:t>
              </w:r>
            </w:hyperlink>
          </w:p>
        </w:tc>
        <w:tc>
          <w:tcPr>
            <w:tcW w:w="0" w:type="auto"/>
            <w:shd w:val="clear" w:color="auto" w:fill="FFFFFF"/>
            <w:vAlign w:val="center"/>
            <w:hideMark/>
          </w:tcPr>
          <w:p w14:paraId="2401C93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7391E76C" w14:textId="77777777" w:rsidR="00000000" w:rsidRDefault="0015578C">
            <w:pPr>
              <w:pStyle w:val="a3"/>
              <w:spacing w:before="0" w:beforeAutospacing="0" w:after="0" w:afterAutospacing="0"/>
              <w:jc w:val="right"/>
              <w:rPr>
                <w:sz w:val="20"/>
                <w:szCs w:val="20"/>
              </w:rPr>
            </w:pPr>
            <w:r>
              <w:rPr>
                <w:sz w:val="20"/>
                <w:szCs w:val="20"/>
              </w:rPr>
              <w:t>36</w:t>
            </w:r>
          </w:p>
        </w:tc>
      </w:tr>
      <w:tr w:rsidR="00000000" w14:paraId="45F2C925" w14:textId="77777777">
        <w:trPr>
          <w:trHeight w:val="225"/>
          <w:tblCellSpacing w:w="15" w:type="dxa"/>
        </w:trPr>
        <w:tc>
          <w:tcPr>
            <w:tcW w:w="0" w:type="auto"/>
            <w:shd w:val="clear" w:color="auto" w:fill="FFFFFF"/>
            <w:vAlign w:val="center"/>
            <w:hideMark/>
          </w:tcPr>
          <w:p w14:paraId="1777B043"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65B1BFB9"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6F14FDB0"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13552ED8" w14:textId="77777777" w:rsidR="00000000" w:rsidRDefault="0015578C">
            <w:pPr>
              <w:pStyle w:val="a3"/>
              <w:spacing w:before="0" w:beforeAutospacing="0" w:after="0" w:afterAutospacing="0"/>
              <w:jc w:val="right"/>
              <w:rPr>
                <w:sz w:val="20"/>
                <w:szCs w:val="20"/>
              </w:rPr>
            </w:pPr>
            <w:r>
              <w:rPr>
                <w:sz w:val="20"/>
                <w:szCs w:val="20"/>
              </w:rPr>
              <w:t> </w:t>
            </w:r>
          </w:p>
        </w:tc>
      </w:tr>
      <w:tr w:rsidR="00000000" w14:paraId="48D4F68C" w14:textId="77777777">
        <w:trPr>
          <w:trHeight w:val="225"/>
          <w:tblCellSpacing w:w="15" w:type="dxa"/>
        </w:trPr>
        <w:tc>
          <w:tcPr>
            <w:tcW w:w="0" w:type="auto"/>
            <w:shd w:val="clear" w:color="auto" w:fill="FFFFFF"/>
            <w:hideMark/>
          </w:tcPr>
          <w:p w14:paraId="0E1B5E85" w14:textId="77777777" w:rsidR="00000000" w:rsidRDefault="0015578C">
            <w:pPr>
              <w:pStyle w:val="a3"/>
              <w:spacing w:before="0" w:beforeAutospacing="0" w:after="0" w:afterAutospacing="0"/>
              <w:rPr>
                <w:sz w:val="20"/>
                <w:szCs w:val="20"/>
              </w:rPr>
            </w:pPr>
            <w:hyperlink w:anchor="p2" w:history="1">
              <w:r>
                <w:rPr>
                  <w:rStyle w:val="a5"/>
                  <w:sz w:val="20"/>
                  <w:szCs w:val="20"/>
                </w:rPr>
                <w:t>PART II</w:t>
              </w:r>
            </w:hyperlink>
          </w:p>
        </w:tc>
        <w:tc>
          <w:tcPr>
            <w:tcW w:w="0" w:type="auto"/>
            <w:shd w:val="clear" w:color="auto" w:fill="FFFFFF"/>
            <w:vAlign w:val="center"/>
            <w:hideMark/>
          </w:tcPr>
          <w:p w14:paraId="4B05D222"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395B3692"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7B495F2B" w14:textId="77777777" w:rsidR="00000000" w:rsidRDefault="0015578C">
            <w:pPr>
              <w:pStyle w:val="a3"/>
              <w:spacing w:before="0" w:beforeAutospacing="0" w:after="0" w:afterAutospacing="0"/>
              <w:jc w:val="right"/>
              <w:rPr>
                <w:sz w:val="20"/>
                <w:szCs w:val="20"/>
              </w:rPr>
            </w:pPr>
            <w:r>
              <w:rPr>
                <w:sz w:val="20"/>
                <w:szCs w:val="20"/>
              </w:rPr>
              <w:t> </w:t>
            </w:r>
          </w:p>
        </w:tc>
      </w:tr>
      <w:tr w:rsidR="00000000" w14:paraId="372C21E1" w14:textId="77777777">
        <w:trPr>
          <w:trHeight w:val="225"/>
          <w:tblCellSpacing w:w="15" w:type="dxa"/>
        </w:trPr>
        <w:tc>
          <w:tcPr>
            <w:tcW w:w="0" w:type="auto"/>
            <w:shd w:val="clear" w:color="auto" w:fill="CCEEFF"/>
            <w:hideMark/>
          </w:tcPr>
          <w:p w14:paraId="2D033180" w14:textId="77777777" w:rsidR="00000000" w:rsidRDefault="0015578C">
            <w:pPr>
              <w:pStyle w:val="a3"/>
              <w:spacing w:before="0" w:beforeAutospacing="0" w:after="0" w:afterAutospacing="0"/>
              <w:rPr>
                <w:sz w:val="20"/>
                <w:szCs w:val="20"/>
              </w:rPr>
            </w:pPr>
            <w:hyperlink w:anchor="i5" w:history="1">
              <w:r>
                <w:rPr>
                  <w:rStyle w:val="a5"/>
                  <w:b/>
                  <w:bCs/>
                  <w:sz w:val="20"/>
                  <w:szCs w:val="20"/>
                </w:rPr>
                <w:t xml:space="preserve">Item 5 </w:t>
              </w:r>
            </w:hyperlink>
          </w:p>
        </w:tc>
        <w:tc>
          <w:tcPr>
            <w:tcW w:w="0" w:type="auto"/>
            <w:shd w:val="clear" w:color="auto" w:fill="CCEEFF"/>
            <w:hideMark/>
          </w:tcPr>
          <w:p w14:paraId="6E8ED0C4" w14:textId="77777777" w:rsidR="00000000" w:rsidRDefault="0015578C">
            <w:pPr>
              <w:pStyle w:val="a3"/>
              <w:spacing w:before="0" w:beforeAutospacing="0" w:after="0" w:afterAutospacing="0"/>
              <w:rPr>
                <w:sz w:val="20"/>
                <w:szCs w:val="20"/>
              </w:rPr>
            </w:pPr>
            <w:hyperlink w:anchor="i5" w:history="1">
              <w:r>
                <w:rPr>
                  <w:rStyle w:val="a5"/>
                  <w:sz w:val="20"/>
                  <w:szCs w:val="20"/>
                </w:rPr>
                <w:t>Market for Registrant's Common Equity, Related Stockholder Matters and Issuer Purchases of Equity Securities</w:t>
              </w:r>
            </w:hyperlink>
          </w:p>
        </w:tc>
        <w:tc>
          <w:tcPr>
            <w:tcW w:w="0" w:type="auto"/>
            <w:shd w:val="clear" w:color="auto" w:fill="CCEEFF"/>
            <w:vAlign w:val="center"/>
            <w:hideMark/>
          </w:tcPr>
          <w:p w14:paraId="77EBE42A"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2F9D0DEE" w14:textId="77777777" w:rsidR="00000000" w:rsidRDefault="0015578C">
            <w:pPr>
              <w:pStyle w:val="a3"/>
              <w:spacing w:before="0" w:beforeAutospacing="0" w:after="0" w:afterAutospacing="0"/>
              <w:jc w:val="right"/>
              <w:rPr>
                <w:sz w:val="20"/>
                <w:szCs w:val="20"/>
              </w:rPr>
            </w:pPr>
            <w:r>
              <w:rPr>
                <w:sz w:val="20"/>
                <w:szCs w:val="20"/>
              </w:rPr>
              <w:t>37</w:t>
            </w:r>
          </w:p>
        </w:tc>
      </w:tr>
      <w:tr w:rsidR="00000000" w14:paraId="23779989" w14:textId="77777777">
        <w:trPr>
          <w:trHeight w:val="225"/>
          <w:tblCellSpacing w:w="15" w:type="dxa"/>
        </w:trPr>
        <w:tc>
          <w:tcPr>
            <w:tcW w:w="0" w:type="auto"/>
            <w:shd w:val="clear" w:color="auto" w:fill="FFFFFF"/>
            <w:hideMark/>
          </w:tcPr>
          <w:p w14:paraId="331C73FB" w14:textId="77777777" w:rsidR="00000000" w:rsidRDefault="0015578C">
            <w:pPr>
              <w:pStyle w:val="a3"/>
              <w:spacing w:before="0" w:beforeAutospacing="0" w:after="0" w:afterAutospacing="0"/>
              <w:rPr>
                <w:sz w:val="20"/>
                <w:szCs w:val="20"/>
              </w:rPr>
            </w:pPr>
            <w:hyperlink w:anchor="i6" w:history="1">
              <w:r>
                <w:rPr>
                  <w:rStyle w:val="a5"/>
                  <w:b/>
                  <w:bCs/>
                  <w:sz w:val="20"/>
                  <w:szCs w:val="20"/>
                </w:rPr>
                <w:t xml:space="preserve">Item 6 </w:t>
              </w:r>
            </w:hyperlink>
          </w:p>
        </w:tc>
        <w:tc>
          <w:tcPr>
            <w:tcW w:w="0" w:type="auto"/>
            <w:shd w:val="clear" w:color="auto" w:fill="FFFFFF"/>
            <w:hideMark/>
          </w:tcPr>
          <w:p w14:paraId="659A2359" w14:textId="77777777" w:rsidR="00000000" w:rsidRDefault="0015578C">
            <w:pPr>
              <w:pStyle w:val="a3"/>
              <w:spacing w:before="0" w:beforeAutospacing="0" w:after="0" w:afterAutospacing="0"/>
              <w:rPr>
                <w:sz w:val="20"/>
                <w:szCs w:val="20"/>
              </w:rPr>
            </w:pPr>
            <w:hyperlink w:anchor="i6" w:history="1">
              <w:r>
                <w:rPr>
                  <w:rStyle w:val="a5"/>
                  <w:sz w:val="20"/>
                  <w:szCs w:val="20"/>
                </w:rPr>
                <w:t>[Reserved]</w:t>
              </w:r>
            </w:hyperlink>
          </w:p>
        </w:tc>
        <w:tc>
          <w:tcPr>
            <w:tcW w:w="0" w:type="auto"/>
            <w:shd w:val="clear" w:color="auto" w:fill="FFFFFF"/>
            <w:vAlign w:val="center"/>
            <w:hideMark/>
          </w:tcPr>
          <w:p w14:paraId="654AEBE4"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06486C83" w14:textId="77777777" w:rsidR="00000000" w:rsidRDefault="0015578C">
            <w:pPr>
              <w:pStyle w:val="a3"/>
              <w:spacing w:before="0" w:beforeAutospacing="0" w:after="0" w:afterAutospacing="0"/>
              <w:jc w:val="right"/>
              <w:rPr>
                <w:sz w:val="20"/>
                <w:szCs w:val="20"/>
              </w:rPr>
            </w:pPr>
            <w:r>
              <w:rPr>
                <w:sz w:val="20"/>
                <w:szCs w:val="20"/>
              </w:rPr>
              <w:t>38</w:t>
            </w:r>
          </w:p>
        </w:tc>
      </w:tr>
      <w:tr w:rsidR="00000000" w14:paraId="6147462B" w14:textId="77777777">
        <w:trPr>
          <w:trHeight w:val="225"/>
          <w:tblCellSpacing w:w="15" w:type="dxa"/>
        </w:trPr>
        <w:tc>
          <w:tcPr>
            <w:tcW w:w="0" w:type="auto"/>
            <w:shd w:val="clear" w:color="auto" w:fill="CCEEFF"/>
            <w:hideMark/>
          </w:tcPr>
          <w:p w14:paraId="3E49DC3C" w14:textId="77777777" w:rsidR="00000000" w:rsidRDefault="0015578C">
            <w:pPr>
              <w:pStyle w:val="a3"/>
              <w:spacing w:before="0" w:beforeAutospacing="0" w:after="0" w:afterAutospacing="0"/>
              <w:rPr>
                <w:sz w:val="20"/>
                <w:szCs w:val="20"/>
              </w:rPr>
            </w:pPr>
            <w:hyperlink w:anchor="i7" w:history="1">
              <w:r>
                <w:rPr>
                  <w:rStyle w:val="a5"/>
                  <w:b/>
                  <w:bCs/>
                  <w:sz w:val="20"/>
                  <w:szCs w:val="20"/>
                </w:rPr>
                <w:t xml:space="preserve">Item 7 </w:t>
              </w:r>
            </w:hyperlink>
          </w:p>
        </w:tc>
        <w:tc>
          <w:tcPr>
            <w:tcW w:w="0" w:type="auto"/>
            <w:shd w:val="clear" w:color="auto" w:fill="CCEEFF"/>
            <w:hideMark/>
          </w:tcPr>
          <w:p w14:paraId="3292BDDE" w14:textId="77777777" w:rsidR="00000000" w:rsidRDefault="0015578C">
            <w:pPr>
              <w:pStyle w:val="a3"/>
              <w:spacing w:before="0" w:beforeAutospacing="0" w:after="0" w:afterAutospacing="0"/>
              <w:rPr>
                <w:sz w:val="20"/>
                <w:szCs w:val="20"/>
              </w:rPr>
            </w:pPr>
            <w:hyperlink w:anchor="i7" w:history="1">
              <w:r>
                <w:rPr>
                  <w:rStyle w:val="a5"/>
                  <w:sz w:val="20"/>
                  <w:szCs w:val="20"/>
                </w:rPr>
                <w:t>Management's Discussion and Analysis of Financial Condition and Results of Operations</w:t>
              </w:r>
            </w:hyperlink>
          </w:p>
        </w:tc>
        <w:tc>
          <w:tcPr>
            <w:tcW w:w="0" w:type="auto"/>
            <w:shd w:val="clear" w:color="auto" w:fill="CCEEFF"/>
            <w:vAlign w:val="center"/>
            <w:hideMark/>
          </w:tcPr>
          <w:p w14:paraId="428ABFD8"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5FEEA546" w14:textId="77777777" w:rsidR="00000000" w:rsidRDefault="0015578C">
            <w:pPr>
              <w:pStyle w:val="a3"/>
              <w:spacing w:before="0" w:beforeAutospacing="0" w:after="0" w:afterAutospacing="0"/>
              <w:jc w:val="right"/>
              <w:rPr>
                <w:sz w:val="20"/>
                <w:szCs w:val="20"/>
              </w:rPr>
            </w:pPr>
            <w:r>
              <w:rPr>
                <w:sz w:val="20"/>
                <w:szCs w:val="20"/>
              </w:rPr>
              <w:t>38</w:t>
            </w:r>
          </w:p>
        </w:tc>
      </w:tr>
      <w:tr w:rsidR="00000000" w14:paraId="7E233780" w14:textId="77777777">
        <w:trPr>
          <w:trHeight w:val="225"/>
          <w:tblCellSpacing w:w="15" w:type="dxa"/>
        </w:trPr>
        <w:tc>
          <w:tcPr>
            <w:tcW w:w="0" w:type="auto"/>
            <w:shd w:val="clear" w:color="auto" w:fill="FFFFFF"/>
            <w:hideMark/>
          </w:tcPr>
          <w:p w14:paraId="065BD45D" w14:textId="77777777" w:rsidR="00000000" w:rsidRDefault="0015578C">
            <w:pPr>
              <w:pStyle w:val="a3"/>
              <w:spacing w:before="0" w:beforeAutospacing="0" w:after="0" w:afterAutospacing="0"/>
              <w:rPr>
                <w:sz w:val="20"/>
                <w:szCs w:val="20"/>
              </w:rPr>
            </w:pPr>
            <w:hyperlink w:anchor="i7a" w:history="1">
              <w:r>
                <w:rPr>
                  <w:rStyle w:val="a5"/>
                  <w:b/>
                  <w:bCs/>
                  <w:sz w:val="20"/>
                  <w:szCs w:val="20"/>
                </w:rPr>
                <w:t xml:space="preserve">Item 7A </w:t>
              </w:r>
            </w:hyperlink>
          </w:p>
        </w:tc>
        <w:tc>
          <w:tcPr>
            <w:tcW w:w="0" w:type="auto"/>
            <w:shd w:val="clear" w:color="auto" w:fill="FFFFFF"/>
            <w:hideMark/>
          </w:tcPr>
          <w:p w14:paraId="0BEEA71D" w14:textId="77777777" w:rsidR="00000000" w:rsidRDefault="0015578C">
            <w:pPr>
              <w:pStyle w:val="a3"/>
              <w:spacing w:before="0" w:beforeAutospacing="0" w:after="0" w:afterAutospacing="0"/>
              <w:rPr>
                <w:sz w:val="20"/>
                <w:szCs w:val="20"/>
              </w:rPr>
            </w:pPr>
            <w:hyperlink w:anchor="i7a" w:history="1">
              <w:r>
                <w:rPr>
                  <w:rStyle w:val="a5"/>
                  <w:sz w:val="20"/>
                  <w:szCs w:val="20"/>
                </w:rPr>
                <w:t>Quantitative and Qualitative Disclosures about Market Risk</w:t>
              </w:r>
            </w:hyperlink>
          </w:p>
        </w:tc>
        <w:tc>
          <w:tcPr>
            <w:tcW w:w="0" w:type="auto"/>
            <w:shd w:val="clear" w:color="auto" w:fill="FFFFFF"/>
            <w:vAlign w:val="center"/>
            <w:hideMark/>
          </w:tcPr>
          <w:p w14:paraId="5D8DC74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232283B3" w14:textId="77777777" w:rsidR="00000000" w:rsidRDefault="0015578C">
            <w:pPr>
              <w:pStyle w:val="a3"/>
              <w:spacing w:before="0" w:beforeAutospacing="0" w:after="0" w:afterAutospacing="0"/>
              <w:jc w:val="right"/>
              <w:rPr>
                <w:sz w:val="20"/>
                <w:szCs w:val="20"/>
              </w:rPr>
            </w:pPr>
            <w:r>
              <w:rPr>
                <w:sz w:val="20"/>
                <w:szCs w:val="20"/>
              </w:rPr>
              <w:t>46</w:t>
            </w:r>
          </w:p>
        </w:tc>
      </w:tr>
      <w:tr w:rsidR="00000000" w14:paraId="6220022B" w14:textId="77777777">
        <w:trPr>
          <w:trHeight w:val="225"/>
          <w:tblCellSpacing w:w="15" w:type="dxa"/>
        </w:trPr>
        <w:tc>
          <w:tcPr>
            <w:tcW w:w="0" w:type="auto"/>
            <w:shd w:val="clear" w:color="auto" w:fill="CCEEFF"/>
            <w:hideMark/>
          </w:tcPr>
          <w:p w14:paraId="281522A9" w14:textId="77777777" w:rsidR="00000000" w:rsidRDefault="0015578C">
            <w:pPr>
              <w:pStyle w:val="a3"/>
              <w:spacing w:before="0" w:beforeAutospacing="0" w:after="0" w:afterAutospacing="0"/>
              <w:rPr>
                <w:sz w:val="20"/>
                <w:szCs w:val="20"/>
              </w:rPr>
            </w:pPr>
            <w:hyperlink w:anchor="i8" w:history="1">
              <w:r>
                <w:rPr>
                  <w:rStyle w:val="a5"/>
                  <w:b/>
                  <w:bCs/>
                  <w:sz w:val="20"/>
                  <w:szCs w:val="20"/>
                </w:rPr>
                <w:t xml:space="preserve">Item 8 </w:t>
              </w:r>
            </w:hyperlink>
          </w:p>
        </w:tc>
        <w:tc>
          <w:tcPr>
            <w:tcW w:w="0" w:type="auto"/>
            <w:shd w:val="clear" w:color="auto" w:fill="CCEEFF"/>
            <w:hideMark/>
          </w:tcPr>
          <w:p w14:paraId="4DDF7C4B" w14:textId="77777777" w:rsidR="00000000" w:rsidRDefault="0015578C">
            <w:pPr>
              <w:pStyle w:val="a3"/>
              <w:spacing w:before="0" w:beforeAutospacing="0" w:after="0" w:afterAutospacing="0"/>
              <w:rPr>
                <w:sz w:val="20"/>
                <w:szCs w:val="20"/>
              </w:rPr>
            </w:pPr>
            <w:hyperlink w:anchor="i8" w:history="1">
              <w:r>
                <w:rPr>
                  <w:rStyle w:val="a5"/>
                  <w:sz w:val="20"/>
                  <w:szCs w:val="20"/>
                </w:rPr>
                <w:t>Financial Statements and Supplementary Data</w:t>
              </w:r>
            </w:hyperlink>
          </w:p>
        </w:tc>
        <w:tc>
          <w:tcPr>
            <w:tcW w:w="0" w:type="auto"/>
            <w:shd w:val="clear" w:color="auto" w:fill="CCEEFF"/>
            <w:vAlign w:val="center"/>
            <w:hideMark/>
          </w:tcPr>
          <w:p w14:paraId="11B02D5A"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2EC8A2F3" w14:textId="77777777" w:rsidR="00000000" w:rsidRDefault="0015578C">
            <w:pPr>
              <w:pStyle w:val="a3"/>
              <w:spacing w:before="0" w:beforeAutospacing="0" w:after="0" w:afterAutospacing="0"/>
              <w:jc w:val="right"/>
              <w:rPr>
                <w:sz w:val="20"/>
                <w:szCs w:val="20"/>
              </w:rPr>
            </w:pPr>
            <w:r>
              <w:rPr>
                <w:sz w:val="20"/>
                <w:szCs w:val="20"/>
              </w:rPr>
              <w:t>F-1</w:t>
            </w:r>
          </w:p>
        </w:tc>
      </w:tr>
      <w:tr w:rsidR="00000000" w14:paraId="6657EEA1" w14:textId="77777777">
        <w:trPr>
          <w:trHeight w:val="225"/>
          <w:tblCellSpacing w:w="15" w:type="dxa"/>
        </w:trPr>
        <w:tc>
          <w:tcPr>
            <w:tcW w:w="0" w:type="auto"/>
            <w:shd w:val="clear" w:color="auto" w:fill="FFFFFF"/>
            <w:hideMark/>
          </w:tcPr>
          <w:p w14:paraId="010006D0" w14:textId="77777777" w:rsidR="00000000" w:rsidRDefault="0015578C">
            <w:pPr>
              <w:pStyle w:val="a3"/>
              <w:spacing w:before="0" w:beforeAutospacing="0" w:after="0" w:afterAutospacing="0"/>
              <w:rPr>
                <w:sz w:val="20"/>
                <w:szCs w:val="20"/>
              </w:rPr>
            </w:pPr>
            <w:hyperlink w:anchor="i9" w:history="1">
              <w:r>
                <w:rPr>
                  <w:rStyle w:val="a5"/>
                  <w:b/>
                  <w:bCs/>
                  <w:sz w:val="20"/>
                  <w:szCs w:val="20"/>
                </w:rPr>
                <w:t xml:space="preserve">Item 9 </w:t>
              </w:r>
            </w:hyperlink>
          </w:p>
        </w:tc>
        <w:tc>
          <w:tcPr>
            <w:tcW w:w="0" w:type="auto"/>
            <w:shd w:val="clear" w:color="auto" w:fill="FFFFFF"/>
            <w:hideMark/>
          </w:tcPr>
          <w:p w14:paraId="79120F35" w14:textId="77777777" w:rsidR="00000000" w:rsidRDefault="0015578C">
            <w:pPr>
              <w:pStyle w:val="a3"/>
              <w:spacing w:before="0" w:beforeAutospacing="0" w:after="0" w:afterAutospacing="0"/>
              <w:rPr>
                <w:sz w:val="20"/>
                <w:szCs w:val="20"/>
              </w:rPr>
            </w:pPr>
            <w:hyperlink w:anchor="i9" w:history="1">
              <w:r>
                <w:rPr>
                  <w:rStyle w:val="a5"/>
                  <w:sz w:val="20"/>
                  <w:szCs w:val="20"/>
                </w:rPr>
                <w:t>Changes in and Disagreements with Accountants on Accounting and Financial Disclosure</w:t>
              </w:r>
            </w:hyperlink>
          </w:p>
        </w:tc>
        <w:tc>
          <w:tcPr>
            <w:tcW w:w="0" w:type="auto"/>
            <w:shd w:val="clear" w:color="auto" w:fill="FFFFFF"/>
            <w:vAlign w:val="center"/>
            <w:hideMark/>
          </w:tcPr>
          <w:p w14:paraId="44DE668E"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2311362C" w14:textId="77777777" w:rsidR="00000000" w:rsidRDefault="0015578C">
            <w:pPr>
              <w:pStyle w:val="a3"/>
              <w:spacing w:before="0" w:beforeAutospacing="0" w:after="0" w:afterAutospacing="0"/>
              <w:jc w:val="right"/>
              <w:rPr>
                <w:sz w:val="20"/>
                <w:szCs w:val="20"/>
              </w:rPr>
            </w:pPr>
            <w:r>
              <w:rPr>
                <w:sz w:val="20"/>
                <w:szCs w:val="20"/>
              </w:rPr>
              <w:t>47</w:t>
            </w:r>
          </w:p>
        </w:tc>
      </w:tr>
      <w:tr w:rsidR="00000000" w14:paraId="53F5C7CA" w14:textId="77777777">
        <w:trPr>
          <w:trHeight w:val="225"/>
          <w:tblCellSpacing w:w="15" w:type="dxa"/>
        </w:trPr>
        <w:tc>
          <w:tcPr>
            <w:tcW w:w="0" w:type="auto"/>
            <w:shd w:val="clear" w:color="auto" w:fill="CCEEFF"/>
            <w:hideMark/>
          </w:tcPr>
          <w:p w14:paraId="566A7C9D" w14:textId="77777777" w:rsidR="00000000" w:rsidRDefault="0015578C">
            <w:pPr>
              <w:pStyle w:val="a3"/>
              <w:spacing w:before="0" w:beforeAutospacing="0" w:after="0" w:afterAutospacing="0"/>
              <w:rPr>
                <w:sz w:val="20"/>
                <w:szCs w:val="20"/>
              </w:rPr>
            </w:pPr>
            <w:hyperlink w:anchor="i9a" w:history="1">
              <w:r>
                <w:rPr>
                  <w:rStyle w:val="a5"/>
                  <w:b/>
                  <w:bCs/>
                  <w:sz w:val="20"/>
                  <w:szCs w:val="20"/>
                </w:rPr>
                <w:t xml:space="preserve">Item 9A </w:t>
              </w:r>
            </w:hyperlink>
          </w:p>
        </w:tc>
        <w:tc>
          <w:tcPr>
            <w:tcW w:w="0" w:type="auto"/>
            <w:shd w:val="clear" w:color="auto" w:fill="CCEEFF"/>
            <w:hideMark/>
          </w:tcPr>
          <w:p w14:paraId="4E3B82FA" w14:textId="77777777" w:rsidR="00000000" w:rsidRDefault="0015578C">
            <w:pPr>
              <w:pStyle w:val="a3"/>
              <w:spacing w:before="0" w:beforeAutospacing="0" w:after="0" w:afterAutospacing="0"/>
              <w:rPr>
                <w:sz w:val="20"/>
                <w:szCs w:val="20"/>
              </w:rPr>
            </w:pPr>
            <w:hyperlink w:anchor="i9a" w:history="1">
              <w:r>
                <w:rPr>
                  <w:rStyle w:val="a5"/>
                  <w:sz w:val="20"/>
                  <w:szCs w:val="20"/>
                </w:rPr>
                <w:t>Controls and Procedures</w:t>
              </w:r>
            </w:hyperlink>
          </w:p>
        </w:tc>
        <w:tc>
          <w:tcPr>
            <w:tcW w:w="0" w:type="auto"/>
            <w:shd w:val="clear" w:color="auto" w:fill="CCEEFF"/>
            <w:vAlign w:val="center"/>
            <w:hideMark/>
          </w:tcPr>
          <w:p w14:paraId="5C1C98E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50226E7E" w14:textId="77777777" w:rsidR="00000000" w:rsidRDefault="0015578C">
            <w:pPr>
              <w:pStyle w:val="a3"/>
              <w:spacing w:before="0" w:beforeAutospacing="0" w:after="0" w:afterAutospacing="0"/>
              <w:jc w:val="right"/>
              <w:rPr>
                <w:sz w:val="20"/>
                <w:szCs w:val="20"/>
              </w:rPr>
            </w:pPr>
            <w:r>
              <w:rPr>
                <w:sz w:val="20"/>
                <w:szCs w:val="20"/>
              </w:rPr>
              <w:t>47</w:t>
            </w:r>
          </w:p>
        </w:tc>
      </w:tr>
      <w:tr w:rsidR="00000000" w14:paraId="52340BBC" w14:textId="77777777">
        <w:trPr>
          <w:trHeight w:val="225"/>
          <w:tblCellSpacing w:w="15" w:type="dxa"/>
        </w:trPr>
        <w:tc>
          <w:tcPr>
            <w:tcW w:w="0" w:type="auto"/>
            <w:shd w:val="clear" w:color="auto" w:fill="FFFFFF"/>
            <w:hideMark/>
          </w:tcPr>
          <w:p w14:paraId="16FE7F6E" w14:textId="77777777" w:rsidR="00000000" w:rsidRDefault="0015578C">
            <w:pPr>
              <w:pStyle w:val="a3"/>
              <w:spacing w:before="0" w:beforeAutospacing="0" w:after="0" w:afterAutospacing="0"/>
              <w:rPr>
                <w:sz w:val="20"/>
                <w:szCs w:val="20"/>
              </w:rPr>
            </w:pPr>
            <w:hyperlink w:anchor="i9b" w:history="1">
              <w:r>
                <w:rPr>
                  <w:rStyle w:val="a5"/>
                  <w:b/>
                  <w:bCs/>
                  <w:sz w:val="20"/>
                  <w:szCs w:val="20"/>
                </w:rPr>
                <w:t xml:space="preserve">Item 9B </w:t>
              </w:r>
            </w:hyperlink>
          </w:p>
        </w:tc>
        <w:tc>
          <w:tcPr>
            <w:tcW w:w="0" w:type="auto"/>
            <w:shd w:val="clear" w:color="auto" w:fill="FFFFFF"/>
            <w:hideMark/>
          </w:tcPr>
          <w:p w14:paraId="3C6B59C8" w14:textId="77777777" w:rsidR="00000000" w:rsidRDefault="0015578C">
            <w:pPr>
              <w:pStyle w:val="a3"/>
              <w:spacing w:before="0" w:beforeAutospacing="0" w:after="0" w:afterAutospacing="0"/>
              <w:rPr>
                <w:sz w:val="20"/>
                <w:szCs w:val="20"/>
              </w:rPr>
            </w:pPr>
            <w:hyperlink w:anchor="i9b" w:history="1">
              <w:r>
                <w:rPr>
                  <w:rStyle w:val="a5"/>
                  <w:sz w:val="20"/>
                  <w:szCs w:val="20"/>
                </w:rPr>
                <w:t>Other Information</w:t>
              </w:r>
            </w:hyperlink>
          </w:p>
        </w:tc>
        <w:tc>
          <w:tcPr>
            <w:tcW w:w="0" w:type="auto"/>
            <w:shd w:val="clear" w:color="auto" w:fill="FFFFFF"/>
            <w:vAlign w:val="center"/>
            <w:hideMark/>
          </w:tcPr>
          <w:p w14:paraId="7D6017AF"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6A798018" w14:textId="77777777" w:rsidR="00000000" w:rsidRDefault="0015578C">
            <w:pPr>
              <w:pStyle w:val="a3"/>
              <w:spacing w:before="0" w:beforeAutospacing="0" w:after="0" w:afterAutospacing="0"/>
              <w:jc w:val="right"/>
              <w:rPr>
                <w:sz w:val="20"/>
                <w:szCs w:val="20"/>
              </w:rPr>
            </w:pPr>
            <w:r>
              <w:rPr>
                <w:sz w:val="20"/>
                <w:szCs w:val="20"/>
              </w:rPr>
              <w:t>47</w:t>
            </w:r>
          </w:p>
        </w:tc>
      </w:tr>
      <w:tr w:rsidR="00000000" w14:paraId="4FFE5808" w14:textId="77777777">
        <w:trPr>
          <w:trHeight w:val="225"/>
          <w:tblCellSpacing w:w="15" w:type="dxa"/>
        </w:trPr>
        <w:tc>
          <w:tcPr>
            <w:tcW w:w="0" w:type="auto"/>
            <w:shd w:val="clear" w:color="auto" w:fill="FFFFFF"/>
            <w:vAlign w:val="center"/>
            <w:hideMark/>
          </w:tcPr>
          <w:p w14:paraId="31B2FE2B"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3ACD8D6A"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7AB6F48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57CF8A6D" w14:textId="77777777" w:rsidR="00000000" w:rsidRDefault="0015578C">
            <w:pPr>
              <w:pStyle w:val="a3"/>
              <w:spacing w:before="0" w:beforeAutospacing="0" w:after="0" w:afterAutospacing="0"/>
              <w:jc w:val="right"/>
              <w:rPr>
                <w:sz w:val="20"/>
                <w:szCs w:val="20"/>
              </w:rPr>
            </w:pPr>
            <w:r>
              <w:rPr>
                <w:sz w:val="20"/>
                <w:szCs w:val="20"/>
              </w:rPr>
              <w:t> </w:t>
            </w:r>
          </w:p>
        </w:tc>
      </w:tr>
      <w:tr w:rsidR="00000000" w14:paraId="4B290359" w14:textId="77777777">
        <w:trPr>
          <w:trHeight w:val="225"/>
          <w:tblCellSpacing w:w="15" w:type="dxa"/>
        </w:trPr>
        <w:tc>
          <w:tcPr>
            <w:tcW w:w="0" w:type="auto"/>
            <w:shd w:val="clear" w:color="auto" w:fill="FFFFFF"/>
            <w:hideMark/>
          </w:tcPr>
          <w:p w14:paraId="6B83FBFA" w14:textId="77777777" w:rsidR="00000000" w:rsidRDefault="0015578C">
            <w:pPr>
              <w:pStyle w:val="a3"/>
              <w:spacing w:before="0" w:beforeAutospacing="0" w:after="0" w:afterAutospacing="0"/>
              <w:rPr>
                <w:sz w:val="20"/>
                <w:szCs w:val="20"/>
              </w:rPr>
            </w:pPr>
            <w:hyperlink w:anchor="p3" w:history="1">
              <w:r>
                <w:rPr>
                  <w:rStyle w:val="a5"/>
                  <w:sz w:val="20"/>
                  <w:szCs w:val="20"/>
                </w:rPr>
                <w:t>PART III</w:t>
              </w:r>
            </w:hyperlink>
          </w:p>
        </w:tc>
        <w:tc>
          <w:tcPr>
            <w:tcW w:w="0" w:type="auto"/>
            <w:shd w:val="clear" w:color="auto" w:fill="FFFFFF"/>
            <w:vAlign w:val="center"/>
            <w:hideMark/>
          </w:tcPr>
          <w:p w14:paraId="41669431"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174FE4B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6F05C37A" w14:textId="77777777" w:rsidR="00000000" w:rsidRDefault="0015578C">
            <w:pPr>
              <w:pStyle w:val="a3"/>
              <w:spacing w:before="0" w:beforeAutospacing="0" w:after="0" w:afterAutospacing="0"/>
              <w:jc w:val="right"/>
              <w:rPr>
                <w:sz w:val="20"/>
                <w:szCs w:val="20"/>
              </w:rPr>
            </w:pPr>
            <w:r>
              <w:rPr>
                <w:sz w:val="20"/>
                <w:szCs w:val="20"/>
              </w:rPr>
              <w:t> </w:t>
            </w:r>
          </w:p>
        </w:tc>
      </w:tr>
      <w:tr w:rsidR="00000000" w14:paraId="25A3F264" w14:textId="77777777">
        <w:trPr>
          <w:trHeight w:val="225"/>
          <w:tblCellSpacing w:w="15" w:type="dxa"/>
        </w:trPr>
        <w:tc>
          <w:tcPr>
            <w:tcW w:w="0" w:type="auto"/>
            <w:shd w:val="clear" w:color="auto" w:fill="CCEEFF"/>
            <w:hideMark/>
          </w:tcPr>
          <w:p w14:paraId="7F725A0D" w14:textId="77777777" w:rsidR="00000000" w:rsidRDefault="0015578C">
            <w:pPr>
              <w:pStyle w:val="a3"/>
              <w:spacing w:before="0" w:beforeAutospacing="0" w:after="0" w:afterAutospacing="0"/>
              <w:rPr>
                <w:sz w:val="20"/>
                <w:szCs w:val="20"/>
              </w:rPr>
            </w:pPr>
            <w:hyperlink w:anchor="i10" w:history="1">
              <w:r>
                <w:rPr>
                  <w:rStyle w:val="a5"/>
                  <w:b/>
                  <w:bCs/>
                  <w:sz w:val="20"/>
                  <w:szCs w:val="20"/>
                </w:rPr>
                <w:t xml:space="preserve">Item 10 </w:t>
              </w:r>
            </w:hyperlink>
          </w:p>
        </w:tc>
        <w:tc>
          <w:tcPr>
            <w:tcW w:w="0" w:type="auto"/>
            <w:shd w:val="clear" w:color="auto" w:fill="CCEEFF"/>
            <w:hideMark/>
          </w:tcPr>
          <w:p w14:paraId="60F59410" w14:textId="77777777" w:rsidR="00000000" w:rsidRDefault="0015578C">
            <w:pPr>
              <w:pStyle w:val="a3"/>
              <w:spacing w:before="0" w:beforeAutospacing="0" w:after="0" w:afterAutospacing="0"/>
              <w:rPr>
                <w:sz w:val="20"/>
                <w:szCs w:val="20"/>
              </w:rPr>
            </w:pPr>
            <w:hyperlink w:anchor="i10" w:history="1">
              <w:r>
                <w:rPr>
                  <w:rStyle w:val="a5"/>
                  <w:sz w:val="20"/>
                  <w:szCs w:val="20"/>
                </w:rPr>
                <w:t>Directors, Executive Officers and Corporate Governance</w:t>
              </w:r>
            </w:hyperlink>
          </w:p>
        </w:tc>
        <w:tc>
          <w:tcPr>
            <w:tcW w:w="0" w:type="auto"/>
            <w:shd w:val="clear" w:color="auto" w:fill="CCEEFF"/>
            <w:vAlign w:val="center"/>
            <w:hideMark/>
          </w:tcPr>
          <w:p w14:paraId="483E2704"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136BB24D" w14:textId="77777777" w:rsidR="00000000" w:rsidRDefault="0015578C">
            <w:pPr>
              <w:pStyle w:val="a3"/>
              <w:spacing w:before="0" w:beforeAutospacing="0" w:after="0" w:afterAutospacing="0"/>
              <w:jc w:val="right"/>
              <w:rPr>
                <w:sz w:val="20"/>
                <w:szCs w:val="20"/>
              </w:rPr>
            </w:pPr>
            <w:r>
              <w:rPr>
                <w:sz w:val="20"/>
                <w:szCs w:val="20"/>
              </w:rPr>
              <w:t>48</w:t>
            </w:r>
          </w:p>
        </w:tc>
      </w:tr>
      <w:tr w:rsidR="00000000" w14:paraId="618DD6CF" w14:textId="77777777">
        <w:trPr>
          <w:trHeight w:val="225"/>
          <w:tblCellSpacing w:w="15" w:type="dxa"/>
        </w:trPr>
        <w:tc>
          <w:tcPr>
            <w:tcW w:w="0" w:type="auto"/>
            <w:shd w:val="clear" w:color="auto" w:fill="FFFFFF"/>
            <w:hideMark/>
          </w:tcPr>
          <w:p w14:paraId="1D96A592" w14:textId="77777777" w:rsidR="00000000" w:rsidRDefault="0015578C">
            <w:pPr>
              <w:pStyle w:val="a3"/>
              <w:spacing w:before="0" w:beforeAutospacing="0" w:after="0" w:afterAutospacing="0"/>
              <w:rPr>
                <w:sz w:val="20"/>
                <w:szCs w:val="20"/>
              </w:rPr>
            </w:pPr>
            <w:hyperlink w:anchor="i11" w:history="1">
              <w:r>
                <w:rPr>
                  <w:rStyle w:val="a5"/>
                  <w:b/>
                  <w:bCs/>
                  <w:sz w:val="20"/>
                  <w:szCs w:val="20"/>
                </w:rPr>
                <w:t xml:space="preserve">Item 11 </w:t>
              </w:r>
            </w:hyperlink>
          </w:p>
        </w:tc>
        <w:tc>
          <w:tcPr>
            <w:tcW w:w="0" w:type="auto"/>
            <w:shd w:val="clear" w:color="auto" w:fill="FFFFFF"/>
            <w:hideMark/>
          </w:tcPr>
          <w:p w14:paraId="375A9134" w14:textId="77777777" w:rsidR="00000000" w:rsidRDefault="0015578C">
            <w:pPr>
              <w:pStyle w:val="a3"/>
              <w:spacing w:before="0" w:beforeAutospacing="0" w:after="0" w:afterAutospacing="0"/>
              <w:rPr>
                <w:sz w:val="20"/>
                <w:szCs w:val="20"/>
              </w:rPr>
            </w:pPr>
            <w:hyperlink w:anchor="i11" w:history="1">
              <w:r>
                <w:rPr>
                  <w:rStyle w:val="a5"/>
                  <w:sz w:val="20"/>
                  <w:szCs w:val="20"/>
                </w:rPr>
                <w:t>Executive Compensation</w:t>
              </w:r>
            </w:hyperlink>
          </w:p>
        </w:tc>
        <w:tc>
          <w:tcPr>
            <w:tcW w:w="0" w:type="auto"/>
            <w:shd w:val="clear" w:color="auto" w:fill="FFFFFF"/>
            <w:vAlign w:val="center"/>
            <w:hideMark/>
          </w:tcPr>
          <w:p w14:paraId="28815674"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04DE5C76" w14:textId="77777777" w:rsidR="00000000" w:rsidRDefault="0015578C">
            <w:pPr>
              <w:pStyle w:val="a3"/>
              <w:spacing w:before="0" w:beforeAutospacing="0" w:after="0" w:afterAutospacing="0"/>
              <w:jc w:val="right"/>
              <w:rPr>
                <w:sz w:val="20"/>
                <w:szCs w:val="20"/>
              </w:rPr>
            </w:pPr>
            <w:r>
              <w:rPr>
                <w:sz w:val="20"/>
                <w:szCs w:val="20"/>
              </w:rPr>
              <w:t>48</w:t>
            </w:r>
          </w:p>
        </w:tc>
      </w:tr>
      <w:tr w:rsidR="00000000" w14:paraId="5E2304C5" w14:textId="77777777">
        <w:trPr>
          <w:trHeight w:val="225"/>
          <w:tblCellSpacing w:w="15" w:type="dxa"/>
        </w:trPr>
        <w:tc>
          <w:tcPr>
            <w:tcW w:w="0" w:type="auto"/>
            <w:shd w:val="clear" w:color="auto" w:fill="CCEEFF"/>
            <w:hideMark/>
          </w:tcPr>
          <w:p w14:paraId="1976A908" w14:textId="77777777" w:rsidR="00000000" w:rsidRDefault="0015578C">
            <w:pPr>
              <w:pStyle w:val="a3"/>
              <w:spacing w:before="0" w:beforeAutospacing="0" w:after="0" w:afterAutospacing="0"/>
              <w:rPr>
                <w:sz w:val="20"/>
                <w:szCs w:val="20"/>
              </w:rPr>
            </w:pPr>
            <w:hyperlink w:anchor="i12" w:history="1">
              <w:r>
                <w:rPr>
                  <w:rStyle w:val="a5"/>
                  <w:b/>
                  <w:bCs/>
                  <w:sz w:val="20"/>
                  <w:szCs w:val="20"/>
                </w:rPr>
                <w:t xml:space="preserve">Item 12 </w:t>
              </w:r>
            </w:hyperlink>
          </w:p>
        </w:tc>
        <w:tc>
          <w:tcPr>
            <w:tcW w:w="0" w:type="auto"/>
            <w:shd w:val="clear" w:color="auto" w:fill="CCEEFF"/>
            <w:hideMark/>
          </w:tcPr>
          <w:p w14:paraId="783F459C" w14:textId="77777777" w:rsidR="00000000" w:rsidRDefault="0015578C">
            <w:pPr>
              <w:pStyle w:val="a3"/>
              <w:spacing w:before="0" w:beforeAutospacing="0" w:after="0" w:afterAutospacing="0"/>
              <w:rPr>
                <w:sz w:val="20"/>
                <w:szCs w:val="20"/>
              </w:rPr>
            </w:pPr>
            <w:hyperlink w:anchor="i12" w:history="1">
              <w:r>
                <w:rPr>
                  <w:rStyle w:val="a5"/>
                  <w:sz w:val="20"/>
                  <w:szCs w:val="20"/>
                </w:rPr>
                <w:t>Security Ownership of Certain Beneficial Own</w:t>
              </w:r>
              <w:r>
                <w:rPr>
                  <w:rStyle w:val="a5"/>
                  <w:sz w:val="20"/>
                  <w:szCs w:val="20"/>
                </w:rPr>
                <w:t>ers and Management and Related Stockholder Matters</w:t>
              </w:r>
            </w:hyperlink>
          </w:p>
        </w:tc>
        <w:tc>
          <w:tcPr>
            <w:tcW w:w="0" w:type="auto"/>
            <w:shd w:val="clear" w:color="auto" w:fill="CCEEFF"/>
            <w:vAlign w:val="center"/>
            <w:hideMark/>
          </w:tcPr>
          <w:p w14:paraId="2E5E6A3C"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771E3D4F" w14:textId="77777777" w:rsidR="00000000" w:rsidRDefault="0015578C">
            <w:pPr>
              <w:pStyle w:val="a3"/>
              <w:spacing w:before="0" w:beforeAutospacing="0" w:after="0" w:afterAutospacing="0"/>
              <w:jc w:val="right"/>
              <w:rPr>
                <w:sz w:val="20"/>
                <w:szCs w:val="20"/>
              </w:rPr>
            </w:pPr>
            <w:r>
              <w:rPr>
                <w:sz w:val="20"/>
                <w:szCs w:val="20"/>
              </w:rPr>
              <w:t>48</w:t>
            </w:r>
          </w:p>
        </w:tc>
      </w:tr>
      <w:tr w:rsidR="00000000" w14:paraId="31628CF1" w14:textId="77777777">
        <w:trPr>
          <w:trHeight w:val="225"/>
          <w:tblCellSpacing w:w="15" w:type="dxa"/>
        </w:trPr>
        <w:tc>
          <w:tcPr>
            <w:tcW w:w="0" w:type="auto"/>
            <w:shd w:val="clear" w:color="auto" w:fill="FFFFFF"/>
            <w:hideMark/>
          </w:tcPr>
          <w:p w14:paraId="007AEA30" w14:textId="77777777" w:rsidR="00000000" w:rsidRDefault="0015578C">
            <w:pPr>
              <w:pStyle w:val="a3"/>
              <w:spacing w:before="0" w:beforeAutospacing="0" w:after="0" w:afterAutospacing="0"/>
              <w:rPr>
                <w:sz w:val="20"/>
                <w:szCs w:val="20"/>
              </w:rPr>
            </w:pPr>
            <w:hyperlink w:anchor="i13" w:history="1">
              <w:r>
                <w:rPr>
                  <w:rStyle w:val="a5"/>
                  <w:b/>
                  <w:bCs/>
                  <w:sz w:val="20"/>
                  <w:szCs w:val="20"/>
                </w:rPr>
                <w:t xml:space="preserve">Item 13 </w:t>
              </w:r>
            </w:hyperlink>
          </w:p>
        </w:tc>
        <w:tc>
          <w:tcPr>
            <w:tcW w:w="0" w:type="auto"/>
            <w:shd w:val="clear" w:color="auto" w:fill="FFFFFF"/>
            <w:hideMark/>
          </w:tcPr>
          <w:p w14:paraId="0676E724" w14:textId="77777777" w:rsidR="00000000" w:rsidRDefault="0015578C">
            <w:pPr>
              <w:pStyle w:val="a3"/>
              <w:spacing w:before="0" w:beforeAutospacing="0" w:after="0" w:afterAutospacing="0"/>
              <w:rPr>
                <w:sz w:val="20"/>
                <w:szCs w:val="20"/>
              </w:rPr>
            </w:pPr>
            <w:hyperlink w:anchor="i13" w:history="1">
              <w:r>
                <w:rPr>
                  <w:rStyle w:val="a5"/>
                  <w:sz w:val="20"/>
                  <w:szCs w:val="20"/>
                </w:rPr>
                <w:t>Certain Relationships and Related Transactions, and Director Independence</w:t>
              </w:r>
            </w:hyperlink>
          </w:p>
        </w:tc>
        <w:tc>
          <w:tcPr>
            <w:tcW w:w="0" w:type="auto"/>
            <w:shd w:val="clear" w:color="auto" w:fill="FFFFFF"/>
            <w:vAlign w:val="center"/>
            <w:hideMark/>
          </w:tcPr>
          <w:p w14:paraId="1A8E104C"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5713E5C5" w14:textId="77777777" w:rsidR="00000000" w:rsidRDefault="0015578C">
            <w:pPr>
              <w:pStyle w:val="a3"/>
              <w:spacing w:before="0" w:beforeAutospacing="0" w:after="0" w:afterAutospacing="0"/>
              <w:jc w:val="right"/>
              <w:rPr>
                <w:sz w:val="20"/>
                <w:szCs w:val="20"/>
              </w:rPr>
            </w:pPr>
            <w:r>
              <w:rPr>
                <w:sz w:val="20"/>
                <w:szCs w:val="20"/>
              </w:rPr>
              <w:t>48</w:t>
            </w:r>
          </w:p>
        </w:tc>
      </w:tr>
      <w:tr w:rsidR="00000000" w14:paraId="7386A4B4" w14:textId="77777777">
        <w:trPr>
          <w:trHeight w:val="225"/>
          <w:tblCellSpacing w:w="15" w:type="dxa"/>
        </w:trPr>
        <w:tc>
          <w:tcPr>
            <w:tcW w:w="0" w:type="auto"/>
            <w:shd w:val="clear" w:color="auto" w:fill="CCEEFF"/>
            <w:hideMark/>
          </w:tcPr>
          <w:p w14:paraId="2CC5C574" w14:textId="77777777" w:rsidR="00000000" w:rsidRDefault="0015578C">
            <w:pPr>
              <w:pStyle w:val="a3"/>
              <w:spacing w:before="0" w:beforeAutospacing="0" w:after="0" w:afterAutospacing="0"/>
              <w:rPr>
                <w:sz w:val="20"/>
                <w:szCs w:val="20"/>
              </w:rPr>
            </w:pPr>
            <w:hyperlink w:anchor="i14" w:history="1">
              <w:r>
                <w:rPr>
                  <w:rStyle w:val="a5"/>
                  <w:b/>
                  <w:bCs/>
                  <w:sz w:val="20"/>
                  <w:szCs w:val="20"/>
                </w:rPr>
                <w:t xml:space="preserve">Item 14 </w:t>
              </w:r>
            </w:hyperlink>
          </w:p>
        </w:tc>
        <w:tc>
          <w:tcPr>
            <w:tcW w:w="0" w:type="auto"/>
            <w:shd w:val="clear" w:color="auto" w:fill="CCEEFF"/>
            <w:hideMark/>
          </w:tcPr>
          <w:p w14:paraId="3A34CD0E" w14:textId="77777777" w:rsidR="00000000" w:rsidRDefault="0015578C">
            <w:pPr>
              <w:pStyle w:val="a3"/>
              <w:spacing w:before="0" w:beforeAutospacing="0" w:after="0" w:afterAutospacing="0"/>
              <w:rPr>
                <w:sz w:val="20"/>
                <w:szCs w:val="20"/>
              </w:rPr>
            </w:pPr>
            <w:hyperlink w:anchor="i14" w:history="1">
              <w:r>
                <w:rPr>
                  <w:rStyle w:val="a5"/>
                  <w:sz w:val="20"/>
                  <w:szCs w:val="20"/>
                </w:rPr>
                <w:t>Principal Accounting Fees and Services</w:t>
              </w:r>
            </w:hyperlink>
          </w:p>
        </w:tc>
        <w:tc>
          <w:tcPr>
            <w:tcW w:w="0" w:type="auto"/>
            <w:shd w:val="clear" w:color="auto" w:fill="CCEEFF"/>
            <w:vAlign w:val="center"/>
            <w:hideMark/>
          </w:tcPr>
          <w:p w14:paraId="16AB6ABB"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492A36D7" w14:textId="77777777" w:rsidR="00000000" w:rsidRDefault="0015578C">
            <w:pPr>
              <w:pStyle w:val="a3"/>
              <w:spacing w:before="0" w:beforeAutospacing="0" w:after="0" w:afterAutospacing="0"/>
              <w:jc w:val="right"/>
              <w:rPr>
                <w:sz w:val="20"/>
                <w:szCs w:val="20"/>
              </w:rPr>
            </w:pPr>
            <w:r>
              <w:rPr>
                <w:sz w:val="20"/>
                <w:szCs w:val="20"/>
              </w:rPr>
              <w:t>48</w:t>
            </w:r>
          </w:p>
        </w:tc>
      </w:tr>
      <w:tr w:rsidR="00000000" w14:paraId="56D35C14" w14:textId="77777777">
        <w:trPr>
          <w:trHeight w:val="225"/>
          <w:tblCellSpacing w:w="15" w:type="dxa"/>
        </w:trPr>
        <w:tc>
          <w:tcPr>
            <w:tcW w:w="0" w:type="auto"/>
            <w:shd w:val="clear" w:color="auto" w:fill="FFFFFF"/>
            <w:vAlign w:val="center"/>
            <w:hideMark/>
          </w:tcPr>
          <w:p w14:paraId="0F697BF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5CC65048"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3F02BCEA"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67161FEB" w14:textId="77777777" w:rsidR="00000000" w:rsidRDefault="0015578C">
            <w:pPr>
              <w:pStyle w:val="a3"/>
              <w:spacing w:before="0" w:beforeAutospacing="0" w:after="0" w:afterAutospacing="0"/>
              <w:jc w:val="right"/>
              <w:rPr>
                <w:sz w:val="20"/>
                <w:szCs w:val="20"/>
              </w:rPr>
            </w:pPr>
            <w:r>
              <w:rPr>
                <w:sz w:val="20"/>
                <w:szCs w:val="20"/>
              </w:rPr>
              <w:t> </w:t>
            </w:r>
          </w:p>
        </w:tc>
      </w:tr>
      <w:tr w:rsidR="00000000" w14:paraId="157E042D" w14:textId="77777777">
        <w:trPr>
          <w:trHeight w:val="225"/>
          <w:tblCellSpacing w:w="15" w:type="dxa"/>
        </w:trPr>
        <w:tc>
          <w:tcPr>
            <w:tcW w:w="0" w:type="auto"/>
            <w:shd w:val="clear" w:color="auto" w:fill="FFFFFF"/>
            <w:hideMark/>
          </w:tcPr>
          <w:p w14:paraId="05803FB7" w14:textId="77777777" w:rsidR="00000000" w:rsidRDefault="0015578C">
            <w:pPr>
              <w:pStyle w:val="a3"/>
              <w:spacing w:before="0" w:beforeAutospacing="0" w:after="0" w:afterAutospacing="0"/>
              <w:rPr>
                <w:sz w:val="20"/>
                <w:szCs w:val="20"/>
              </w:rPr>
            </w:pPr>
            <w:hyperlink w:anchor="p4" w:history="1">
              <w:r>
                <w:rPr>
                  <w:rStyle w:val="a5"/>
                  <w:sz w:val="20"/>
                  <w:szCs w:val="20"/>
                </w:rPr>
                <w:t>PART IV</w:t>
              </w:r>
            </w:hyperlink>
          </w:p>
        </w:tc>
        <w:tc>
          <w:tcPr>
            <w:tcW w:w="0" w:type="auto"/>
            <w:shd w:val="clear" w:color="auto" w:fill="FFFFFF"/>
            <w:vAlign w:val="center"/>
            <w:hideMark/>
          </w:tcPr>
          <w:p w14:paraId="2418F7CB"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6CE6F5F1"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73761E87" w14:textId="77777777" w:rsidR="00000000" w:rsidRDefault="0015578C">
            <w:pPr>
              <w:pStyle w:val="a3"/>
              <w:spacing w:before="0" w:beforeAutospacing="0" w:after="0" w:afterAutospacing="0"/>
              <w:jc w:val="right"/>
              <w:rPr>
                <w:sz w:val="20"/>
                <w:szCs w:val="20"/>
              </w:rPr>
            </w:pPr>
            <w:r>
              <w:rPr>
                <w:sz w:val="20"/>
                <w:szCs w:val="20"/>
              </w:rPr>
              <w:t> </w:t>
            </w:r>
          </w:p>
        </w:tc>
      </w:tr>
      <w:tr w:rsidR="00000000" w14:paraId="47007000" w14:textId="77777777">
        <w:trPr>
          <w:trHeight w:val="225"/>
          <w:tblCellSpacing w:w="15" w:type="dxa"/>
        </w:trPr>
        <w:tc>
          <w:tcPr>
            <w:tcW w:w="0" w:type="auto"/>
            <w:shd w:val="clear" w:color="auto" w:fill="CCEEFF"/>
            <w:hideMark/>
          </w:tcPr>
          <w:p w14:paraId="1E72F1D0" w14:textId="77777777" w:rsidR="00000000" w:rsidRDefault="0015578C">
            <w:pPr>
              <w:pStyle w:val="a3"/>
              <w:spacing w:before="0" w:beforeAutospacing="0" w:after="0" w:afterAutospacing="0"/>
              <w:rPr>
                <w:sz w:val="20"/>
                <w:szCs w:val="20"/>
              </w:rPr>
            </w:pPr>
            <w:hyperlink w:anchor="i15" w:history="1">
              <w:r>
                <w:rPr>
                  <w:rStyle w:val="a5"/>
                  <w:b/>
                  <w:bCs/>
                  <w:sz w:val="20"/>
                  <w:szCs w:val="20"/>
                </w:rPr>
                <w:t xml:space="preserve">Item 15 </w:t>
              </w:r>
            </w:hyperlink>
          </w:p>
        </w:tc>
        <w:tc>
          <w:tcPr>
            <w:tcW w:w="0" w:type="auto"/>
            <w:shd w:val="clear" w:color="auto" w:fill="CCEEFF"/>
            <w:hideMark/>
          </w:tcPr>
          <w:p w14:paraId="3AB38CA2" w14:textId="77777777" w:rsidR="00000000" w:rsidRDefault="0015578C">
            <w:pPr>
              <w:pStyle w:val="a3"/>
              <w:spacing w:before="0" w:beforeAutospacing="0" w:after="0" w:afterAutospacing="0"/>
              <w:rPr>
                <w:sz w:val="20"/>
                <w:szCs w:val="20"/>
              </w:rPr>
            </w:pPr>
            <w:hyperlink w:anchor="i15" w:history="1">
              <w:r>
                <w:rPr>
                  <w:rStyle w:val="a5"/>
                  <w:sz w:val="20"/>
                  <w:szCs w:val="20"/>
                </w:rPr>
                <w:t>Exhibits, Financial Statement Schedules</w:t>
              </w:r>
            </w:hyperlink>
          </w:p>
        </w:tc>
        <w:tc>
          <w:tcPr>
            <w:tcW w:w="0" w:type="auto"/>
            <w:shd w:val="clear" w:color="auto" w:fill="CCEEFF"/>
            <w:vAlign w:val="center"/>
            <w:hideMark/>
          </w:tcPr>
          <w:p w14:paraId="1526F50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hideMark/>
          </w:tcPr>
          <w:p w14:paraId="1293B12B" w14:textId="77777777" w:rsidR="00000000" w:rsidRDefault="0015578C">
            <w:pPr>
              <w:pStyle w:val="a3"/>
              <w:spacing w:before="0" w:beforeAutospacing="0" w:after="0" w:afterAutospacing="0"/>
              <w:jc w:val="right"/>
              <w:rPr>
                <w:sz w:val="20"/>
                <w:szCs w:val="20"/>
              </w:rPr>
            </w:pPr>
            <w:r>
              <w:rPr>
                <w:sz w:val="20"/>
                <w:szCs w:val="20"/>
              </w:rPr>
              <w:t>49</w:t>
            </w:r>
          </w:p>
        </w:tc>
      </w:tr>
      <w:tr w:rsidR="00000000" w14:paraId="55A7EA9B" w14:textId="77777777">
        <w:trPr>
          <w:trHeight w:val="225"/>
          <w:tblCellSpacing w:w="15" w:type="dxa"/>
        </w:trPr>
        <w:tc>
          <w:tcPr>
            <w:tcW w:w="0" w:type="auto"/>
            <w:shd w:val="clear" w:color="auto" w:fill="FFFFFF"/>
            <w:hideMark/>
          </w:tcPr>
          <w:p w14:paraId="76D57E5F" w14:textId="77777777" w:rsidR="00000000" w:rsidRDefault="0015578C">
            <w:pPr>
              <w:pStyle w:val="a3"/>
              <w:spacing w:before="0" w:beforeAutospacing="0" w:after="0" w:afterAutospacing="0"/>
              <w:rPr>
                <w:sz w:val="20"/>
                <w:szCs w:val="20"/>
              </w:rPr>
            </w:pPr>
            <w:hyperlink w:anchor="i16" w:history="1">
              <w:r>
                <w:rPr>
                  <w:rStyle w:val="a5"/>
                  <w:b/>
                  <w:bCs/>
                  <w:sz w:val="20"/>
                  <w:szCs w:val="20"/>
                </w:rPr>
                <w:t xml:space="preserve">Item 16 </w:t>
              </w:r>
            </w:hyperlink>
          </w:p>
        </w:tc>
        <w:tc>
          <w:tcPr>
            <w:tcW w:w="0" w:type="auto"/>
            <w:shd w:val="clear" w:color="auto" w:fill="FFFFFF"/>
            <w:hideMark/>
          </w:tcPr>
          <w:p w14:paraId="775E0290" w14:textId="77777777" w:rsidR="00000000" w:rsidRDefault="0015578C">
            <w:pPr>
              <w:pStyle w:val="a3"/>
              <w:spacing w:before="0" w:beforeAutospacing="0" w:after="0" w:afterAutospacing="0"/>
              <w:rPr>
                <w:sz w:val="20"/>
                <w:szCs w:val="20"/>
              </w:rPr>
            </w:pPr>
            <w:hyperlink w:anchor="i16" w:history="1">
              <w:r>
                <w:rPr>
                  <w:rStyle w:val="a5"/>
                  <w:sz w:val="20"/>
                  <w:szCs w:val="20"/>
                </w:rPr>
                <w:t>Form 10-K Summary</w:t>
              </w:r>
            </w:hyperlink>
          </w:p>
        </w:tc>
        <w:tc>
          <w:tcPr>
            <w:tcW w:w="0" w:type="auto"/>
            <w:shd w:val="clear" w:color="auto" w:fill="FFFFFF"/>
            <w:vAlign w:val="center"/>
            <w:hideMark/>
          </w:tcPr>
          <w:p w14:paraId="6C95387C"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33A4D5B9" w14:textId="77777777" w:rsidR="00000000" w:rsidRDefault="0015578C">
            <w:pPr>
              <w:pStyle w:val="a3"/>
              <w:spacing w:before="0" w:beforeAutospacing="0" w:after="0" w:afterAutospacing="0"/>
              <w:jc w:val="right"/>
              <w:rPr>
                <w:sz w:val="20"/>
                <w:szCs w:val="20"/>
              </w:rPr>
            </w:pPr>
            <w:r>
              <w:rPr>
                <w:sz w:val="20"/>
                <w:szCs w:val="20"/>
              </w:rPr>
              <w:t>49</w:t>
            </w:r>
          </w:p>
        </w:tc>
      </w:tr>
      <w:tr w:rsidR="00000000" w14:paraId="4AE4C5E7" w14:textId="77777777">
        <w:trPr>
          <w:trHeight w:val="225"/>
          <w:tblCellSpacing w:w="15" w:type="dxa"/>
        </w:trPr>
        <w:tc>
          <w:tcPr>
            <w:tcW w:w="0" w:type="auto"/>
            <w:shd w:val="clear" w:color="auto" w:fill="CCEEFF"/>
            <w:vAlign w:val="center"/>
            <w:hideMark/>
          </w:tcPr>
          <w:p w14:paraId="25E01254"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202BE813"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4F72E649"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05F96001" w14:textId="77777777" w:rsidR="00000000" w:rsidRDefault="0015578C">
            <w:pPr>
              <w:pStyle w:val="a3"/>
              <w:spacing w:before="0" w:beforeAutospacing="0" w:after="0" w:afterAutospacing="0"/>
              <w:jc w:val="right"/>
              <w:rPr>
                <w:sz w:val="20"/>
                <w:szCs w:val="20"/>
              </w:rPr>
            </w:pPr>
            <w:r>
              <w:rPr>
                <w:sz w:val="20"/>
                <w:szCs w:val="20"/>
              </w:rPr>
              <w:t> </w:t>
            </w:r>
          </w:p>
        </w:tc>
      </w:tr>
      <w:tr w:rsidR="00000000" w14:paraId="455CFAA2" w14:textId="77777777">
        <w:trPr>
          <w:trHeight w:val="225"/>
          <w:tblCellSpacing w:w="15" w:type="dxa"/>
        </w:trPr>
        <w:tc>
          <w:tcPr>
            <w:tcW w:w="0" w:type="auto"/>
            <w:gridSpan w:val="2"/>
            <w:shd w:val="clear" w:color="auto" w:fill="FFFFFF"/>
            <w:hideMark/>
          </w:tcPr>
          <w:p w14:paraId="458909F5" w14:textId="77777777" w:rsidR="00000000" w:rsidRDefault="0015578C">
            <w:pPr>
              <w:pStyle w:val="a3"/>
              <w:spacing w:before="0" w:beforeAutospacing="0" w:after="0" w:afterAutospacing="0"/>
              <w:rPr>
                <w:sz w:val="20"/>
                <w:szCs w:val="20"/>
              </w:rPr>
            </w:pPr>
            <w:hyperlink w:anchor="sg" w:history="1">
              <w:r>
                <w:rPr>
                  <w:rStyle w:val="a5"/>
                  <w:sz w:val="20"/>
                  <w:szCs w:val="20"/>
                </w:rPr>
                <w:t>SIGNATURES</w:t>
              </w:r>
            </w:hyperlink>
          </w:p>
        </w:tc>
        <w:tc>
          <w:tcPr>
            <w:tcW w:w="0" w:type="auto"/>
            <w:shd w:val="clear" w:color="auto" w:fill="FFFFFF"/>
            <w:vAlign w:val="center"/>
            <w:hideMark/>
          </w:tcPr>
          <w:p w14:paraId="354FCA1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hideMark/>
          </w:tcPr>
          <w:p w14:paraId="51084572" w14:textId="77777777" w:rsidR="00000000" w:rsidRDefault="0015578C">
            <w:pPr>
              <w:pStyle w:val="a3"/>
              <w:spacing w:before="0" w:beforeAutospacing="0" w:after="0" w:afterAutospacing="0"/>
              <w:jc w:val="right"/>
              <w:rPr>
                <w:sz w:val="20"/>
                <w:szCs w:val="20"/>
              </w:rPr>
            </w:pPr>
            <w:r>
              <w:rPr>
                <w:sz w:val="20"/>
                <w:szCs w:val="20"/>
              </w:rPr>
              <w:t>50</w:t>
            </w:r>
          </w:p>
        </w:tc>
      </w:tr>
    </w:tbl>
    <w:p w14:paraId="1B07F8FD"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36885AA" w14:textId="77777777">
        <w:trPr>
          <w:trHeight w:val="225"/>
          <w:tblCellSpacing w:w="15" w:type="dxa"/>
        </w:trPr>
        <w:tc>
          <w:tcPr>
            <w:tcW w:w="0" w:type="auto"/>
            <w:vAlign w:val="center"/>
            <w:hideMark/>
          </w:tcPr>
          <w:p w14:paraId="1BE7B71D" w14:textId="77777777" w:rsidR="00000000" w:rsidRDefault="0015578C">
            <w:pPr>
              <w:rPr>
                <w:rFonts w:eastAsia="Times New Roman"/>
                <w:sz w:val="20"/>
                <w:szCs w:val="20"/>
              </w:rPr>
            </w:pPr>
            <w:r>
              <w:rPr>
                <w:rFonts w:eastAsia="Times New Roman"/>
                <w:sz w:val="20"/>
                <w:szCs w:val="20"/>
              </w:rPr>
              <w:t> </w:t>
            </w:r>
          </w:p>
        </w:tc>
      </w:tr>
      <w:tr w:rsidR="00000000" w14:paraId="57DD5332" w14:textId="77777777">
        <w:trPr>
          <w:trHeight w:val="225"/>
          <w:tblCellSpacing w:w="15" w:type="dxa"/>
        </w:trPr>
        <w:tc>
          <w:tcPr>
            <w:tcW w:w="0" w:type="auto"/>
            <w:tcBorders>
              <w:bottom w:val="single" w:sz="6" w:space="0" w:color="000000"/>
            </w:tcBorders>
            <w:vAlign w:val="center"/>
            <w:hideMark/>
          </w:tcPr>
          <w:p w14:paraId="7BDC9216" w14:textId="77777777" w:rsidR="00000000" w:rsidRDefault="0015578C">
            <w:pPr>
              <w:jc w:val="center"/>
              <w:rPr>
                <w:rFonts w:eastAsia="Times New Roman"/>
                <w:sz w:val="20"/>
                <w:szCs w:val="20"/>
              </w:rPr>
            </w:pPr>
            <w:r>
              <w:rPr>
                <w:rFonts w:eastAsia="Times New Roman"/>
                <w:sz w:val="20"/>
                <w:szCs w:val="20"/>
              </w:rPr>
              <w:t>2</w:t>
            </w:r>
          </w:p>
        </w:tc>
      </w:tr>
      <w:tr w:rsidR="00000000" w14:paraId="49907860" w14:textId="77777777">
        <w:trPr>
          <w:trHeight w:val="225"/>
          <w:tblCellSpacing w:w="15" w:type="dxa"/>
        </w:trPr>
        <w:tc>
          <w:tcPr>
            <w:tcW w:w="0" w:type="auto"/>
            <w:vAlign w:val="center"/>
            <w:hideMark/>
          </w:tcPr>
          <w:p w14:paraId="60CD9315" w14:textId="77777777" w:rsidR="00000000" w:rsidRDefault="0015578C">
            <w:pPr>
              <w:rPr>
                <w:rFonts w:eastAsia="Times New Roman"/>
                <w:sz w:val="20"/>
                <w:szCs w:val="20"/>
              </w:rPr>
            </w:pPr>
          </w:p>
        </w:tc>
      </w:tr>
      <w:tr w:rsidR="00000000" w14:paraId="732074F5" w14:textId="77777777">
        <w:trPr>
          <w:trHeight w:val="225"/>
          <w:tblCellSpacing w:w="15" w:type="dxa"/>
        </w:trPr>
        <w:tc>
          <w:tcPr>
            <w:tcW w:w="0" w:type="auto"/>
            <w:vAlign w:val="center"/>
            <w:hideMark/>
          </w:tcPr>
          <w:p w14:paraId="4666DC5B"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3F33DC68" w14:textId="77777777" w:rsidR="00000000" w:rsidRDefault="0015578C">
      <w:pPr>
        <w:pStyle w:val="a3"/>
        <w:spacing w:before="0" w:beforeAutospacing="0" w:after="0" w:afterAutospacing="0"/>
        <w:jc w:val="both"/>
        <w:rPr>
          <w:sz w:val="20"/>
          <w:szCs w:val="20"/>
        </w:rPr>
      </w:pPr>
      <w:r>
        <w:rPr>
          <w:sz w:val="20"/>
          <w:szCs w:val="20"/>
        </w:rPr>
        <w:t>    </w:t>
      </w:r>
    </w:p>
    <w:p w14:paraId="439B4FEE" w14:textId="77777777" w:rsidR="00000000" w:rsidRDefault="0015578C">
      <w:pPr>
        <w:pStyle w:val="a3"/>
        <w:spacing w:before="0" w:beforeAutospacing="0" w:after="0" w:afterAutospacing="0"/>
        <w:jc w:val="both"/>
        <w:rPr>
          <w:sz w:val="20"/>
          <w:szCs w:val="20"/>
        </w:rPr>
      </w:pPr>
      <w:r>
        <w:rPr>
          <w:rStyle w:val="atag"/>
          <w:b/>
          <w:bCs/>
          <w:sz w:val="20"/>
          <w:szCs w:val="20"/>
          <w:u w:val="single"/>
        </w:rPr>
        <w:t xml:space="preserve">PART </w:t>
      </w:r>
      <w:r>
        <w:rPr>
          <w:rStyle w:val="atag"/>
          <w:b/>
          <w:bCs/>
          <w:sz w:val="20"/>
          <w:szCs w:val="20"/>
          <w:u w:val="single"/>
        </w:rPr>
        <w:t>I</w:t>
      </w:r>
    </w:p>
    <w:p w14:paraId="3856489C" w14:textId="77777777" w:rsidR="00000000" w:rsidRDefault="0015578C">
      <w:pPr>
        <w:pStyle w:val="a3"/>
        <w:spacing w:before="0" w:beforeAutospacing="0" w:after="0" w:afterAutospacing="0"/>
        <w:jc w:val="both"/>
        <w:rPr>
          <w:sz w:val="20"/>
          <w:szCs w:val="20"/>
        </w:rPr>
      </w:pPr>
      <w:r>
        <w:rPr>
          <w:sz w:val="20"/>
          <w:szCs w:val="20"/>
        </w:rPr>
        <w:t> </w:t>
      </w:r>
    </w:p>
    <w:p w14:paraId="612C58C5" w14:textId="77777777" w:rsidR="00000000" w:rsidRDefault="0015578C">
      <w:pPr>
        <w:pStyle w:val="a3"/>
        <w:spacing w:before="0" w:beforeAutospacing="0" w:after="0" w:afterAutospacing="0"/>
        <w:ind w:firstLine="675"/>
        <w:jc w:val="both"/>
        <w:rPr>
          <w:sz w:val="20"/>
          <w:szCs w:val="20"/>
        </w:rPr>
      </w:pPr>
      <w:r>
        <w:rPr>
          <w:sz w:val="20"/>
          <w:szCs w:val="20"/>
        </w:rPr>
        <w:t xml:space="preserve">This Annual Report on Form 10-K contains statements that constitute "forward-looking statements" within the meaning of section 27A of the Securities Act of 1933 and section 21E of the Securities Exchange Act of 1934, as amended (the “Exchange Act”). These </w:t>
      </w:r>
      <w:r>
        <w:rPr>
          <w:sz w:val="20"/>
          <w:szCs w:val="20"/>
        </w:rPr>
        <w:t>statements can be identified by the fact that they do not relate strictly to historical information and include the words "expects", "believes", "anticipates", "plans", "may", "will", "intend", "estimate", "continue" or other similar expressions. These for</w:t>
      </w:r>
      <w:r>
        <w:rPr>
          <w:sz w:val="20"/>
          <w:szCs w:val="20"/>
        </w:rPr>
        <w:t>ward-looking statements are subject to various risks and uncertainties that could cause actual results to differ materially from those currently anticipated. These risks and uncertainties include, but are not limited to, items discussed below in Item 1A "R</w:t>
      </w:r>
      <w:r>
        <w:rPr>
          <w:sz w:val="20"/>
          <w:szCs w:val="20"/>
        </w:rPr>
        <w:t>isk Factors" in this Annual Report on Form 10-K. Forward-looking statements speak only as of the date made. We undertake no obligation to publicly release or update forward-looking statements, whether as a result of new information, future events or otherw</w:t>
      </w:r>
      <w:r>
        <w:rPr>
          <w:sz w:val="20"/>
          <w:szCs w:val="20"/>
        </w:rPr>
        <w:t>ise. You are, however, advised to consult any further disclosures we make on related subjects in our quarterly reports on Form 10-Q and any current reports made on Form 8-K to the United States Securities and Exchange Commission (the "SEC").</w:t>
      </w:r>
    </w:p>
    <w:p w14:paraId="7D565E12" w14:textId="77777777" w:rsidR="00000000" w:rsidRDefault="0015578C">
      <w:pPr>
        <w:pStyle w:val="a3"/>
        <w:spacing w:before="0" w:beforeAutospacing="0" w:after="0" w:afterAutospacing="0"/>
        <w:jc w:val="both"/>
        <w:rPr>
          <w:sz w:val="20"/>
          <w:szCs w:val="20"/>
        </w:rPr>
      </w:pPr>
      <w:r>
        <w:rPr>
          <w:sz w:val="20"/>
          <w:szCs w:val="20"/>
        </w:rPr>
        <w:t> </w:t>
      </w:r>
    </w:p>
    <w:p w14:paraId="7563D6F1"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 </w:t>
      </w:r>
      <w:r>
        <w:rPr>
          <w:rStyle w:val="atag"/>
          <w:b/>
          <w:bCs/>
          <w:sz w:val="20"/>
          <w:szCs w:val="20"/>
          <w:u w:val="single"/>
        </w:rPr>
        <w:t>Busi</w:t>
      </w:r>
      <w:r>
        <w:rPr>
          <w:rStyle w:val="atag"/>
          <w:b/>
          <w:bCs/>
          <w:sz w:val="20"/>
          <w:szCs w:val="20"/>
          <w:u w:val="single"/>
        </w:rPr>
        <w:t>nes</w:t>
      </w:r>
      <w:r>
        <w:rPr>
          <w:rStyle w:val="atag"/>
          <w:b/>
          <w:bCs/>
          <w:sz w:val="20"/>
          <w:szCs w:val="20"/>
          <w:u w:val="single"/>
        </w:rPr>
        <w:t>s</w:t>
      </w:r>
    </w:p>
    <w:p w14:paraId="1239C5E1" w14:textId="77777777" w:rsidR="00000000" w:rsidRDefault="0015578C">
      <w:pPr>
        <w:pStyle w:val="a3"/>
        <w:spacing w:before="0" w:beforeAutospacing="0" w:after="0" w:afterAutospacing="0"/>
        <w:jc w:val="both"/>
        <w:rPr>
          <w:sz w:val="20"/>
          <w:szCs w:val="20"/>
        </w:rPr>
      </w:pPr>
      <w:r>
        <w:rPr>
          <w:sz w:val="20"/>
          <w:szCs w:val="20"/>
        </w:rPr>
        <w:t> </w:t>
      </w:r>
    </w:p>
    <w:p w14:paraId="4D68F29F" w14:textId="77777777" w:rsidR="00000000" w:rsidRDefault="0015578C">
      <w:pPr>
        <w:pStyle w:val="a3"/>
        <w:spacing w:before="0" w:beforeAutospacing="0" w:after="0" w:afterAutospacing="0"/>
        <w:jc w:val="both"/>
        <w:rPr>
          <w:sz w:val="20"/>
          <w:szCs w:val="20"/>
        </w:rPr>
      </w:pPr>
      <w:r>
        <w:rPr>
          <w:sz w:val="20"/>
          <w:szCs w:val="20"/>
        </w:rPr>
        <w:t>Business and Company Formation</w:t>
      </w:r>
    </w:p>
    <w:p w14:paraId="4E30AC35" w14:textId="77777777" w:rsidR="00000000" w:rsidRDefault="0015578C">
      <w:pPr>
        <w:pStyle w:val="a3"/>
        <w:spacing w:before="0" w:beforeAutospacing="0" w:after="0" w:afterAutospacing="0"/>
        <w:jc w:val="both"/>
        <w:rPr>
          <w:sz w:val="20"/>
          <w:szCs w:val="20"/>
        </w:rPr>
      </w:pPr>
      <w:r>
        <w:rPr>
          <w:sz w:val="20"/>
          <w:szCs w:val="20"/>
        </w:rPr>
        <w:t> </w:t>
      </w:r>
    </w:p>
    <w:p w14:paraId="3C4B3D0E" w14:textId="77777777" w:rsidR="00000000" w:rsidRDefault="0015578C">
      <w:pPr>
        <w:pStyle w:val="a3"/>
        <w:spacing w:before="0" w:beforeAutospacing="0" w:after="0" w:afterAutospacing="0"/>
        <w:ind w:firstLine="720"/>
        <w:jc w:val="both"/>
        <w:rPr>
          <w:sz w:val="20"/>
          <w:szCs w:val="20"/>
        </w:rPr>
      </w:pPr>
      <w:r>
        <w:rPr>
          <w:sz w:val="20"/>
          <w:szCs w:val="20"/>
        </w:rPr>
        <w:t>Solitario Zinc Corp. (“Solitario” or the “Company”) is an exploration stage company as defined by rules issued by the SEC. Solitario was incorporated in the State of Colorado on November 15, 1984 as a wholly owned su</w:t>
      </w:r>
      <w:r>
        <w:rPr>
          <w:sz w:val="20"/>
          <w:szCs w:val="20"/>
        </w:rPr>
        <w:t>bsidiary of Crown Resources Corporation ("Crown"). In July 1994, Solitario became a publicly traded company on the Toronto Stock Exchange (the "TSX") through its initial public offering. Solitario has been actively involved in mineral exploration since 199</w:t>
      </w:r>
      <w:r>
        <w:rPr>
          <w:sz w:val="20"/>
          <w:szCs w:val="20"/>
        </w:rPr>
        <w:t>3. Solitario’s primary business is to acquire exploration mineral properties and/or discover economic deposits on its mineral properties and advance these deposits, either on its own or through joint ventures, up to the development stage of the project. At</w:t>
      </w:r>
      <w:r>
        <w:rPr>
          <w:sz w:val="20"/>
          <w:szCs w:val="20"/>
        </w:rPr>
        <w:t xml:space="preserve"> that point, or sometime prior to that point, Solitario would likely attempt to sell its mineral properties, pursue their development either on its own or through a joint venture with a partner that has expertise in mining operations, or create a royalty w</w:t>
      </w:r>
      <w:r>
        <w:rPr>
          <w:sz w:val="20"/>
          <w:szCs w:val="20"/>
        </w:rPr>
        <w:t xml:space="preserve">ith a third party that continues to advance the property. Solitario has never developed a property. Solitario’s primary focus is on the acquisition and exploration of precious metal, zinc and other base metal exploration mineral properties. In addition to </w:t>
      </w:r>
      <w:r>
        <w:rPr>
          <w:sz w:val="20"/>
          <w:szCs w:val="20"/>
        </w:rPr>
        <w:t>focusing on its mineral exploration properties and the evaluation of mineral properties for acquisition, Solitario also evaluates potential strategic transactions as a means to acquire an interest in new precious and base metal properties and assets with e</w:t>
      </w:r>
      <w:r>
        <w:rPr>
          <w:sz w:val="20"/>
          <w:szCs w:val="20"/>
        </w:rPr>
        <w:t>xploration potential or other potential corporate transactions that Solitario determines to be favorable to Solitario.</w:t>
      </w:r>
    </w:p>
    <w:p w14:paraId="2D7206B9" w14:textId="77777777" w:rsidR="00000000" w:rsidRDefault="0015578C">
      <w:pPr>
        <w:pStyle w:val="a3"/>
        <w:spacing w:before="0" w:beforeAutospacing="0" w:after="0" w:afterAutospacing="0"/>
        <w:jc w:val="both"/>
        <w:rPr>
          <w:sz w:val="20"/>
          <w:szCs w:val="20"/>
        </w:rPr>
      </w:pPr>
      <w:r>
        <w:rPr>
          <w:sz w:val="20"/>
          <w:szCs w:val="20"/>
        </w:rPr>
        <w:t> </w:t>
      </w:r>
    </w:p>
    <w:p w14:paraId="0A78A95F" w14:textId="77777777" w:rsidR="00000000" w:rsidRDefault="0015578C">
      <w:pPr>
        <w:pStyle w:val="a3"/>
        <w:spacing w:before="0" w:beforeAutospacing="0" w:after="0" w:afterAutospacing="0"/>
        <w:ind w:firstLine="720"/>
        <w:jc w:val="both"/>
        <w:rPr>
          <w:sz w:val="20"/>
          <w:szCs w:val="20"/>
        </w:rPr>
      </w:pPr>
      <w:r>
        <w:rPr>
          <w:sz w:val="20"/>
          <w:szCs w:val="20"/>
        </w:rPr>
        <w:t>Solitario has recorded revenue in the past from the sale of mineral properties, including the sale of certain mineral royalties. Revenues and / or proceeds from the sale or joint venture of properties or assets, although significant when they occur, have n</w:t>
      </w:r>
      <w:r>
        <w:rPr>
          <w:sz w:val="20"/>
          <w:szCs w:val="20"/>
        </w:rPr>
        <w:t>ot been a consistent annual source of cash and would only occur in the future, if at all, on an infrequent basis.</w:t>
      </w:r>
    </w:p>
    <w:p w14:paraId="520663E6" w14:textId="77777777" w:rsidR="00000000" w:rsidRDefault="0015578C">
      <w:pPr>
        <w:pStyle w:val="a3"/>
        <w:spacing w:before="0" w:beforeAutospacing="0" w:after="0" w:afterAutospacing="0"/>
        <w:jc w:val="both"/>
        <w:rPr>
          <w:sz w:val="20"/>
          <w:szCs w:val="20"/>
        </w:rPr>
      </w:pPr>
      <w:r>
        <w:rPr>
          <w:sz w:val="20"/>
          <w:szCs w:val="20"/>
        </w:rPr>
        <w:t> </w:t>
      </w:r>
    </w:p>
    <w:p w14:paraId="5A3345D8" w14:textId="77777777" w:rsidR="00000000" w:rsidRDefault="0015578C">
      <w:pPr>
        <w:pStyle w:val="a3"/>
        <w:spacing w:before="0" w:beforeAutospacing="0" w:after="0" w:afterAutospacing="0"/>
        <w:ind w:firstLine="720"/>
        <w:jc w:val="both"/>
        <w:rPr>
          <w:sz w:val="20"/>
          <w:szCs w:val="20"/>
        </w:rPr>
      </w:pPr>
      <w:r>
        <w:rPr>
          <w:sz w:val="20"/>
          <w:szCs w:val="20"/>
        </w:rPr>
        <w:t xml:space="preserve">Solitario currently considers its Golden Crest project in South Dakota, its carried interest in the Florida Canyon project in Peru, and its </w:t>
      </w:r>
      <w:r>
        <w:rPr>
          <w:sz w:val="20"/>
          <w:szCs w:val="20"/>
        </w:rPr>
        <w:t>interest in the Lik project in Alaska to be its core mineral property assets. Nexa Resources, Ltd. (“Nexa”), Solitario’s joint venture partner at Florida Canyon, is continuing the furtherance of the Florida Canyon project and Solitario is monitoring the pr</w:t>
      </w:r>
      <w:r>
        <w:rPr>
          <w:sz w:val="20"/>
          <w:szCs w:val="20"/>
        </w:rPr>
        <w:t>ogress at Florida Canyon. Solitario is working with its 50% joint venture partner, Teck American Inc., a wholly owned subsidiary of Teck Resources Limited (both companies are referred to in this Annual Report as “Teck”) at its Lik project. Teck completed a</w:t>
      </w:r>
      <w:r>
        <w:rPr>
          <w:sz w:val="20"/>
          <w:szCs w:val="20"/>
        </w:rPr>
        <w:t xml:space="preserve"> drilling program and conducted mapping and ground gravity geophysical </w:t>
      </w:r>
      <w:r>
        <w:rPr>
          <w:sz w:val="20"/>
          <w:szCs w:val="20"/>
        </w:rPr>
        <w:lastRenderedPageBreak/>
        <w:t>activities at the Lik project during 2022. Solitario is conducting mineral exploration on its Golden Crest project on its own.</w:t>
      </w:r>
    </w:p>
    <w:p w14:paraId="7C0B60C2" w14:textId="77777777" w:rsidR="00000000" w:rsidRDefault="0015578C">
      <w:pPr>
        <w:pStyle w:val="a3"/>
        <w:spacing w:before="0" w:beforeAutospacing="0" w:after="0" w:afterAutospacing="0"/>
        <w:jc w:val="both"/>
        <w:rPr>
          <w:sz w:val="20"/>
          <w:szCs w:val="20"/>
        </w:rPr>
      </w:pPr>
      <w:r>
        <w:rPr>
          <w:sz w:val="20"/>
          <w:szCs w:val="20"/>
        </w:rPr>
        <w:t> </w:t>
      </w:r>
    </w:p>
    <w:p w14:paraId="5B8BE4E4" w14:textId="77777777" w:rsidR="00000000" w:rsidRDefault="0015578C">
      <w:pPr>
        <w:pStyle w:val="a3"/>
        <w:spacing w:before="0" w:beforeAutospacing="0" w:after="0" w:afterAutospacing="0"/>
        <w:ind w:firstLine="720"/>
        <w:jc w:val="both"/>
        <w:rPr>
          <w:sz w:val="20"/>
          <w:szCs w:val="20"/>
        </w:rPr>
      </w:pPr>
      <w:r>
        <w:rPr>
          <w:sz w:val="20"/>
          <w:szCs w:val="20"/>
        </w:rPr>
        <w:t>As of December 31, 2022, Solitario anticipates using its</w:t>
      </w:r>
      <w:r>
        <w:rPr>
          <w:sz w:val="20"/>
          <w:szCs w:val="20"/>
        </w:rPr>
        <w:t xml:space="preserve"> cash and short-term investments, in part, to further fund the exploration of its Golden Crest, Florida Canyon, and Lik projects and to potentially acquire additional mineral property assets. The fluctuations in precious metal and other commodity prices co</w:t>
      </w:r>
      <w:r>
        <w:rPr>
          <w:sz w:val="20"/>
          <w:szCs w:val="20"/>
        </w:rPr>
        <w:t>ntribute to a challenging environment for mineral exploration and development, which has created opportunities as well as challenges for the potential acquisition of early-stage and advanced mineral exploration projects or other related assets on potential</w:t>
      </w:r>
      <w:r>
        <w:rPr>
          <w:sz w:val="20"/>
          <w:szCs w:val="20"/>
        </w:rPr>
        <w:t>ly attractive terms.</w:t>
      </w:r>
    </w:p>
    <w:p w14:paraId="20D8E6C2" w14:textId="77777777" w:rsidR="00000000" w:rsidRDefault="0015578C">
      <w:pPr>
        <w:pStyle w:val="a3"/>
        <w:spacing w:before="0" w:beforeAutospacing="0" w:after="0" w:afterAutospacing="0"/>
        <w:jc w:val="both"/>
        <w:rPr>
          <w:sz w:val="20"/>
          <w:szCs w:val="20"/>
        </w:rPr>
      </w:pPr>
      <w:r>
        <w:rPr>
          <w:sz w:val="20"/>
          <w:szCs w:val="20"/>
        </w:rPr>
        <w:t> </w:t>
      </w:r>
    </w:p>
    <w:p w14:paraId="3C19517B" w14:textId="77777777" w:rsidR="00000000" w:rsidRDefault="0015578C">
      <w:pPr>
        <w:pStyle w:val="a3"/>
        <w:spacing w:before="0" w:beforeAutospacing="0" w:after="0" w:afterAutospacing="0"/>
        <w:jc w:val="both"/>
        <w:rPr>
          <w:sz w:val="20"/>
          <w:szCs w:val="20"/>
        </w:rPr>
      </w:pPr>
      <w:r>
        <w:rPr>
          <w:sz w:val="20"/>
          <w:szCs w:val="20"/>
        </w:rPr>
        <w:t>Human Capital Management</w:t>
      </w:r>
    </w:p>
    <w:p w14:paraId="3257AD95" w14:textId="77777777" w:rsidR="00000000" w:rsidRDefault="0015578C">
      <w:pPr>
        <w:pStyle w:val="a3"/>
        <w:spacing w:before="0" w:beforeAutospacing="0" w:after="0" w:afterAutospacing="0"/>
        <w:jc w:val="both"/>
        <w:rPr>
          <w:sz w:val="20"/>
          <w:szCs w:val="20"/>
        </w:rPr>
      </w:pPr>
      <w:r>
        <w:rPr>
          <w:sz w:val="20"/>
          <w:szCs w:val="20"/>
        </w:rPr>
        <w:t> </w:t>
      </w:r>
    </w:p>
    <w:p w14:paraId="68AAF50F" w14:textId="77777777" w:rsidR="00000000" w:rsidRDefault="0015578C">
      <w:pPr>
        <w:pStyle w:val="a3"/>
        <w:spacing w:before="0" w:beforeAutospacing="0" w:after="0" w:afterAutospacing="0"/>
        <w:ind w:firstLine="675"/>
        <w:jc w:val="both"/>
        <w:rPr>
          <w:sz w:val="20"/>
          <w:szCs w:val="20"/>
        </w:rPr>
      </w:pPr>
      <w:r>
        <w:rPr>
          <w:sz w:val="20"/>
          <w:szCs w:val="20"/>
        </w:rPr>
        <w:t>As of December 31, 2022, Solitario had three full-time employees and three part-time seasonal employees. In addition, we use consultants and contractors with specific skills to assist with exploration activ</w:t>
      </w:r>
      <w:r>
        <w:rPr>
          <w:sz w:val="20"/>
          <w:szCs w:val="20"/>
        </w:rPr>
        <w:t>ities, administration, due diligence, environmental and regulatory compliance, corporate governance, and asset and operations management.</w:t>
      </w:r>
    </w:p>
    <w:p w14:paraId="018828AE" w14:textId="77777777" w:rsidR="00000000" w:rsidRDefault="0015578C">
      <w:pPr>
        <w:pStyle w:val="a3"/>
        <w:spacing w:before="0" w:beforeAutospacing="0" w:after="0" w:afterAutospacing="0"/>
        <w:jc w:val="both"/>
        <w:rPr>
          <w:sz w:val="20"/>
          <w:szCs w:val="20"/>
        </w:rPr>
      </w:pPr>
      <w:r>
        <w:rPr>
          <w:sz w:val="20"/>
          <w:szCs w:val="20"/>
        </w:rPr>
        <w:t> </w:t>
      </w:r>
    </w:p>
    <w:p w14:paraId="5F8D41B9" w14:textId="77777777" w:rsidR="00000000" w:rsidRDefault="0015578C">
      <w:pPr>
        <w:pStyle w:val="a3"/>
        <w:spacing w:before="0" w:beforeAutospacing="0" w:after="0" w:afterAutospacing="0"/>
        <w:ind w:firstLine="675"/>
        <w:jc w:val="both"/>
        <w:rPr>
          <w:sz w:val="20"/>
          <w:szCs w:val="20"/>
        </w:rPr>
      </w:pPr>
      <w:r>
        <w:rPr>
          <w:sz w:val="20"/>
          <w:szCs w:val="20"/>
        </w:rPr>
        <w:t xml:space="preserve">Our compensation programs are designed to align compensation of our employees with Solitario’s corporate objectives </w:t>
      </w:r>
      <w:r>
        <w:rPr>
          <w:sz w:val="20"/>
          <w:szCs w:val="20"/>
        </w:rPr>
        <w:t>and performance and are designed to provide incentives to attract, retain and motivate our employees and contractors to achieve their highest potential over both the short-term and long-term.</w:t>
      </w:r>
    </w:p>
    <w:p w14:paraId="491F3DF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B9EDE2B" w14:textId="77777777">
        <w:trPr>
          <w:trHeight w:val="225"/>
          <w:tblCellSpacing w:w="15" w:type="dxa"/>
        </w:trPr>
        <w:tc>
          <w:tcPr>
            <w:tcW w:w="0" w:type="auto"/>
            <w:vAlign w:val="center"/>
            <w:hideMark/>
          </w:tcPr>
          <w:p w14:paraId="4E99C171" w14:textId="77777777" w:rsidR="00000000" w:rsidRDefault="0015578C">
            <w:pPr>
              <w:rPr>
                <w:rFonts w:eastAsia="Times New Roman"/>
                <w:sz w:val="20"/>
                <w:szCs w:val="20"/>
              </w:rPr>
            </w:pPr>
            <w:r>
              <w:rPr>
                <w:rFonts w:eastAsia="Times New Roman"/>
                <w:sz w:val="20"/>
                <w:szCs w:val="20"/>
              </w:rPr>
              <w:t> </w:t>
            </w:r>
          </w:p>
        </w:tc>
      </w:tr>
      <w:tr w:rsidR="00000000" w14:paraId="5017C63A" w14:textId="77777777">
        <w:trPr>
          <w:trHeight w:val="225"/>
          <w:tblCellSpacing w:w="15" w:type="dxa"/>
        </w:trPr>
        <w:tc>
          <w:tcPr>
            <w:tcW w:w="0" w:type="auto"/>
            <w:tcBorders>
              <w:bottom w:val="single" w:sz="6" w:space="0" w:color="000000"/>
            </w:tcBorders>
            <w:vAlign w:val="center"/>
            <w:hideMark/>
          </w:tcPr>
          <w:p w14:paraId="18BE1AD3" w14:textId="77777777" w:rsidR="00000000" w:rsidRDefault="0015578C">
            <w:pPr>
              <w:jc w:val="center"/>
              <w:rPr>
                <w:rFonts w:eastAsia="Times New Roman"/>
                <w:sz w:val="20"/>
                <w:szCs w:val="20"/>
              </w:rPr>
            </w:pPr>
            <w:r>
              <w:rPr>
                <w:rFonts w:eastAsia="Times New Roman"/>
                <w:sz w:val="20"/>
                <w:szCs w:val="20"/>
              </w:rPr>
              <w:t>3</w:t>
            </w:r>
          </w:p>
        </w:tc>
      </w:tr>
      <w:tr w:rsidR="00000000" w14:paraId="4D9C7CB9" w14:textId="77777777">
        <w:trPr>
          <w:trHeight w:val="225"/>
          <w:tblCellSpacing w:w="15" w:type="dxa"/>
        </w:trPr>
        <w:tc>
          <w:tcPr>
            <w:tcW w:w="0" w:type="auto"/>
            <w:vAlign w:val="center"/>
            <w:hideMark/>
          </w:tcPr>
          <w:p w14:paraId="3B1C740A" w14:textId="77777777" w:rsidR="00000000" w:rsidRDefault="0015578C">
            <w:pPr>
              <w:rPr>
                <w:rFonts w:eastAsia="Times New Roman"/>
                <w:sz w:val="20"/>
                <w:szCs w:val="20"/>
              </w:rPr>
            </w:pPr>
          </w:p>
        </w:tc>
      </w:tr>
      <w:tr w:rsidR="00000000" w14:paraId="79DC42F8" w14:textId="77777777">
        <w:trPr>
          <w:trHeight w:val="225"/>
          <w:tblCellSpacing w:w="15" w:type="dxa"/>
        </w:trPr>
        <w:tc>
          <w:tcPr>
            <w:tcW w:w="0" w:type="auto"/>
            <w:vAlign w:val="center"/>
            <w:hideMark/>
          </w:tcPr>
          <w:p w14:paraId="07699DED"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20214F0" w14:textId="77777777" w:rsidR="00000000" w:rsidRDefault="0015578C">
      <w:pPr>
        <w:pStyle w:val="a3"/>
        <w:spacing w:before="0" w:beforeAutospacing="0" w:after="0" w:afterAutospacing="0"/>
        <w:jc w:val="both"/>
        <w:rPr>
          <w:sz w:val="20"/>
          <w:szCs w:val="20"/>
        </w:rPr>
      </w:pPr>
      <w:r>
        <w:rPr>
          <w:sz w:val="20"/>
          <w:szCs w:val="20"/>
        </w:rPr>
        <w:t> </w:t>
      </w:r>
    </w:p>
    <w:p w14:paraId="74EA03F1" w14:textId="77777777" w:rsidR="00000000" w:rsidRDefault="0015578C">
      <w:pPr>
        <w:pStyle w:val="a3"/>
        <w:spacing w:before="0" w:beforeAutospacing="0" w:after="0" w:afterAutospacing="0"/>
        <w:ind w:firstLine="675"/>
        <w:jc w:val="both"/>
        <w:rPr>
          <w:sz w:val="20"/>
          <w:szCs w:val="20"/>
        </w:rPr>
      </w:pPr>
      <w:r>
        <w:rPr>
          <w:sz w:val="20"/>
          <w:szCs w:val="20"/>
        </w:rPr>
        <w:t>The health and safety of our employees and others is a priority in how we manage and operate our business. Overall oversite of the operations is the responsibility of Solitario’s Chief Executive Officer and the Board of Directors. Offi</w:t>
      </w:r>
      <w:r>
        <w:rPr>
          <w:sz w:val="20"/>
          <w:szCs w:val="20"/>
        </w:rPr>
        <w:t>cers and employees are required to review Solitario’s Code of Business Conduct and Ethics and acknowledge their understanding of the content and intent to comply on a periodic basis.</w:t>
      </w:r>
    </w:p>
    <w:p w14:paraId="50A61CB3" w14:textId="77777777" w:rsidR="00000000" w:rsidRDefault="0015578C">
      <w:pPr>
        <w:pStyle w:val="a3"/>
        <w:spacing w:before="0" w:beforeAutospacing="0" w:after="0" w:afterAutospacing="0"/>
        <w:jc w:val="both"/>
        <w:rPr>
          <w:sz w:val="20"/>
          <w:szCs w:val="20"/>
        </w:rPr>
      </w:pPr>
      <w:r>
        <w:rPr>
          <w:sz w:val="20"/>
          <w:szCs w:val="20"/>
        </w:rPr>
        <w:t> </w:t>
      </w:r>
    </w:p>
    <w:p w14:paraId="0FA7EB74" w14:textId="77777777" w:rsidR="00000000" w:rsidRDefault="0015578C">
      <w:pPr>
        <w:pStyle w:val="a3"/>
        <w:spacing w:before="0" w:beforeAutospacing="0" w:after="0" w:afterAutospacing="0"/>
        <w:ind w:firstLine="675"/>
        <w:jc w:val="both"/>
        <w:rPr>
          <w:sz w:val="20"/>
          <w:szCs w:val="20"/>
        </w:rPr>
      </w:pPr>
      <w:r>
        <w:rPr>
          <w:sz w:val="20"/>
          <w:szCs w:val="20"/>
        </w:rPr>
        <w:t>Solitario values the diversity and talents of its employees working tog</w:t>
      </w:r>
      <w:r>
        <w:rPr>
          <w:sz w:val="20"/>
          <w:szCs w:val="20"/>
        </w:rPr>
        <w:t>ether to achieve corporate goals and personal and professional goals and objectives. We seek to cultivate a culture that is sensitive to the importance of diversity and inclusion in the workplace and are committed to continuous improvement in these areas.</w:t>
      </w:r>
    </w:p>
    <w:p w14:paraId="38006E40" w14:textId="77777777" w:rsidR="00000000" w:rsidRDefault="0015578C">
      <w:pPr>
        <w:pStyle w:val="a3"/>
        <w:spacing w:before="0" w:beforeAutospacing="0" w:after="0" w:afterAutospacing="0"/>
        <w:jc w:val="both"/>
        <w:rPr>
          <w:sz w:val="20"/>
          <w:szCs w:val="20"/>
        </w:rPr>
      </w:pPr>
      <w:r>
        <w:rPr>
          <w:sz w:val="20"/>
          <w:szCs w:val="20"/>
        </w:rPr>
        <w:t> </w:t>
      </w:r>
    </w:p>
    <w:p w14:paraId="03924E11" w14:textId="77777777" w:rsidR="00000000" w:rsidRDefault="0015578C">
      <w:pPr>
        <w:pStyle w:val="a3"/>
        <w:spacing w:before="0" w:beforeAutospacing="0" w:after="0" w:afterAutospacing="0"/>
        <w:ind w:firstLine="675"/>
        <w:jc w:val="both"/>
        <w:rPr>
          <w:sz w:val="20"/>
          <w:szCs w:val="20"/>
        </w:rPr>
      </w:pPr>
      <w:r>
        <w:rPr>
          <w:sz w:val="20"/>
          <w:szCs w:val="20"/>
        </w:rPr>
        <w:t>Environmental, Social and Governance</w:t>
      </w:r>
    </w:p>
    <w:p w14:paraId="1EC99A39" w14:textId="77777777" w:rsidR="00000000" w:rsidRDefault="0015578C">
      <w:pPr>
        <w:pStyle w:val="a3"/>
        <w:spacing w:before="0" w:beforeAutospacing="0" w:after="0" w:afterAutospacing="0"/>
        <w:jc w:val="both"/>
        <w:rPr>
          <w:sz w:val="20"/>
          <w:szCs w:val="20"/>
        </w:rPr>
      </w:pPr>
      <w:r>
        <w:rPr>
          <w:sz w:val="20"/>
          <w:szCs w:val="20"/>
        </w:rPr>
        <w:t> </w:t>
      </w:r>
    </w:p>
    <w:p w14:paraId="372E5174" w14:textId="77777777" w:rsidR="00000000" w:rsidRDefault="0015578C">
      <w:pPr>
        <w:pStyle w:val="a3"/>
        <w:spacing w:before="0" w:beforeAutospacing="0" w:after="0" w:afterAutospacing="0"/>
        <w:ind w:firstLine="675"/>
        <w:jc w:val="both"/>
        <w:rPr>
          <w:sz w:val="20"/>
          <w:szCs w:val="20"/>
        </w:rPr>
      </w:pPr>
      <w:r>
        <w:rPr>
          <w:sz w:val="20"/>
          <w:szCs w:val="20"/>
        </w:rPr>
        <w:t>Solitario has a long history of committed environmental, social and responsible governance (“ESG”) of its business. ESG issues are important to Solitario’s investors, employees, and stakeholders, including communiti</w:t>
      </w:r>
      <w:r>
        <w:rPr>
          <w:sz w:val="20"/>
          <w:szCs w:val="20"/>
        </w:rPr>
        <w:t>es in which we work. Solitario pledges to operate our business in a manner that supports environmental and social initiatives and responsible corporate governance. We work closely with our employees, government agencies, local communities and other stakeho</w:t>
      </w:r>
      <w:r>
        <w:rPr>
          <w:sz w:val="20"/>
          <w:szCs w:val="20"/>
        </w:rPr>
        <w:t>lders in the areas where we operate to include their interests and concerns to arrive at environmentally sound and socially responsible outcomes related to all of our operations. We believe our joint venture partners not only value the importance of ESG is</w:t>
      </w:r>
      <w:r>
        <w:rPr>
          <w:sz w:val="20"/>
          <w:szCs w:val="20"/>
        </w:rPr>
        <w:t>sues in the conduct of their activities on our projects but are also industry leaders on these important issues.</w:t>
      </w:r>
    </w:p>
    <w:p w14:paraId="06F79354" w14:textId="77777777" w:rsidR="00000000" w:rsidRDefault="0015578C">
      <w:pPr>
        <w:pStyle w:val="a3"/>
        <w:spacing w:before="0" w:beforeAutospacing="0" w:after="0" w:afterAutospacing="0"/>
        <w:jc w:val="both"/>
        <w:rPr>
          <w:sz w:val="20"/>
          <w:szCs w:val="20"/>
        </w:rPr>
      </w:pPr>
      <w:r>
        <w:rPr>
          <w:sz w:val="20"/>
          <w:szCs w:val="20"/>
        </w:rPr>
        <w:t> </w:t>
      </w:r>
    </w:p>
    <w:p w14:paraId="62DBBC3B" w14:textId="77777777" w:rsidR="00000000" w:rsidRDefault="0015578C">
      <w:pPr>
        <w:pStyle w:val="a3"/>
        <w:spacing w:before="0" w:beforeAutospacing="0" w:after="0" w:afterAutospacing="0"/>
        <w:ind w:firstLine="675"/>
        <w:jc w:val="both"/>
        <w:rPr>
          <w:sz w:val="20"/>
          <w:szCs w:val="20"/>
        </w:rPr>
      </w:pPr>
      <w:r>
        <w:rPr>
          <w:sz w:val="20"/>
          <w:szCs w:val="20"/>
        </w:rPr>
        <w:t>Risks and Uncertainties</w:t>
      </w:r>
    </w:p>
    <w:p w14:paraId="22D0FE8C" w14:textId="77777777" w:rsidR="00000000" w:rsidRDefault="0015578C">
      <w:pPr>
        <w:pStyle w:val="a3"/>
        <w:spacing w:before="0" w:beforeAutospacing="0" w:after="0" w:afterAutospacing="0"/>
        <w:jc w:val="both"/>
        <w:rPr>
          <w:sz w:val="20"/>
          <w:szCs w:val="20"/>
        </w:rPr>
      </w:pPr>
      <w:r>
        <w:rPr>
          <w:sz w:val="20"/>
          <w:szCs w:val="20"/>
        </w:rPr>
        <w:t> </w:t>
      </w:r>
    </w:p>
    <w:p w14:paraId="46C215E7" w14:textId="77777777" w:rsidR="00000000" w:rsidRDefault="0015578C">
      <w:pPr>
        <w:pStyle w:val="a3"/>
        <w:spacing w:before="0" w:beforeAutospacing="0" w:after="0" w:afterAutospacing="0"/>
        <w:ind w:firstLine="675"/>
        <w:jc w:val="both"/>
        <w:rPr>
          <w:sz w:val="20"/>
          <w:szCs w:val="20"/>
        </w:rPr>
      </w:pPr>
      <w:r>
        <w:rPr>
          <w:sz w:val="20"/>
          <w:szCs w:val="20"/>
        </w:rPr>
        <w:t>Solitario faces risks related to health epidemics and other outbreaks of communicable diseases, which could signifi</w:t>
      </w:r>
      <w:r>
        <w:rPr>
          <w:sz w:val="20"/>
          <w:szCs w:val="20"/>
        </w:rPr>
        <w:t>cantly disrupt its operations and may materially and adversely affect its business and financial conditions.</w:t>
      </w:r>
    </w:p>
    <w:p w14:paraId="1ECF1EFA" w14:textId="77777777" w:rsidR="00000000" w:rsidRDefault="0015578C">
      <w:pPr>
        <w:pStyle w:val="a3"/>
        <w:spacing w:before="0" w:beforeAutospacing="0" w:after="0" w:afterAutospacing="0"/>
        <w:jc w:val="both"/>
        <w:rPr>
          <w:sz w:val="20"/>
          <w:szCs w:val="20"/>
        </w:rPr>
      </w:pPr>
      <w:r>
        <w:rPr>
          <w:sz w:val="20"/>
          <w:szCs w:val="20"/>
        </w:rPr>
        <w:t> </w:t>
      </w:r>
    </w:p>
    <w:p w14:paraId="0AE4316B" w14:textId="77777777" w:rsidR="00000000" w:rsidRDefault="0015578C">
      <w:pPr>
        <w:pStyle w:val="a3"/>
        <w:spacing w:before="0" w:beforeAutospacing="0" w:after="0" w:afterAutospacing="0"/>
        <w:ind w:firstLine="675"/>
        <w:jc w:val="both"/>
        <w:rPr>
          <w:sz w:val="20"/>
          <w:szCs w:val="20"/>
        </w:rPr>
      </w:pPr>
      <w:r>
        <w:rPr>
          <w:sz w:val="20"/>
          <w:szCs w:val="20"/>
        </w:rPr>
        <w:t>Solitario’s business could be adversely impacted by the on-going effects of the coronavirus (“COVID-19”) or other epidemics or pandemics. Solitar</w:t>
      </w:r>
      <w:r>
        <w:rPr>
          <w:sz w:val="20"/>
          <w:szCs w:val="20"/>
        </w:rPr>
        <w:t xml:space="preserve">io continues to evaluate the effects of COVID-19 on its operations and at times during the pandemic took pro-active steps to address the impacts on its </w:t>
      </w:r>
      <w:r>
        <w:rPr>
          <w:sz w:val="20"/>
          <w:szCs w:val="20"/>
        </w:rPr>
        <w:lastRenderedPageBreak/>
        <w:t>operations, including at times reducing costs, in response to the economic uncertainty associated with p</w:t>
      </w:r>
      <w:r>
        <w:rPr>
          <w:sz w:val="20"/>
          <w:szCs w:val="20"/>
        </w:rPr>
        <w:t>otential risks from COVID-19. These prior cost reductions included implementing salary reductions and evaluating and reducing certain planned 2021 exploration programs through our joint venture partners at the Florida Canyon and Lik exploration projects. C</w:t>
      </w:r>
      <w:r>
        <w:rPr>
          <w:sz w:val="20"/>
          <w:szCs w:val="20"/>
        </w:rPr>
        <w:t xml:space="preserve">ertain of Solitario’s joint venture partners have, from time to time, modified plans with respect to the projects in which Solitario holds an interest in response to the COVID-19 pandemic. Also, Solitario has evaluated the potential impacts on its ability </w:t>
      </w:r>
      <w:r>
        <w:rPr>
          <w:sz w:val="20"/>
          <w:szCs w:val="20"/>
        </w:rPr>
        <w:t>to access future traditional funding sources on the same or reasonably similar terms as in past periods. Solitario will continue to monitor the effects of COVID-19 on its operations, financial condition, and liquidity. However, the extent to which the COVI</w:t>
      </w:r>
      <w:r>
        <w:rPr>
          <w:sz w:val="20"/>
          <w:szCs w:val="20"/>
        </w:rPr>
        <w:t xml:space="preserve">D-19 pandemic or other epidemics or pandemics ultimately impacts Solitario’s business, including our exploration and other activities and the market for our securities, will depend on future developments, which are highly uncertain and cannot be predicted </w:t>
      </w:r>
      <w:r>
        <w:rPr>
          <w:sz w:val="20"/>
          <w:szCs w:val="20"/>
        </w:rPr>
        <w:t>at this time, and include the duration, severity and scope of new outbreaks and governmental actions taken to contain or treat any such outbreak.</w:t>
      </w:r>
    </w:p>
    <w:p w14:paraId="6F488C1E" w14:textId="77777777" w:rsidR="00000000" w:rsidRDefault="0015578C">
      <w:pPr>
        <w:pStyle w:val="a3"/>
        <w:spacing w:before="0" w:beforeAutospacing="0" w:after="0" w:afterAutospacing="0"/>
        <w:jc w:val="both"/>
        <w:rPr>
          <w:sz w:val="20"/>
          <w:szCs w:val="20"/>
        </w:rPr>
      </w:pPr>
      <w:r>
        <w:rPr>
          <w:sz w:val="20"/>
          <w:szCs w:val="20"/>
        </w:rPr>
        <w:t> </w:t>
      </w:r>
    </w:p>
    <w:p w14:paraId="4D344838" w14:textId="77777777" w:rsidR="00000000" w:rsidRDefault="0015578C">
      <w:pPr>
        <w:pStyle w:val="a3"/>
        <w:spacing w:before="0" w:beforeAutospacing="0" w:after="0" w:afterAutospacing="0"/>
        <w:jc w:val="both"/>
        <w:rPr>
          <w:sz w:val="20"/>
          <w:szCs w:val="20"/>
        </w:rPr>
      </w:pPr>
      <w:r>
        <w:rPr>
          <w:sz w:val="20"/>
          <w:szCs w:val="20"/>
        </w:rPr>
        <w:t xml:space="preserve">Corporate Structure </w:t>
      </w:r>
    </w:p>
    <w:p w14:paraId="69C366C8" w14:textId="77777777" w:rsidR="00000000" w:rsidRDefault="0015578C">
      <w:pPr>
        <w:pStyle w:val="a3"/>
        <w:spacing w:before="0" w:beforeAutospacing="0" w:after="0" w:afterAutospacing="0"/>
        <w:jc w:val="both"/>
        <w:rPr>
          <w:sz w:val="20"/>
          <w:szCs w:val="20"/>
        </w:rPr>
      </w:pPr>
      <w:r>
        <w:rPr>
          <w:sz w:val="20"/>
          <w:szCs w:val="20"/>
        </w:rPr>
        <w:t> </w:t>
      </w:r>
    </w:p>
    <w:p w14:paraId="084AE9B7" w14:textId="77777777" w:rsidR="00000000" w:rsidRDefault="0015578C">
      <w:pPr>
        <w:pStyle w:val="a3"/>
        <w:spacing w:before="0" w:beforeAutospacing="0" w:after="0" w:afterAutospacing="0"/>
        <w:jc w:val="both"/>
        <w:rPr>
          <w:sz w:val="20"/>
          <w:szCs w:val="20"/>
        </w:rPr>
      </w:pPr>
      <w:r>
        <w:rPr>
          <w:sz w:val="20"/>
          <w:szCs w:val="20"/>
        </w:rPr>
        <w:t>Solitario Zinc Corp. [Colorado]</w:t>
      </w:r>
    </w:p>
    <w:p w14:paraId="3CF4C9E7" w14:textId="77777777" w:rsidR="00000000" w:rsidRDefault="0015578C">
      <w:pPr>
        <w:pStyle w:val="a3"/>
        <w:spacing w:before="0" w:beforeAutospacing="0" w:after="0" w:afterAutospacing="0"/>
        <w:jc w:val="both"/>
        <w:rPr>
          <w:sz w:val="20"/>
          <w:szCs w:val="20"/>
        </w:rPr>
      </w:pPr>
      <w:r>
        <w:rPr>
          <w:sz w:val="20"/>
          <w:szCs w:val="20"/>
        </w:rPr>
        <w:t>- Golden Crest Project [South Dakota]</w:t>
      </w:r>
    </w:p>
    <w:p w14:paraId="15F27425" w14:textId="77777777" w:rsidR="00000000" w:rsidRDefault="0015578C">
      <w:pPr>
        <w:pStyle w:val="a3"/>
        <w:spacing w:before="0" w:beforeAutospacing="0" w:after="0" w:afterAutospacing="0"/>
        <w:jc w:val="both"/>
        <w:rPr>
          <w:sz w:val="20"/>
          <w:szCs w:val="20"/>
        </w:rPr>
      </w:pPr>
      <w:r>
        <w:rPr>
          <w:sz w:val="20"/>
          <w:szCs w:val="20"/>
        </w:rPr>
        <w:t>- Zazu Metals Corporation. [Canada] (100%)</w:t>
      </w:r>
    </w:p>
    <w:p w14:paraId="115E5F06" w14:textId="77777777" w:rsidR="00000000" w:rsidRDefault="0015578C">
      <w:pPr>
        <w:pStyle w:val="a3"/>
        <w:spacing w:before="0" w:beforeAutospacing="0" w:after="0" w:afterAutospacing="0"/>
        <w:jc w:val="both"/>
        <w:rPr>
          <w:sz w:val="20"/>
          <w:szCs w:val="20"/>
        </w:rPr>
      </w:pPr>
      <w:r>
        <w:rPr>
          <w:sz w:val="20"/>
          <w:szCs w:val="20"/>
        </w:rPr>
        <w:t>- Zazu Metals (AK) Corp. [Alaska] (100%)</w:t>
      </w:r>
    </w:p>
    <w:p w14:paraId="6C7029C4" w14:textId="77777777" w:rsidR="00000000" w:rsidRDefault="0015578C">
      <w:pPr>
        <w:pStyle w:val="a3"/>
        <w:spacing w:before="0" w:beforeAutospacing="0" w:after="0" w:afterAutospacing="0"/>
        <w:jc w:val="both"/>
        <w:rPr>
          <w:sz w:val="20"/>
          <w:szCs w:val="20"/>
        </w:rPr>
      </w:pPr>
      <w:r>
        <w:rPr>
          <w:sz w:val="20"/>
          <w:szCs w:val="20"/>
        </w:rPr>
        <w:t>- Lik Project (50%)</w:t>
      </w:r>
    </w:p>
    <w:p w14:paraId="25FF3413" w14:textId="77777777" w:rsidR="00000000" w:rsidRDefault="0015578C">
      <w:pPr>
        <w:pStyle w:val="a3"/>
        <w:spacing w:before="0" w:beforeAutospacing="0" w:after="0" w:afterAutospacing="0"/>
        <w:jc w:val="both"/>
        <w:rPr>
          <w:sz w:val="20"/>
          <w:szCs w:val="20"/>
        </w:rPr>
      </w:pPr>
      <w:r>
        <w:rPr>
          <w:sz w:val="20"/>
          <w:szCs w:val="20"/>
        </w:rPr>
        <w:t>- Minera Chambara, S.A. [Peru] (85%)</w:t>
      </w:r>
    </w:p>
    <w:p w14:paraId="4A7D77B9" w14:textId="77777777" w:rsidR="00000000" w:rsidRDefault="0015578C">
      <w:pPr>
        <w:pStyle w:val="a3"/>
        <w:spacing w:before="0" w:beforeAutospacing="0" w:after="0" w:afterAutospacing="0"/>
        <w:jc w:val="both"/>
        <w:rPr>
          <w:sz w:val="20"/>
          <w:szCs w:val="20"/>
        </w:rPr>
      </w:pPr>
      <w:r>
        <w:rPr>
          <w:sz w:val="20"/>
          <w:szCs w:val="20"/>
        </w:rPr>
        <w:t>- Chambara Project</w:t>
      </w:r>
    </w:p>
    <w:p w14:paraId="4A66BE3C" w14:textId="77777777" w:rsidR="00000000" w:rsidRDefault="0015578C">
      <w:pPr>
        <w:pStyle w:val="a3"/>
        <w:spacing w:before="0" w:beforeAutospacing="0" w:after="0" w:afterAutospacing="0"/>
        <w:jc w:val="both"/>
        <w:rPr>
          <w:sz w:val="20"/>
          <w:szCs w:val="20"/>
        </w:rPr>
      </w:pPr>
      <w:r>
        <w:rPr>
          <w:sz w:val="20"/>
          <w:szCs w:val="20"/>
        </w:rPr>
        <w:t>- Minera Solitario Peru, S.A. [Peru] (100%)</w:t>
      </w:r>
    </w:p>
    <w:p w14:paraId="629CEF51" w14:textId="77777777" w:rsidR="00000000" w:rsidRDefault="0015578C">
      <w:pPr>
        <w:pStyle w:val="a3"/>
        <w:spacing w:before="0" w:beforeAutospacing="0" w:after="0" w:afterAutospacing="0"/>
        <w:jc w:val="both"/>
        <w:rPr>
          <w:sz w:val="20"/>
          <w:szCs w:val="20"/>
        </w:rPr>
      </w:pPr>
      <w:r>
        <w:rPr>
          <w:sz w:val="20"/>
          <w:szCs w:val="20"/>
        </w:rPr>
        <w:t>- Minera Bonga</w:t>
      </w:r>
      <w:r>
        <w:rPr>
          <w:sz w:val="20"/>
          <w:szCs w:val="20"/>
        </w:rPr>
        <w:t>rá, S.A. [Peru] (39%)</w:t>
      </w:r>
    </w:p>
    <w:p w14:paraId="3995E95E" w14:textId="77777777" w:rsidR="00000000" w:rsidRDefault="0015578C">
      <w:pPr>
        <w:pStyle w:val="a3"/>
        <w:spacing w:before="0" w:beforeAutospacing="0" w:after="0" w:afterAutospacing="0"/>
        <w:jc w:val="both"/>
        <w:rPr>
          <w:sz w:val="20"/>
          <w:szCs w:val="20"/>
        </w:rPr>
      </w:pPr>
      <w:r>
        <w:rPr>
          <w:sz w:val="20"/>
          <w:szCs w:val="20"/>
        </w:rPr>
        <w:t>- Florida Canyon Project</w:t>
      </w:r>
    </w:p>
    <w:p w14:paraId="4726870D" w14:textId="77777777" w:rsidR="00000000" w:rsidRDefault="0015578C">
      <w:pPr>
        <w:pStyle w:val="a3"/>
        <w:spacing w:before="0" w:beforeAutospacing="0" w:after="0" w:afterAutospacing="0"/>
        <w:jc w:val="both"/>
        <w:rPr>
          <w:sz w:val="20"/>
          <w:szCs w:val="20"/>
        </w:rPr>
      </w:pPr>
      <w:r>
        <w:rPr>
          <w:sz w:val="20"/>
          <w:szCs w:val="20"/>
        </w:rPr>
        <w:t>- Minera Soloco, S.A. [Peru] (100%)</w:t>
      </w:r>
    </w:p>
    <w:p w14:paraId="2C17D7A3" w14:textId="77777777" w:rsidR="00000000" w:rsidRDefault="0015578C">
      <w:pPr>
        <w:pStyle w:val="a3"/>
        <w:spacing w:before="0" w:beforeAutospacing="0" w:after="0" w:afterAutospacing="0"/>
        <w:jc w:val="both"/>
        <w:rPr>
          <w:sz w:val="20"/>
          <w:szCs w:val="20"/>
        </w:rPr>
      </w:pPr>
      <w:r>
        <w:rPr>
          <w:sz w:val="20"/>
          <w:szCs w:val="20"/>
        </w:rPr>
        <w:t> </w:t>
      </w:r>
    </w:p>
    <w:p w14:paraId="29B860DB" w14:textId="77777777" w:rsidR="00000000" w:rsidRDefault="0015578C">
      <w:pPr>
        <w:pStyle w:val="a3"/>
        <w:spacing w:before="0" w:beforeAutospacing="0" w:after="0" w:afterAutospacing="0"/>
        <w:jc w:val="both"/>
        <w:rPr>
          <w:sz w:val="20"/>
          <w:szCs w:val="20"/>
        </w:rPr>
      </w:pPr>
      <w:r>
        <w:rPr>
          <w:sz w:val="20"/>
          <w:szCs w:val="20"/>
        </w:rPr>
        <w:t>Mineral Exploration Properties</w:t>
      </w:r>
    </w:p>
    <w:p w14:paraId="216886D4" w14:textId="77777777" w:rsidR="00000000" w:rsidRDefault="0015578C">
      <w:pPr>
        <w:pStyle w:val="a3"/>
        <w:spacing w:before="0" w:beforeAutospacing="0" w:after="0" w:afterAutospacing="0"/>
        <w:jc w:val="both"/>
        <w:rPr>
          <w:sz w:val="20"/>
          <w:szCs w:val="20"/>
        </w:rPr>
      </w:pPr>
      <w:r>
        <w:rPr>
          <w:sz w:val="20"/>
          <w:szCs w:val="20"/>
        </w:rPr>
        <w:t> </w:t>
      </w:r>
    </w:p>
    <w:p w14:paraId="4209419E" w14:textId="77777777" w:rsidR="00000000" w:rsidRDefault="0015578C">
      <w:pPr>
        <w:pStyle w:val="a3"/>
        <w:spacing w:before="0" w:beforeAutospacing="0" w:after="0" w:afterAutospacing="0"/>
        <w:ind w:firstLine="675"/>
        <w:jc w:val="both"/>
        <w:rPr>
          <w:sz w:val="20"/>
          <w:szCs w:val="20"/>
        </w:rPr>
      </w:pPr>
      <w:r>
        <w:rPr>
          <w:sz w:val="20"/>
          <w:szCs w:val="20"/>
        </w:rPr>
        <w:t xml:space="preserve">We hold a 50% operating interest in the Lik zinc-lead-silver property in northwest Alaska, which is estimated to contain a large tonnage, </w:t>
      </w:r>
      <w:r>
        <w:rPr>
          <w:sz w:val="20"/>
          <w:szCs w:val="20"/>
        </w:rPr>
        <w:t xml:space="preserve">high-grade deposit potentially mineable by open-pit methods.  Teck is a 50% partner with Solitario in the Lik deposit, with Teck acting as the project manager from 2018 through 2023.  In late 2021 Solitario engaged Gustavson &amp; Associates to complete a S-K </w:t>
      </w:r>
      <w:r>
        <w:rPr>
          <w:sz w:val="20"/>
          <w:szCs w:val="20"/>
        </w:rPr>
        <w:t>1300 Technical Report Summary on the Lik project (the</w:t>
      </w:r>
      <w:r>
        <w:rPr>
          <w:rStyle w:val="a7"/>
          <w:sz w:val="20"/>
          <w:szCs w:val="20"/>
        </w:rPr>
        <w:t xml:space="preserve"> “S-K 1300 Lik TRS”</w:t>
      </w:r>
      <w:r>
        <w:rPr>
          <w:sz w:val="20"/>
          <w:szCs w:val="20"/>
        </w:rPr>
        <w:t>) which was completed in March 2022.  A Preliminary Economic Assessment (“PEA”) was completed on the Lik deposit in 2014.</w:t>
      </w:r>
    </w:p>
    <w:p w14:paraId="782712A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230D58A" w14:textId="77777777">
        <w:trPr>
          <w:trHeight w:val="225"/>
          <w:tblCellSpacing w:w="15" w:type="dxa"/>
        </w:trPr>
        <w:tc>
          <w:tcPr>
            <w:tcW w:w="0" w:type="auto"/>
            <w:vAlign w:val="center"/>
            <w:hideMark/>
          </w:tcPr>
          <w:p w14:paraId="0E02883A" w14:textId="77777777" w:rsidR="00000000" w:rsidRDefault="0015578C">
            <w:pPr>
              <w:rPr>
                <w:rFonts w:eastAsia="Times New Roman"/>
                <w:sz w:val="20"/>
                <w:szCs w:val="20"/>
              </w:rPr>
            </w:pPr>
            <w:r>
              <w:rPr>
                <w:rFonts w:eastAsia="Times New Roman"/>
                <w:sz w:val="20"/>
                <w:szCs w:val="20"/>
              </w:rPr>
              <w:t> </w:t>
            </w:r>
          </w:p>
        </w:tc>
      </w:tr>
      <w:tr w:rsidR="00000000" w14:paraId="2E9E25AD" w14:textId="77777777">
        <w:trPr>
          <w:trHeight w:val="225"/>
          <w:tblCellSpacing w:w="15" w:type="dxa"/>
        </w:trPr>
        <w:tc>
          <w:tcPr>
            <w:tcW w:w="0" w:type="auto"/>
            <w:tcBorders>
              <w:bottom w:val="single" w:sz="6" w:space="0" w:color="000000"/>
            </w:tcBorders>
            <w:vAlign w:val="center"/>
            <w:hideMark/>
          </w:tcPr>
          <w:p w14:paraId="767CD902" w14:textId="77777777" w:rsidR="00000000" w:rsidRDefault="0015578C">
            <w:pPr>
              <w:jc w:val="center"/>
              <w:rPr>
                <w:rFonts w:eastAsia="Times New Roman"/>
                <w:sz w:val="20"/>
                <w:szCs w:val="20"/>
              </w:rPr>
            </w:pPr>
            <w:r>
              <w:rPr>
                <w:rFonts w:eastAsia="Times New Roman"/>
                <w:sz w:val="20"/>
                <w:szCs w:val="20"/>
              </w:rPr>
              <w:t>4</w:t>
            </w:r>
          </w:p>
        </w:tc>
      </w:tr>
      <w:tr w:rsidR="00000000" w14:paraId="2F5F7525" w14:textId="77777777">
        <w:trPr>
          <w:trHeight w:val="225"/>
          <w:tblCellSpacing w:w="15" w:type="dxa"/>
        </w:trPr>
        <w:tc>
          <w:tcPr>
            <w:tcW w:w="0" w:type="auto"/>
            <w:vAlign w:val="center"/>
            <w:hideMark/>
          </w:tcPr>
          <w:p w14:paraId="041832BF" w14:textId="77777777" w:rsidR="00000000" w:rsidRDefault="0015578C">
            <w:pPr>
              <w:rPr>
                <w:rFonts w:eastAsia="Times New Roman"/>
                <w:sz w:val="20"/>
                <w:szCs w:val="20"/>
              </w:rPr>
            </w:pPr>
          </w:p>
        </w:tc>
      </w:tr>
      <w:tr w:rsidR="00000000" w14:paraId="228B24A8" w14:textId="77777777">
        <w:trPr>
          <w:trHeight w:val="225"/>
          <w:tblCellSpacing w:w="15" w:type="dxa"/>
        </w:trPr>
        <w:tc>
          <w:tcPr>
            <w:tcW w:w="0" w:type="auto"/>
            <w:vAlign w:val="center"/>
            <w:hideMark/>
          </w:tcPr>
          <w:p w14:paraId="7C1DE94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4F0A0F2E" w14:textId="77777777" w:rsidR="00000000" w:rsidRDefault="0015578C">
      <w:pPr>
        <w:pStyle w:val="a3"/>
        <w:spacing w:before="0" w:beforeAutospacing="0" w:after="0" w:afterAutospacing="0"/>
        <w:jc w:val="both"/>
        <w:rPr>
          <w:sz w:val="20"/>
          <w:szCs w:val="20"/>
        </w:rPr>
      </w:pPr>
      <w:r>
        <w:rPr>
          <w:sz w:val="20"/>
          <w:szCs w:val="20"/>
        </w:rPr>
        <w:t> </w:t>
      </w:r>
    </w:p>
    <w:p w14:paraId="4FF542DC" w14:textId="77777777" w:rsidR="00000000" w:rsidRDefault="0015578C">
      <w:pPr>
        <w:pStyle w:val="a3"/>
        <w:spacing w:before="0" w:beforeAutospacing="0" w:after="0" w:afterAutospacing="0"/>
        <w:ind w:firstLine="675"/>
        <w:jc w:val="both"/>
        <w:rPr>
          <w:sz w:val="20"/>
          <w:szCs w:val="20"/>
        </w:rPr>
      </w:pPr>
      <w:r>
        <w:rPr>
          <w:sz w:val="20"/>
          <w:szCs w:val="20"/>
        </w:rPr>
        <w:t>Solitario also has a 39% interest in the advanced, high-grade, Florida Canyon zinc project located in northern Peru. The project has a significant mineral resource and Solitario is fully carried to production by its joint venture partn</w:t>
      </w:r>
      <w:r>
        <w:rPr>
          <w:sz w:val="20"/>
          <w:szCs w:val="20"/>
        </w:rPr>
        <w:t>er Nexa, formerly Votorantim Metais Holdings, SA (“Votorantim”) and Compañía Minera Milpo S.A.A. (“Milpo”). Nexa is one of the largest zinc producers in Peru. In late 2021 Solitario engaged Gustavson &amp; Associates to complete a S-K 1300 Technical Report Sum</w:t>
      </w:r>
      <w:r>
        <w:rPr>
          <w:sz w:val="20"/>
          <w:szCs w:val="20"/>
        </w:rPr>
        <w:t xml:space="preserve">mary on the Florida Canyon Project </w:t>
      </w:r>
      <w:r>
        <w:rPr>
          <w:rStyle w:val="a7"/>
          <w:sz w:val="20"/>
          <w:szCs w:val="20"/>
        </w:rPr>
        <w:t>(the “S-K 1300 Florida Canyon TRS”)</w:t>
      </w:r>
      <w:r>
        <w:rPr>
          <w:sz w:val="20"/>
          <w:szCs w:val="20"/>
        </w:rPr>
        <w:t>which was completed in March 2022. Solitario and Nexa completed a PEA on the Florida Canyon deposit in August 2017. Except for the 2018-2019 drilling program for which Solitario voluntar</w:t>
      </w:r>
      <w:r>
        <w:rPr>
          <w:sz w:val="20"/>
          <w:szCs w:val="20"/>
        </w:rPr>
        <w:t>ily funded $1,580,000 of the 39-hole 17,033-meter drilling program, Nexa has funded 100% of project expenditures since the inception of the Florida Canyon joint venture in 2006. Nexa will increase its ownership to a 70% interest in the project from its cur</w:t>
      </w:r>
      <w:r>
        <w:rPr>
          <w:sz w:val="20"/>
          <w:szCs w:val="20"/>
        </w:rPr>
        <w:t>rent ownership of 61%, by continuing to solely fund all project expenditures and committing to place the project into production based upon a positive feasibility study. After earning 70%, and at the request of Solitario, in the event Nexa makes the decisi</w:t>
      </w:r>
      <w:r>
        <w:rPr>
          <w:sz w:val="20"/>
          <w:szCs w:val="20"/>
        </w:rPr>
        <w:t>on to develop the Florida Canyon project, Nexa has agreed to finance Solitario's 30% participating interest for any development costs through a future loan facility to Solitario. Solitario would then repay the loan facility through 50% of its net cash flow</w:t>
      </w:r>
      <w:r>
        <w:rPr>
          <w:sz w:val="20"/>
          <w:szCs w:val="20"/>
        </w:rPr>
        <w:t xml:space="preserve"> distributions from the project.</w:t>
      </w:r>
    </w:p>
    <w:p w14:paraId="0F12C206" w14:textId="77777777" w:rsidR="00000000" w:rsidRDefault="0015578C">
      <w:pPr>
        <w:pStyle w:val="a3"/>
        <w:spacing w:before="0" w:beforeAutospacing="0" w:after="0" w:afterAutospacing="0"/>
        <w:jc w:val="both"/>
        <w:rPr>
          <w:sz w:val="20"/>
          <w:szCs w:val="20"/>
        </w:rPr>
      </w:pPr>
      <w:r>
        <w:rPr>
          <w:sz w:val="20"/>
          <w:szCs w:val="20"/>
        </w:rPr>
        <w:t> </w:t>
      </w:r>
    </w:p>
    <w:p w14:paraId="5DAA1A53" w14:textId="77777777" w:rsidR="00000000" w:rsidRDefault="0015578C">
      <w:pPr>
        <w:pStyle w:val="a3"/>
        <w:spacing w:before="0" w:beforeAutospacing="0" w:after="0" w:afterAutospacing="0"/>
        <w:ind w:firstLine="675"/>
        <w:jc w:val="both"/>
        <w:rPr>
          <w:sz w:val="20"/>
          <w:szCs w:val="20"/>
        </w:rPr>
      </w:pPr>
      <w:r>
        <w:rPr>
          <w:sz w:val="20"/>
          <w:szCs w:val="20"/>
        </w:rPr>
        <w:t>During 2021 Solitario entered into a lease agreement (the “Golden Crest Agreement”) whereby Solitario acquired exclusive exploration rights in certain claims (the “GC Claims”) in the Black Hills region of South Dakota. Th</w:t>
      </w:r>
      <w:r>
        <w:rPr>
          <w:sz w:val="20"/>
          <w:szCs w:val="20"/>
        </w:rPr>
        <w:t xml:space="preserve">e GC Claims are part of Solitario’s Golden Crest project. Terms of the Golden Crest Agreement include scheduled payments by Solitario to the underlying owner of $65,000 (paid upon signing) and an obligation to pay the underlying owner $60,000 at the first </w:t>
      </w:r>
      <w:r>
        <w:rPr>
          <w:sz w:val="20"/>
          <w:szCs w:val="20"/>
        </w:rPr>
        <w:t>anniversary date which was paid in June 2022. Solitario recorded an initial acquisition cost of $125,000 during 2021 related to these required payments. In addition, to continue the lease, Solitario has agreed to pay, at its option, the underlying owner es</w:t>
      </w:r>
      <w:r>
        <w:rPr>
          <w:sz w:val="20"/>
          <w:szCs w:val="20"/>
        </w:rPr>
        <w:t>calating annual payments that over five years total $340,000 and annual payments of $150,000 thereafter, which will be expensed as paid. Solitario has agreed to pay the underlying owner an additional success fee of $1.00 per ounce of gold in the event Soli</w:t>
      </w:r>
      <w:r>
        <w:rPr>
          <w:sz w:val="20"/>
          <w:szCs w:val="20"/>
        </w:rPr>
        <w:t>tario files a 43-101 qualified resource of up to 1.5 million ounces of gold or a maximum of $1,500,000. Solitario has agreed to escalating work commitments, at Solitario’s option, on the GC Claims and a related area of interest around the GC Claims totalin</w:t>
      </w:r>
      <w:r>
        <w:rPr>
          <w:sz w:val="20"/>
          <w:szCs w:val="20"/>
        </w:rPr>
        <w:t xml:space="preserve">g $3,000,000 during the first five years of the lease, with the first-year minimum expenditures totaling $200,000 ending June 2022. Solitario has exceeded the minimum exploration expenditures required in 2022. The term of the Golden Crest Agreement is for </w:t>
      </w:r>
      <w:r>
        <w:rPr>
          <w:sz w:val="20"/>
          <w:szCs w:val="20"/>
        </w:rPr>
        <w:t>twenty years and is automatically extended as long as Solitario is performing any exploration, development or mining activities on the GC Claims. The underlying owner retained a 2.0% Net Smelter Return royalty. Solitario will have the option, but not the o</w:t>
      </w:r>
      <w:r>
        <w:rPr>
          <w:sz w:val="20"/>
          <w:szCs w:val="20"/>
        </w:rPr>
        <w:t>bligation, to reduce the Net Smelter Return royalty to 1.0% by paying the owner $1,000,000.</w:t>
      </w:r>
    </w:p>
    <w:p w14:paraId="61C0BA31" w14:textId="77777777" w:rsidR="00000000" w:rsidRDefault="0015578C">
      <w:pPr>
        <w:pStyle w:val="a3"/>
        <w:spacing w:before="0" w:beforeAutospacing="0" w:after="0" w:afterAutospacing="0"/>
        <w:jc w:val="both"/>
        <w:rPr>
          <w:sz w:val="20"/>
          <w:szCs w:val="20"/>
        </w:rPr>
      </w:pPr>
      <w:r>
        <w:rPr>
          <w:sz w:val="20"/>
          <w:szCs w:val="20"/>
        </w:rPr>
        <w:t> </w:t>
      </w:r>
    </w:p>
    <w:p w14:paraId="39B3D40D" w14:textId="77777777" w:rsidR="00000000" w:rsidRDefault="0015578C">
      <w:pPr>
        <w:pStyle w:val="a3"/>
        <w:spacing w:before="0" w:beforeAutospacing="0" w:after="0" w:afterAutospacing="0"/>
        <w:ind w:firstLine="675"/>
        <w:jc w:val="both"/>
        <w:rPr>
          <w:sz w:val="20"/>
          <w:szCs w:val="20"/>
        </w:rPr>
      </w:pPr>
      <w:r>
        <w:rPr>
          <w:sz w:val="20"/>
          <w:szCs w:val="20"/>
        </w:rPr>
        <w:t xml:space="preserve">In addition, Solitario staked additional mineral claims, including some claims included in the area of interest of the GC Claims and claims not related to the GC </w:t>
      </w:r>
      <w:r>
        <w:rPr>
          <w:sz w:val="20"/>
          <w:szCs w:val="20"/>
        </w:rPr>
        <w:t>Claims, as part of the Golden Crest project. As of December 31, 2022, Solitario has incurred costs for staking, filing fees, legal and other costs totaling $1,035,000 capitalized as initial acquisition costs related to claims on the Golden Crest project.</w:t>
      </w:r>
    </w:p>
    <w:p w14:paraId="42DABFEE" w14:textId="77777777" w:rsidR="00000000" w:rsidRDefault="0015578C">
      <w:pPr>
        <w:pStyle w:val="a3"/>
        <w:spacing w:before="0" w:beforeAutospacing="0" w:after="0" w:afterAutospacing="0"/>
        <w:jc w:val="both"/>
        <w:rPr>
          <w:sz w:val="20"/>
          <w:szCs w:val="20"/>
        </w:rPr>
      </w:pPr>
      <w:r>
        <w:rPr>
          <w:sz w:val="20"/>
          <w:szCs w:val="20"/>
        </w:rPr>
        <w:t> </w:t>
      </w:r>
    </w:p>
    <w:p w14:paraId="5D01D2B1" w14:textId="77777777" w:rsidR="00000000" w:rsidRDefault="0015578C">
      <w:pPr>
        <w:pStyle w:val="a3"/>
        <w:spacing w:before="0" w:beforeAutospacing="0" w:after="0" w:afterAutospacing="0"/>
        <w:ind w:firstLine="675"/>
        <w:jc w:val="both"/>
        <w:rPr>
          <w:sz w:val="20"/>
          <w:szCs w:val="20"/>
        </w:rPr>
      </w:pPr>
      <w:r>
        <w:rPr>
          <w:sz w:val="20"/>
          <w:szCs w:val="20"/>
        </w:rPr>
        <w:t>At December 31, 2022, Solitario also holds an 85% interest in the Chambara exploration project in Peru. Nexa holds the remaining 15%.</w:t>
      </w:r>
    </w:p>
    <w:p w14:paraId="29FCCA36" w14:textId="77777777" w:rsidR="00000000" w:rsidRDefault="0015578C">
      <w:pPr>
        <w:pStyle w:val="a3"/>
        <w:spacing w:before="0" w:beforeAutospacing="0" w:after="0" w:afterAutospacing="0"/>
        <w:jc w:val="both"/>
        <w:rPr>
          <w:sz w:val="20"/>
          <w:szCs w:val="20"/>
        </w:rPr>
      </w:pPr>
      <w:r>
        <w:rPr>
          <w:sz w:val="20"/>
          <w:szCs w:val="20"/>
        </w:rPr>
        <w:t> </w:t>
      </w:r>
    </w:p>
    <w:p w14:paraId="61E64166" w14:textId="77777777" w:rsidR="00000000" w:rsidRDefault="0015578C">
      <w:pPr>
        <w:pStyle w:val="a3"/>
        <w:spacing w:before="0" w:beforeAutospacing="0" w:after="0" w:afterAutospacing="0"/>
        <w:ind w:firstLine="675"/>
        <w:jc w:val="both"/>
        <w:rPr>
          <w:sz w:val="20"/>
          <w:szCs w:val="20"/>
        </w:rPr>
      </w:pPr>
      <w:r>
        <w:rPr>
          <w:sz w:val="20"/>
          <w:szCs w:val="20"/>
        </w:rPr>
        <w:t>We conduct exploration and property evaluation activities in Peru and in the United States in Alaska and South Dakota e</w:t>
      </w:r>
      <w:r>
        <w:rPr>
          <w:sz w:val="20"/>
          <w:szCs w:val="20"/>
        </w:rPr>
        <w:t>ither on our own using contract geologists, or through joint ventures operated by our partners.</w:t>
      </w:r>
    </w:p>
    <w:p w14:paraId="5967C058" w14:textId="77777777" w:rsidR="00000000" w:rsidRDefault="0015578C">
      <w:pPr>
        <w:pStyle w:val="a3"/>
        <w:spacing w:before="0" w:beforeAutospacing="0" w:after="0" w:afterAutospacing="0"/>
        <w:jc w:val="both"/>
        <w:rPr>
          <w:sz w:val="20"/>
          <w:szCs w:val="20"/>
        </w:rPr>
      </w:pPr>
      <w:r>
        <w:rPr>
          <w:sz w:val="20"/>
          <w:szCs w:val="20"/>
        </w:rPr>
        <w:t> </w:t>
      </w:r>
    </w:p>
    <w:p w14:paraId="7C4AC515" w14:textId="77777777" w:rsidR="00000000" w:rsidRDefault="0015578C">
      <w:pPr>
        <w:pStyle w:val="a3"/>
        <w:spacing w:before="0" w:beforeAutospacing="0" w:after="0" w:afterAutospacing="0"/>
        <w:ind w:firstLine="675"/>
        <w:jc w:val="both"/>
        <w:rPr>
          <w:sz w:val="20"/>
          <w:szCs w:val="20"/>
        </w:rPr>
      </w:pPr>
      <w:r>
        <w:rPr>
          <w:sz w:val="20"/>
          <w:szCs w:val="20"/>
        </w:rPr>
        <w:t xml:space="preserve">Our exploration activities and those of our joint venture partners are carried out on a property-by-property basis. These activities may include prospecting, </w:t>
      </w:r>
      <w:r>
        <w:rPr>
          <w:sz w:val="20"/>
          <w:szCs w:val="20"/>
        </w:rPr>
        <w:t>geologic mapping, sampling, geophysics and drilling. When we determine that this work indicates a project may not be economically feasible or contain sufficient geologic or economic potential, we may impair or completely write-off the property. A significa</w:t>
      </w:r>
      <w:r>
        <w:rPr>
          <w:sz w:val="20"/>
          <w:szCs w:val="20"/>
        </w:rPr>
        <w:t xml:space="preserve">nt factor in the success or failure of our activities is the price of commodities. For example, when the price of zinc or other commodities is down, we may determine that the value of our mineral exploration properties decreases; however, during such down </w:t>
      </w:r>
      <w:r>
        <w:rPr>
          <w:sz w:val="20"/>
          <w:szCs w:val="20"/>
        </w:rPr>
        <w:t>markets it may also become easier and less expensive to locate and acquire new mineral exploration properties.</w:t>
      </w:r>
    </w:p>
    <w:p w14:paraId="5B77C404" w14:textId="77777777" w:rsidR="00000000" w:rsidRDefault="0015578C">
      <w:pPr>
        <w:pStyle w:val="a3"/>
        <w:spacing w:before="0" w:beforeAutospacing="0" w:after="0" w:afterAutospacing="0"/>
        <w:jc w:val="both"/>
        <w:rPr>
          <w:sz w:val="20"/>
          <w:szCs w:val="20"/>
        </w:rPr>
      </w:pPr>
      <w:r>
        <w:rPr>
          <w:sz w:val="20"/>
          <w:szCs w:val="20"/>
        </w:rPr>
        <w:t> </w:t>
      </w:r>
    </w:p>
    <w:p w14:paraId="1CA7C45E" w14:textId="77777777" w:rsidR="00000000" w:rsidRDefault="0015578C">
      <w:pPr>
        <w:pStyle w:val="a3"/>
        <w:spacing w:before="0" w:beforeAutospacing="0" w:after="0" w:afterAutospacing="0"/>
        <w:ind w:firstLine="675"/>
        <w:jc w:val="both"/>
        <w:rPr>
          <w:sz w:val="20"/>
          <w:szCs w:val="20"/>
        </w:rPr>
      </w:pPr>
      <w:r>
        <w:rPr>
          <w:sz w:val="20"/>
          <w:szCs w:val="20"/>
        </w:rPr>
        <w:t>We have recorded revenue in the past from the sale of mineral properties and assets, joint venture property payments and the sale of royalties.</w:t>
      </w:r>
      <w:r>
        <w:rPr>
          <w:sz w:val="20"/>
          <w:szCs w:val="20"/>
        </w:rPr>
        <w:t xml:space="preserve"> Proceeds from the sale or joint venture of properties and royalty sales, although potentially significant when they occur, have not been a consistent source of cash and may only occur in the future, if at all, on an infrequent basis. Accordingly, while we</w:t>
      </w:r>
      <w:r>
        <w:rPr>
          <w:sz w:val="20"/>
          <w:szCs w:val="20"/>
        </w:rPr>
        <w:t xml:space="preserve"> conduct exploration activities on our projects, we need to maintain and replenish our capital resources. Historically, we have met our need for capital through (i) the sale of our investments in, and interest on, our short-term treasury notes and bank cer</w:t>
      </w:r>
      <w:r>
        <w:rPr>
          <w:sz w:val="20"/>
          <w:szCs w:val="20"/>
        </w:rPr>
        <w:t xml:space="preserve">tificates of deposit (“CDs”); (ii) issuances of common stock; (iii) sales of our shares of common stock of Vendetta Mining Corp. (“Vendetta”), Vox Royalty Corp. (“Vox”) and Kinross Gold Corporation (“Kinross”); (iv) sales of covered call options on common </w:t>
      </w:r>
      <w:r>
        <w:rPr>
          <w:sz w:val="20"/>
          <w:szCs w:val="20"/>
        </w:rPr>
        <w:t>stock of Kinross we hold; and (v) sale of mineral property interests and assets. In certain cases, we have reduced our exposure to the costs of our exploration activities through the use of joint ventures.</w:t>
      </w:r>
    </w:p>
    <w:p w14:paraId="6B2507B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6A0A6D0" w14:textId="77777777">
        <w:trPr>
          <w:trHeight w:val="225"/>
          <w:tblCellSpacing w:w="15" w:type="dxa"/>
        </w:trPr>
        <w:tc>
          <w:tcPr>
            <w:tcW w:w="0" w:type="auto"/>
            <w:vAlign w:val="center"/>
            <w:hideMark/>
          </w:tcPr>
          <w:p w14:paraId="06A6C357" w14:textId="77777777" w:rsidR="00000000" w:rsidRDefault="0015578C">
            <w:pPr>
              <w:rPr>
                <w:rFonts w:eastAsia="Times New Roman"/>
                <w:sz w:val="20"/>
                <w:szCs w:val="20"/>
              </w:rPr>
            </w:pPr>
            <w:r>
              <w:rPr>
                <w:rFonts w:eastAsia="Times New Roman"/>
                <w:sz w:val="20"/>
                <w:szCs w:val="20"/>
              </w:rPr>
              <w:t> </w:t>
            </w:r>
          </w:p>
        </w:tc>
      </w:tr>
      <w:tr w:rsidR="00000000" w14:paraId="6CAABB07" w14:textId="77777777">
        <w:trPr>
          <w:trHeight w:val="225"/>
          <w:tblCellSpacing w:w="15" w:type="dxa"/>
        </w:trPr>
        <w:tc>
          <w:tcPr>
            <w:tcW w:w="0" w:type="auto"/>
            <w:tcBorders>
              <w:bottom w:val="single" w:sz="6" w:space="0" w:color="000000"/>
            </w:tcBorders>
            <w:vAlign w:val="center"/>
            <w:hideMark/>
          </w:tcPr>
          <w:p w14:paraId="1C2C5AF9" w14:textId="77777777" w:rsidR="00000000" w:rsidRDefault="0015578C">
            <w:pPr>
              <w:jc w:val="center"/>
              <w:rPr>
                <w:rFonts w:eastAsia="Times New Roman"/>
                <w:sz w:val="20"/>
                <w:szCs w:val="20"/>
              </w:rPr>
            </w:pPr>
            <w:r>
              <w:rPr>
                <w:rFonts w:eastAsia="Times New Roman"/>
                <w:sz w:val="20"/>
                <w:szCs w:val="20"/>
              </w:rPr>
              <w:t>5</w:t>
            </w:r>
          </w:p>
        </w:tc>
      </w:tr>
      <w:tr w:rsidR="00000000" w14:paraId="6333F93D" w14:textId="77777777">
        <w:trPr>
          <w:trHeight w:val="225"/>
          <w:tblCellSpacing w:w="15" w:type="dxa"/>
        </w:trPr>
        <w:tc>
          <w:tcPr>
            <w:tcW w:w="0" w:type="auto"/>
            <w:vAlign w:val="center"/>
            <w:hideMark/>
          </w:tcPr>
          <w:p w14:paraId="6CD5DAB3" w14:textId="77777777" w:rsidR="00000000" w:rsidRDefault="0015578C">
            <w:pPr>
              <w:rPr>
                <w:rFonts w:eastAsia="Times New Roman"/>
                <w:sz w:val="20"/>
                <w:szCs w:val="20"/>
              </w:rPr>
            </w:pPr>
          </w:p>
        </w:tc>
      </w:tr>
      <w:tr w:rsidR="00000000" w14:paraId="438EE890" w14:textId="77777777">
        <w:trPr>
          <w:trHeight w:val="225"/>
          <w:tblCellSpacing w:w="15" w:type="dxa"/>
        </w:trPr>
        <w:tc>
          <w:tcPr>
            <w:tcW w:w="0" w:type="auto"/>
            <w:vAlign w:val="center"/>
            <w:hideMark/>
          </w:tcPr>
          <w:p w14:paraId="5BED8EDF"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C7CB733" w14:textId="77777777" w:rsidR="00000000" w:rsidRDefault="0015578C">
      <w:pPr>
        <w:pStyle w:val="a3"/>
        <w:spacing w:before="0" w:beforeAutospacing="0" w:after="0" w:afterAutospacing="0"/>
        <w:jc w:val="both"/>
        <w:rPr>
          <w:sz w:val="20"/>
          <w:szCs w:val="20"/>
        </w:rPr>
      </w:pPr>
      <w:r>
        <w:rPr>
          <w:sz w:val="20"/>
          <w:szCs w:val="20"/>
        </w:rPr>
        <w:t> </w:t>
      </w:r>
    </w:p>
    <w:p w14:paraId="378D0608" w14:textId="77777777" w:rsidR="00000000" w:rsidRDefault="0015578C">
      <w:pPr>
        <w:pStyle w:val="a3"/>
        <w:spacing w:before="0" w:beforeAutospacing="0" w:after="0" w:afterAutospacing="0"/>
        <w:ind w:firstLine="675"/>
        <w:jc w:val="both"/>
        <w:rPr>
          <w:sz w:val="20"/>
          <w:szCs w:val="20"/>
        </w:rPr>
      </w:pPr>
      <w:r>
        <w:rPr>
          <w:sz w:val="20"/>
          <w:szCs w:val="20"/>
        </w:rPr>
        <w:t>We operate in one segment: mineral exploration. We currently conduct exploration activities in Peru, Alaska and South Dakota and evaluate properties for potential acquisition and evaluation of strategic corpo</w:t>
      </w:r>
      <w:r>
        <w:rPr>
          <w:sz w:val="20"/>
          <w:szCs w:val="20"/>
        </w:rPr>
        <w:t>rate opportunities throughout North and South America. As of March 15, 2023, we had three full-time employees located in the United States and no full-time employees outside of the United States. We utilize contract managers, geologists, administrators and</w:t>
      </w:r>
      <w:r>
        <w:rPr>
          <w:sz w:val="20"/>
          <w:szCs w:val="20"/>
        </w:rPr>
        <w:t xml:space="preserve"> part-time laborers to execute our Latin American and North American project work and acquisition evaluations.</w:t>
      </w:r>
    </w:p>
    <w:p w14:paraId="382D26F7" w14:textId="77777777" w:rsidR="00000000" w:rsidRDefault="0015578C">
      <w:pPr>
        <w:pStyle w:val="a3"/>
        <w:spacing w:before="0" w:beforeAutospacing="0" w:after="0" w:afterAutospacing="0"/>
        <w:jc w:val="both"/>
        <w:rPr>
          <w:sz w:val="20"/>
          <w:szCs w:val="20"/>
        </w:rPr>
      </w:pPr>
      <w:r>
        <w:rPr>
          <w:sz w:val="20"/>
          <w:szCs w:val="20"/>
        </w:rPr>
        <w:t> </w:t>
      </w:r>
    </w:p>
    <w:p w14:paraId="373CA534" w14:textId="77777777" w:rsidR="00000000" w:rsidRDefault="0015578C">
      <w:pPr>
        <w:pStyle w:val="a3"/>
        <w:spacing w:before="0" w:beforeAutospacing="0" w:after="0" w:afterAutospacing="0"/>
        <w:ind w:firstLine="675"/>
        <w:jc w:val="both"/>
        <w:rPr>
          <w:sz w:val="20"/>
          <w:szCs w:val="20"/>
        </w:rPr>
      </w:pPr>
      <w:r>
        <w:rPr>
          <w:sz w:val="20"/>
          <w:szCs w:val="20"/>
        </w:rPr>
        <w:t>A large number of companies are engaged in the acquisition, exploration and development of mineral properties, many of which have substantially</w:t>
      </w:r>
      <w:r>
        <w:rPr>
          <w:sz w:val="20"/>
          <w:szCs w:val="20"/>
        </w:rPr>
        <w:t xml:space="preserve"> greater technical and financial resources than we have and, accordingly, we may be at a disadvantage in being able to compete effectively for the acquisition, exploration and development of mineral properties. We are not aware of any single competitor or </w:t>
      </w:r>
      <w:r>
        <w:rPr>
          <w:sz w:val="20"/>
          <w:szCs w:val="20"/>
        </w:rPr>
        <w:t>group of competitors that dominate the exploration and development of mineral properties. In acquiring mineral properties for exploration and development, we rely on the experience, technical expertise and knowledge of our employees, contractors and adviso</w:t>
      </w:r>
      <w:r>
        <w:rPr>
          <w:sz w:val="20"/>
          <w:szCs w:val="20"/>
        </w:rPr>
        <w:t>rs, which is limited by the size of our company compared to many of our competitors who may have greater resources, including more employees or employees with more specialized knowledge and experience.</w:t>
      </w:r>
    </w:p>
    <w:p w14:paraId="2C9A7CB5" w14:textId="77777777" w:rsidR="00000000" w:rsidRDefault="0015578C">
      <w:pPr>
        <w:pStyle w:val="a3"/>
        <w:spacing w:before="0" w:beforeAutospacing="0" w:after="0" w:afterAutospacing="0"/>
        <w:jc w:val="both"/>
        <w:rPr>
          <w:sz w:val="20"/>
          <w:szCs w:val="20"/>
        </w:rPr>
      </w:pPr>
      <w:r>
        <w:rPr>
          <w:sz w:val="20"/>
          <w:szCs w:val="20"/>
        </w:rPr>
        <w:t> </w:t>
      </w:r>
    </w:p>
    <w:p w14:paraId="3DAEE3CD" w14:textId="77777777" w:rsidR="00000000" w:rsidRDefault="0015578C">
      <w:pPr>
        <w:pStyle w:val="a3"/>
        <w:spacing w:before="0" w:beforeAutospacing="0" w:after="0" w:afterAutospacing="0"/>
        <w:jc w:val="both"/>
        <w:rPr>
          <w:sz w:val="20"/>
          <w:szCs w:val="20"/>
        </w:rPr>
      </w:pPr>
      <w:r>
        <w:rPr>
          <w:sz w:val="20"/>
          <w:szCs w:val="20"/>
        </w:rPr>
        <w:t>Governmental Regulations</w:t>
      </w:r>
    </w:p>
    <w:p w14:paraId="79660437" w14:textId="77777777" w:rsidR="00000000" w:rsidRDefault="0015578C">
      <w:pPr>
        <w:pStyle w:val="a3"/>
        <w:spacing w:before="0" w:beforeAutospacing="0" w:after="0" w:afterAutospacing="0"/>
        <w:jc w:val="both"/>
        <w:rPr>
          <w:sz w:val="20"/>
          <w:szCs w:val="20"/>
        </w:rPr>
      </w:pPr>
      <w:r>
        <w:rPr>
          <w:sz w:val="20"/>
          <w:szCs w:val="20"/>
        </w:rPr>
        <w:t> </w:t>
      </w:r>
    </w:p>
    <w:p w14:paraId="59BC9C87" w14:textId="77777777" w:rsidR="00000000" w:rsidRDefault="0015578C">
      <w:pPr>
        <w:pStyle w:val="a3"/>
        <w:spacing w:before="0" w:beforeAutospacing="0" w:after="0" w:afterAutospacing="0"/>
        <w:ind w:firstLine="675"/>
        <w:jc w:val="both"/>
        <w:rPr>
          <w:sz w:val="20"/>
          <w:szCs w:val="20"/>
        </w:rPr>
      </w:pPr>
      <w:r>
        <w:rPr>
          <w:sz w:val="20"/>
          <w:szCs w:val="20"/>
        </w:rPr>
        <w:t>Mineral development and e</w:t>
      </w:r>
      <w:r>
        <w:rPr>
          <w:sz w:val="20"/>
          <w:szCs w:val="20"/>
        </w:rPr>
        <w:t>xploration activities are subject to various national, state/provincial, and local laws and regulations, which govern prospecting, development, mining, production, exports, taxes, labor standards, occupational health, waste disposal, protection of the envi</w:t>
      </w:r>
      <w:r>
        <w:rPr>
          <w:sz w:val="20"/>
          <w:szCs w:val="20"/>
        </w:rPr>
        <w:t>ronment, mine safety, hazardous substances and other matters. Similarly, if any of our properties are developed and/or mined those activities are also subject to significant governmental regulation and oversight. We are required to obtain licenses, permits</w:t>
      </w:r>
      <w:r>
        <w:rPr>
          <w:sz w:val="20"/>
          <w:szCs w:val="20"/>
        </w:rPr>
        <w:t xml:space="preserve"> and other authorizations in order to conduct our exploration programs.</w:t>
      </w:r>
    </w:p>
    <w:p w14:paraId="33CDCC46" w14:textId="77777777" w:rsidR="00000000" w:rsidRDefault="0015578C">
      <w:pPr>
        <w:pStyle w:val="a3"/>
        <w:spacing w:before="0" w:beforeAutospacing="0" w:after="0" w:afterAutospacing="0"/>
        <w:jc w:val="both"/>
        <w:rPr>
          <w:sz w:val="20"/>
          <w:szCs w:val="20"/>
        </w:rPr>
      </w:pPr>
      <w:r>
        <w:rPr>
          <w:sz w:val="20"/>
          <w:szCs w:val="20"/>
        </w:rPr>
        <w:t> </w:t>
      </w:r>
    </w:p>
    <w:p w14:paraId="79225C1D" w14:textId="77777777" w:rsidR="00000000" w:rsidRDefault="0015578C">
      <w:pPr>
        <w:pStyle w:val="a3"/>
        <w:spacing w:before="0" w:beforeAutospacing="0" w:after="0" w:afterAutospacing="0"/>
        <w:jc w:val="both"/>
        <w:rPr>
          <w:sz w:val="20"/>
          <w:szCs w:val="20"/>
        </w:rPr>
      </w:pPr>
      <w:r>
        <w:rPr>
          <w:sz w:val="20"/>
          <w:szCs w:val="20"/>
        </w:rPr>
        <w:t>Environmental Regulations</w:t>
      </w:r>
    </w:p>
    <w:p w14:paraId="3634B7B3" w14:textId="77777777" w:rsidR="00000000" w:rsidRDefault="0015578C">
      <w:pPr>
        <w:pStyle w:val="a3"/>
        <w:spacing w:before="0" w:beforeAutospacing="0" w:after="0" w:afterAutospacing="0"/>
        <w:jc w:val="both"/>
        <w:rPr>
          <w:sz w:val="20"/>
          <w:szCs w:val="20"/>
        </w:rPr>
      </w:pPr>
      <w:r>
        <w:rPr>
          <w:sz w:val="20"/>
          <w:szCs w:val="20"/>
        </w:rPr>
        <w:t> </w:t>
      </w:r>
    </w:p>
    <w:p w14:paraId="1F782EE9" w14:textId="77777777" w:rsidR="00000000" w:rsidRDefault="0015578C">
      <w:pPr>
        <w:pStyle w:val="a3"/>
        <w:spacing w:before="0" w:beforeAutospacing="0" w:after="0" w:afterAutospacing="0"/>
        <w:ind w:firstLine="675"/>
        <w:jc w:val="both"/>
        <w:rPr>
          <w:sz w:val="20"/>
          <w:szCs w:val="20"/>
        </w:rPr>
      </w:pPr>
      <w:r>
        <w:rPr>
          <w:sz w:val="20"/>
          <w:szCs w:val="20"/>
        </w:rPr>
        <w:t>Our current and planned activities are subject to various national and local laws and regulations governing protection of the environment. These laws are continually changing and, in general, are becoming more restrictive. We are required to conduct our op</w:t>
      </w:r>
      <w:r>
        <w:rPr>
          <w:sz w:val="20"/>
          <w:szCs w:val="20"/>
        </w:rPr>
        <w:t>erations in compliance with applicable laws and regulations. Changes to current local, state or federal laws and regulations in each jurisdiction in which we conduct our exploration activities could, in the future, require additional capital expenditures a</w:t>
      </w:r>
      <w:r>
        <w:rPr>
          <w:sz w:val="20"/>
          <w:szCs w:val="20"/>
        </w:rPr>
        <w:t>nd increased operating and/or reclamation costs. We have reviewed and considered current federal legislation relating to climate change and do not believe it to currently have a material effect on our operations. Future changes in U.S. federal or state law</w:t>
      </w:r>
      <w:r>
        <w:rPr>
          <w:sz w:val="20"/>
          <w:szCs w:val="20"/>
        </w:rPr>
        <w:t xml:space="preserve">s or regulations could have a material adverse effect upon us and our results of operations. Although we are unable to predict what additional legislation, if any, might be proposed or enacted, additional regulatory requirements could impact the economics </w:t>
      </w:r>
      <w:r>
        <w:rPr>
          <w:sz w:val="20"/>
          <w:szCs w:val="20"/>
        </w:rPr>
        <w:t>of our projects. During 2022, we had no material environmental incidents or known non-compliance with any applicable environmental regulations.</w:t>
      </w:r>
    </w:p>
    <w:p w14:paraId="60AC7529" w14:textId="77777777" w:rsidR="00000000" w:rsidRDefault="0015578C">
      <w:pPr>
        <w:pStyle w:val="a3"/>
        <w:spacing w:before="0" w:beforeAutospacing="0" w:after="0" w:afterAutospacing="0"/>
        <w:jc w:val="both"/>
        <w:rPr>
          <w:sz w:val="20"/>
          <w:szCs w:val="20"/>
        </w:rPr>
      </w:pPr>
      <w:r>
        <w:rPr>
          <w:sz w:val="20"/>
          <w:szCs w:val="20"/>
        </w:rPr>
        <w:t> </w:t>
      </w:r>
    </w:p>
    <w:p w14:paraId="5317A1E6" w14:textId="77777777" w:rsidR="00000000" w:rsidRDefault="0015578C">
      <w:pPr>
        <w:pStyle w:val="a3"/>
        <w:spacing w:before="0" w:beforeAutospacing="0" w:after="0" w:afterAutospacing="0"/>
        <w:jc w:val="both"/>
        <w:rPr>
          <w:sz w:val="20"/>
          <w:szCs w:val="20"/>
        </w:rPr>
      </w:pPr>
      <w:r>
        <w:rPr>
          <w:sz w:val="20"/>
          <w:szCs w:val="20"/>
        </w:rPr>
        <w:t>Financial Information about Geographic Areas</w:t>
      </w:r>
    </w:p>
    <w:p w14:paraId="4CAAE5FF" w14:textId="77777777" w:rsidR="00000000" w:rsidRDefault="0015578C">
      <w:pPr>
        <w:pStyle w:val="a3"/>
        <w:spacing w:before="0" w:beforeAutospacing="0" w:after="0" w:afterAutospacing="0"/>
        <w:jc w:val="both"/>
        <w:rPr>
          <w:sz w:val="20"/>
          <w:szCs w:val="20"/>
        </w:rPr>
      </w:pPr>
      <w:r>
        <w:rPr>
          <w:sz w:val="20"/>
          <w:szCs w:val="20"/>
        </w:rPr>
        <w:t> </w:t>
      </w:r>
    </w:p>
    <w:p w14:paraId="534641A0" w14:textId="77777777" w:rsidR="00000000" w:rsidRDefault="0015578C">
      <w:pPr>
        <w:pStyle w:val="a3"/>
        <w:spacing w:before="0" w:beforeAutospacing="0" w:after="0" w:afterAutospacing="0"/>
        <w:ind w:firstLine="675"/>
        <w:jc w:val="both"/>
        <w:rPr>
          <w:sz w:val="20"/>
          <w:szCs w:val="20"/>
        </w:rPr>
      </w:pPr>
      <w:r>
        <w:rPr>
          <w:sz w:val="20"/>
          <w:szCs w:val="20"/>
        </w:rPr>
        <w:t>Included in the consolidated balance sheets at December 31, 202</w:t>
      </w:r>
      <w:r>
        <w:rPr>
          <w:sz w:val="20"/>
          <w:szCs w:val="20"/>
        </w:rPr>
        <w:t>2 and 2021, are total assets of $31,000 and $19,000, respectively, related to Solitario's operations located outside of the United States.</w:t>
      </w:r>
    </w:p>
    <w:p w14:paraId="495076BC" w14:textId="77777777" w:rsidR="00000000" w:rsidRDefault="0015578C">
      <w:pPr>
        <w:pStyle w:val="a3"/>
        <w:spacing w:before="0" w:beforeAutospacing="0" w:after="0" w:afterAutospacing="0"/>
        <w:jc w:val="both"/>
        <w:rPr>
          <w:sz w:val="20"/>
          <w:szCs w:val="20"/>
        </w:rPr>
      </w:pPr>
      <w:r>
        <w:rPr>
          <w:sz w:val="20"/>
          <w:szCs w:val="20"/>
        </w:rPr>
        <w:t> </w:t>
      </w:r>
    </w:p>
    <w:p w14:paraId="2EE7DB72" w14:textId="77777777" w:rsidR="00000000" w:rsidRDefault="0015578C">
      <w:pPr>
        <w:pStyle w:val="a3"/>
        <w:spacing w:before="0" w:beforeAutospacing="0" w:after="0" w:afterAutospacing="0"/>
        <w:jc w:val="both"/>
        <w:rPr>
          <w:sz w:val="20"/>
          <w:szCs w:val="20"/>
        </w:rPr>
      </w:pPr>
      <w:r>
        <w:rPr>
          <w:sz w:val="20"/>
          <w:szCs w:val="20"/>
        </w:rPr>
        <w:t>Available Information</w:t>
      </w:r>
    </w:p>
    <w:p w14:paraId="0FDA7364" w14:textId="77777777" w:rsidR="00000000" w:rsidRDefault="0015578C">
      <w:pPr>
        <w:pStyle w:val="a3"/>
        <w:spacing w:before="0" w:beforeAutospacing="0" w:after="0" w:afterAutospacing="0"/>
        <w:jc w:val="both"/>
        <w:rPr>
          <w:sz w:val="20"/>
          <w:szCs w:val="20"/>
        </w:rPr>
      </w:pPr>
      <w:r>
        <w:rPr>
          <w:sz w:val="20"/>
          <w:szCs w:val="20"/>
        </w:rPr>
        <w:t> </w:t>
      </w:r>
    </w:p>
    <w:p w14:paraId="4A898809" w14:textId="77777777" w:rsidR="00000000" w:rsidRDefault="0015578C">
      <w:pPr>
        <w:pStyle w:val="a3"/>
        <w:spacing w:before="0" w:beforeAutospacing="0" w:after="0" w:afterAutospacing="0"/>
        <w:ind w:firstLine="675"/>
        <w:jc w:val="both"/>
        <w:rPr>
          <w:sz w:val="20"/>
          <w:szCs w:val="20"/>
        </w:rPr>
      </w:pPr>
      <w:r>
        <w:rPr>
          <w:sz w:val="20"/>
          <w:szCs w:val="20"/>
        </w:rPr>
        <w:t>We file our Annual Report on Form 10-K, our quarterly reports on Form 10-Q, current reports</w:t>
      </w:r>
      <w:r>
        <w:rPr>
          <w:sz w:val="20"/>
          <w:szCs w:val="20"/>
        </w:rPr>
        <w:t xml:space="preserve"> on Form 8-K, and any amendments to those reports electronically with the SEC. The SEC maintains a website (http://www.sec.gov) that contains periodic reports, proxy and information statements and other information regarding registrants, including the Comp</w:t>
      </w:r>
      <w:r>
        <w:rPr>
          <w:sz w:val="20"/>
          <w:szCs w:val="20"/>
        </w:rPr>
        <w:t>any, that file electronically with the SEC.</w:t>
      </w:r>
    </w:p>
    <w:p w14:paraId="1934B0C4" w14:textId="77777777" w:rsidR="00000000" w:rsidRDefault="0015578C">
      <w:pPr>
        <w:pStyle w:val="a3"/>
        <w:spacing w:before="0" w:beforeAutospacing="0" w:after="0" w:afterAutospacing="0"/>
        <w:jc w:val="both"/>
        <w:rPr>
          <w:sz w:val="20"/>
          <w:szCs w:val="20"/>
        </w:rPr>
      </w:pPr>
      <w:r>
        <w:rPr>
          <w:sz w:val="20"/>
          <w:szCs w:val="20"/>
        </w:rPr>
        <w:t> </w:t>
      </w:r>
    </w:p>
    <w:p w14:paraId="156E0D79" w14:textId="77777777" w:rsidR="00000000" w:rsidRDefault="0015578C">
      <w:pPr>
        <w:pStyle w:val="a3"/>
        <w:spacing w:before="0" w:beforeAutospacing="0" w:after="0" w:afterAutospacing="0"/>
        <w:ind w:firstLine="675"/>
        <w:jc w:val="both"/>
        <w:rPr>
          <w:sz w:val="20"/>
          <w:szCs w:val="20"/>
        </w:rPr>
      </w:pPr>
      <w:r>
        <w:rPr>
          <w:sz w:val="20"/>
          <w:szCs w:val="20"/>
        </w:rPr>
        <w:t>Paper copies of our Annual Report to Shareholders, our Annual Report on Form 10-K, our quarterly reports on Form 10-Q, current reports on Form 8-K, and any amendments to those reports are available free of char</w:t>
      </w:r>
      <w:r>
        <w:rPr>
          <w:sz w:val="20"/>
          <w:szCs w:val="20"/>
        </w:rPr>
        <w:t>ge by writing to Solitario at its address on the front of this Annual Report on Form 10-K. In addition, electronic versions of the reports we file with the SEC are available on our website, www.solitarioxr.com, as soon as practicable, after filing with the</w:t>
      </w:r>
      <w:r>
        <w:rPr>
          <w:sz w:val="20"/>
          <w:szCs w:val="20"/>
        </w:rPr>
        <w:t xml:space="preserve"> SEC.</w:t>
      </w:r>
    </w:p>
    <w:p w14:paraId="3A078C43" w14:textId="77777777" w:rsidR="00000000" w:rsidRDefault="0015578C">
      <w:pPr>
        <w:pStyle w:val="a3"/>
        <w:spacing w:before="0" w:beforeAutospacing="0" w:after="0" w:afterAutospacing="0"/>
        <w:jc w:val="both"/>
        <w:rPr>
          <w:sz w:val="20"/>
          <w:szCs w:val="20"/>
        </w:rPr>
      </w:pPr>
      <w:r>
        <w:rPr>
          <w:sz w:val="20"/>
          <w:szCs w:val="20"/>
        </w:rPr>
        <w:t> </w:t>
      </w:r>
    </w:p>
    <w:p w14:paraId="4E9CADBF"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1A. </w:t>
      </w:r>
      <w:r>
        <w:rPr>
          <w:rStyle w:val="atag"/>
          <w:b/>
          <w:bCs/>
          <w:sz w:val="20"/>
          <w:szCs w:val="20"/>
          <w:u w:val="single"/>
        </w:rPr>
        <w:t>Risk Factor</w:t>
      </w:r>
      <w:r>
        <w:rPr>
          <w:rStyle w:val="atag"/>
          <w:b/>
          <w:bCs/>
          <w:sz w:val="20"/>
          <w:szCs w:val="20"/>
          <w:u w:val="single"/>
        </w:rPr>
        <w:t>s</w:t>
      </w:r>
    </w:p>
    <w:p w14:paraId="6BC25632" w14:textId="77777777" w:rsidR="00000000" w:rsidRDefault="0015578C">
      <w:pPr>
        <w:pStyle w:val="a3"/>
        <w:spacing w:before="0" w:beforeAutospacing="0" w:after="0" w:afterAutospacing="0"/>
        <w:jc w:val="both"/>
        <w:rPr>
          <w:sz w:val="20"/>
          <w:szCs w:val="20"/>
        </w:rPr>
      </w:pPr>
      <w:r>
        <w:rPr>
          <w:sz w:val="20"/>
          <w:szCs w:val="20"/>
        </w:rPr>
        <w:t> </w:t>
      </w:r>
    </w:p>
    <w:p w14:paraId="1971A5E4" w14:textId="77777777" w:rsidR="00000000" w:rsidRDefault="0015578C">
      <w:pPr>
        <w:pStyle w:val="a3"/>
        <w:spacing w:before="0" w:beforeAutospacing="0" w:after="0" w:afterAutospacing="0"/>
        <w:ind w:firstLine="675"/>
        <w:jc w:val="both"/>
        <w:rPr>
          <w:sz w:val="20"/>
          <w:szCs w:val="20"/>
        </w:rPr>
      </w:pPr>
      <w:r>
        <w:rPr>
          <w:sz w:val="20"/>
          <w:szCs w:val="20"/>
        </w:rPr>
        <w:t>In addition to considering the other information in this Annual Report on Form 10-K, you should consider carefully the following factors. The risks described below are the significant risks we face and include all material r</w:t>
      </w:r>
      <w:r>
        <w:rPr>
          <w:sz w:val="20"/>
          <w:szCs w:val="20"/>
        </w:rPr>
        <w:t>isks of which we are aware. Additional risks not presently known to us or risks that we currently consider immaterial may also adversely affect our business.</w:t>
      </w:r>
    </w:p>
    <w:p w14:paraId="37F5DAB2"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6AE1C67F" w14:textId="77777777">
        <w:trPr>
          <w:trHeight w:val="225"/>
          <w:tblCellSpacing w:w="15" w:type="dxa"/>
        </w:trPr>
        <w:tc>
          <w:tcPr>
            <w:tcW w:w="0" w:type="auto"/>
            <w:vAlign w:val="center"/>
            <w:hideMark/>
          </w:tcPr>
          <w:p w14:paraId="6DD3A159" w14:textId="77777777" w:rsidR="00000000" w:rsidRDefault="0015578C">
            <w:pPr>
              <w:rPr>
                <w:rFonts w:eastAsia="Times New Roman"/>
                <w:sz w:val="20"/>
                <w:szCs w:val="20"/>
              </w:rPr>
            </w:pPr>
            <w:r>
              <w:rPr>
                <w:rFonts w:eastAsia="Times New Roman"/>
                <w:sz w:val="20"/>
                <w:szCs w:val="20"/>
              </w:rPr>
              <w:t> </w:t>
            </w:r>
          </w:p>
        </w:tc>
      </w:tr>
      <w:tr w:rsidR="00000000" w14:paraId="06ADAF6A" w14:textId="77777777">
        <w:trPr>
          <w:trHeight w:val="225"/>
          <w:tblCellSpacing w:w="15" w:type="dxa"/>
        </w:trPr>
        <w:tc>
          <w:tcPr>
            <w:tcW w:w="0" w:type="auto"/>
            <w:tcBorders>
              <w:bottom w:val="single" w:sz="6" w:space="0" w:color="000000"/>
            </w:tcBorders>
            <w:vAlign w:val="center"/>
            <w:hideMark/>
          </w:tcPr>
          <w:p w14:paraId="7288D704" w14:textId="77777777" w:rsidR="00000000" w:rsidRDefault="0015578C">
            <w:pPr>
              <w:jc w:val="center"/>
              <w:rPr>
                <w:rFonts w:eastAsia="Times New Roman"/>
                <w:sz w:val="20"/>
                <w:szCs w:val="20"/>
              </w:rPr>
            </w:pPr>
            <w:r>
              <w:rPr>
                <w:rFonts w:eastAsia="Times New Roman"/>
                <w:sz w:val="20"/>
                <w:szCs w:val="20"/>
              </w:rPr>
              <w:t>6</w:t>
            </w:r>
          </w:p>
        </w:tc>
      </w:tr>
      <w:tr w:rsidR="00000000" w14:paraId="3CB1584E" w14:textId="77777777">
        <w:trPr>
          <w:trHeight w:val="225"/>
          <w:tblCellSpacing w:w="15" w:type="dxa"/>
        </w:trPr>
        <w:tc>
          <w:tcPr>
            <w:tcW w:w="0" w:type="auto"/>
            <w:vAlign w:val="center"/>
            <w:hideMark/>
          </w:tcPr>
          <w:p w14:paraId="502F2BD5" w14:textId="77777777" w:rsidR="00000000" w:rsidRDefault="0015578C">
            <w:pPr>
              <w:rPr>
                <w:rFonts w:eastAsia="Times New Roman"/>
                <w:sz w:val="20"/>
                <w:szCs w:val="20"/>
              </w:rPr>
            </w:pPr>
          </w:p>
        </w:tc>
      </w:tr>
      <w:tr w:rsidR="00000000" w14:paraId="5425D03A" w14:textId="77777777">
        <w:trPr>
          <w:trHeight w:val="225"/>
          <w:tblCellSpacing w:w="15" w:type="dxa"/>
        </w:trPr>
        <w:tc>
          <w:tcPr>
            <w:tcW w:w="0" w:type="auto"/>
            <w:vAlign w:val="center"/>
            <w:hideMark/>
          </w:tcPr>
          <w:p w14:paraId="7A957E93"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49B2209B" w14:textId="77777777" w:rsidR="00000000" w:rsidRDefault="0015578C">
      <w:pPr>
        <w:pStyle w:val="a3"/>
        <w:spacing w:before="0" w:beforeAutospacing="0" w:after="0" w:afterAutospacing="0"/>
        <w:jc w:val="both"/>
        <w:rPr>
          <w:sz w:val="20"/>
          <w:szCs w:val="20"/>
        </w:rPr>
      </w:pPr>
      <w:r>
        <w:rPr>
          <w:sz w:val="20"/>
          <w:szCs w:val="20"/>
        </w:rPr>
        <w:t> </w:t>
      </w:r>
    </w:p>
    <w:p w14:paraId="5199A47D" w14:textId="77777777" w:rsidR="00000000" w:rsidRDefault="0015578C">
      <w:pPr>
        <w:pStyle w:val="a3"/>
        <w:spacing w:before="0" w:beforeAutospacing="0" w:after="0" w:afterAutospacing="0"/>
        <w:jc w:val="both"/>
        <w:rPr>
          <w:sz w:val="20"/>
          <w:szCs w:val="20"/>
        </w:rPr>
      </w:pPr>
      <w:r>
        <w:rPr>
          <w:rStyle w:val="a4"/>
          <w:sz w:val="20"/>
          <w:szCs w:val="20"/>
        </w:rPr>
        <w:t>Risks Related to Our Business and Industry</w:t>
      </w:r>
    </w:p>
    <w:p w14:paraId="0E482282" w14:textId="77777777" w:rsidR="00000000" w:rsidRDefault="0015578C">
      <w:pPr>
        <w:pStyle w:val="a3"/>
        <w:spacing w:before="0" w:beforeAutospacing="0" w:after="0" w:afterAutospacing="0"/>
        <w:jc w:val="both"/>
        <w:rPr>
          <w:sz w:val="20"/>
          <w:szCs w:val="20"/>
        </w:rPr>
      </w:pPr>
      <w:r>
        <w:rPr>
          <w:sz w:val="20"/>
          <w:szCs w:val="20"/>
        </w:rPr>
        <w:t> </w:t>
      </w:r>
    </w:p>
    <w:p w14:paraId="00609991" w14:textId="77777777" w:rsidR="00000000" w:rsidRDefault="0015578C">
      <w:pPr>
        <w:pStyle w:val="a3"/>
        <w:spacing w:before="0" w:beforeAutospacing="0" w:after="0" w:afterAutospacing="0"/>
        <w:jc w:val="both"/>
        <w:rPr>
          <w:sz w:val="20"/>
          <w:szCs w:val="20"/>
        </w:rPr>
      </w:pPr>
      <w:r>
        <w:rPr>
          <w:rStyle w:val="a7"/>
          <w:b/>
          <w:bCs/>
          <w:sz w:val="20"/>
          <w:szCs w:val="20"/>
        </w:rPr>
        <w:t>Our mineral exploration activities involve a high degree of risk, and a significant portion of our business model envisions the sale or joint venture of mineral properties.  If we are unable to sell or joint ven</w:t>
      </w:r>
      <w:r>
        <w:rPr>
          <w:rStyle w:val="a7"/>
          <w:b/>
          <w:bCs/>
          <w:sz w:val="20"/>
          <w:szCs w:val="20"/>
        </w:rPr>
        <w:t xml:space="preserve">ture these properties, the money spent on acquisition and exploration of our mineral properties may never be recovered and we could incur an impairment of our investments in our projects. </w:t>
      </w:r>
    </w:p>
    <w:p w14:paraId="14EFF5F8" w14:textId="77777777" w:rsidR="00000000" w:rsidRDefault="0015578C">
      <w:pPr>
        <w:pStyle w:val="a3"/>
        <w:spacing w:before="0" w:beforeAutospacing="0" w:after="0" w:afterAutospacing="0"/>
        <w:jc w:val="both"/>
        <w:rPr>
          <w:sz w:val="20"/>
          <w:szCs w:val="20"/>
        </w:rPr>
      </w:pPr>
      <w:r>
        <w:rPr>
          <w:sz w:val="20"/>
          <w:szCs w:val="20"/>
        </w:rPr>
        <w:t> </w:t>
      </w:r>
    </w:p>
    <w:p w14:paraId="54BBD79A" w14:textId="77777777" w:rsidR="00000000" w:rsidRDefault="0015578C">
      <w:pPr>
        <w:pStyle w:val="a3"/>
        <w:spacing w:before="0" w:beforeAutospacing="0" w:after="0" w:afterAutospacing="0"/>
        <w:ind w:firstLine="675"/>
        <w:jc w:val="both"/>
        <w:rPr>
          <w:sz w:val="20"/>
          <w:szCs w:val="20"/>
        </w:rPr>
      </w:pPr>
      <w:r>
        <w:rPr>
          <w:sz w:val="20"/>
          <w:szCs w:val="20"/>
        </w:rPr>
        <w:t>The exploration for mineral deposits involves significant financi</w:t>
      </w:r>
      <w:r>
        <w:rPr>
          <w:sz w:val="20"/>
          <w:szCs w:val="20"/>
        </w:rPr>
        <w:t>al and other risks over an extended period of time. Few properties that are explored are ultimately developed into producing mines. Major expenditures are required to determine if any of our mineral properties may have the potential to be commercially viab</w:t>
      </w:r>
      <w:r>
        <w:rPr>
          <w:sz w:val="20"/>
          <w:szCs w:val="20"/>
        </w:rPr>
        <w:t>le, be salable or joint ventured. From time to time, we may acquire a mineral property asset and later determine to abandon that project for various reasons, and as a result costs incurred to acquire the asset, and any costs incurred for initial exploratio</w:t>
      </w:r>
      <w:r>
        <w:rPr>
          <w:sz w:val="20"/>
          <w:szCs w:val="20"/>
        </w:rPr>
        <w:t>n efforts will be lost. Moreover, significant expenses and risks, including drilling and determining the feasibility of a project, are required prior to the establishment of reserves. It is impossible to ensure that the current or proposed exploration prog</w:t>
      </w:r>
      <w:r>
        <w:rPr>
          <w:sz w:val="20"/>
          <w:szCs w:val="20"/>
        </w:rPr>
        <w:t>rams on properties in which we have an interest will be commercially viable or that we will be able to sell, joint venture or develop our properties. Whether a mineral deposit will be commercially viable depends on a number of factors, some of which are th</w:t>
      </w:r>
      <w:r>
        <w:rPr>
          <w:sz w:val="20"/>
          <w:szCs w:val="20"/>
        </w:rPr>
        <w:t>e particular attributes of the deposit, such as its size and grade, costs and efficiency of the recovery methods that can be employed, proximity to infrastructure, commodity prices, financing costs and governmental regulations, including regulations relati</w:t>
      </w:r>
      <w:r>
        <w:rPr>
          <w:sz w:val="20"/>
          <w:szCs w:val="20"/>
        </w:rPr>
        <w:t>ng to prices, taxes, royalties, infrastructure, land use, importing and exporting of mineral products and environmental protection.</w:t>
      </w:r>
    </w:p>
    <w:p w14:paraId="454B131B" w14:textId="77777777" w:rsidR="00000000" w:rsidRDefault="0015578C">
      <w:pPr>
        <w:pStyle w:val="a3"/>
        <w:spacing w:before="0" w:beforeAutospacing="0" w:after="0" w:afterAutospacing="0"/>
        <w:jc w:val="both"/>
        <w:rPr>
          <w:sz w:val="20"/>
          <w:szCs w:val="20"/>
        </w:rPr>
      </w:pPr>
      <w:r>
        <w:rPr>
          <w:sz w:val="20"/>
          <w:szCs w:val="20"/>
        </w:rPr>
        <w:t> </w:t>
      </w:r>
    </w:p>
    <w:p w14:paraId="6C28CEE5" w14:textId="77777777" w:rsidR="00000000" w:rsidRDefault="0015578C">
      <w:pPr>
        <w:pStyle w:val="a3"/>
        <w:spacing w:before="0" w:beforeAutospacing="0" w:after="0" w:afterAutospacing="0"/>
        <w:ind w:firstLine="675"/>
        <w:jc w:val="both"/>
        <w:rPr>
          <w:sz w:val="20"/>
          <w:szCs w:val="20"/>
        </w:rPr>
      </w:pPr>
      <w:r>
        <w:rPr>
          <w:sz w:val="20"/>
          <w:szCs w:val="20"/>
        </w:rPr>
        <w:t xml:space="preserve">We believe the data obtained from our own exploration activities or our partners' activities to be reliable; however, the </w:t>
      </w:r>
      <w:r>
        <w:rPr>
          <w:sz w:val="20"/>
          <w:szCs w:val="20"/>
        </w:rPr>
        <w:t>nature of exploration of mineral properties and analysis of geological information is often subjective, and data and conclusions are subject to uncertainty. Even if exploration activities determine that a project is commercially viable, it is impossible to</w:t>
      </w:r>
      <w:r>
        <w:rPr>
          <w:sz w:val="20"/>
          <w:szCs w:val="20"/>
        </w:rPr>
        <w:t xml:space="preserve"> ensure that such determination will result in a profitable sale of the project or development either on our own or by a joint venture in the future and that such project will result in profitable commercial mining operations. If we determine that capitali</w:t>
      </w:r>
      <w:r>
        <w:rPr>
          <w:sz w:val="20"/>
          <w:szCs w:val="20"/>
        </w:rPr>
        <w:t>zed costs associated with any of our mineral interests are not likely to be recovered, we would incur an impairment of our investment in such property interest. All of these factors may result in losses in relation to amounts spent, which are not recoverab</w:t>
      </w:r>
      <w:r>
        <w:rPr>
          <w:sz w:val="20"/>
          <w:szCs w:val="20"/>
        </w:rPr>
        <w:t>le. We have experienced losses of this type from time to time in the past and may record mineral property impairments in the future.</w:t>
      </w:r>
    </w:p>
    <w:p w14:paraId="74960A18" w14:textId="77777777" w:rsidR="00000000" w:rsidRDefault="0015578C">
      <w:pPr>
        <w:pStyle w:val="a3"/>
        <w:spacing w:before="0" w:beforeAutospacing="0" w:after="0" w:afterAutospacing="0"/>
        <w:jc w:val="both"/>
        <w:rPr>
          <w:sz w:val="20"/>
          <w:szCs w:val="20"/>
        </w:rPr>
      </w:pPr>
      <w:r>
        <w:rPr>
          <w:sz w:val="20"/>
          <w:szCs w:val="20"/>
        </w:rPr>
        <w:t> </w:t>
      </w:r>
    </w:p>
    <w:p w14:paraId="3B0E31EE" w14:textId="77777777" w:rsidR="00000000" w:rsidRDefault="0015578C">
      <w:pPr>
        <w:pStyle w:val="a3"/>
        <w:spacing w:before="0" w:beforeAutospacing="0" w:after="0" w:afterAutospacing="0"/>
        <w:jc w:val="both"/>
        <w:rPr>
          <w:sz w:val="20"/>
          <w:szCs w:val="20"/>
        </w:rPr>
      </w:pPr>
      <w:r>
        <w:rPr>
          <w:rStyle w:val="a7"/>
          <w:b/>
          <w:bCs/>
          <w:sz w:val="20"/>
          <w:szCs w:val="20"/>
        </w:rPr>
        <w:t xml:space="preserve">We have no reported mineral reserves as defined by SEC rules, and our current projects and assets or any projects we may </w:t>
      </w:r>
      <w:r>
        <w:rPr>
          <w:rStyle w:val="a7"/>
          <w:b/>
          <w:bCs/>
          <w:sz w:val="20"/>
          <w:szCs w:val="20"/>
        </w:rPr>
        <w:t>acquire are not likely to offer the opportunity for near term revenues or sale proceeds. If we are unsuccessful in identifying mineral reserves in the future, we may not be able to realize any profit from our property interests.</w:t>
      </w:r>
    </w:p>
    <w:p w14:paraId="2A9E5100" w14:textId="77777777" w:rsidR="00000000" w:rsidRDefault="0015578C">
      <w:pPr>
        <w:pStyle w:val="a3"/>
        <w:spacing w:before="0" w:beforeAutospacing="0" w:after="0" w:afterAutospacing="0"/>
        <w:jc w:val="both"/>
        <w:rPr>
          <w:sz w:val="20"/>
          <w:szCs w:val="20"/>
        </w:rPr>
      </w:pPr>
      <w:r>
        <w:rPr>
          <w:sz w:val="20"/>
          <w:szCs w:val="20"/>
        </w:rPr>
        <w:t> </w:t>
      </w:r>
    </w:p>
    <w:p w14:paraId="1696492A" w14:textId="77777777" w:rsidR="00000000" w:rsidRDefault="0015578C">
      <w:pPr>
        <w:pStyle w:val="a3"/>
        <w:spacing w:before="0" w:beforeAutospacing="0" w:after="0" w:afterAutospacing="0"/>
        <w:ind w:firstLine="675"/>
        <w:jc w:val="both"/>
        <w:rPr>
          <w:sz w:val="20"/>
          <w:szCs w:val="20"/>
        </w:rPr>
      </w:pPr>
      <w:r>
        <w:rPr>
          <w:sz w:val="20"/>
          <w:szCs w:val="20"/>
        </w:rPr>
        <w:t>None of our current proje</w:t>
      </w:r>
      <w:r>
        <w:rPr>
          <w:sz w:val="20"/>
          <w:szCs w:val="20"/>
        </w:rPr>
        <w:t xml:space="preserve">cts have reported mineral reserves as those terms are used in SEC rules. Any mineral reserves on these projects will only come from extensive additional exploration, engineering and evaluation of existing or future mineral properties. The lack of reserves </w:t>
      </w:r>
      <w:r>
        <w:rPr>
          <w:sz w:val="20"/>
          <w:szCs w:val="20"/>
        </w:rPr>
        <w:t xml:space="preserve">on these mineral properties could prohibit us from any near-term sale or joint venture of our mineral properties and we would not be able to realize any proceeds and or profit from our interests in such mineral properties, which could materially adversely </w:t>
      </w:r>
      <w:r>
        <w:rPr>
          <w:sz w:val="20"/>
          <w:szCs w:val="20"/>
        </w:rPr>
        <w:t>affect our financial position or results of operations.</w:t>
      </w:r>
    </w:p>
    <w:p w14:paraId="1E8193C5" w14:textId="77777777" w:rsidR="00000000" w:rsidRDefault="0015578C">
      <w:pPr>
        <w:pStyle w:val="a3"/>
        <w:spacing w:before="0" w:beforeAutospacing="0" w:after="0" w:afterAutospacing="0"/>
        <w:jc w:val="both"/>
        <w:rPr>
          <w:sz w:val="20"/>
          <w:szCs w:val="20"/>
        </w:rPr>
      </w:pPr>
      <w:r>
        <w:rPr>
          <w:sz w:val="20"/>
          <w:szCs w:val="20"/>
        </w:rPr>
        <w:t> </w:t>
      </w:r>
    </w:p>
    <w:p w14:paraId="6C0EB94A" w14:textId="77777777" w:rsidR="00000000" w:rsidRDefault="0015578C">
      <w:pPr>
        <w:pStyle w:val="a3"/>
        <w:spacing w:before="0" w:beforeAutospacing="0" w:after="0" w:afterAutospacing="0"/>
        <w:jc w:val="both"/>
        <w:rPr>
          <w:sz w:val="20"/>
          <w:szCs w:val="20"/>
        </w:rPr>
      </w:pPr>
      <w:r>
        <w:rPr>
          <w:rStyle w:val="a7"/>
          <w:b/>
          <w:bCs/>
          <w:sz w:val="20"/>
          <w:szCs w:val="20"/>
        </w:rPr>
        <w:t>We have mineral resources reported on our Florida Canyon and Lik projects upon which we do not exercise 100% control. The potential for reported mineral reserves on these projects is dependent on ad</w:t>
      </w:r>
      <w:r>
        <w:rPr>
          <w:rStyle w:val="a7"/>
          <w:b/>
          <w:bCs/>
          <w:sz w:val="20"/>
          <w:szCs w:val="20"/>
        </w:rPr>
        <w:t>ditional geologic work and economic evaluation which our joint venture partners may or may not conduct, and there can be no assurance that if such activities are performed that these will result in a positive feasibility or other study to allow the mineral</w:t>
      </w:r>
      <w:r>
        <w:rPr>
          <w:rStyle w:val="a7"/>
          <w:b/>
          <w:bCs/>
          <w:sz w:val="20"/>
          <w:szCs w:val="20"/>
        </w:rPr>
        <w:t xml:space="preserve"> resources to be upgraded to mineral reserves as defined by SEC rules, and as a result we may not be able to sell or otherwise realize any profit from our property interests in the Florida Canyon or Lik projects.</w:t>
      </w:r>
    </w:p>
    <w:p w14:paraId="0BE74C17" w14:textId="77777777" w:rsidR="00000000" w:rsidRDefault="0015578C">
      <w:pPr>
        <w:pStyle w:val="a3"/>
        <w:spacing w:before="0" w:beforeAutospacing="0" w:after="0" w:afterAutospacing="0"/>
        <w:jc w:val="both"/>
        <w:rPr>
          <w:sz w:val="20"/>
          <w:szCs w:val="20"/>
        </w:rPr>
      </w:pPr>
      <w:r>
        <w:rPr>
          <w:sz w:val="20"/>
          <w:szCs w:val="20"/>
        </w:rPr>
        <w:t> </w:t>
      </w:r>
    </w:p>
    <w:p w14:paraId="435EB9BD" w14:textId="77777777" w:rsidR="00000000" w:rsidRDefault="0015578C">
      <w:pPr>
        <w:pStyle w:val="a3"/>
        <w:spacing w:before="0" w:beforeAutospacing="0" w:after="0" w:afterAutospacing="0"/>
        <w:ind w:firstLine="675"/>
        <w:jc w:val="both"/>
        <w:rPr>
          <w:sz w:val="20"/>
          <w:szCs w:val="20"/>
        </w:rPr>
      </w:pPr>
      <w:r>
        <w:rPr>
          <w:sz w:val="20"/>
          <w:szCs w:val="20"/>
        </w:rPr>
        <w:t xml:space="preserve">Our Florida Canyon and Lik projects have </w:t>
      </w:r>
      <w:r>
        <w:rPr>
          <w:sz w:val="20"/>
          <w:szCs w:val="20"/>
        </w:rPr>
        <w:t>reported mineral resources in accordance with SEC rules. However, these resources may never be upgraded to mineral reserves without significant additional geologic work, including additional drilling, economic and environmental analysis, and the completion</w:t>
      </w:r>
      <w:r>
        <w:rPr>
          <w:sz w:val="20"/>
          <w:szCs w:val="20"/>
        </w:rPr>
        <w:t xml:space="preserve"> of a feasibility or other study to demonstrate the mineral potential and economic viability of these projects. To a significant degree, the completion of this work and a feasibility or other appropriate study is dependent on our joint venture partners des</w:t>
      </w:r>
      <w:r>
        <w:rPr>
          <w:sz w:val="20"/>
          <w:szCs w:val="20"/>
        </w:rPr>
        <w:t>ire to do so, over which we have limited influence. In addition, there is no assurance that if such work and studies are undertaken and completed, that either or both of these projects will be determined to be economically viable. The lack of reserves on t</w:t>
      </w:r>
      <w:r>
        <w:rPr>
          <w:sz w:val="20"/>
          <w:szCs w:val="20"/>
        </w:rPr>
        <w:t>hese mineral properties could prohibit us from any near-term sale or joint venture of such mineral properties and we would not be able to realize any proceeds and or profit from our interests in such mineral properties, which could materially adversely aff</w:t>
      </w:r>
      <w:r>
        <w:rPr>
          <w:sz w:val="20"/>
          <w:szCs w:val="20"/>
        </w:rPr>
        <w:t>ect our financial position or results of operations.</w:t>
      </w:r>
    </w:p>
    <w:p w14:paraId="2408680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8D296DD" w14:textId="77777777">
        <w:trPr>
          <w:trHeight w:val="225"/>
          <w:tblCellSpacing w:w="15" w:type="dxa"/>
        </w:trPr>
        <w:tc>
          <w:tcPr>
            <w:tcW w:w="0" w:type="auto"/>
            <w:vAlign w:val="center"/>
            <w:hideMark/>
          </w:tcPr>
          <w:p w14:paraId="718B51EB" w14:textId="77777777" w:rsidR="00000000" w:rsidRDefault="0015578C">
            <w:pPr>
              <w:rPr>
                <w:rFonts w:eastAsia="Times New Roman"/>
                <w:sz w:val="20"/>
                <w:szCs w:val="20"/>
              </w:rPr>
            </w:pPr>
            <w:r>
              <w:rPr>
                <w:rFonts w:eastAsia="Times New Roman"/>
                <w:sz w:val="20"/>
                <w:szCs w:val="20"/>
              </w:rPr>
              <w:t> </w:t>
            </w:r>
          </w:p>
        </w:tc>
      </w:tr>
      <w:tr w:rsidR="00000000" w14:paraId="1B0F994E" w14:textId="77777777">
        <w:trPr>
          <w:trHeight w:val="225"/>
          <w:tblCellSpacing w:w="15" w:type="dxa"/>
        </w:trPr>
        <w:tc>
          <w:tcPr>
            <w:tcW w:w="0" w:type="auto"/>
            <w:tcBorders>
              <w:bottom w:val="single" w:sz="6" w:space="0" w:color="000000"/>
            </w:tcBorders>
            <w:vAlign w:val="center"/>
            <w:hideMark/>
          </w:tcPr>
          <w:p w14:paraId="11F264BE" w14:textId="77777777" w:rsidR="00000000" w:rsidRDefault="0015578C">
            <w:pPr>
              <w:jc w:val="center"/>
              <w:rPr>
                <w:rFonts w:eastAsia="Times New Roman"/>
                <w:sz w:val="20"/>
                <w:szCs w:val="20"/>
              </w:rPr>
            </w:pPr>
            <w:r>
              <w:rPr>
                <w:rFonts w:eastAsia="Times New Roman"/>
                <w:sz w:val="20"/>
                <w:szCs w:val="20"/>
              </w:rPr>
              <w:t>7</w:t>
            </w:r>
          </w:p>
        </w:tc>
      </w:tr>
      <w:tr w:rsidR="00000000" w14:paraId="7B69DB2E" w14:textId="77777777">
        <w:trPr>
          <w:trHeight w:val="225"/>
          <w:tblCellSpacing w:w="15" w:type="dxa"/>
        </w:trPr>
        <w:tc>
          <w:tcPr>
            <w:tcW w:w="0" w:type="auto"/>
            <w:vAlign w:val="center"/>
            <w:hideMark/>
          </w:tcPr>
          <w:p w14:paraId="4078F55E" w14:textId="77777777" w:rsidR="00000000" w:rsidRDefault="0015578C">
            <w:pPr>
              <w:rPr>
                <w:rFonts w:eastAsia="Times New Roman"/>
                <w:sz w:val="20"/>
                <w:szCs w:val="20"/>
              </w:rPr>
            </w:pPr>
          </w:p>
        </w:tc>
      </w:tr>
      <w:tr w:rsidR="00000000" w14:paraId="56A62E69" w14:textId="77777777">
        <w:trPr>
          <w:trHeight w:val="225"/>
          <w:tblCellSpacing w:w="15" w:type="dxa"/>
        </w:trPr>
        <w:tc>
          <w:tcPr>
            <w:tcW w:w="0" w:type="auto"/>
            <w:vAlign w:val="center"/>
            <w:hideMark/>
          </w:tcPr>
          <w:p w14:paraId="270A7138"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404F4D68" w14:textId="77777777" w:rsidR="00000000" w:rsidRDefault="0015578C">
      <w:pPr>
        <w:pStyle w:val="a3"/>
        <w:spacing w:before="0" w:beforeAutospacing="0" w:after="0" w:afterAutospacing="0"/>
        <w:jc w:val="both"/>
        <w:rPr>
          <w:sz w:val="20"/>
          <w:szCs w:val="20"/>
        </w:rPr>
      </w:pPr>
      <w:r>
        <w:rPr>
          <w:sz w:val="20"/>
          <w:szCs w:val="20"/>
        </w:rPr>
        <w:t> </w:t>
      </w:r>
    </w:p>
    <w:p w14:paraId="3D5971C3" w14:textId="77777777" w:rsidR="00000000" w:rsidRDefault="0015578C">
      <w:pPr>
        <w:pStyle w:val="a3"/>
        <w:spacing w:before="0" w:beforeAutospacing="0" w:after="0" w:afterAutospacing="0"/>
        <w:jc w:val="both"/>
        <w:rPr>
          <w:sz w:val="20"/>
          <w:szCs w:val="20"/>
        </w:rPr>
      </w:pPr>
      <w:r>
        <w:rPr>
          <w:rStyle w:val="a7"/>
          <w:b/>
          <w:bCs/>
          <w:sz w:val="20"/>
          <w:szCs w:val="20"/>
        </w:rPr>
        <w:t>Our Golden Crest project is an early-stage exploration project with no mineral resources or mineral reserves as defined by SEC rules. There can be no assurance that additional geologic work will result in reported mineral resources or mineral reserves in t</w:t>
      </w:r>
      <w:r>
        <w:rPr>
          <w:rStyle w:val="a7"/>
          <w:b/>
          <w:bCs/>
          <w:sz w:val="20"/>
          <w:szCs w:val="20"/>
        </w:rPr>
        <w:t>he future. If we are unsuccessful in identifying mineral reserves in the future, we may not be able to sell or otherwise realize any profit from our property interests.</w:t>
      </w:r>
    </w:p>
    <w:p w14:paraId="2B6E1DA8" w14:textId="77777777" w:rsidR="00000000" w:rsidRDefault="0015578C">
      <w:pPr>
        <w:pStyle w:val="a3"/>
        <w:spacing w:before="0" w:beforeAutospacing="0" w:after="0" w:afterAutospacing="0"/>
        <w:jc w:val="both"/>
        <w:rPr>
          <w:sz w:val="20"/>
          <w:szCs w:val="20"/>
        </w:rPr>
      </w:pPr>
      <w:r>
        <w:rPr>
          <w:sz w:val="20"/>
          <w:szCs w:val="20"/>
        </w:rPr>
        <w:t> </w:t>
      </w:r>
    </w:p>
    <w:p w14:paraId="3A748B60" w14:textId="77777777" w:rsidR="00000000" w:rsidRDefault="0015578C">
      <w:pPr>
        <w:pStyle w:val="a3"/>
        <w:spacing w:before="0" w:beforeAutospacing="0" w:after="0" w:afterAutospacing="0"/>
        <w:ind w:firstLine="675"/>
        <w:jc w:val="both"/>
        <w:rPr>
          <w:sz w:val="20"/>
          <w:szCs w:val="20"/>
        </w:rPr>
      </w:pPr>
      <w:r>
        <w:rPr>
          <w:sz w:val="20"/>
          <w:szCs w:val="20"/>
        </w:rPr>
        <w:t>Our Golden Crest project, which was acquired during 2021, has no reported mineral resources or mineral reserves as defined by SEC rules. We have conducted limited geologic activities at the Golden Crest project consisting primarily of soil and rock samplin</w:t>
      </w:r>
      <w:r>
        <w:rPr>
          <w:sz w:val="20"/>
          <w:szCs w:val="20"/>
        </w:rPr>
        <w:t>g. Additional geologic, environmental, and economic work would be required to allow us to report mineral resources at the Golden Crest project, including drilling and completion of a preliminary economic study. Furthermore, significant additional work woul</w:t>
      </w:r>
      <w:r>
        <w:rPr>
          <w:sz w:val="20"/>
          <w:szCs w:val="20"/>
        </w:rPr>
        <w:t>d be required to prepare a feasibility or other study to allow us to report mineral reserves at the Golden Crest project. There can be no assurance that if such work is completed that the results would allow us to report either mineral resources or mineral</w:t>
      </w:r>
      <w:r>
        <w:rPr>
          <w:sz w:val="20"/>
          <w:szCs w:val="20"/>
        </w:rPr>
        <w:t xml:space="preserve"> reserves in the future. The lack of mineral resources or mineral reserves at the Golden Crest project could prohibit us from any near-term sale or joint venture of our interest in the Golden Crest project and we may not be able to realize any proceeds and</w:t>
      </w:r>
      <w:r>
        <w:rPr>
          <w:sz w:val="20"/>
          <w:szCs w:val="20"/>
        </w:rPr>
        <w:t xml:space="preserve"> or profit from our interests in the Golden Crest project, which could materially adversely affect our financial position or results of operations.</w:t>
      </w:r>
    </w:p>
    <w:p w14:paraId="2413B772" w14:textId="77777777" w:rsidR="00000000" w:rsidRDefault="0015578C">
      <w:pPr>
        <w:pStyle w:val="a3"/>
        <w:spacing w:before="0" w:beforeAutospacing="0" w:after="0" w:afterAutospacing="0"/>
        <w:jc w:val="both"/>
        <w:rPr>
          <w:sz w:val="20"/>
          <w:szCs w:val="20"/>
        </w:rPr>
      </w:pPr>
      <w:r>
        <w:rPr>
          <w:sz w:val="20"/>
          <w:szCs w:val="20"/>
        </w:rPr>
        <w:t> </w:t>
      </w:r>
    </w:p>
    <w:p w14:paraId="23715487" w14:textId="77777777" w:rsidR="00000000" w:rsidRDefault="0015578C">
      <w:pPr>
        <w:pStyle w:val="a3"/>
        <w:spacing w:before="0" w:beforeAutospacing="0" w:after="0" w:afterAutospacing="0"/>
        <w:jc w:val="both"/>
        <w:rPr>
          <w:sz w:val="20"/>
          <w:szCs w:val="20"/>
        </w:rPr>
      </w:pPr>
      <w:r>
        <w:rPr>
          <w:rStyle w:val="a7"/>
          <w:b/>
          <w:bCs/>
          <w:sz w:val="20"/>
          <w:szCs w:val="20"/>
        </w:rPr>
        <w:t>Mineral exploration activities are inherently dangerous and could cause us to incur significant unexpected</w:t>
      </w:r>
      <w:r>
        <w:rPr>
          <w:rStyle w:val="a7"/>
          <w:b/>
          <w:bCs/>
          <w:sz w:val="20"/>
          <w:szCs w:val="20"/>
        </w:rPr>
        <w:t xml:space="preserve"> costs, including legal liability for loss of life, damage to property and environmental damage, any of which could materially adversely affect our financial position or results of operations.</w:t>
      </w:r>
    </w:p>
    <w:p w14:paraId="4DC476CA" w14:textId="77777777" w:rsidR="00000000" w:rsidRDefault="0015578C">
      <w:pPr>
        <w:pStyle w:val="a3"/>
        <w:spacing w:before="0" w:beforeAutospacing="0" w:after="0" w:afterAutospacing="0"/>
        <w:jc w:val="both"/>
        <w:rPr>
          <w:sz w:val="20"/>
          <w:szCs w:val="20"/>
        </w:rPr>
      </w:pPr>
      <w:r>
        <w:rPr>
          <w:sz w:val="20"/>
          <w:szCs w:val="20"/>
        </w:rPr>
        <w:t> </w:t>
      </w:r>
    </w:p>
    <w:p w14:paraId="050E029F" w14:textId="77777777" w:rsidR="00000000" w:rsidRDefault="0015578C">
      <w:pPr>
        <w:pStyle w:val="a3"/>
        <w:spacing w:before="0" w:beforeAutospacing="0" w:after="0" w:afterAutospacing="0"/>
        <w:ind w:firstLine="675"/>
        <w:jc w:val="both"/>
        <w:rPr>
          <w:sz w:val="20"/>
          <w:szCs w:val="20"/>
        </w:rPr>
      </w:pPr>
      <w:r>
        <w:rPr>
          <w:sz w:val="20"/>
          <w:szCs w:val="20"/>
        </w:rPr>
        <w:t xml:space="preserve">Mining exploration operations are subject to the hazards and </w:t>
      </w:r>
      <w:r>
        <w:rPr>
          <w:sz w:val="20"/>
          <w:szCs w:val="20"/>
        </w:rPr>
        <w:t>risks normally related to exploration of a mineral deposit, including, but not limited to mapping and sampling, drilling, road building, trenching, assaying and analyzing rock samples, transportation over primitive roads or via small contract aircraft or h</w:t>
      </w:r>
      <w:r>
        <w:rPr>
          <w:sz w:val="20"/>
          <w:szCs w:val="20"/>
        </w:rPr>
        <w:t>elicopters and severe weather conditions. Any of the hazards of mineral exploration could result in damage to life or property, and environmental damage, and possible legal liability for such damage. Any of these risks could cause us to incur significant u</w:t>
      </w:r>
      <w:r>
        <w:rPr>
          <w:sz w:val="20"/>
          <w:szCs w:val="20"/>
        </w:rPr>
        <w:t>nexpected costs that could have a material adverse effect on our financial condition and ability to finance our exploration and development activities.</w:t>
      </w:r>
    </w:p>
    <w:p w14:paraId="05873C12" w14:textId="77777777" w:rsidR="00000000" w:rsidRDefault="0015578C">
      <w:pPr>
        <w:pStyle w:val="a3"/>
        <w:spacing w:before="0" w:beforeAutospacing="0" w:after="0" w:afterAutospacing="0"/>
        <w:jc w:val="both"/>
        <w:rPr>
          <w:sz w:val="20"/>
          <w:szCs w:val="20"/>
        </w:rPr>
      </w:pPr>
      <w:r>
        <w:rPr>
          <w:sz w:val="20"/>
          <w:szCs w:val="20"/>
        </w:rPr>
        <w:t> </w:t>
      </w:r>
    </w:p>
    <w:p w14:paraId="30183BC2" w14:textId="77777777" w:rsidR="00000000" w:rsidRDefault="0015578C">
      <w:pPr>
        <w:pStyle w:val="a3"/>
        <w:spacing w:before="0" w:beforeAutospacing="0" w:after="0" w:afterAutospacing="0"/>
        <w:jc w:val="both"/>
        <w:rPr>
          <w:sz w:val="20"/>
          <w:szCs w:val="20"/>
        </w:rPr>
      </w:pPr>
      <w:r>
        <w:rPr>
          <w:rStyle w:val="a7"/>
          <w:b/>
          <w:bCs/>
          <w:sz w:val="20"/>
          <w:szCs w:val="20"/>
        </w:rPr>
        <w:t>Our operations outside of the United States of America may be adversely affected by factors outside of</w:t>
      </w:r>
      <w:r>
        <w:rPr>
          <w:rStyle w:val="a7"/>
          <w:b/>
          <w:bCs/>
          <w:sz w:val="20"/>
          <w:szCs w:val="20"/>
        </w:rPr>
        <w:t xml:space="preserve"> our control, such as changing political, local and economic conditions, any of which could materially adversely affect our financial position or results of operations.</w:t>
      </w:r>
    </w:p>
    <w:p w14:paraId="2CB94450" w14:textId="77777777" w:rsidR="00000000" w:rsidRDefault="0015578C">
      <w:pPr>
        <w:pStyle w:val="a3"/>
        <w:spacing w:before="0" w:beforeAutospacing="0" w:after="0" w:afterAutospacing="0"/>
        <w:jc w:val="both"/>
        <w:rPr>
          <w:sz w:val="20"/>
          <w:szCs w:val="20"/>
        </w:rPr>
      </w:pPr>
      <w:r>
        <w:rPr>
          <w:sz w:val="20"/>
          <w:szCs w:val="20"/>
        </w:rPr>
        <w:t> </w:t>
      </w:r>
    </w:p>
    <w:p w14:paraId="5A7E8BCD" w14:textId="77777777" w:rsidR="00000000" w:rsidRDefault="0015578C">
      <w:pPr>
        <w:pStyle w:val="a3"/>
        <w:spacing w:before="0" w:beforeAutospacing="0" w:after="0" w:afterAutospacing="0"/>
        <w:ind w:firstLine="675"/>
        <w:jc w:val="both"/>
        <w:rPr>
          <w:sz w:val="20"/>
          <w:szCs w:val="20"/>
        </w:rPr>
      </w:pPr>
      <w:r>
        <w:rPr>
          <w:sz w:val="20"/>
          <w:szCs w:val="20"/>
        </w:rPr>
        <w:t xml:space="preserve">Our mineral properties located in Peru consist primarily of mineral concessions granted by national governmental agencies and are held 100% by us or in conjunction with our joint venture partners, or under lease, option or purchase agreements. Currently a </w:t>
      </w:r>
      <w:r>
        <w:rPr>
          <w:sz w:val="20"/>
          <w:szCs w:val="20"/>
        </w:rPr>
        <w:t>portion of our mineral properties are located in Peru and we have previously held mineral properties and royalties on non-producing exploration properties in Peru, Mexico, Argentina, Bolivia and Brazil. Our current exploration activities and mineral proper</w:t>
      </w:r>
      <w:r>
        <w:rPr>
          <w:sz w:val="20"/>
          <w:szCs w:val="20"/>
        </w:rPr>
        <w:t>ties located outside of the United States are subject to the laws of Peru (and any other countries in which we may conduct business). Exploration and potential development activities in other countries where we may conduct exploration are potentially subje</w:t>
      </w:r>
      <w:r>
        <w:rPr>
          <w:sz w:val="20"/>
          <w:szCs w:val="20"/>
        </w:rPr>
        <w:t>ct to political and economic risks, including:</w:t>
      </w:r>
    </w:p>
    <w:p w14:paraId="43C6100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14:paraId="075153D1" w14:textId="77777777">
        <w:trPr>
          <w:trHeight w:val="225"/>
          <w:tblCellSpacing w:w="15" w:type="dxa"/>
        </w:trPr>
        <w:tc>
          <w:tcPr>
            <w:tcW w:w="200" w:type="pct"/>
            <w:vAlign w:val="center"/>
            <w:hideMark/>
          </w:tcPr>
          <w:p w14:paraId="20621DEF" w14:textId="77777777" w:rsidR="00000000" w:rsidRDefault="0015578C">
            <w:pPr>
              <w:pStyle w:val="a3"/>
              <w:spacing w:before="0" w:beforeAutospacing="0" w:after="0" w:afterAutospacing="0"/>
              <w:rPr>
                <w:sz w:val="20"/>
                <w:szCs w:val="20"/>
              </w:rPr>
            </w:pPr>
            <w:r>
              <w:rPr>
                <w:sz w:val="20"/>
                <w:szCs w:val="20"/>
              </w:rPr>
              <w:t> </w:t>
            </w:r>
          </w:p>
        </w:tc>
        <w:tc>
          <w:tcPr>
            <w:tcW w:w="200" w:type="pct"/>
            <w:hideMark/>
          </w:tcPr>
          <w:p w14:paraId="6F232C8B" w14:textId="77777777" w:rsidR="00000000" w:rsidRDefault="0015578C">
            <w:pPr>
              <w:pStyle w:val="a3"/>
              <w:spacing w:before="0" w:beforeAutospacing="0" w:after="0" w:afterAutospacing="0"/>
              <w:rPr>
                <w:sz w:val="20"/>
                <w:szCs w:val="20"/>
              </w:rPr>
            </w:pPr>
            <w:r>
              <w:rPr>
                <w:rFonts w:ascii="Symbol" w:hAnsi="Symbol"/>
                <w:sz w:val="20"/>
                <w:szCs w:val="20"/>
              </w:rPr>
              <w:t>·</w:t>
            </w:r>
          </w:p>
        </w:tc>
        <w:tc>
          <w:tcPr>
            <w:tcW w:w="0" w:type="auto"/>
            <w:hideMark/>
          </w:tcPr>
          <w:p w14:paraId="3370BEB7" w14:textId="77777777" w:rsidR="00000000" w:rsidRDefault="0015578C">
            <w:pPr>
              <w:pStyle w:val="a3"/>
              <w:spacing w:before="0" w:beforeAutospacing="0" w:after="0" w:afterAutospacing="0"/>
              <w:jc w:val="both"/>
              <w:rPr>
                <w:sz w:val="20"/>
                <w:szCs w:val="20"/>
              </w:rPr>
            </w:pPr>
            <w:r>
              <w:rPr>
                <w:sz w:val="20"/>
                <w:szCs w:val="20"/>
              </w:rPr>
              <w:t>cancellation or renegotiation of contracts;</w:t>
            </w:r>
          </w:p>
        </w:tc>
      </w:tr>
      <w:tr w:rsidR="00000000" w14:paraId="497CBC8B" w14:textId="77777777">
        <w:trPr>
          <w:trHeight w:val="225"/>
          <w:tblCellSpacing w:w="15" w:type="dxa"/>
        </w:trPr>
        <w:tc>
          <w:tcPr>
            <w:tcW w:w="0" w:type="auto"/>
            <w:vAlign w:val="center"/>
            <w:hideMark/>
          </w:tcPr>
          <w:p w14:paraId="56092A87"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38B16053"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7C91D7B" w14:textId="77777777" w:rsidR="00000000" w:rsidRDefault="0015578C">
            <w:pPr>
              <w:pStyle w:val="a3"/>
              <w:spacing w:before="0" w:beforeAutospacing="0" w:after="0" w:afterAutospacing="0"/>
              <w:jc w:val="both"/>
              <w:rPr>
                <w:sz w:val="20"/>
                <w:szCs w:val="20"/>
              </w:rPr>
            </w:pPr>
            <w:r>
              <w:rPr>
                <w:sz w:val="20"/>
                <w:szCs w:val="20"/>
              </w:rPr>
              <w:t>disadvantages of competing against companies from countries that are not subject to U.S. laws and regulations, including the U.S. Foreign Corrupt Practice</w:t>
            </w:r>
            <w:r>
              <w:rPr>
                <w:sz w:val="20"/>
                <w:szCs w:val="20"/>
              </w:rPr>
              <w:t>s Act (“FCPA”);</w:t>
            </w:r>
          </w:p>
        </w:tc>
      </w:tr>
      <w:tr w:rsidR="00000000" w14:paraId="1B5CB7C8" w14:textId="77777777">
        <w:trPr>
          <w:trHeight w:val="225"/>
          <w:tblCellSpacing w:w="15" w:type="dxa"/>
        </w:trPr>
        <w:tc>
          <w:tcPr>
            <w:tcW w:w="0" w:type="auto"/>
            <w:vAlign w:val="center"/>
            <w:hideMark/>
          </w:tcPr>
          <w:p w14:paraId="5159F790"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37B2BB4"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7484A72" w14:textId="77777777" w:rsidR="00000000" w:rsidRDefault="0015578C">
            <w:pPr>
              <w:pStyle w:val="a3"/>
              <w:spacing w:before="0" w:beforeAutospacing="0" w:after="0" w:afterAutospacing="0"/>
              <w:jc w:val="both"/>
              <w:rPr>
                <w:sz w:val="20"/>
                <w:szCs w:val="20"/>
              </w:rPr>
            </w:pPr>
            <w:r>
              <w:rPr>
                <w:sz w:val="20"/>
                <w:szCs w:val="20"/>
              </w:rPr>
              <w:t>changes in foreign laws or regulations;</w:t>
            </w:r>
          </w:p>
        </w:tc>
      </w:tr>
      <w:tr w:rsidR="00000000" w14:paraId="624E424E" w14:textId="77777777">
        <w:trPr>
          <w:trHeight w:val="225"/>
          <w:tblCellSpacing w:w="15" w:type="dxa"/>
        </w:trPr>
        <w:tc>
          <w:tcPr>
            <w:tcW w:w="0" w:type="auto"/>
            <w:vAlign w:val="center"/>
            <w:hideMark/>
          </w:tcPr>
          <w:p w14:paraId="4F032841"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472C3315"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5B094EF" w14:textId="77777777" w:rsidR="00000000" w:rsidRDefault="0015578C">
            <w:pPr>
              <w:pStyle w:val="a3"/>
              <w:spacing w:before="0" w:beforeAutospacing="0" w:after="0" w:afterAutospacing="0"/>
              <w:jc w:val="both"/>
              <w:rPr>
                <w:sz w:val="20"/>
                <w:szCs w:val="20"/>
              </w:rPr>
            </w:pPr>
            <w:r>
              <w:rPr>
                <w:sz w:val="20"/>
                <w:szCs w:val="20"/>
              </w:rPr>
              <w:t>changes in tax laws;</w:t>
            </w:r>
          </w:p>
        </w:tc>
      </w:tr>
      <w:tr w:rsidR="00000000" w14:paraId="3733E2EA" w14:textId="77777777">
        <w:trPr>
          <w:trHeight w:val="225"/>
          <w:tblCellSpacing w:w="15" w:type="dxa"/>
        </w:trPr>
        <w:tc>
          <w:tcPr>
            <w:tcW w:w="0" w:type="auto"/>
            <w:vAlign w:val="center"/>
            <w:hideMark/>
          </w:tcPr>
          <w:p w14:paraId="6F528DFD"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4D1E1314"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15CEBCF6" w14:textId="77777777" w:rsidR="00000000" w:rsidRDefault="0015578C">
            <w:pPr>
              <w:pStyle w:val="a3"/>
              <w:spacing w:before="0" w:beforeAutospacing="0" w:after="0" w:afterAutospacing="0"/>
              <w:jc w:val="both"/>
              <w:rPr>
                <w:sz w:val="20"/>
                <w:szCs w:val="20"/>
              </w:rPr>
            </w:pPr>
            <w:r>
              <w:rPr>
                <w:sz w:val="20"/>
                <w:szCs w:val="20"/>
              </w:rPr>
              <w:t>royalty and tax increases or claims by governmental entities, including retroactive claims;</w:t>
            </w:r>
          </w:p>
        </w:tc>
      </w:tr>
      <w:tr w:rsidR="00000000" w14:paraId="6F6AA7ED" w14:textId="77777777">
        <w:trPr>
          <w:trHeight w:val="225"/>
          <w:tblCellSpacing w:w="15" w:type="dxa"/>
        </w:trPr>
        <w:tc>
          <w:tcPr>
            <w:tcW w:w="0" w:type="auto"/>
            <w:vAlign w:val="center"/>
            <w:hideMark/>
          </w:tcPr>
          <w:p w14:paraId="5C94F1AA"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5907EB9C"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1FE6AC3F" w14:textId="77777777" w:rsidR="00000000" w:rsidRDefault="0015578C">
            <w:pPr>
              <w:pStyle w:val="a3"/>
              <w:spacing w:before="0" w:beforeAutospacing="0" w:after="0" w:afterAutospacing="0"/>
              <w:jc w:val="both"/>
              <w:rPr>
                <w:sz w:val="20"/>
                <w:szCs w:val="20"/>
              </w:rPr>
            </w:pPr>
            <w:r>
              <w:rPr>
                <w:sz w:val="20"/>
                <w:szCs w:val="20"/>
              </w:rPr>
              <w:t>expropriation or nationalization of property;</w:t>
            </w:r>
          </w:p>
        </w:tc>
      </w:tr>
      <w:tr w:rsidR="00000000" w14:paraId="7AC207C8" w14:textId="77777777">
        <w:trPr>
          <w:trHeight w:val="225"/>
          <w:tblCellSpacing w:w="15" w:type="dxa"/>
        </w:trPr>
        <w:tc>
          <w:tcPr>
            <w:tcW w:w="0" w:type="auto"/>
            <w:vAlign w:val="center"/>
            <w:hideMark/>
          </w:tcPr>
          <w:p w14:paraId="69B93465"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11BE5EE"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65089C5" w14:textId="77777777" w:rsidR="00000000" w:rsidRDefault="0015578C">
            <w:pPr>
              <w:pStyle w:val="a3"/>
              <w:spacing w:before="0" w:beforeAutospacing="0" w:after="0" w:afterAutospacing="0"/>
              <w:jc w:val="both"/>
              <w:rPr>
                <w:sz w:val="20"/>
                <w:szCs w:val="20"/>
              </w:rPr>
            </w:pPr>
            <w:r>
              <w:rPr>
                <w:sz w:val="20"/>
                <w:szCs w:val="20"/>
              </w:rPr>
              <w:t>currency fluctuations (particularly related to a change in the U.S. dollar compared to local currencies);</w:t>
            </w:r>
          </w:p>
        </w:tc>
      </w:tr>
      <w:tr w:rsidR="00000000" w14:paraId="03DDD839" w14:textId="77777777">
        <w:trPr>
          <w:trHeight w:val="225"/>
          <w:tblCellSpacing w:w="15" w:type="dxa"/>
        </w:trPr>
        <w:tc>
          <w:tcPr>
            <w:tcW w:w="0" w:type="auto"/>
            <w:vAlign w:val="center"/>
            <w:hideMark/>
          </w:tcPr>
          <w:p w14:paraId="00B1785C"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3363247C"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D7B7253" w14:textId="77777777" w:rsidR="00000000" w:rsidRDefault="0015578C">
            <w:pPr>
              <w:pStyle w:val="a3"/>
              <w:spacing w:before="0" w:beforeAutospacing="0" w:after="0" w:afterAutospacing="0"/>
              <w:jc w:val="both"/>
              <w:rPr>
                <w:sz w:val="20"/>
                <w:szCs w:val="20"/>
              </w:rPr>
            </w:pPr>
            <w:r>
              <w:rPr>
                <w:sz w:val="20"/>
                <w:szCs w:val="20"/>
              </w:rPr>
              <w:t>foreign exchange controls;</w:t>
            </w:r>
          </w:p>
        </w:tc>
      </w:tr>
      <w:tr w:rsidR="00000000" w14:paraId="1438AE48" w14:textId="77777777">
        <w:trPr>
          <w:trHeight w:val="225"/>
          <w:tblCellSpacing w:w="15" w:type="dxa"/>
        </w:trPr>
        <w:tc>
          <w:tcPr>
            <w:tcW w:w="0" w:type="auto"/>
            <w:vAlign w:val="center"/>
            <w:hideMark/>
          </w:tcPr>
          <w:p w14:paraId="70BCBA87"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134CB340"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0854870" w14:textId="77777777" w:rsidR="00000000" w:rsidRDefault="0015578C">
            <w:pPr>
              <w:pStyle w:val="a3"/>
              <w:spacing w:before="0" w:beforeAutospacing="0" w:after="0" w:afterAutospacing="0"/>
              <w:jc w:val="both"/>
              <w:rPr>
                <w:sz w:val="20"/>
                <w:szCs w:val="20"/>
              </w:rPr>
            </w:pPr>
            <w:r>
              <w:rPr>
                <w:sz w:val="20"/>
                <w:szCs w:val="20"/>
              </w:rPr>
              <w:t>restrictions on the ability for us to hold U.S. dollars or other foreign currencies in offshore bank accounts;</w:t>
            </w:r>
          </w:p>
        </w:tc>
      </w:tr>
      <w:tr w:rsidR="00000000" w14:paraId="14E7DC3C" w14:textId="77777777">
        <w:trPr>
          <w:trHeight w:val="225"/>
          <w:tblCellSpacing w:w="15" w:type="dxa"/>
        </w:trPr>
        <w:tc>
          <w:tcPr>
            <w:tcW w:w="0" w:type="auto"/>
            <w:vAlign w:val="center"/>
            <w:hideMark/>
          </w:tcPr>
          <w:p w14:paraId="5D82BF78"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7BF85697"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11EC7E9" w14:textId="77777777" w:rsidR="00000000" w:rsidRDefault="0015578C">
            <w:pPr>
              <w:pStyle w:val="a3"/>
              <w:spacing w:before="0" w:beforeAutospacing="0" w:after="0" w:afterAutospacing="0"/>
              <w:jc w:val="both"/>
              <w:rPr>
                <w:sz w:val="20"/>
                <w:szCs w:val="20"/>
              </w:rPr>
            </w:pPr>
            <w:r>
              <w:rPr>
                <w:sz w:val="20"/>
                <w:szCs w:val="20"/>
              </w:rPr>
              <w:t>import and export regulations;</w:t>
            </w:r>
          </w:p>
        </w:tc>
      </w:tr>
      <w:tr w:rsidR="00000000" w14:paraId="46FCE4B8" w14:textId="77777777">
        <w:trPr>
          <w:trHeight w:val="225"/>
          <w:tblCellSpacing w:w="15" w:type="dxa"/>
        </w:trPr>
        <w:tc>
          <w:tcPr>
            <w:tcW w:w="0" w:type="auto"/>
            <w:vAlign w:val="center"/>
            <w:hideMark/>
          </w:tcPr>
          <w:p w14:paraId="1DF8B22E"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68D85F85"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4FD55A7A" w14:textId="77777777" w:rsidR="00000000" w:rsidRDefault="0015578C">
            <w:pPr>
              <w:pStyle w:val="a3"/>
              <w:spacing w:before="0" w:beforeAutospacing="0" w:after="0" w:afterAutospacing="0"/>
              <w:jc w:val="both"/>
              <w:rPr>
                <w:sz w:val="20"/>
                <w:szCs w:val="20"/>
              </w:rPr>
            </w:pPr>
            <w:r>
              <w:rPr>
                <w:sz w:val="20"/>
                <w:szCs w:val="20"/>
              </w:rPr>
              <w:t>environmental controls;</w:t>
            </w:r>
          </w:p>
        </w:tc>
      </w:tr>
      <w:tr w:rsidR="00000000" w14:paraId="7899AF75" w14:textId="77777777">
        <w:trPr>
          <w:trHeight w:val="225"/>
          <w:tblCellSpacing w:w="15" w:type="dxa"/>
        </w:trPr>
        <w:tc>
          <w:tcPr>
            <w:tcW w:w="0" w:type="auto"/>
            <w:vAlign w:val="center"/>
            <w:hideMark/>
          </w:tcPr>
          <w:p w14:paraId="6EDF3DFC"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559CFE8"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189A55C" w14:textId="77777777" w:rsidR="00000000" w:rsidRDefault="0015578C">
            <w:pPr>
              <w:pStyle w:val="a3"/>
              <w:spacing w:before="0" w:beforeAutospacing="0" w:after="0" w:afterAutospacing="0"/>
              <w:jc w:val="both"/>
              <w:rPr>
                <w:sz w:val="20"/>
                <w:szCs w:val="20"/>
              </w:rPr>
            </w:pPr>
            <w:r>
              <w:rPr>
                <w:sz w:val="20"/>
                <w:szCs w:val="20"/>
              </w:rPr>
              <w:t>risks of loss due to community opposition to our activities, civil strife, acts of war, guerrilla activities, insurrection and terrorism; and</w:t>
            </w:r>
          </w:p>
        </w:tc>
      </w:tr>
      <w:tr w:rsidR="00000000" w14:paraId="26951B3C" w14:textId="77777777">
        <w:trPr>
          <w:trHeight w:val="225"/>
          <w:tblCellSpacing w:w="15" w:type="dxa"/>
        </w:trPr>
        <w:tc>
          <w:tcPr>
            <w:tcW w:w="0" w:type="auto"/>
            <w:vAlign w:val="center"/>
            <w:hideMark/>
          </w:tcPr>
          <w:p w14:paraId="3AED1111"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33B492DE"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1731263" w14:textId="77777777" w:rsidR="00000000" w:rsidRDefault="0015578C">
            <w:pPr>
              <w:pStyle w:val="a3"/>
              <w:spacing w:before="0" w:beforeAutospacing="0" w:after="0" w:afterAutospacing="0"/>
              <w:jc w:val="both"/>
              <w:rPr>
                <w:sz w:val="20"/>
                <w:szCs w:val="20"/>
              </w:rPr>
            </w:pPr>
            <w:r>
              <w:rPr>
                <w:sz w:val="20"/>
                <w:szCs w:val="20"/>
              </w:rPr>
              <w:t>other risks arising out of foreign sovereignty over the areas in which our exploration activities are conduct</w:t>
            </w:r>
            <w:r>
              <w:rPr>
                <w:sz w:val="20"/>
                <w:szCs w:val="20"/>
              </w:rPr>
              <w:t>ed.</w:t>
            </w:r>
          </w:p>
        </w:tc>
      </w:tr>
    </w:tbl>
    <w:p w14:paraId="41429A46" w14:textId="77777777" w:rsidR="00000000" w:rsidRDefault="0015578C">
      <w:pPr>
        <w:pStyle w:val="a3"/>
        <w:spacing w:before="0" w:beforeAutospacing="0" w:after="0" w:afterAutospacing="0"/>
        <w:jc w:val="both"/>
        <w:rPr>
          <w:sz w:val="20"/>
          <w:szCs w:val="20"/>
        </w:rPr>
      </w:pPr>
      <w:r>
        <w:rPr>
          <w:sz w:val="20"/>
          <w:szCs w:val="20"/>
        </w:rPr>
        <w:t xml:space="preserve">  </w:t>
      </w:r>
    </w:p>
    <w:p w14:paraId="3325423A" w14:textId="77777777" w:rsidR="00000000" w:rsidRDefault="0015578C">
      <w:pPr>
        <w:pStyle w:val="a3"/>
        <w:spacing w:before="0" w:beforeAutospacing="0" w:after="0" w:afterAutospacing="0"/>
        <w:ind w:firstLine="675"/>
        <w:jc w:val="both"/>
        <w:rPr>
          <w:sz w:val="20"/>
          <w:szCs w:val="20"/>
        </w:rPr>
      </w:pPr>
      <w:r>
        <w:rPr>
          <w:sz w:val="20"/>
          <w:szCs w:val="20"/>
        </w:rPr>
        <w:t>Accordingly, our current exploration activities outside of the United States may be substantially affected by factors beyond our control, any of which could materially adversely affect the value of certain of our assets or results of operations. Fu</w:t>
      </w:r>
      <w:r>
        <w:rPr>
          <w:sz w:val="20"/>
          <w:szCs w:val="20"/>
        </w:rPr>
        <w:t>rthermore, in the event of a dispute arising from such activities, we would likely be subject to the exclusive jurisdiction of courts outside of the United States or may not be successful in subjecting persons to the jurisdictions of the courts in the Unit</w:t>
      </w:r>
      <w:r>
        <w:rPr>
          <w:sz w:val="20"/>
          <w:szCs w:val="20"/>
        </w:rPr>
        <w:t>ed States, which could adversely affect the outcome of a dispute.</w:t>
      </w:r>
    </w:p>
    <w:p w14:paraId="376A79E5" w14:textId="77777777" w:rsidR="00000000" w:rsidRDefault="0015578C">
      <w:pPr>
        <w:pStyle w:val="a3"/>
        <w:spacing w:before="0" w:beforeAutospacing="0" w:after="0" w:afterAutospacing="0"/>
        <w:jc w:val="both"/>
        <w:rPr>
          <w:sz w:val="20"/>
          <w:szCs w:val="20"/>
        </w:rPr>
      </w:pPr>
      <w:r>
        <w:rPr>
          <w:rStyle w:val="a7"/>
          <w:b/>
          <w:bCs/>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60FF1EE3" w14:textId="77777777">
        <w:trPr>
          <w:trHeight w:val="225"/>
          <w:tblCellSpacing w:w="15" w:type="dxa"/>
        </w:trPr>
        <w:tc>
          <w:tcPr>
            <w:tcW w:w="0" w:type="auto"/>
            <w:vAlign w:val="center"/>
            <w:hideMark/>
          </w:tcPr>
          <w:p w14:paraId="0AD32355" w14:textId="77777777" w:rsidR="00000000" w:rsidRDefault="0015578C">
            <w:pPr>
              <w:rPr>
                <w:rFonts w:eastAsia="Times New Roman"/>
                <w:sz w:val="20"/>
                <w:szCs w:val="20"/>
              </w:rPr>
            </w:pPr>
            <w:r>
              <w:rPr>
                <w:rFonts w:eastAsia="Times New Roman"/>
                <w:sz w:val="20"/>
                <w:szCs w:val="20"/>
              </w:rPr>
              <w:t> </w:t>
            </w:r>
          </w:p>
        </w:tc>
      </w:tr>
      <w:tr w:rsidR="00000000" w14:paraId="5508E4AD" w14:textId="77777777">
        <w:trPr>
          <w:trHeight w:val="225"/>
          <w:tblCellSpacing w:w="15" w:type="dxa"/>
        </w:trPr>
        <w:tc>
          <w:tcPr>
            <w:tcW w:w="0" w:type="auto"/>
            <w:tcBorders>
              <w:bottom w:val="single" w:sz="6" w:space="0" w:color="000000"/>
            </w:tcBorders>
            <w:vAlign w:val="center"/>
            <w:hideMark/>
          </w:tcPr>
          <w:p w14:paraId="3650CE58" w14:textId="77777777" w:rsidR="00000000" w:rsidRDefault="0015578C">
            <w:pPr>
              <w:jc w:val="center"/>
              <w:rPr>
                <w:rFonts w:eastAsia="Times New Roman"/>
                <w:sz w:val="20"/>
                <w:szCs w:val="20"/>
              </w:rPr>
            </w:pPr>
            <w:r>
              <w:rPr>
                <w:rFonts w:eastAsia="Times New Roman"/>
                <w:sz w:val="20"/>
                <w:szCs w:val="20"/>
              </w:rPr>
              <w:t>8</w:t>
            </w:r>
          </w:p>
        </w:tc>
      </w:tr>
      <w:tr w:rsidR="00000000" w14:paraId="2D59FC4C" w14:textId="77777777">
        <w:trPr>
          <w:trHeight w:val="225"/>
          <w:tblCellSpacing w:w="15" w:type="dxa"/>
        </w:trPr>
        <w:tc>
          <w:tcPr>
            <w:tcW w:w="0" w:type="auto"/>
            <w:vAlign w:val="center"/>
            <w:hideMark/>
          </w:tcPr>
          <w:p w14:paraId="5139B177" w14:textId="77777777" w:rsidR="00000000" w:rsidRDefault="0015578C">
            <w:pPr>
              <w:rPr>
                <w:rFonts w:eastAsia="Times New Roman"/>
                <w:sz w:val="20"/>
                <w:szCs w:val="20"/>
              </w:rPr>
            </w:pPr>
          </w:p>
        </w:tc>
      </w:tr>
      <w:tr w:rsidR="00000000" w14:paraId="16D5FEAE" w14:textId="77777777">
        <w:trPr>
          <w:trHeight w:val="225"/>
          <w:tblCellSpacing w:w="15" w:type="dxa"/>
        </w:trPr>
        <w:tc>
          <w:tcPr>
            <w:tcW w:w="0" w:type="auto"/>
            <w:vAlign w:val="center"/>
            <w:hideMark/>
          </w:tcPr>
          <w:p w14:paraId="7030AFD2"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A982890" w14:textId="77777777" w:rsidR="00000000" w:rsidRDefault="0015578C">
      <w:pPr>
        <w:pStyle w:val="a3"/>
        <w:spacing w:before="0" w:beforeAutospacing="0" w:after="0" w:afterAutospacing="0"/>
        <w:jc w:val="both"/>
        <w:rPr>
          <w:sz w:val="20"/>
          <w:szCs w:val="20"/>
        </w:rPr>
      </w:pPr>
      <w:r>
        <w:rPr>
          <w:sz w:val="20"/>
          <w:szCs w:val="20"/>
        </w:rPr>
        <w:t> </w:t>
      </w:r>
    </w:p>
    <w:p w14:paraId="2A58DD80" w14:textId="77777777" w:rsidR="00000000" w:rsidRDefault="0015578C">
      <w:pPr>
        <w:pStyle w:val="a3"/>
        <w:spacing w:before="0" w:beforeAutospacing="0" w:after="0" w:afterAutospacing="0"/>
        <w:jc w:val="both"/>
        <w:rPr>
          <w:sz w:val="20"/>
          <w:szCs w:val="20"/>
        </w:rPr>
      </w:pPr>
      <w:r>
        <w:rPr>
          <w:rStyle w:val="a7"/>
          <w:b/>
          <w:bCs/>
          <w:sz w:val="20"/>
          <w:szCs w:val="20"/>
        </w:rPr>
        <w:t xml:space="preserve">We may not have sufficient funding for exploration and development, which may impair our results of operations and growth potential. </w:t>
      </w:r>
    </w:p>
    <w:p w14:paraId="2E365264" w14:textId="77777777" w:rsidR="00000000" w:rsidRDefault="0015578C">
      <w:pPr>
        <w:pStyle w:val="a3"/>
        <w:spacing w:before="0" w:beforeAutospacing="0" w:after="0" w:afterAutospacing="0"/>
        <w:jc w:val="both"/>
        <w:rPr>
          <w:sz w:val="20"/>
          <w:szCs w:val="20"/>
        </w:rPr>
      </w:pPr>
      <w:r>
        <w:rPr>
          <w:sz w:val="20"/>
          <w:szCs w:val="20"/>
        </w:rPr>
        <w:t> </w:t>
      </w:r>
    </w:p>
    <w:p w14:paraId="75038677" w14:textId="77777777" w:rsidR="00000000" w:rsidRDefault="0015578C">
      <w:pPr>
        <w:pStyle w:val="a3"/>
        <w:spacing w:before="0" w:beforeAutospacing="0" w:after="0" w:afterAutospacing="0"/>
        <w:ind w:firstLine="675"/>
        <w:jc w:val="both"/>
        <w:rPr>
          <w:sz w:val="20"/>
          <w:szCs w:val="20"/>
        </w:rPr>
      </w:pPr>
      <w:r>
        <w:rPr>
          <w:sz w:val="20"/>
          <w:szCs w:val="20"/>
        </w:rPr>
        <w:t xml:space="preserve">The capital required for exploration and development of mineral properties is substantial. In the past we have financed </w:t>
      </w:r>
      <w:r>
        <w:rPr>
          <w:sz w:val="20"/>
          <w:szCs w:val="20"/>
        </w:rPr>
        <w:t>operations through public and private sales of our common stock, the sale of interests in mineral properties (including the sale of our interest in the former Mt. Hamilton project in 2015), the utilization of joint venture arrangements with third parties (</w:t>
      </w:r>
      <w:r>
        <w:rPr>
          <w:sz w:val="20"/>
          <w:szCs w:val="20"/>
        </w:rPr>
        <w:t>generally providing that the third party will obtain a specified percentage of our interest in a certain property or a subsidiary owning a property in exchange for the expenditure of a specified amount), the sale of other assets including short-term invest</w:t>
      </w:r>
      <w:r>
        <w:rPr>
          <w:sz w:val="20"/>
          <w:szCs w:val="20"/>
        </w:rPr>
        <w:t>ments, the sale of marketable equity securities we hold, and funds from the issuance of long-term debt. We expect to need to raise additional capital, or enter into new joint venture arrangements, in order to fund our obligations with respect to our proper</w:t>
      </w:r>
      <w:r>
        <w:rPr>
          <w:sz w:val="20"/>
          <w:szCs w:val="20"/>
        </w:rPr>
        <w:t>ties and our exploration activities required to determine whether mineral deposits on our projects are commercially viable. New financing or acceptable joint venture partners may or may not be available on a basis that is acceptable to us. The inability to</w:t>
      </w:r>
      <w:r>
        <w:rPr>
          <w:sz w:val="20"/>
          <w:szCs w:val="20"/>
        </w:rPr>
        <w:t xml:space="preserve"> obtain new financing or joint venture partners on acceptable terms may prohibit us from continued exploration or development of our existing mineral properties or any new mineral property assets we may acquire. Without the successful sale or future develo</w:t>
      </w:r>
      <w:r>
        <w:rPr>
          <w:sz w:val="20"/>
          <w:szCs w:val="20"/>
        </w:rPr>
        <w:t>pment of our mineral properties through joint ventures, or on our own, we will not be able to realize any profit from our interests in such properties, which could have a material adverse effect on our financial position or results of operations.</w:t>
      </w:r>
    </w:p>
    <w:p w14:paraId="234A6FA7" w14:textId="77777777" w:rsidR="00000000" w:rsidRDefault="0015578C">
      <w:pPr>
        <w:pStyle w:val="a3"/>
        <w:spacing w:before="0" w:beforeAutospacing="0" w:after="0" w:afterAutospacing="0"/>
        <w:jc w:val="both"/>
        <w:rPr>
          <w:sz w:val="20"/>
          <w:szCs w:val="20"/>
        </w:rPr>
      </w:pPr>
      <w:r>
        <w:rPr>
          <w:sz w:val="20"/>
          <w:szCs w:val="20"/>
        </w:rPr>
        <w:t> </w:t>
      </w:r>
    </w:p>
    <w:p w14:paraId="79AA2D36" w14:textId="77777777" w:rsidR="00000000" w:rsidRDefault="0015578C">
      <w:pPr>
        <w:pStyle w:val="a3"/>
        <w:spacing w:before="0" w:beforeAutospacing="0" w:after="0" w:afterAutospacing="0"/>
        <w:jc w:val="both"/>
        <w:rPr>
          <w:sz w:val="20"/>
          <w:szCs w:val="20"/>
        </w:rPr>
      </w:pPr>
      <w:r>
        <w:rPr>
          <w:rStyle w:val="a7"/>
          <w:b/>
          <w:bCs/>
          <w:sz w:val="20"/>
          <w:szCs w:val="20"/>
        </w:rPr>
        <w:t>A large</w:t>
      </w:r>
      <w:r>
        <w:rPr>
          <w:rStyle w:val="a7"/>
          <w:b/>
          <w:bCs/>
          <w:sz w:val="20"/>
          <w:szCs w:val="20"/>
        </w:rPr>
        <w:t xml:space="preserve"> number of companies are engaged in the exploration and development or sale of mineral properties, many of which have substantially greater technical and financial resources than us and, accordingly, we may be unable to compete effectively which could have</w:t>
      </w:r>
      <w:r>
        <w:rPr>
          <w:rStyle w:val="a7"/>
          <w:b/>
          <w:bCs/>
          <w:sz w:val="20"/>
          <w:szCs w:val="20"/>
        </w:rPr>
        <w:t xml:space="preserve"> a material adverse effect on our financial position, prospects, or results of operations.</w:t>
      </w:r>
    </w:p>
    <w:p w14:paraId="10955EC4" w14:textId="77777777" w:rsidR="00000000" w:rsidRDefault="0015578C">
      <w:pPr>
        <w:pStyle w:val="a3"/>
        <w:spacing w:before="0" w:beforeAutospacing="0" w:after="0" w:afterAutospacing="0"/>
        <w:jc w:val="both"/>
        <w:rPr>
          <w:sz w:val="20"/>
          <w:szCs w:val="20"/>
        </w:rPr>
      </w:pPr>
      <w:r>
        <w:rPr>
          <w:sz w:val="20"/>
          <w:szCs w:val="20"/>
        </w:rPr>
        <w:t> </w:t>
      </w:r>
    </w:p>
    <w:p w14:paraId="4D613947" w14:textId="77777777" w:rsidR="00000000" w:rsidRDefault="0015578C">
      <w:pPr>
        <w:pStyle w:val="a3"/>
        <w:spacing w:before="0" w:beforeAutospacing="0" w:after="0" w:afterAutospacing="0"/>
        <w:ind w:firstLine="675"/>
        <w:jc w:val="both"/>
        <w:rPr>
          <w:sz w:val="20"/>
          <w:szCs w:val="20"/>
        </w:rPr>
      </w:pPr>
      <w:r>
        <w:rPr>
          <w:sz w:val="20"/>
          <w:szCs w:val="20"/>
        </w:rPr>
        <w:t>We are at a disadvantage with respect to many of our competitors in the acquisition, exploration and development or sale of mineral property assets and mining proj</w:t>
      </w:r>
      <w:r>
        <w:rPr>
          <w:sz w:val="20"/>
          <w:szCs w:val="20"/>
        </w:rPr>
        <w:t>ects. Our competitors with greater financial resources than us are better able to withstand the uncertainties and fluctuations associated with sustained downturns in the market and to acquire high quality exploration and mining properties when market condi</w:t>
      </w:r>
      <w:r>
        <w:rPr>
          <w:sz w:val="20"/>
          <w:szCs w:val="20"/>
        </w:rPr>
        <w:t xml:space="preserve">tions are favorable. In addition, we compete with other companies in the mineral properties sector to attract and retain key executives and other personnel with technical skills and experience in the mineral exploration business. There can be no assurance </w:t>
      </w:r>
      <w:r>
        <w:rPr>
          <w:sz w:val="20"/>
          <w:szCs w:val="20"/>
        </w:rPr>
        <w:t>that we will continue to retain skilled and experienced employees or to acquire additional exploration projects. The realization of any of these risks from competitors could have a material adverse effect on our financial position or results of operations.</w:t>
      </w:r>
    </w:p>
    <w:p w14:paraId="25DF3BDA" w14:textId="77777777" w:rsidR="00000000" w:rsidRDefault="0015578C">
      <w:pPr>
        <w:pStyle w:val="a3"/>
        <w:spacing w:before="0" w:beforeAutospacing="0" w:after="0" w:afterAutospacing="0"/>
        <w:jc w:val="both"/>
        <w:rPr>
          <w:sz w:val="20"/>
          <w:szCs w:val="20"/>
        </w:rPr>
      </w:pPr>
      <w:r>
        <w:rPr>
          <w:sz w:val="20"/>
          <w:szCs w:val="20"/>
        </w:rPr>
        <w:t> </w:t>
      </w:r>
    </w:p>
    <w:p w14:paraId="0007D29F" w14:textId="77777777" w:rsidR="00000000" w:rsidRDefault="0015578C">
      <w:pPr>
        <w:pStyle w:val="a3"/>
        <w:spacing w:before="0" w:beforeAutospacing="0" w:after="0" w:afterAutospacing="0"/>
        <w:jc w:val="both"/>
        <w:rPr>
          <w:sz w:val="20"/>
          <w:szCs w:val="20"/>
        </w:rPr>
      </w:pPr>
      <w:r>
        <w:rPr>
          <w:rStyle w:val="a7"/>
          <w:b/>
          <w:bCs/>
          <w:sz w:val="20"/>
          <w:szCs w:val="20"/>
        </w:rPr>
        <w:t>The title to our mineral properties may be defective or challenged which could have a material adverse effect on our financial position or results of operations.</w:t>
      </w:r>
    </w:p>
    <w:p w14:paraId="4727C89F" w14:textId="77777777" w:rsidR="00000000" w:rsidRDefault="0015578C">
      <w:pPr>
        <w:pStyle w:val="a3"/>
        <w:spacing w:before="0" w:beforeAutospacing="0" w:after="0" w:afterAutospacing="0"/>
        <w:jc w:val="both"/>
        <w:rPr>
          <w:sz w:val="20"/>
          <w:szCs w:val="20"/>
        </w:rPr>
      </w:pPr>
      <w:r>
        <w:rPr>
          <w:sz w:val="20"/>
          <w:szCs w:val="20"/>
        </w:rPr>
        <w:t> </w:t>
      </w:r>
    </w:p>
    <w:p w14:paraId="5C4851B4" w14:textId="77777777" w:rsidR="00000000" w:rsidRDefault="0015578C">
      <w:pPr>
        <w:pStyle w:val="a3"/>
        <w:spacing w:before="0" w:beforeAutospacing="0" w:after="0" w:afterAutospacing="0"/>
        <w:ind w:firstLine="675"/>
        <w:jc w:val="both"/>
        <w:rPr>
          <w:sz w:val="20"/>
          <w:szCs w:val="20"/>
        </w:rPr>
      </w:pPr>
      <w:r>
        <w:rPr>
          <w:sz w:val="20"/>
          <w:szCs w:val="20"/>
        </w:rPr>
        <w:t>In connection with the acquisition of our mineral properties, we conduct limited reviews of title and related matters, and obtain certain representations regarding ownership. These limited reviews and representations do not necessarily preclude third parti</w:t>
      </w:r>
      <w:r>
        <w:rPr>
          <w:sz w:val="20"/>
          <w:szCs w:val="20"/>
        </w:rPr>
        <w:t>es from challenging our title and, furthermore, our title may be defective. Consequently, there can be no assurance that we hold good and marketable title to all of our mineral interests. Additionally, we have to make annual filings with various government</w:t>
      </w:r>
      <w:r>
        <w:rPr>
          <w:sz w:val="20"/>
          <w:szCs w:val="20"/>
        </w:rPr>
        <w:t xml:space="preserve"> agencies on all of our mineral properties. If we, or our joint venture partners, fail to make such filings, or improperly document such filings, the validity of our title to a mineral property could be lost or challenged. If any of our mineral interests w</w:t>
      </w:r>
      <w:r>
        <w:rPr>
          <w:sz w:val="20"/>
          <w:szCs w:val="20"/>
        </w:rPr>
        <w:t>ere challenged, we could incur significant costs in defending such a challenge. These costs or an adverse ruling with regards to any challenge of our titles could have a material adverse effect on our financial position or results of operations.</w:t>
      </w:r>
    </w:p>
    <w:p w14:paraId="5D735AFA" w14:textId="77777777" w:rsidR="00000000" w:rsidRDefault="0015578C">
      <w:pPr>
        <w:pStyle w:val="a3"/>
        <w:spacing w:before="0" w:beforeAutospacing="0" w:after="0" w:afterAutospacing="0"/>
        <w:jc w:val="both"/>
        <w:rPr>
          <w:sz w:val="20"/>
          <w:szCs w:val="20"/>
        </w:rPr>
      </w:pPr>
      <w:r>
        <w:rPr>
          <w:sz w:val="20"/>
          <w:szCs w:val="20"/>
        </w:rPr>
        <w:t> </w:t>
      </w:r>
    </w:p>
    <w:p w14:paraId="2D761AF0" w14:textId="77777777" w:rsidR="00000000" w:rsidRDefault="0015578C">
      <w:pPr>
        <w:pStyle w:val="a3"/>
        <w:spacing w:before="0" w:beforeAutospacing="0" w:after="0" w:afterAutospacing="0"/>
        <w:jc w:val="both"/>
        <w:rPr>
          <w:sz w:val="20"/>
          <w:szCs w:val="20"/>
        </w:rPr>
      </w:pPr>
      <w:r>
        <w:rPr>
          <w:rStyle w:val="a7"/>
          <w:b/>
          <w:bCs/>
          <w:sz w:val="20"/>
          <w:szCs w:val="20"/>
        </w:rPr>
        <w:t>Occurren</w:t>
      </w:r>
      <w:r>
        <w:rPr>
          <w:rStyle w:val="a7"/>
          <w:b/>
          <w:bCs/>
          <w:sz w:val="20"/>
          <w:szCs w:val="20"/>
        </w:rPr>
        <w:t>ce of events for which we are not insured or have limited insurance coverage may materially adversely affect our business.</w:t>
      </w:r>
    </w:p>
    <w:p w14:paraId="26F4352B" w14:textId="77777777" w:rsidR="00000000" w:rsidRDefault="0015578C">
      <w:pPr>
        <w:pStyle w:val="a3"/>
        <w:spacing w:before="0" w:beforeAutospacing="0" w:after="0" w:afterAutospacing="0"/>
        <w:jc w:val="both"/>
        <w:rPr>
          <w:sz w:val="20"/>
          <w:szCs w:val="20"/>
        </w:rPr>
      </w:pPr>
      <w:r>
        <w:rPr>
          <w:sz w:val="20"/>
          <w:szCs w:val="20"/>
        </w:rPr>
        <w:t> </w:t>
      </w:r>
    </w:p>
    <w:p w14:paraId="01A86D25" w14:textId="77777777" w:rsidR="00000000" w:rsidRDefault="0015578C">
      <w:pPr>
        <w:pStyle w:val="a3"/>
        <w:spacing w:before="0" w:beforeAutospacing="0" w:after="0" w:afterAutospacing="0"/>
        <w:ind w:firstLine="675"/>
        <w:jc w:val="both"/>
        <w:rPr>
          <w:sz w:val="20"/>
          <w:szCs w:val="20"/>
        </w:rPr>
      </w:pPr>
      <w:r>
        <w:rPr>
          <w:sz w:val="20"/>
          <w:szCs w:val="20"/>
        </w:rPr>
        <w:t xml:space="preserve">Mineral exploration is subject to risks of human injury, environmental liability and loss of assets. We maintain limited insurance </w:t>
      </w:r>
      <w:r>
        <w:rPr>
          <w:sz w:val="20"/>
          <w:szCs w:val="20"/>
        </w:rPr>
        <w:t>coverage to protect ourselves against certain risks related to loss of assets for equipment in our operations and limited corporate liability coverage; however, we have elected not to have insurance for other risks because of the high premiums associated w</w:t>
      </w:r>
      <w:r>
        <w:rPr>
          <w:sz w:val="20"/>
          <w:szCs w:val="20"/>
        </w:rPr>
        <w:t>ith insuring those risks or for various other reasons including those risks where insurance may not be available. There are additional risks in connection with investments in parts of the world where civil unrest, war, nationalist movements, political viol</w:t>
      </w:r>
      <w:r>
        <w:rPr>
          <w:sz w:val="20"/>
          <w:szCs w:val="20"/>
        </w:rPr>
        <w:t>ence or economic crisis are possible. These countries may also pose heightened risks of expropriation of assets, business interruption, increased taxation and a unilateral modification of concessions and contracts. We do not maintain insurance against poli</w:t>
      </w:r>
      <w:r>
        <w:rPr>
          <w:sz w:val="20"/>
          <w:szCs w:val="20"/>
        </w:rPr>
        <w:t>tical risk. Occurrence of events for which we are not insured or have limited insurance coverage could have a material adverse effect on our financial position or results of operations.</w:t>
      </w:r>
    </w:p>
    <w:p w14:paraId="356FD299" w14:textId="77777777" w:rsidR="00000000" w:rsidRDefault="0015578C">
      <w:pPr>
        <w:pStyle w:val="a3"/>
        <w:spacing w:before="0" w:beforeAutospacing="0" w:after="0" w:afterAutospacing="0"/>
        <w:jc w:val="both"/>
        <w:rPr>
          <w:sz w:val="20"/>
          <w:szCs w:val="20"/>
        </w:rPr>
      </w:pPr>
      <w:r>
        <w:rPr>
          <w:sz w:val="20"/>
          <w:szCs w:val="20"/>
        </w:rPr>
        <w:t> </w:t>
      </w:r>
    </w:p>
    <w:p w14:paraId="1DEF0D3B" w14:textId="77777777" w:rsidR="00000000" w:rsidRDefault="0015578C">
      <w:pPr>
        <w:pStyle w:val="a3"/>
        <w:spacing w:before="0" w:beforeAutospacing="0" w:after="0" w:afterAutospacing="0"/>
        <w:jc w:val="both"/>
        <w:rPr>
          <w:sz w:val="20"/>
          <w:szCs w:val="20"/>
        </w:rPr>
      </w:pPr>
      <w:r>
        <w:rPr>
          <w:rStyle w:val="a7"/>
          <w:b/>
          <w:bCs/>
          <w:sz w:val="20"/>
          <w:szCs w:val="20"/>
        </w:rPr>
        <w:t>Normal weather variations as well as severe or violent storms could materially affect our operations due to damage or delays caused by such weather.</w:t>
      </w:r>
    </w:p>
    <w:p w14:paraId="76DB409C" w14:textId="77777777" w:rsidR="00000000" w:rsidRDefault="0015578C">
      <w:pPr>
        <w:pStyle w:val="a3"/>
        <w:spacing w:before="0" w:beforeAutospacing="0" w:after="0" w:afterAutospacing="0"/>
        <w:jc w:val="both"/>
        <w:rPr>
          <w:sz w:val="20"/>
          <w:szCs w:val="20"/>
        </w:rPr>
      </w:pPr>
      <w:r>
        <w:rPr>
          <w:sz w:val="20"/>
          <w:szCs w:val="20"/>
        </w:rPr>
        <w:t> </w:t>
      </w:r>
    </w:p>
    <w:p w14:paraId="544A9901" w14:textId="77777777" w:rsidR="00000000" w:rsidRDefault="0015578C">
      <w:pPr>
        <w:pStyle w:val="a3"/>
        <w:spacing w:before="0" w:beforeAutospacing="0" w:after="0" w:afterAutospacing="0"/>
        <w:ind w:firstLine="675"/>
        <w:jc w:val="both"/>
        <w:rPr>
          <w:sz w:val="20"/>
          <w:szCs w:val="20"/>
        </w:rPr>
      </w:pPr>
      <w:r>
        <w:rPr>
          <w:sz w:val="20"/>
          <w:szCs w:val="20"/>
        </w:rPr>
        <w:t>Our exploration activities (and those of our joint venture partners) are subject to normal seasonal weath</w:t>
      </w:r>
      <w:r>
        <w:rPr>
          <w:sz w:val="20"/>
          <w:szCs w:val="20"/>
        </w:rPr>
        <w:t>er conditions that often hamper and may temporarily prevent exploration or development activities. There is a risk that unexpectedly harsh weather or violent storms could affect areas where our projects are located and we or our joint venture partners cond</w:t>
      </w:r>
      <w:r>
        <w:rPr>
          <w:sz w:val="20"/>
          <w:szCs w:val="20"/>
        </w:rPr>
        <w:t>uct these activities. Delays or damage caused by severe weather could materially affect our operations or our financial position.</w:t>
      </w:r>
    </w:p>
    <w:p w14:paraId="4CDCB0C7" w14:textId="77777777" w:rsidR="00000000" w:rsidRDefault="0015578C">
      <w:pPr>
        <w:pStyle w:val="a3"/>
        <w:spacing w:before="0" w:beforeAutospacing="0" w:after="0" w:afterAutospacing="0"/>
        <w:jc w:val="both"/>
        <w:rPr>
          <w:sz w:val="20"/>
          <w:szCs w:val="20"/>
        </w:rPr>
      </w:pPr>
      <w:r>
        <w:rPr>
          <w:rStyle w:val="a7"/>
          <w:b/>
          <w:bCs/>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64314E77" w14:textId="77777777">
        <w:trPr>
          <w:trHeight w:val="225"/>
          <w:tblCellSpacing w:w="15" w:type="dxa"/>
        </w:trPr>
        <w:tc>
          <w:tcPr>
            <w:tcW w:w="0" w:type="auto"/>
            <w:vAlign w:val="center"/>
            <w:hideMark/>
          </w:tcPr>
          <w:p w14:paraId="49768DF8" w14:textId="77777777" w:rsidR="00000000" w:rsidRDefault="0015578C">
            <w:pPr>
              <w:rPr>
                <w:rFonts w:eastAsia="Times New Roman"/>
                <w:sz w:val="20"/>
                <w:szCs w:val="20"/>
              </w:rPr>
            </w:pPr>
            <w:r>
              <w:rPr>
                <w:rFonts w:eastAsia="Times New Roman"/>
                <w:sz w:val="20"/>
                <w:szCs w:val="20"/>
              </w:rPr>
              <w:t> </w:t>
            </w:r>
          </w:p>
        </w:tc>
      </w:tr>
      <w:tr w:rsidR="00000000" w14:paraId="4827A1F1" w14:textId="77777777">
        <w:trPr>
          <w:trHeight w:val="225"/>
          <w:tblCellSpacing w:w="15" w:type="dxa"/>
        </w:trPr>
        <w:tc>
          <w:tcPr>
            <w:tcW w:w="0" w:type="auto"/>
            <w:tcBorders>
              <w:bottom w:val="single" w:sz="6" w:space="0" w:color="000000"/>
            </w:tcBorders>
            <w:vAlign w:val="center"/>
            <w:hideMark/>
          </w:tcPr>
          <w:p w14:paraId="529C103C" w14:textId="77777777" w:rsidR="00000000" w:rsidRDefault="0015578C">
            <w:pPr>
              <w:jc w:val="center"/>
              <w:rPr>
                <w:rFonts w:eastAsia="Times New Roman"/>
                <w:sz w:val="20"/>
                <w:szCs w:val="20"/>
              </w:rPr>
            </w:pPr>
            <w:r>
              <w:rPr>
                <w:rFonts w:eastAsia="Times New Roman"/>
                <w:sz w:val="20"/>
                <w:szCs w:val="20"/>
              </w:rPr>
              <w:t>9</w:t>
            </w:r>
          </w:p>
        </w:tc>
      </w:tr>
      <w:tr w:rsidR="00000000" w14:paraId="4870132A" w14:textId="77777777">
        <w:trPr>
          <w:trHeight w:val="225"/>
          <w:tblCellSpacing w:w="15" w:type="dxa"/>
        </w:trPr>
        <w:tc>
          <w:tcPr>
            <w:tcW w:w="0" w:type="auto"/>
            <w:vAlign w:val="center"/>
            <w:hideMark/>
          </w:tcPr>
          <w:p w14:paraId="337C73B7" w14:textId="77777777" w:rsidR="00000000" w:rsidRDefault="0015578C">
            <w:pPr>
              <w:rPr>
                <w:rFonts w:eastAsia="Times New Roman"/>
                <w:sz w:val="20"/>
                <w:szCs w:val="20"/>
              </w:rPr>
            </w:pPr>
          </w:p>
        </w:tc>
      </w:tr>
      <w:tr w:rsidR="00000000" w14:paraId="1346CFBB" w14:textId="77777777">
        <w:trPr>
          <w:trHeight w:val="225"/>
          <w:tblCellSpacing w:w="15" w:type="dxa"/>
        </w:trPr>
        <w:tc>
          <w:tcPr>
            <w:tcW w:w="0" w:type="auto"/>
            <w:vAlign w:val="center"/>
            <w:hideMark/>
          </w:tcPr>
          <w:p w14:paraId="0E9C0A6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E9BFE05" w14:textId="77777777" w:rsidR="00000000" w:rsidRDefault="0015578C">
      <w:pPr>
        <w:pStyle w:val="a3"/>
        <w:spacing w:before="0" w:beforeAutospacing="0" w:after="0" w:afterAutospacing="0"/>
        <w:jc w:val="both"/>
        <w:rPr>
          <w:sz w:val="20"/>
          <w:szCs w:val="20"/>
        </w:rPr>
      </w:pPr>
      <w:r>
        <w:rPr>
          <w:sz w:val="20"/>
          <w:szCs w:val="20"/>
        </w:rPr>
        <w:t> </w:t>
      </w:r>
    </w:p>
    <w:p w14:paraId="616CCB6C" w14:textId="77777777" w:rsidR="00000000" w:rsidRDefault="0015578C">
      <w:pPr>
        <w:pStyle w:val="a3"/>
        <w:spacing w:before="0" w:beforeAutospacing="0" w:after="0" w:afterAutospacing="0"/>
        <w:jc w:val="both"/>
        <w:rPr>
          <w:sz w:val="20"/>
          <w:szCs w:val="20"/>
        </w:rPr>
      </w:pPr>
      <w:r>
        <w:rPr>
          <w:rStyle w:val="a7"/>
          <w:b/>
          <w:bCs/>
          <w:sz w:val="20"/>
          <w:szCs w:val="20"/>
        </w:rPr>
        <w:t>Our operations could be negatively affected by existing laws as well as potential changes in laws and regulatory requirements to which we are subject, including regulation of mineral exploration and ownership, environmental regulations and taxation.</w:t>
      </w:r>
    </w:p>
    <w:p w14:paraId="25C4E49F" w14:textId="77777777" w:rsidR="00000000" w:rsidRDefault="0015578C">
      <w:pPr>
        <w:pStyle w:val="a3"/>
        <w:spacing w:before="0" w:beforeAutospacing="0" w:after="0" w:afterAutospacing="0"/>
        <w:jc w:val="both"/>
        <w:rPr>
          <w:sz w:val="20"/>
          <w:szCs w:val="20"/>
        </w:rPr>
      </w:pPr>
      <w:r>
        <w:rPr>
          <w:sz w:val="20"/>
          <w:szCs w:val="20"/>
        </w:rPr>
        <w:t> </w:t>
      </w:r>
    </w:p>
    <w:p w14:paraId="0D83814E" w14:textId="77777777" w:rsidR="00000000" w:rsidRDefault="0015578C">
      <w:pPr>
        <w:pStyle w:val="a3"/>
        <w:spacing w:before="0" w:beforeAutospacing="0" w:after="0" w:afterAutospacing="0"/>
        <w:ind w:firstLine="675"/>
        <w:jc w:val="both"/>
        <w:rPr>
          <w:sz w:val="20"/>
          <w:szCs w:val="20"/>
        </w:rPr>
      </w:pPr>
      <w:r>
        <w:rPr>
          <w:sz w:val="20"/>
          <w:szCs w:val="20"/>
        </w:rPr>
        <w:t xml:space="preserve">The </w:t>
      </w:r>
      <w:r>
        <w:rPr>
          <w:sz w:val="20"/>
          <w:szCs w:val="20"/>
        </w:rPr>
        <w:t>exploration and development of mineral properties is subject to federal, state, provincial and local laws and regulations in the countries in which they are located in a variety of ways, including regulation of mineral exploration and land ownership, envir</w:t>
      </w:r>
      <w:r>
        <w:rPr>
          <w:sz w:val="20"/>
          <w:szCs w:val="20"/>
        </w:rPr>
        <w:t>onmental regulation and taxation. These laws and regulations, as well as future interpretation of or changes to existing laws and regulations, may require substantial increases in capital and operating costs to us and delays, interruptions, or a terminatio</w:t>
      </w:r>
      <w:r>
        <w:rPr>
          <w:sz w:val="20"/>
          <w:szCs w:val="20"/>
        </w:rPr>
        <w:t>n of operations.</w:t>
      </w:r>
    </w:p>
    <w:p w14:paraId="09044323" w14:textId="77777777" w:rsidR="00000000" w:rsidRDefault="0015578C">
      <w:pPr>
        <w:pStyle w:val="a3"/>
        <w:spacing w:before="0" w:beforeAutospacing="0" w:after="0" w:afterAutospacing="0"/>
        <w:ind w:firstLine="675"/>
        <w:jc w:val="both"/>
        <w:rPr>
          <w:sz w:val="20"/>
          <w:szCs w:val="20"/>
        </w:rPr>
      </w:pPr>
      <w:r>
        <w:rPr>
          <w:sz w:val="20"/>
          <w:szCs w:val="20"/>
        </w:rPr>
        <w:t> </w:t>
      </w:r>
    </w:p>
    <w:p w14:paraId="0390593B" w14:textId="77777777" w:rsidR="00000000" w:rsidRDefault="0015578C">
      <w:pPr>
        <w:pStyle w:val="a3"/>
        <w:spacing w:before="0" w:beforeAutospacing="0" w:after="0" w:afterAutospacing="0"/>
        <w:ind w:firstLine="675"/>
        <w:jc w:val="both"/>
        <w:rPr>
          <w:sz w:val="20"/>
          <w:szCs w:val="20"/>
        </w:rPr>
      </w:pPr>
      <w:r>
        <w:rPr>
          <w:sz w:val="20"/>
          <w:szCs w:val="20"/>
        </w:rPr>
        <w:t>In the United States and the other countries in which we operate or own assets, in order to obtain permits for exploration or potential future development of mineral properties, environmental regulations generally require a description o</w:t>
      </w:r>
      <w:r>
        <w:rPr>
          <w:sz w:val="20"/>
          <w:szCs w:val="20"/>
        </w:rPr>
        <w:t xml:space="preserve">f the existing environment, including but not limited to natural, archeological and socio-economic environments, at the project site and in the region; an interpretation of the nature and magnitude of potential environmental impacts that might result from </w:t>
      </w:r>
      <w:r>
        <w:rPr>
          <w:sz w:val="20"/>
          <w:szCs w:val="20"/>
        </w:rPr>
        <w:t>such activities; and a description and evaluation of the effectiveness of the operational measures planned to mitigate the environmental impacts. The expenditures to obtain exploration permits to conduct our exploration activities may be material to our to</w:t>
      </w:r>
      <w:r>
        <w:rPr>
          <w:sz w:val="20"/>
          <w:szCs w:val="20"/>
        </w:rPr>
        <w:t>tal exploration cost.</w:t>
      </w:r>
    </w:p>
    <w:p w14:paraId="53BBD2CC" w14:textId="77777777" w:rsidR="00000000" w:rsidRDefault="0015578C">
      <w:pPr>
        <w:pStyle w:val="a3"/>
        <w:spacing w:before="0" w:beforeAutospacing="0" w:after="0" w:afterAutospacing="0"/>
        <w:ind w:firstLine="675"/>
        <w:jc w:val="both"/>
        <w:rPr>
          <w:sz w:val="20"/>
          <w:szCs w:val="20"/>
        </w:rPr>
      </w:pPr>
      <w:r>
        <w:rPr>
          <w:sz w:val="20"/>
          <w:szCs w:val="20"/>
        </w:rPr>
        <w:t> </w:t>
      </w:r>
    </w:p>
    <w:p w14:paraId="6792B5F2" w14:textId="77777777" w:rsidR="00000000" w:rsidRDefault="0015578C">
      <w:pPr>
        <w:pStyle w:val="a3"/>
        <w:spacing w:before="0" w:beforeAutospacing="0" w:after="0" w:afterAutospacing="0"/>
        <w:ind w:firstLine="675"/>
        <w:jc w:val="both"/>
        <w:rPr>
          <w:sz w:val="20"/>
          <w:szCs w:val="20"/>
        </w:rPr>
      </w:pPr>
      <w:r>
        <w:rPr>
          <w:sz w:val="20"/>
          <w:szCs w:val="20"/>
        </w:rPr>
        <w:t>The laws and regulations in all the countries in which we operate, or own assets are continually changing and are generally becoming more restrictive, especially environmental laws and regulations. As part of our ongoing exploration</w:t>
      </w:r>
      <w:r>
        <w:rPr>
          <w:sz w:val="20"/>
          <w:szCs w:val="20"/>
        </w:rPr>
        <w:t xml:space="preserve"> activities, we have made expenditures to comply with such laws and regulations, but such expenditures could substantially increase our costs to achieve compliance in the future. Delays in obtaining or failure to obtain government permits and approvals or </w:t>
      </w:r>
      <w:r>
        <w:rPr>
          <w:sz w:val="20"/>
          <w:szCs w:val="20"/>
        </w:rPr>
        <w:t>significant changes in regulation could have a material adverse effect on our exploration activities, our ability to locate economic mineral deposits, and our potential to sell, joint venture or eventually develop our properties, which could have a materia</w:t>
      </w:r>
      <w:r>
        <w:rPr>
          <w:sz w:val="20"/>
          <w:szCs w:val="20"/>
        </w:rPr>
        <w:t>l adverse effect on our financial position or results of operations.</w:t>
      </w:r>
    </w:p>
    <w:p w14:paraId="025AFCF4" w14:textId="77777777" w:rsidR="00000000" w:rsidRDefault="0015578C">
      <w:pPr>
        <w:pStyle w:val="a3"/>
        <w:spacing w:before="0" w:beforeAutospacing="0" w:after="0" w:afterAutospacing="0"/>
        <w:jc w:val="both"/>
        <w:rPr>
          <w:sz w:val="20"/>
          <w:szCs w:val="20"/>
        </w:rPr>
      </w:pPr>
      <w:r>
        <w:rPr>
          <w:sz w:val="20"/>
          <w:szCs w:val="20"/>
        </w:rPr>
        <w:t> </w:t>
      </w:r>
    </w:p>
    <w:p w14:paraId="77A6CFAA" w14:textId="77777777" w:rsidR="00000000" w:rsidRDefault="0015578C">
      <w:pPr>
        <w:pStyle w:val="a3"/>
        <w:spacing w:before="0" w:beforeAutospacing="0" w:after="0" w:afterAutospacing="0"/>
        <w:jc w:val="both"/>
        <w:rPr>
          <w:sz w:val="20"/>
          <w:szCs w:val="20"/>
        </w:rPr>
      </w:pPr>
      <w:r>
        <w:rPr>
          <w:rStyle w:val="a7"/>
          <w:b/>
          <w:bCs/>
          <w:sz w:val="20"/>
          <w:szCs w:val="20"/>
        </w:rPr>
        <w:t>Our operations are subject to permitting requirements which could require us to delay, suspend or terminate our operations on our mining properties.</w:t>
      </w:r>
    </w:p>
    <w:p w14:paraId="5579A159" w14:textId="77777777" w:rsidR="00000000" w:rsidRDefault="0015578C">
      <w:pPr>
        <w:pStyle w:val="a3"/>
        <w:spacing w:before="0" w:beforeAutospacing="0" w:after="0" w:afterAutospacing="0"/>
        <w:jc w:val="both"/>
        <w:rPr>
          <w:sz w:val="20"/>
          <w:szCs w:val="20"/>
        </w:rPr>
      </w:pPr>
      <w:r>
        <w:rPr>
          <w:sz w:val="20"/>
          <w:szCs w:val="20"/>
        </w:rPr>
        <w:t> </w:t>
      </w:r>
    </w:p>
    <w:p w14:paraId="362FB62A" w14:textId="77777777" w:rsidR="00000000" w:rsidRDefault="0015578C">
      <w:pPr>
        <w:pStyle w:val="a3"/>
        <w:spacing w:before="0" w:beforeAutospacing="0" w:after="0" w:afterAutospacing="0"/>
        <w:ind w:firstLine="720"/>
        <w:jc w:val="both"/>
        <w:rPr>
          <w:sz w:val="20"/>
          <w:szCs w:val="20"/>
        </w:rPr>
      </w:pPr>
      <w:r>
        <w:rPr>
          <w:sz w:val="20"/>
          <w:szCs w:val="20"/>
        </w:rPr>
        <w:t>Our exploration operations, includ</w:t>
      </w:r>
      <w:r>
        <w:rPr>
          <w:sz w:val="20"/>
          <w:szCs w:val="20"/>
        </w:rPr>
        <w:t>ing any exploration drilling programs and other exploration activities, require permits from various state and federal governments, including permits for the use of water and for drilling exploration holes. We may be unable to obtain these permits in a tim</w:t>
      </w:r>
      <w:r>
        <w:rPr>
          <w:sz w:val="20"/>
          <w:szCs w:val="20"/>
        </w:rPr>
        <w:t>ely manner, on reasonable terms or on terms that provide us sufficient resources to explore or develop our properties in any way. Even if we are able to obtain such permits, the time required by the permitting process can be significant. If we cannot obtai</w:t>
      </w:r>
      <w:r>
        <w:rPr>
          <w:sz w:val="20"/>
          <w:szCs w:val="20"/>
        </w:rPr>
        <w:t>n or maintain the necessary permits, or if there is a delay in receiving these permits, our timetable and business plan for exploration of our properties will be adversely affected, which may in turn adversely affect our results of operations, financial co</w:t>
      </w:r>
      <w:r>
        <w:rPr>
          <w:sz w:val="20"/>
          <w:szCs w:val="20"/>
        </w:rPr>
        <w:t>ndition, cash flows and market price of our securities.</w:t>
      </w:r>
    </w:p>
    <w:p w14:paraId="5F6C3323" w14:textId="77777777" w:rsidR="00000000" w:rsidRDefault="0015578C">
      <w:pPr>
        <w:pStyle w:val="a3"/>
        <w:spacing w:before="0" w:beforeAutospacing="0" w:after="0" w:afterAutospacing="0"/>
        <w:jc w:val="both"/>
        <w:rPr>
          <w:sz w:val="20"/>
          <w:szCs w:val="20"/>
        </w:rPr>
      </w:pPr>
      <w:r>
        <w:rPr>
          <w:sz w:val="20"/>
          <w:szCs w:val="20"/>
        </w:rPr>
        <w:t> </w:t>
      </w:r>
    </w:p>
    <w:p w14:paraId="54F2A34D" w14:textId="77777777" w:rsidR="00000000" w:rsidRDefault="0015578C">
      <w:pPr>
        <w:pStyle w:val="a3"/>
        <w:spacing w:before="0" w:beforeAutospacing="0" w:after="0" w:afterAutospacing="0"/>
        <w:ind w:firstLine="720"/>
        <w:jc w:val="both"/>
        <w:rPr>
          <w:sz w:val="20"/>
          <w:szCs w:val="20"/>
        </w:rPr>
      </w:pPr>
      <w:r>
        <w:rPr>
          <w:sz w:val="20"/>
          <w:szCs w:val="20"/>
        </w:rPr>
        <w:t>Due to increased activity levels of non-governmental environmental groups, native American, aboriginal, and local groups targeting the mining industry, the potential for the government or process in</w:t>
      </w:r>
      <w:r>
        <w:rPr>
          <w:sz w:val="20"/>
          <w:szCs w:val="20"/>
        </w:rPr>
        <w:t>stituted by these local groups, to delay the issuance of permits or impose new requirements or conditions upon mining operations may be increased. Any changes in government policies may be costly to comply with and may delay mining operations. Future chang</w:t>
      </w:r>
      <w:r>
        <w:rPr>
          <w:sz w:val="20"/>
          <w:szCs w:val="20"/>
        </w:rPr>
        <w:t>es in such laws and regulations, if any, may adversely affect our operations, make them prohibitively expensive, or prohibit them altogether. If our interests are materially adversely affected as a result of a violation of applicable laws, regulations, per</w:t>
      </w:r>
      <w:r>
        <w:rPr>
          <w:sz w:val="20"/>
          <w:szCs w:val="20"/>
        </w:rPr>
        <w:t>mitting requirements or a change in applicable law or regulations, it would have a significant negative impact on the value of our company and could have a significant impact on our stock price.</w:t>
      </w:r>
    </w:p>
    <w:p w14:paraId="7B6F95CA" w14:textId="77777777" w:rsidR="00000000" w:rsidRDefault="0015578C">
      <w:pPr>
        <w:pStyle w:val="a3"/>
        <w:spacing w:before="0" w:beforeAutospacing="0" w:after="0" w:afterAutospacing="0"/>
        <w:jc w:val="both"/>
        <w:rPr>
          <w:sz w:val="20"/>
          <w:szCs w:val="20"/>
        </w:rPr>
      </w:pPr>
      <w:r>
        <w:rPr>
          <w:sz w:val="20"/>
          <w:szCs w:val="20"/>
        </w:rPr>
        <w:t> </w:t>
      </w:r>
    </w:p>
    <w:p w14:paraId="02D257E7" w14:textId="77777777" w:rsidR="00000000" w:rsidRDefault="0015578C">
      <w:pPr>
        <w:pStyle w:val="a3"/>
        <w:spacing w:before="0" w:beforeAutospacing="0" w:after="0" w:afterAutospacing="0"/>
        <w:jc w:val="both"/>
        <w:rPr>
          <w:sz w:val="20"/>
          <w:szCs w:val="20"/>
        </w:rPr>
      </w:pPr>
      <w:r>
        <w:rPr>
          <w:rStyle w:val="a7"/>
          <w:b/>
          <w:bCs/>
          <w:sz w:val="20"/>
          <w:szCs w:val="20"/>
        </w:rPr>
        <w:t>Our business could be negatively affected by changing clima</w:t>
      </w:r>
      <w:r>
        <w:rPr>
          <w:rStyle w:val="a7"/>
          <w:b/>
          <w:bCs/>
          <w:sz w:val="20"/>
          <w:szCs w:val="20"/>
        </w:rPr>
        <w:t>te and climate change laws.</w:t>
      </w:r>
    </w:p>
    <w:p w14:paraId="5A82F396" w14:textId="77777777" w:rsidR="00000000" w:rsidRDefault="0015578C">
      <w:pPr>
        <w:pStyle w:val="a3"/>
        <w:spacing w:before="0" w:beforeAutospacing="0" w:after="0" w:afterAutospacing="0"/>
        <w:jc w:val="both"/>
        <w:rPr>
          <w:sz w:val="20"/>
          <w:szCs w:val="20"/>
        </w:rPr>
      </w:pPr>
      <w:r>
        <w:rPr>
          <w:sz w:val="20"/>
          <w:szCs w:val="20"/>
        </w:rPr>
        <w:t> </w:t>
      </w:r>
    </w:p>
    <w:p w14:paraId="6CC7A3F3" w14:textId="77777777" w:rsidR="00000000" w:rsidRDefault="0015578C">
      <w:pPr>
        <w:pStyle w:val="a3"/>
        <w:spacing w:before="0" w:beforeAutospacing="0" w:after="0" w:afterAutospacing="0"/>
        <w:ind w:firstLine="720"/>
        <w:jc w:val="both"/>
        <w:rPr>
          <w:sz w:val="20"/>
          <w:szCs w:val="20"/>
        </w:rPr>
      </w:pPr>
      <w:r>
        <w:rPr>
          <w:sz w:val="20"/>
          <w:szCs w:val="20"/>
        </w:rPr>
        <w:t>A number of governments, including the United States, have introduced or are moving to introduce climate change legislation and treaties at the international, national, state/provincial and local levels. Regulations relating t</w:t>
      </w:r>
      <w:r>
        <w:rPr>
          <w:sz w:val="20"/>
          <w:szCs w:val="20"/>
        </w:rPr>
        <w:t>o emission levels (such as carbon taxes) and energy efficiency are becoming more stringent. If the current regulatory trend continues, this may result in increased costs at some or all of our project locations. In addition, the physical risks of climate ch</w:t>
      </w:r>
      <w:r>
        <w:rPr>
          <w:sz w:val="20"/>
          <w:szCs w:val="20"/>
        </w:rPr>
        <w:t>ange may also have an adverse effect on our operations and properties. Some of the countries in which we own or have owned mineral property assets have implemented, and are developing, laws and regulations related to climate change and greenhouse gas emiss</w:t>
      </w:r>
      <w:r>
        <w:rPr>
          <w:sz w:val="20"/>
          <w:szCs w:val="20"/>
        </w:rPr>
        <w:t>ions.</w:t>
      </w:r>
    </w:p>
    <w:p w14:paraId="41E985AE" w14:textId="77777777" w:rsidR="00000000" w:rsidRDefault="0015578C">
      <w:pPr>
        <w:pStyle w:val="a3"/>
        <w:spacing w:before="0" w:beforeAutospacing="0" w:after="0" w:afterAutospacing="0"/>
        <w:jc w:val="both"/>
        <w:rPr>
          <w:sz w:val="20"/>
          <w:szCs w:val="20"/>
        </w:rPr>
      </w:pPr>
      <w:r>
        <w:rPr>
          <w:sz w:val="20"/>
          <w:szCs w:val="20"/>
        </w:rPr>
        <w:t> </w:t>
      </w:r>
    </w:p>
    <w:p w14:paraId="36BA4D56" w14:textId="77777777" w:rsidR="00000000" w:rsidRDefault="0015578C">
      <w:pPr>
        <w:pStyle w:val="a3"/>
        <w:spacing w:before="0" w:beforeAutospacing="0" w:after="0" w:afterAutospacing="0"/>
        <w:ind w:firstLine="720"/>
        <w:jc w:val="both"/>
        <w:rPr>
          <w:sz w:val="20"/>
          <w:szCs w:val="20"/>
        </w:rPr>
      </w:pPr>
      <w:r>
        <w:rPr>
          <w:sz w:val="20"/>
          <w:szCs w:val="20"/>
        </w:rPr>
        <w:t>Legislation and increased regulation and requirements regarding climate change could impose increased costs or limit our ability, or our joint venture partners’ ability, to effectively advance our projects, including impacting our suppliers through increas</w:t>
      </w:r>
      <w:r>
        <w:rPr>
          <w:sz w:val="20"/>
          <w:szCs w:val="20"/>
        </w:rPr>
        <w:t>ed energy, capital equipment, environmental monitoring and reporting and other costs to comply with such regulations.</w:t>
      </w:r>
    </w:p>
    <w:p w14:paraId="2435B00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9D18338" w14:textId="77777777">
        <w:trPr>
          <w:trHeight w:val="225"/>
          <w:tblCellSpacing w:w="15" w:type="dxa"/>
        </w:trPr>
        <w:tc>
          <w:tcPr>
            <w:tcW w:w="0" w:type="auto"/>
            <w:vAlign w:val="center"/>
            <w:hideMark/>
          </w:tcPr>
          <w:p w14:paraId="3AAE3FC7" w14:textId="77777777" w:rsidR="00000000" w:rsidRDefault="0015578C">
            <w:pPr>
              <w:rPr>
                <w:rFonts w:eastAsia="Times New Roman"/>
                <w:sz w:val="20"/>
                <w:szCs w:val="20"/>
              </w:rPr>
            </w:pPr>
            <w:r>
              <w:rPr>
                <w:rFonts w:eastAsia="Times New Roman"/>
                <w:sz w:val="20"/>
                <w:szCs w:val="20"/>
              </w:rPr>
              <w:t> </w:t>
            </w:r>
          </w:p>
        </w:tc>
      </w:tr>
      <w:tr w:rsidR="00000000" w14:paraId="78AC43F3" w14:textId="77777777">
        <w:trPr>
          <w:trHeight w:val="225"/>
          <w:tblCellSpacing w:w="15" w:type="dxa"/>
        </w:trPr>
        <w:tc>
          <w:tcPr>
            <w:tcW w:w="0" w:type="auto"/>
            <w:tcBorders>
              <w:bottom w:val="single" w:sz="6" w:space="0" w:color="000000"/>
            </w:tcBorders>
            <w:vAlign w:val="center"/>
            <w:hideMark/>
          </w:tcPr>
          <w:p w14:paraId="05A3D197" w14:textId="77777777" w:rsidR="00000000" w:rsidRDefault="0015578C">
            <w:pPr>
              <w:jc w:val="center"/>
              <w:rPr>
                <w:rFonts w:eastAsia="Times New Roman"/>
                <w:sz w:val="20"/>
                <w:szCs w:val="20"/>
              </w:rPr>
            </w:pPr>
            <w:r>
              <w:rPr>
                <w:rFonts w:eastAsia="Times New Roman"/>
                <w:sz w:val="20"/>
                <w:szCs w:val="20"/>
              </w:rPr>
              <w:t>10</w:t>
            </w:r>
          </w:p>
        </w:tc>
      </w:tr>
      <w:tr w:rsidR="00000000" w14:paraId="3C5B13DC" w14:textId="77777777">
        <w:trPr>
          <w:trHeight w:val="225"/>
          <w:tblCellSpacing w:w="15" w:type="dxa"/>
        </w:trPr>
        <w:tc>
          <w:tcPr>
            <w:tcW w:w="0" w:type="auto"/>
            <w:vAlign w:val="center"/>
            <w:hideMark/>
          </w:tcPr>
          <w:p w14:paraId="03B7C707" w14:textId="77777777" w:rsidR="00000000" w:rsidRDefault="0015578C">
            <w:pPr>
              <w:rPr>
                <w:rFonts w:eastAsia="Times New Roman"/>
                <w:sz w:val="20"/>
                <w:szCs w:val="20"/>
              </w:rPr>
            </w:pPr>
          </w:p>
        </w:tc>
      </w:tr>
      <w:tr w:rsidR="00000000" w14:paraId="16A2B3E7" w14:textId="77777777">
        <w:trPr>
          <w:trHeight w:val="225"/>
          <w:tblCellSpacing w:w="15" w:type="dxa"/>
        </w:trPr>
        <w:tc>
          <w:tcPr>
            <w:tcW w:w="0" w:type="auto"/>
            <w:vAlign w:val="center"/>
            <w:hideMark/>
          </w:tcPr>
          <w:p w14:paraId="0D15C13B"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7ADC529F" w14:textId="77777777" w:rsidR="00000000" w:rsidRDefault="0015578C">
      <w:pPr>
        <w:pStyle w:val="a3"/>
        <w:spacing w:before="0" w:beforeAutospacing="0" w:after="0" w:afterAutospacing="0"/>
        <w:jc w:val="both"/>
        <w:rPr>
          <w:sz w:val="20"/>
          <w:szCs w:val="20"/>
        </w:rPr>
      </w:pPr>
      <w:r>
        <w:rPr>
          <w:sz w:val="20"/>
          <w:szCs w:val="20"/>
        </w:rPr>
        <w:t> </w:t>
      </w:r>
    </w:p>
    <w:p w14:paraId="715A9652" w14:textId="77777777" w:rsidR="00000000" w:rsidRDefault="0015578C">
      <w:pPr>
        <w:pStyle w:val="a3"/>
        <w:spacing w:before="0" w:beforeAutospacing="0" w:after="0" w:afterAutospacing="0"/>
        <w:jc w:val="both"/>
        <w:rPr>
          <w:sz w:val="20"/>
          <w:szCs w:val="20"/>
        </w:rPr>
      </w:pPr>
      <w:r>
        <w:rPr>
          <w:rStyle w:val="a7"/>
          <w:b/>
          <w:bCs/>
          <w:sz w:val="20"/>
          <w:szCs w:val="20"/>
        </w:rPr>
        <w:t>Our business is dependent on the market price of certain commodities, particula</w:t>
      </w:r>
      <w:r>
        <w:rPr>
          <w:rStyle w:val="a7"/>
          <w:b/>
          <w:bCs/>
          <w:sz w:val="20"/>
          <w:szCs w:val="20"/>
        </w:rPr>
        <w:t xml:space="preserve">rly gold and zinc, and currency exchange rates over which we have no control. </w:t>
      </w:r>
    </w:p>
    <w:p w14:paraId="3B45ABAB" w14:textId="77777777" w:rsidR="00000000" w:rsidRDefault="0015578C">
      <w:pPr>
        <w:pStyle w:val="a3"/>
        <w:spacing w:before="0" w:beforeAutospacing="0" w:after="0" w:afterAutospacing="0"/>
        <w:jc w:val="both"/>
        <w:rPr>
          <w:sz w:val="20"/>
          <w:szCs w:val="20"/>
        </w:rPr>
      </w:pPr>
      <w:r>
        <w:rPr>
          <w:sz w:val="20"/>
          <w:szCs w:val="20"/>
        </w:rPr>
        <w:t> </w:t>
      </w:r>
    </w:p>
    <w:p w14:paraId="7AD79DE7" w14:textId="77777777" w:rsidR="00000000" w:rsidRDefault="0015578C">
      <w:pPr>
        <w:pStyle w:val="a3"/>
        <w:spacing w:before="0" w:beforeAutospacing="0" w:after="0" w:afterAutospacing="0"/>
        <w:ind w:firstLine="675"/>
        <w:jc w:val="both"/>
        <w:rPr>
          <w:sz w:val="20"/>
          <w:szCs w:val="20"/>
        </w:rPr>
      </w:pPr>
      <w:r>
        <w:rPr>
          <w:sz w:val="20"/>
          <w:szCs w:val="20"/>
        </w:rPr>
        <w:t>Our operations are significantly affected by changes in the market price of commodities since the evaluation of whether a mineral deposit is commercially viable is heavily dep</w:t>
      </w:r>
      <w:r>
        <w:rPr>
          <w:sz w:val="20"/>
          <w:szCs w:val="20"/>
        </w:rPr>
        <w:t>endent upon the market price of the commodities related to any specific project. Because our core assets are currently in zinc and gold related projects, the spot price of zinc and gold is particularly important to the value of our assets and future prospe</w:t>
      </w:r>
      <w:r>
        <w:rPr>
          <w:sz w:val="20"/>
          <w:szCs w:val="20"/>
        </w:rPr>
        <w:t>cts. The price of commodities also affects the value of exploration projects we own or may wish to acquire or joint venture. These commodity prices fluctuate on a daily basis and are affected by numerous factors beyond our control. The supply and demand fo</w:t>
      </w:r>
      <w:r>
        <w:rPr>
          <w:sz w:val="20"/>
          <w:szCs w:val="20"/>
        </w:rPr>
        <w:t>r commodities, the level of interest rates, the rate of inflation, investment decisions by large holders of these commodities, including governmental reserves, and stability of exchange rates can all cause significant fluctuations in prices. Currency excha</w:t>
      </w:r>
      <w:r>
        <w:rPr>
          <w:sz w:val="20"/>
          <w:szCs w:val="20"/>
        </w:rPr>
        <w:t>nge rates relative to the United States dollar can affect the cost of doing business in a foreign country in United States dollar terms, which is our functional currency. Consequently, the cost of conducting exploration in the countries where we operate, a</w:t>
      </w:r>
      <w:r>
        <w:rPr>
          <w:sz w:val="20"/>
          <w:szCs w:val="20"/>
        </w:rPr>
        <w:t>ccounted for in United States dollars, can fluctuate based upon changes in currency exchange rates and may be higher than we anticipate in terms of United States dollars because of a decrease in the relative strength of the United States dollar to currenci</w:t>
      </w:r>
      <w:r>
        <w:rPr>
          <w:sz w:val="20"/>
          <w:szCs w:val="20"/>
        </w:rPr>
        <w:t xml:space="preserve">es of the countries where we operate. We currently do not hedge against currency or commodity fluctuations. The prices of commodities as well as currency exchange rates have fluctuated widely and future significant price declines in commodities or changes </w:t>
      </w:r>
      <w:r>
        <w:rPr>
          <w:sz w:val="20"/>
          <w:szCs w:val="20"/>
        </w:rPr>
        <w:t>in currency exchange rates could have a material adverse effect on our financial position or results of operations.</w:t>
      </w:r>
    </w:p>
    <w:p w14:paraId="3CD19E81" w14:textId="77777777" w:rsidR="00000000" w:rsidRDefault="0015578C">
      <w:pPr>
        <w:pStyle w:val="a3"/>
        <w:spacing w:before="0" w:beforeAutospacing="0" w:after="0" w:afterAutospacing="0"/>
        <w:jc w:val="both"/>
        <w:rPr>
          <w:sz w:val="20"/>
          <w:szCs w:val="20"/>
        </w:rPr>
      </w:pPr>
      <w:r>
        <w:rPr>
          <w:sz w:val="20"/>
          <w:szCs w:val="20"/>
        </w:rPr>
        <w:t> </w:t>
      </w:r>
    </w:p>
    <w:p w14:paraId="50BA90CE" w14:textId="77777777" w:rsidR="00000000" w:rsidRDefault="0015578C">
      <w:pPr>
        <w:pStyle w:val="a3"/>
        <w:spacing w:before="0" w:beforeAutospacing="0" w:after="0" w:afterAutospacing="0"/>
        <w:jc w:val="both"/>
        <w:rPr>
          <w:sz w:val="20"/>
          <w:szCs w:val="20"/>
        </w:rPr>
      </w:pPr>
      <w:r>
        <w:rPr>
          <w:rStyle w:val="a7"/>
          <w:b/>
          <w:bCs/>
          <w:sz w:val="20"/>
          <w:szCs w:val="20"/>
        </w:rPr>
        <w:t>Our business is dependent on key executives and the loss of any of our key executives could adversely affect our business, future operations and financial condition.</w:t>
      </w:r>
    </w:p>
    <w:p w14:paraId="205215CA" w14:textId="77777777" w:rsidR="00000000" w:rsidRDefault="0015578C">
      <w:pPr>
        <w:pStyle w:val="a3"/>
        <w:spacing w:before="0" w:beforeAutospacing="0" w:after="0" w:afterAutospacing="0"/>
        <w:jc w:val="both"/>
        <w:rPr>
          <w:sz w:val="20"/>
          <w:szCs w:val="20"/>
        </w:rPr>
      </w:pPr>
      <w:r>
        <w:rPr>
          <w:sz w:val="20"/>
          <w:szCs w:val="20"/>
        </w:rPr>
        <w:t> </w:t>
      </w:r>
    </w:p>
    <w:p w14:paraId="081AAFE4" w14:textId="77777777" w:rsidR="00000000" w:rsidRDefault="0015578C">
      <w:pPr>
        <w:pStyle w:val="a3"/>
        <w:spacing w:before="0" w:beforeAutospacing="0" w:after="0" w:afterAutospacing="0"/>
        <w:ind w:firstLine="675"/>
        <w:jc w:val="both"/>
        <w:rPr>
          <w:sz w:val="20"/>
          <w:szCs w:val="20"/>
        </w:rPr>
      </w:pPr>
      <w:r>
        <w:rPr>
          <w:sz w:val="20"/>
          <w:szCs w:val="20"/>
        </w:rPr>
        <w:t>We are dependent on the services of key executives, including our Chief Executive Office</w:t>
      </w:r>
      <w:r>
        <w:rPr>
          <w:sz w:val="20"/>
          <w:szCs w:val="20"/>
        </w:rPr>
        <w:t>r, Christopher E. Herald, our Chief Operating Officer, Walter H. Hunt, and our Chief Financial Officer, James R. Maronick. All those officers have many years of experience and an extensive background with Solitario and in the mining industry in general. We</w:t>
      </w:r>
      <w:r>
        <w:rPr>
          <w:sz w:val="20"/>
          <w:szCs w:val="20"/>
        </w:rPr>
        <w:t xml:space="preserve"> may not be able to replace that experience and knowledge with other individuals. We do not have "Key-Man" life insurance policies on any of our key executives. The loss of these persons or our inability to attract and retain additional highly skilled empl</w:t>
      </w:r>
      <w:r>
        <w:rPr>
          <w:sz w:val="20"/>
          <w:szCs w:val="20"/>
        </w:rPr>
        <w:t>oyees may adversely affect our business, future operations and financial condition.</w:t>
      </w:r>
    </w:p>
    <w:p w14:paraId="02DA7893" w14:textId="77777777" w:rsidR="00000000" w:rsidRDefault="0015578C">
      <w:pPr>
        <w:pStyle w:val="a3"/>
        <w:spacing w:before="0" w:beforeAutospacing="0" w:after="0" w:afterAutospacing="0"/>
        <w:jc w:val="both"/>
        <w:rPr>
          <w:sz w:val="20"/>
          <w:szCs w:val="20"/>
        </w:rPr>
      </w:pPr>
      <w:r>
        <w:rPr>
          <w:sz w:val="20"/>
          <w:szCs w:val="20"/>
        </w:rPr>
        <w:t> </w:t>
      </w:r>
    </w:p>
    <w:p w14:paraId="12506277" w14:textId="77777777" w:rsidR="00000000" w:rsidRDefault="0015578C">
      <w:pPr>
        <w:pStyle w:val="a3"/>
        <w:spacing w:before="0" w:beforeAutospacing="0" w:after="0" w:afterAutospacing="0"/>
        <w:jc w:val="both"/>
        <w:rPr>
          <w:sz w:val="20"/>
          <w:szCs w:val="20"/>
        </w:rPr>
      </w:pPr>
      <w:r>
        <w:rPr>
          <w:rStyle w:val="a7"/>
          <w:b/>
          <w:bCs/>
          <w:sz w:val="20"/>
          <w:szCs w:val="20"/>
        </w:rPr>
        <w:t xml:space="preserve">Our business model relies significantly on other companies to joint venture our projects and we anticipate continuing this practice in the future. Therefore, our results </w:t>
      </w:r>
      <w:r>
        <w:rPr>
          <w:rStyle w:val="a7"/>
          <w:b/>
          <w:bCs/>
          <w:sz w:val="20"/>
          <w:szCs w:val="20"/>
        </w:rPr>
        <w:t>are subject to the additional risks associated with the financial condition, operational expertise and corporate priorities of our joint venture partners.</w:t>
      </w:r>
    </w:p>
    <w:p w14:paraId="30DE3884" w14:textId="77777777" w:rsidR="00000000" w:rsidRDefault="0015578C">
      <w:pPr>
        <w:pStyle w:val="a3"/>
        <w:spacing w:before="0" w:beforeAutospacing="0" w:after="0" w:afterAutospacing="0"/>
        <w:jc w:val="both"/>
        <w:rPr>
          <w:sz w:val="20"/>
          <w:szCs w:val="20"/>
        </w:rPr>
      </w:pPr>
      <w:r>
        <w:rPr>
          <w:sz w:val="20"/>
          <w:szCs w:val="20"/>
        </w:rPr>
        <w:t> </w:t>
      </w:r>
    </w:p>
    <w:p w14:paraId="582ADCCB" w14:textId="77777777" w:rsidR="00000000" w:rsidRDefault="0015578C">
      <w:pPr>
        <w:pStyle w:val="a3"/>
        <w:spacing w:before="0" w:beforeAutospacing="0" w:after="0" w:afterAutospacing="0"/>
        <w:ind w:firstLine="675"/>
        <w:jc w:val="both"/>
        <w:rPr>
          <w:sz w:val="20"/>
          <w:szCs w:val="20"/>
        </w:rPr>
      </w:pPr>
      <w:r>
        <w:rPr>
          <w:sz w:val="20"/>
          <w:szCs w:val="20"/>
        </w:rPr>
        <w:t>The success of projects held under joint ventures that are not operated by us are substantially dep</w:t>
      </w:r>
      <w:r>
        <w:rPr>
          <w:sz w:val="20"/>
          <w:szCs w:val="20"/>
        </w:rPr>
        <w:t>endent on the joint venture partner, over which we have limited or no control. Our Florida Canyon project and our Lik project are joint ventured with other mining companies that manage the exploration activities on the projects. We are the minority-interes</w:t>
      </w:r>
      <w:r>
        <w:rPr>
          <w:sz w:val="20"/>
          <w:szCs w:val="20"/>
        </w:rPr>
        <w:t xml:space="preserve">t party at Florida Canyon and a 50% partner at the Lik project. Although our joint venture agreements provide certain voting rights and other minority-interest safeguards, the majority partner and/or operator not only manages operations, but controls most </w:t>
      </w:r>
      <w:r>
        <w:rPr>
          <w:sz w:val="20"/>
          <w:szCs w:val="20"/>
        </w:rPr>
        <w:t>decisions, including budgets and scope and pace of exploration and other activities. Consequently, we are highly dependent on the operational expertise and financial condition of our joint venture partners, as well as their corporate priorities. For instan</w:t>
      </w:r>
      <w:r>
        <w:rPr>
          <w:sz w:val="20"/>
          <w:szCs w:val="20"/>
        </w:rPr>
        <w:t>ce, even though our joint venture property may be highly prospective for exploration success, or economically viable based on feasibility studies, our partner may decide not to fund the further exploration or development of our project based on their respe</w:t>
      </w:r>
      <w:r>
        <w:rPr>
          <w:sz w:val="20"/>
          <w:szCs w:val="20"/>
        </w:rPr>
        <w:t>ctive financial condition or other corporate priorities. Therefore, our results are subject to the additional risks associated with the financial condition, operational expertise and corporate priorities of our joint venture partners, which could have a ma</w:t>
      </w:r>
      <w:r>
        <w:rPr>
          <w:sz w:val="20"/>
          <w:szCs w:val="20"/>
        </w:rPr>
        <w:t>terial adverse effect on our financial position or results of operations. Our Lik project requires unanimous consent by the joint venture partners for annual budgets in excess of $1.0 million. Consequently, exploration of the Lik project could be delayed w</w:t>
      </w:r>
      <w:r>
        <w:rPr>
          <w:sz w:val="20"/>
          <w:szCs w:val="20"/>
        </w:rPr>
        <w:t>ithout the unanimous consent of both parties to certain proposed actions or transactions.</w:t>
      </w:r>
    </w:p>
    <w:p w14:paraId="7F654477" w14:textId="77777777" w:rsidR="00000000" w:rsidRDefault="0015578C">
      <w:pPr>
        <w:pStyle w:val="a3"/>
        <w:spacing w:before="0" w:beforeAutospacing="0" w:after="0" w:afterAutospacing="0"/>
        <w:jc w:val="both"/>
        <w:rPr>
          <w:sz w:val="20"/>
          <w:szCs w:val="20"/>
        </w:rPr>
      </w:pPr>
      <w:r>
        <w:rPr>
          <w:sz w:val="20"/>
          <w:szCs w:val="20"/>
        </w:rPr>
        <w:t> </w:t>
      </w:r>
    </w:p>
    <w:p w14:paraId="6B007892" w14:textId="77777777" w:rsidR="00000000" w:rsidRDefault="0015578C">
      <w:pPr>
        <w:pStyle w:val="a3"/>
        <w:spacing w:before="0" w:beforeAutospacing="0" w:after="0" w:afterAutospacing="0"/>
        <w:jc w:val="both"/>
        <w:rPr>
          <w:sz w:val="20"/>
          <w:szCs w:val="20"/>
        </w:rPr>
      </w:pPr>
      <w:r>
        <w:rPr>
          <w:rStyle w:val="a7"/>
          <w:b/>
          <w:bCs/>
          <w:sz w:val="20"/>
          <w:szCs w:val="20"/>
        </w:rPr>
        <w:t xml:space="preserve">We may look to joint venture with another mining company in the future to explore, develop and/or operate our current or future projects; therefore, in the future, </w:t>
      </w:r>
      <w:r>
        <w:rPr>
          <w:rStyle w:val="a7"/>
          <w:b/>
          <w:bCs/>
          <w:sz w:val="20"/>
          <w:szCs w:val="20"/>
        </w:rPr>
        <w:t>our results may become subject to additional risks associated with development and production of our foreign mining projects.</w:t>
      </w:r>
    </w:p>
    <w:p w14:paraId="0C1E763F" w14:textId="77777777" w:rsidR="00000000" w:rsidRDefault="0015578C">
      <w:pPr>
        <w:pStyle w:val="a3"/>
        <w:spacing w:before="0" w:beforeAutospacing="0" w:after="0" w:afterAutospacing="0"/>
        <w:jc w:val="both"/>
        <w:rPr>
          <w:sz w:val="20"/>
          <w:szCs w:val="20"/>
        </w:rPr>
      </w:pPr>
      <w:r>
        <w:rPr>
          <w:sz w:val="20"/>
          <w:szCs w:val="20"/>
        </w:rPr>
        <w:t> </w:t>
      </w:r>
    </w:p>
    <w:p w14:paraId="07AB1672" w14:textId="77777777" w:rsidR="00000000" w:rsidRDefault="0015578C">
      <w:pPr>
        <w:pStyle w:val="a3"/>
        <w:spacing w:before="0" w:beforeAutospacing="0" w:after="0" w:afterAutospacing="0"/>
        <w:ind w:firstLine="675"/>
        <w:jc w:val="both"/>
        <w:rPr>
          <w:sz w:val="20"/>
          <w:szCs w:val="20"/>
        </w:rPr>
      </w:pPr>
      <w:r>
        <w:rPr>
          <w:sz w:val="20"/>
          <w:szCs w:val="20"/>
        </w:rPr>
        <w:t>Neither we, nor our joint venture partners are currently involved in mining development or mining operations at any of our prope</w:t>
      </w:r>
      <w:r>
        <w:rPr>
          <w:sz w:val="20"/>
          <w:szCs w:val="20"/>
        </w:rPr>
        <w:t>rties. In order to realize a profit from our mineral interests we have to: (1) sell our properties or interests outright at a profit; (2) form a joint venture for the project with a larger mining company with greater resources, both technical and financial</w:t>
      </w:r>
      <w:r>
        <w:rPr>
          <w:sz w:val="20"/>
          <w:szCs w:val="20"/>
        </w:rPr>
        <w:t xml:space="preserve">, to further develop and/or operate a project; (3) develop and operate such projects at a profit on our own; or (4) create and retain a royalty interest in a property with a third party that agrees to advance the property toward development and mining. In </w:t>
      </w:r>
      <w:r>
        <w:rPr>
          <w:sz w:val="20"/>
          <w:szCs w:val="20"/>
        </w:rPr>
        <w:t>the future, if our exploration results show sufficient promise in a future project, not currently under joint venture, we may either look to form a joint venture with another mining company to develop and/or operate the project or sell the property outrigh</w:t>
      </w:r>
      <w:r>
        <w:rPr>
          <w:sz w:val="20"/>
          <w:szCs w:val="20"/>
        </w:rPr>
        <w:t>t and retain partial ownership or a retained royalty based on the success of such project. Therefore, in the future, our results may become subject to the additional risks associated with development and production of mining projects in general.</w:t>
      </w:r>
    </w:p>
    <w:p w14:paraId="4988D8C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8E7E5C2" w14:textId="77777777">
        <w:trPr>
          <w:trHeight w:val="225"/>
          <w:tblCellSpacing w:w="15" w:type="dxa"/>
        </w:trPr>
        <w:tc>
          <w:tcPr>
            <w:tcW w:w="0" w:type="auto"/>
            <w:vAlign w:val="center"/>
            <w:hideMark/>
          </w:tcPr>
          <w:p w14:paraId="21F1EB98" w14:textId="77777777" w:rsidR="00000000" w:rsidRDefault="0015578C">
            <w:pPr>
              <w:rPr>
                <w:rFonts w:eastAsia="Times New Roman"/>
                <w:sz w:val="20"/>
                <w:szCs w:val="20"/>
              </w:rPr>
            </w:pPr>
            <w:r>
              <w:rPr>
                <w:rFonts w:eastAsia="Times New Roman"/>
                <w:sz w:val="20"/>
                <w:szCs w:val="20"/>
              </w:rPr>
              <w:t> </w:t>
            </w:r>
          </w:p>
        </w:tc>
      </w:tr>
      <w:tr w:rsidR="00000000" w14:paraId="0FAD7C08" w14:textId="77777777">
        <w:trPr>
          <w:trHeight w:val="225"/>
          <w:tblCellSpacing w:w="15" w:type="dxa"/>
        </w:trPr>
        <w:tc>
          <w:tcPr>
            <w:tcW w:w="0" w:type="auto"/>
            <w:tcBorders>
              <w:bottom w:val="single" w:sz="6" w:space="0" w:color="000000"/>
            </w:tcBorders>
            <w:vAlign w:val="center"/>
            <w:hideMark/>
          </w:tcPr>
          <w:p w14:paraId="53661E83" w14:textId="77777777" w:rsidR="00000000" w:rsidRDefault="0015578C">
            <w:pPr>
              <w:jc w:val="center"/>
              <w:rPr>
                <w:rFonts w:eastAsia="Times New Roman"/>
                <w:sz w:val="20"/>
                <w:szCs w:val="20"/>
              </w:rPr>
            </w:pPr>
            <w:r>
              <w:rPr>
                <w:rFonts w:eastAsia="Times New Roman"/>
                <w:sz w:val="20"/>
                <w:szCs w:val="20"/>
              </w:rPr>
              <w:t>11</w:t>
            </w:r>
          </w:p>
        </w:tc>
      </w:tr>
      <w:tr w:rsidR="00000000" w14:paraId="689B196D" w14:textId="77777777">
        <w:trPr>
          <w:trHeight w:val="225"/>
          <w:tblCellSpacing w:w="15" w:type="dxa"/>
        </w:trPr>
        <w:tc>
          <w:tcPr>
            <w:tcW w:w="0" w:type="auto"/>
            <w:vAlign w:val="center"/>
            <w:hideMark/>
          </w:tcPr>
          <w:p w14:paraId="0D7BFCBA" w14:textId="77777777" w:rsidR="00000000" w:rsidRDefault="0015578C">
            <w:pPr>
              <w:rPr>
                <w:rFonts w:eastAsia="Times New Roman"/>
                <w:sz w:val="20"/>
                <w:szCs w:val="20"/>
              </w:rPr>
            </w:pPr>
          </w:p>
        </w:tc>
      </w:tr>
      <w:tr w:rsidR="00000000" w14:paraId="14DEC380" w14:textId="77777777">
        <w:trPr>
          <w:trHeight w:val="225"/>
          <w:tblCellSpacing w:w="15" w:type="dxa"/>
        </w:trPr>
        <w:tc>
          <w:tcPr>
            <w:tcW w:w="0" w:type="auto"/>
            <w:vAlign w:val="center"/>
            <w:hideMark/>
          </w:tcPr>
          <w:p w14:paraId="212B4ABC"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40FEB7A1" w14:textId="77777777" w:rsidR="00000000" w:rsidRDefault="0015578C">
      <w:pPr>
        <w:pStyle w:val="a3"/>
        <w:spacing w:before="0" w:beforeAutospacing="0" w:after="0" w:afterAutospacing="0"/>
        <w:jc w:val="both"/>
        <w:rPr>
          <w:sz w:val="20"/>
          <w:szCs w:val="20"/>
        </w:rPr>
      </w:pPr>
      <w:r>
        <w:rPr>
          <w:sz w:val="20"/>
          <w:szCs w:val="20"/>
        </w:rPr>
        <w:t> </w:t>
      </w:r>
    </w:p>
    <w:p w14:paraId="06D762D3" w14:textId="77777777" w:rsidR="00000000" w:rsidRDefault="0015578C">
      <w:pPr>
        <w:pStyle w:val="a3"/>
        <w:spacing w:before="0" w:beforeAutospacing="0" w:after="0" w:afterAutospacing="0"/>
        <w:jc w:val="both"/>
        <w:rPr>
          <w:sz w:val="20"/>
          <w:szCs w:val="20"/>
        </w:rPr>
      </w:pPr>
      <w:r>
        <w:rPr>
          <w:rStyle w:val="a7"/>
          <w:b/>
          <w:bCs/>
          <w:sz w:val="20"/>
          <w:szCs w:val="20"/>
        </w:rPr>
        <w:t>In the future, we may attempt to acquire a new property, or another company and the acquisition may require a substantial amount of capital or the issuance of our capital stock to complete. Acquisition costs</w:t>
      </w:r>
      <w:r>
        <w:rPr>
          <w:rStyle w:val="a7"/>
          <w:b/>
          <w:bCs/>
          <w:sz w:val="20"/>
          <w:szCs w:val="20"/>
        </w:rPr>
        <w:t xml:space="preserve"> may never be recovered due to changing market conditions, or our own miscalculation concerning the recoverability of our acquisition investment. Such an occurrence could adversely affect our business, future operations and financial condition.</w:t>
      </w:r>
    </w:p>
    <w:p w14:paraId="0FF6E922" w14:textId="77777777" w:rsidR="00000000" w:rsidRDefault="0015578C">
      <w:pPr>
        <w:pStyle w:val="a3"/>
        <w:spacing w:before="0" w:beforeAutospacing="0" w:after="0" w:afterAutospacing="0"/>
        <w:jc w:val="both"/>
        <w:rPr>
          <w:sz w:val="20"/>
          <w:szCs w:val="20"/>
        </w:rPr>
      </w:pPr>
      <w:r>
        <w:rPr>
          <w:sz w:val="20"/>
          <w:szCs w:val="20"/>
        </w:rPr>
        <w:t> </w:t>
      </w:r>
    </w:p>
    <w:p w14:paraId="0E5A84D6" w14:textId="77777777" w:rsidR="00000000" w:rsidRDefault="0015578C">
      <w:pPr>
        <w:pStyle w:val="a3"/>
        <w:spacing w:before="0" w:beforeAutospacing="0" w:after="0" w:afterAutospacing="0"/>
        <w:ind w:firstLine="675"/>
        <w:jc w:val="both"/>
        <w:rPr>
          <w:sz w:val="20"/>
          <w:szCs w:val="20"/>
        </w:rPr>
      </w:pPr>
      <w:r>
        <w:rPr>
          <w:sz w:val="20"/>
          <w:szCs w:val="20"/>
        </w:rPr>
        <w:t>We have e</w:t>
      </w:r>
      <w:r>
        <w:rPr>
          <w:sz w:val="20"/>
          <w:szCs w:val="20"/>
        </w:rPr>
        <w:t xml:space="preserve">valuated a wide variety of acquisition opportunities involving mineral properties and companies for acquisition and we anticipate evaluating potential acquisition opportunities in the future. Some of these opportunities may require a substantial amount of </w:t>
      </w:r>
      <w:r>
        <w:rPr>
          <w:sz w:val="20"/>
          <w:szCs w:val="20"/>
        </w:rPr>
        <w:t>capital or the issuance of our capital stock to successfully acquire. As many of these opportunities do not have reliable feasibility-level studies, we may have to rely on our own estimates for investment analysis. Such estimates, by their very nature, con</w:t>
      </w:r>
      <w:r>
        <w:rPr>
          <w:sz w:val="20"/>
          <w:szCs w:val="20"/>
        </w:rPr>
        <w:t xml:space="preserve">tain substantial uncertainty. In addition, economic assumptions, such as future costs and commodity prices, also contain significant uncertainty. Consequently, if we are successful in acquiring any new opportunities and our estimates prove to be in error, </w:t>
      </w:r>
      <w:r>
        <w:rPr>
          <w:sz w:val="20"/>
          <w:szCs w:val="20"/>
        </w:rPr>
        <w:t>either through miscalculations or changing market conditions, this could have a material adverse effect on our financial position or results of operations.</w:t>
      </w:r>
    </w:p>
    <w:p w14:paraId="41A6C428" w14:textId="77777777" w:rsidR="00000000" w:rsidRDefault="0015578C">
      <w:pPr>
        <w:pStyle w:val="a3"/>
        <w:spacing w:before="0" w:beforeAutospacing="0" w:after="0" w:afterAutospacing="0"/>
        <w:jc w:val="both"/>
        <w:rPr>
          <w:sz w:val="20"/>
          <w:szCs w:val="20"/>
        </w:rPr>
      </w:pPr>
      <w:r>
        <w:rPr>
          <w:sz w:val="20"/>
          <w:szCs w:val="20"/>
        </w:rPr>
        <w:t> </w:t>
      </w:r>
    </w:p>
    <w:p w14:paraId="35C01823" w14:textId="77777777" w:rsidR="00000000" w:rsidRDefault="0015578C">
      <w:pPr>
        <w:pStyle w:val="a3"/>
        <w:spacing w:before="0" w:beforeAutospacing="0" w:after="0" w:afterAutospacing="0"/>
        <w:jc w:val="both"/>
        <w:rPr>
          <w:sz w:val="20"/>
          <w:szCs w:val="20"/>
        </w:rPr>
      </w:pPr>
      <w:r>
        <w:rPr>
          <w:rStyle w:val="a7"/>
          <w:b/>
          <w:bCs/>
          <w:sz w:val="20"/>
          <w:szCs w:val="20"/>
        </w:rPr>
        <w:t>Failure to comply with the FCPA could subject us to penalties and other adverse consequences.</w:t>
      </w:r>
    </w:p>
    <w:p w14:paraId="256AB5E2" w14:textId="77777777" w:rsidR="00000000" w:rsidRDefault="0015578C">
      <w:pPr>
        <w:pStyle w:val="a3"/>
        <w:spacing w:before="0" w:beforeAutospacing="0" w:after="0" w:afterAutospacing="0"/>
        <w:jc w:val="both"/>
        <w:rPr>
          <w:sz w:val="20"/>
          <w:szCs w:val="20"/>
        </w:rPr>
      </w:pPr>
      <w:r>
        <w:rPr>
          <w:sz w:val="20"/>
          <w:szCs w:val="20"/>
        </w:rPr>
        <w:t> </w:t>
      </w:r>
    </w:p>
    <w:p w14:paraId="09D0574D" w14:textId="77777777" w:rsidR="00000000" w:rsidRDefault="0015578C">
      <w:pPr>
        <w:pStyle w:val="a3"/>
        <w:spacing w:before="0" w:beforeAutospacing="0" w:after="0" w:afterAutospacing="0"/>
        <w:ind w:firstLine="675"/>
        <w:jc w:val="both"/>
        <w:rPr>
          <w:sz w:val="20"/>
          <w:szCs w:val="20"/>
        </w:rPr>
      </w:pPr>
      <w:r>
        <w:rPr>
          <w:sz w:val="20"/>
          <w:szCs w:val="20"/>
        </w:rPr>
        <w:t>As</w:t>
      </w:r>
      <w:r>
        <w:rPr>
          <w:sz w:val="20"/>
          <w:szCs w:val="20"/>
        </w:rPr>
        <w:t xml:space="preserve"> a Colorado corporation, we are subject to the FCPA and similar worldwide anti-bribery laws, which generally prohibit United States companies and their intermediaries from engaging in bribery or other improper payments to foreign officials for the purpose </w:t>
      </w:r>
      <w:r>
        <w:rPr>
          <w:sz w:val="20"/>
          <w:szCs w:val="20"/>
        </w:rPr>
        <w:t>of obtaining or retaining business. Foreign companies, including some that may compete with us, are not subject to U.S. laws and regulations, including the FCPA, and therefore our exploration, and potential future development, production and mine closure a</w:t>
      </w:r>
      <w:r>
        <w:rPr>
          <w:sz w:val="20"/>
          <w:szCs w:val="20"/>
        </w:rPr>
        <w:t>ctivities are subject to the disadvantage of competing against companies from countries that are not subject to these prohibitions.</w:t>
      </w:r>
    </w:p>
    <w:p w14:paraId="18B1E14B" w14:textId="77777777" w:rsidR="00000000" w:rsidRDefault="0015578C">
      <w:pPr>
        <w:pStyle w:val="a3"/>
        <w:spacing w:before="0" w:beforeAutospacing="0" w:after="0" w:afterAutospacing="0"/>
        <w:jc w:val="both"/>
        <w:rPr>
          <w:sz w:val="20"/>
          <w:szCs w:val="20"/>
        </w:rPr>
      </w:pPr>
      <w:r>
        <w:rPr>
          <w:sz w:val="20"/>
          <w:szCs w:val="20"/>
        </w:rPr>
        <w:t> </w:t>
      </w:r>
    </w:p>
    <w:p w14:paraId="7B1CB62F" w14:textId="77777777" w:rsidR="00000000" w:rsidRDefault="0015578C">
      <w:pPr>
        <w:pStyle w:val="a3"/>
        <w:spacing w:before="0" w:beforeAutospacing="0" w:after="0" w:afterAutospacing="0"/>
        <w:ind w:firstLine="675"/>
        <w:jc w:val="both"/>
        <w:rPr>
          <w:sz w:val="20"/>
          <w:szCs w:val="20"/>
        </w:rPr>
      </w:pPr>
      <w:r>
        <w:rPr>
          <w:sz w:val="20"/>
          <w:szCs w:val="20"/>
        </w:rPr>
        <w:t>In addition, we could be adversely affected by violations of the FCPA and similar anti-bribery laws in other jurisdictions</w:t>
      </w:r>
      <w:r>
        <w:rPr>
          <w:sz w:val="20"/>
          <w:szCs w:val="20"/>
        </w:rPr>
        <w:t>. Corruption, extortion, bribery, pay-offs, theft and other fraudulent practices may occur from time-to-time in the countries outside of the United States in which we operate. Certain of our mineral properties are located in countries that may have experie</w:t>
      </w:r>
      <w:r>
        <w:rPr>
          <w:sz w:val="20"/>
          <w:szCs w:val="20"/>
        </w:rPr>
        <w:t>nced governmental corruption to some degree and, in certain circumstances, strict compliance with anti-bribery laws may conflict with local customs and practices. Our policies mandate compliance with the FCPA and other anti-bribery laws; however, we cannot</w:t>
      </w:r>
      <w:r>
        <w:rPr>
          <w:sz w:val="20"/>
          <w:szCs w:val="20"/>
        </w:rPr>
        <w:t xml:space="preserve"> assure you that our internal controls and procedures always will protect us from the reckless or criminal acts committed by our employees or agents. We can make no assurance that our employees or other agents will not engage in such conduct for which we m</w:t>
      </w:r>
      <w:r>
        <w:rPr>
          <w:sz w:val="20"/>
          <w:szCs w:val="20"/>
        </w:rPr>
        <w:t>ight be held responsible. If our employees or other agents are found to have engaged in such practices or we are found to be liable for FCPA violations, we could suffer severe criminal or civil penalties or other sanctions and other consequences that may h</w:t>
      </w:r>
      <w:r>
        <w:rPr>
          <w:sz w:val="20"/>
          <w:szCs w:val="20"/>
        </w:rPr>
        <w:t>ave a material adverse effect on our business, financial condition and results of operations.</w:t>
      </w:r>
    </w:p>
    <w:p w14:paraId="17863545" w14:textId="77777777" w:rsidR="00000000" w:rsidRDefault="0015578C">
      <w:pPr>
        <w:pStyle w:val="a3"/>
        <w:spacing w:before="0" w:beforeAutospacing="0" w:after="0" w:afterAutospacing="0"/>
        <w:jc w:val="both"/>
        <w:rPr>
          <w:sz w:val="20"/>
          <w:szCs w:val="20"/>
        </w:rPr>
      </w:pPr>
      <w:r>
        <w:rPr>
          <w:sz w:val="20"/>
          <w:szCs w:val="20"/>
        </w:rPr>
        <w:t> </w:t>
      </w:r>
    </w:p>
    <w:p w14:paraId="12B645DA" w14:textId="77777777" w:rsidR="00000000" w:rsidRDefault="0015578C">
      <w:pPr>
        <w:pStyle w:val="a3"/>
        <w:spacing w:before="0" w:beforeAutospacing="0" w:after="0" w:afterAutospacing="0"/>
        <w:jc w:val="both"/>
        <w:rPr>
          <w:sz w:val="20"/>
          <w:szCs w:val="20"/>
        </w:rPr>
      </w:pPr>
      <w:r>
        <w:rPr>
          <w:rStyle w:val="a4"/>
          <w:sz w:val="20"/>
          <w:szCs w:val="20"/>
        </w:rPr>
        <w:t>Risks Related to Our Common Stock</w:t>
      </w:r>
    </w:p>
    <w:p w14:paraId="75A26EFE" w14:textId="77777777" w:rsidR="00000000" w:rsidRDefault="0015578C">
      <w:pPr>
        <w:pStyle w:val="a3"/>
        <w:spacing w:before="0" w:beforeAutospacing="0" w:after="0" w:afterAutospacing="0"/>
        <w:jc w:val="both"/>
        <w:rPr>
          <w:sz w:val="20"/>
          <w:szCs w:val="20"/>
        </w:rPr>
      </w:pPr>
      <w:r>
        <w:rPr>
          <w:sz w:val="20"/>
          <w:szCs w:val="20"/>
        </w:rPr>
        <w:t> </w:t>
      </w:r>
    </w:p>
    <w:p w14:paraId="73890C51" w14:textId="77777777" w:rsidR="00000000" w:rsidRDefault="0015578C">
      <w:pPr>
        <w:pStyle w:val="a3"/>
        <w:spacing w:before="0" w:beforeAutospacing="0" w:after="0" w:afterAutospacing="0"/>
        <w:jc w:val="both"/>
        <w:rPr>
          <w:sz w:val="20"/>
          <w:szCs w:val="20"/>
        </w:rPr>
      </w:pPr>
      <w:r>
        <w:rPr>
          <w:rStyle w:val="a7"/>
          <w:b/>
          <w:bCs/>
          <w:sz w:val="20"/>
          <w:szCs w:val="20"/>
        </w:rPr>
        <w:t xml:space="preserve">The market for shares of our common stock has limited liquidity and the market price of our common stock has fluctuated and </w:t>
      </w:r>
      <w:r>
        <w:rPr>
          <w:rStyle w:val="a7"/>
          <w:b/>
          <w:bCs/>
          <w:sz w:val="20"/>
          <w:szCs w:val="20"/>
        </w:rPr>
        <w:t>may decline.</w:t>
      </w:r>
    </w:p>
    <w:p w14:paraId="6BAA7DFA" w14:textId="77777777" w:rsidR="00000000" w:rsidRDefault="0015578C">
      <w:pPr>
        <w:pStyle w:val="a3"/>
        <w:spacing w:before="0" w:beforeAutospacing="0" w:after="0" w:afterAutospacing="0"/>
        <w:jc w:val="both"/>
        <w:rPr>
          <w:sz w:val="20"/>
          <w:szCs w:val="20"/>
        </w:rPr>
      </w:pPr>
      <w:r>
        <w:rPr>
          <w:sz w:val="20"/>
          <w:szCs w:val="20"/>
        </w:rPr>
        <w:t> </w:t>
      </w:r>
    </w:p>
    <w:p w14:paraId="06AFD816" w14:textId="77777777" w:rsidR="00000000" w:rsidRDefault="0015578C">
      <w:pPr>
        <w:pStyle w:val="a3"/>
        <w:spacing w:before="0" w:beforeAutospacing="0" w:after="0" w:afterAutospacing="0"/>
        <w:ind w:firstLine="675"/>
        <w:jc w:val="both"/>
        <w:rPr>
          <w:sz w:val="20"/>
          <w:szCs w:val="20"/>
        </w:rPr>
      </w:pPr>
      <w:r>
        <w:rPr>
          <w:sz w:val="20"/>
          <w:szCs w:val="20"/>
        </w:rPr>
        <w:t>An investment in our common stock involves a high degree of risk. The liquidity of our shares, or the ability of a shareholder to buy or sell our common stock, may be significantly limited for various unforeseeable periods. The average combi</w:t>
      </w:r>
      <w:r>
        <w:rPr>
          <w:sz w:val="20"/>
          <w:szCs w:val="20"/>
        </w:rPr>
        <w:t>ned daily volume of our shares traded on the NYSE American and the TSX during 2022 was approximately 148,000 shares. The market price of our shares of common stock has historically fluctuated within a wide range. The price of our common stock may be affect</w:t>
      </w:r>
      <w:r>
        <w:rPr>
          <w:sz w:val="20"/>
          <w:szCs w:val="20"/>
        </w:rPr>
        <w:t>ed by many factors, including an adverse change in our business, a decline in the price of zinc or other commodity prices, negative news on our projects, negative investment sentiment for mining and commodity equities and general economic trends.</w:t>
      </w:r>
    </w:p>
    <w:p w14:paraId="230165A3" w14:textId="77777777" w:rsidR="00000000" w:rsidRDefault="0015578C">
      <w:pPr>
        <w:pStyle w:val="a3"/>
        <w:spacing w:before="0" w:beforeAutospacing="0" w:after="0" w:afterAutospacing="0"/>
        <w:jc w:val="both"/>
        <w:rPr>
          <w:sz w:val="20"/>
          <w:szCs w:val="20"/>
        </w:rPr>
      </w:pPr>
      <w:r>
        <w:rPr>
          <w:sz w:val="20"/>
          <w:szCs w:val="20"/>
        </w:rPr>
        <w:t> </w:t>
      </w:r>
    </w:p>
    <w:p w14:paraId="07A4E70D" w14:textId="77777777" w:rsidR="00000000" w:rsidRDefault="0015578C">
      <w:pPr>
        <w:pStyle w:val="a3"/>
        <w:spacing w:before="0" w:beforeAutospacing="0" w:after="0" w:afterAutospacing="0"/>
        <w:jc w:val="both"/>
        <w:rPr>
          <w:sz w:val="20"/>
          <w:szCs w:val="20"/>
        </w:rPr>
      </w:pPr>
      <w:r>
        <w:rPr>
          <w:rStyle w:val="a7"/>
          <w:b/>
          <w:bCs/>
          <w:sz w:val="20"/>
          <w:szCs w:val="20"/>
        </w:rPr>
        <w:t>We have</w:t>
      </w:r>
      <w:r>
        <w:rPr>
          <w:rStyle w:val="a7"/>
          <w:b/>
          <w:bCs/>
          <w:sz w:val="20"/>
          <w:szCs w:val="20"/>
        </w:rPr>
        <w:t xml:space="preserve"> a history of losses and if we do not operate profitably in the future it could have a material adverse effect on our financial position or results of operations and the trading price of our common stock would likely decline.</w:t>
      </w:r>
    </w:p>
    <w:p w14:paraId="5C40801D" w14:textId="77777777" w:rsidR="00000000" w:rsidRDefault="0015578C">
      <w:pPr>
        <w:pStyle w:val="a3"/>
        <w:spacing w:before="0" w:beforeAutospacing="0" w:after="0" w:afterAutospacing="0"/>
        <w:jc w:val="both"/>
        <w:rPr>
          <w:sz w:val="20"/>
          <w:szCs w:val="20"/>
        </w:rPr>
      </w:pPr>
      <w:r>
        <w:rPr>
          <w:sz w:val="20"/>
          <w:szCs w:val="20"/>
        </w:rPr>
        <w:t> </w:t>
      </w:r>
    </w:p>
    <w:p w14:paraId="317FC0B0" w14:textId="77777777" w:rsidR="00000000" w:rsidRDefault="0015578C">
      <w:pPr>
        <w:pStyle w:val="a3"/>
        <w:spacing w:before="0" w:beforeAutospacing="0" w:after="0" w:afterAutospacing="0"/>
        <w:ind w:firstLine="675"/>
        <w:jc w:val="both"/>
        <w:rPr>
          <w:sz w:val="20"/>
          <w:szCs w:val="20"/>
        </w:rPr>
      </w:pPr>
      <w:r>
        <w:rPr>
          <w:sz w:val="20"/>
          <w:szCs w:val="20"/>
        </w:rPr>
        <w:t>We have reported losses in 26 of our 29 years of operations. We can provide no assurance that we will be able to operate profitably in the future or begin to generate significant and consistent sources of revenues or cash flows from operations. We have had</w:t>
      </w:r>
      <w:r>
        <w:rPr>
          <w:sz w:val="20"/>
          <w:szCs w:val="20"/>
        </w:rPr>
        <w:t xml:space="preserve"> net income in only three years in our history; (i) during 2015, as a result of the sale of our former Mt. Hamilton project; (ii) during 2003, as a result of a $5,438,000 gain on a derivative instrument related to our investment in certain Crown warrants a</w:t>
      </w:r>
      <w:r>
        <w:rPr>
          <w:sz w:val="20"/>
          <w:szCs w:val="20"/>
        </w:rPr>
        <w:t>nd (iii) during 2000, when we sold our former Yanacocha property. We cannot predict when, if ever, we will be profitable again or able to begin generating consistent revenues or cash flows from our operations or assets. If we do not operate profitably or i</w:t>
      </w:r>
      <w:r>
        <w:rPr>
          <w:sz w:val="20"/>
          <w:szCs w:val="20"/>
        </w:rPr>
        <w:t>dentify and execute on outside sources of funding, we may be unable to fund our current or contemplated exploration activities, acquire new assets, or otherwise further our business plan.</w:t>
      </w:r>
    </w:p>
    <w:p w14:paraId="0D0FE5D9"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C168E35" w14:textId="77777777">
        <w:trPr>
          <w:trHeight w:val="225"/>
          <w:tblCellSpacing w:w="15" w:type="dxa"/>
        </w:trPr>
        <w:tc>
          <w:tcPr>
            <w:tcW w:w="0" w:type="auto"/>
            <w:vAlign w:val="center"/>
            <w:hideMark/>
          </w:tcPr>
          <w:p w14:paraId="35F17B5E" w14:textId="77777777" w:rsidR="00000000" w:rsidRDefault="0015578C">
            <w:pPr>
              <w:rPr>
                <w:rFonts w:eastAsia="Times New Roman"/>
                <w:sz w:val="20"/>
                <w:szCs w:val="20"/>
              </w:rPr>
            </w:pPr>
            <w:r>
              <w:rPr>
                <w:rFonts w:eastAsia="Times New Roman"/>
                <w:sz w:val="20"/>
                <w:szCs w:val="20"/>
              </w:rPr>
              <w:t> </w:t>
            </w:r>
          </w:p>
        </w:tc>
      </w:tr>
      <w:tr w:rsidR="00000000" w14:paraId="191E8303" w14:textId="77777777">
        <w:trPr>
          <w:trHeight w:val="225"/>
          <w:tblCellSpacing w:w="15" w:type="dxa"/>
        </w:trPr>
        <w:tc>
          <w:tcPr>
            <w:tcW w:w="0" w:type="auto"/>
            <w:tcBorders>
              <w:bottom w:val="single" w:sz="6" w:space="0" w:color="000000"/>
            </w:tcBorders>
            <w:vAlign w:val="center"/>
            <w:hideMark/>
          </w:tcPr>
          <w:p w14:paraId="585A3E8D" w14:textId="77777777" w:rsidR="00000000" w:rsidRDefault="0015578C">
            <w:pPr>
              <w:jc w:val="center"/>
              <w:rPr>
                <w:rFonts w:eastAsia="Times New Roman"/>
                <w:sz w:val="20"/>
                <w:szCs w:val="20"/>
              </w:rPr>
            </w:pPr>
            <w:r>
              <w:rPr>
                <w:rFonts w:eastAsia="Times New Roman"/>
                <w:sz w:val="20"/>
                <w:szCs w:val="20"/>
              </w:rPr>
              <w:t>12</w:t>
            </w:r>
          </w:p>
        </w:tc>
      </w:tr>
      <w:tr w:rsidR="00000000" w14:paraId="62277398" w14:textId="77777777">
        <w:trPr>
          <w:trHeight w:val="225"/>
          <w:tblCellSpacing w:w="15" w:type="dxa"/>
        </w:trPr>
        <w:tc>
          <w:tcPr>
            <w:tcW w:w="0" w:type="auto"/>
            <w:vAlign w:val="center"/>
            <w:hideMark/>
          </w:tcPr>
          <w:p w14:paraId="4294D11F" w14:textId="77777777" w:rsidR="00000000" w:rsidRDefault="0015578C">
            <w:pPr>
              <w:rPr>
                <w:rFonts w:eastAsia="Times New Roman"/>
                <w:sz w:val="20"/>
                <w:szCs w:val="20"/>
              </w:rPr>
            </w:pPr>
          </w:p>
        </w:tc>
      </w:tr>
      <w:tr w:rsidR="00000000" w14:paraId="3E7EFC5B" w14:textId="77777777">
        <w:trPr>
          <w:trHeight w:val="225"/>
          <w:tblCellSpacing w:w="15" w:type="dxa"/>
        </w:trPr>
        <w:tc>
          <w:tcPr>
            <w:tcW w:w="0" w:type="auto"/>
            <w:vAlign w:val="center"/>
            <w:hideMark/>
          </w:tcPr>
          <w:p w14:paraId="1E8A663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8A3FC63" w14:textId="77777777" w:rsidR="00000000" w:rsidRDefault="0015578C">
      <w:pPr>
        <w:pStyle w:val="a3"/>
        <w:spacing w:before="0" w:beforeAutospacing="0" w:after="0" w:afterAutospacing="0"/>
        <w:jc w:val="both"/>
        <w:rPr>
          <w:sz w:val="20"/>
          <w:szCs w:val="20"/>
        </w:rPr>
      </w:pPr>
      <w:r>
        <w:rPr>
          <w:sz w:val="20"/>
          <w:szCs w:val="20"/>
        </w:rPr>
        <w:t> </w:t>
      </w:r>
    </w:p>
    <w:p w14:paraId="361626D3" w14:textId="77777777" w:rsidR="00000000" w:rsidRDefault="0015578C">
      <w:pPr>
        <w:pStyle w:val="a3"/>
        <w:spacing w:before="0" w:beforeAutospacing="0" w:after="0" w:afterAutospacing="0"/>
        <w:jc w:val="both"/>
        <w:rPr>
          <w:sz w:val="20"/>
          <w:szCs w:val="20"/>
        </w:rPr>
      </w:pPr>
      <w:r>
        <w:rPr>
          <w:rStyle w:val="a7"/>
          <w:b/>
          <w:bCs/>
          <w:sz w:val="20"/>
          <w:szCs w:val="20"/>
        </w:rPr>
        <w:t>We have n</w:t>
      </w:r>
      <w:r>
        <w:rPr>
          <w:rStyle w:val="a7"/>
          <w:b/>
          <w:bCs/>
          <w:sz w:val="20"/>
          <w:szCs w:val="20"/>
        </w:rPr>
        <w:t>ever paid, and do not intend to pay cash dividends and, consequently, the ability to achieve a return on any investment in our common stock will depend on appreciation in the price of our common stock.</w:t>
      </w:r>
    </w:p>
    <w:p w14:paraId="0ADC43B9" w14:textId="77777777" w:rsidR="00000000" w:rsidRDefault="0015578C">
      <w:pPr>
        <w:pStyle w:val="a3"/>
        <w:spacing w:before="0" w:beforeAutospacing="0" w:after="0" w:afterAutospacing="0"/>
        <w:jc w:val="both"/>
        <w:rPr>
          <w:sz w:val="20"/>
          <w:szCs w:val="20"/>
        </w:rPr>
      </w:pPr>
      <w:r>
        <w:rPr>
          <w:sz w:val="20"/>
          <w:szCs w:val="20"/>
        </w:rPr>
        <w:t> </w:t>
      </w:r>
    </w:p>
    <w:p w14:paraId="3F1EC63B" w14:textId="77777777" w:rsidR="00000000" w:rsidRDefault="0015578C">
      <w:pPr>
        <w:pStyle w:val="a3"/>
        <w:spacing w:before="0" w:beforeAutospacing="0" w:after="0" w:afterAutospacing="0"/>
        <w:ind w:firstLine="675"/>
        <w:jc w:val="both"/>
        <w:rPr>
          <w:sz w:val="20"/>
          <w:szCs w:val="20"/>
        </w:rPr>
      </w:pPr>
      <w:r>
        <w:rPr>
          <w:sz w:val="20"/>
          <w:szCs w:val="20"/>
        </w:rPr>
        <w:t>We have never paid cash dividends on any of our capi</w:t>
      </w:r>
      <w:r>
        <w:rPr>
          <w:sz w:val="20"/>
          <w:szCs w:val="20"/>
        </w:rPr>
        <w:t>tal stock, and we currently intend to retain future earnings, if any, to fund the development and growth of our business. Therefore, a holder of our stock is not likely to receive any dividends on our common stock for the foreseeable future. Since we do no</w:t>
      </w:r>
      <w:r>
        <w:rPr>
          <w:sz w:val="20"/>
          <w:szCs w:val="20"/>
        </w:rPr>
        <w:t>t intend to pay dividends, the ability to receive a return on an investment in our common stock will depend on any future appreciation in the market value of our common stock. There is no guarantee that our common stock will appreciate or even maintain the</w:t>
      </w:r>
      <w:r>
        <w:rPr>
          <w:sz w:val="20"/>
          <w:szCs w:val="20"/>
        </w:rPr>
        <w:t xml:space="preserve"> price at which it was purchased.</w:t>
      </w:r>
    </w:p>
    <w:p w14:paraId="1AA79DDA" w14:textId="77777777" w:rsidR="00000000" w:rsidRDefault="0015578C">
      <w:pPr>
        <w:pStyle w:val="a3"/>
        <w:spacing w:before="0" w:beforeAutospacing="0" w:after="0" w:afterAutospacing="0"/>
        <w:jc w:val="both"/>
        <w:rPr>
          <w:sz w:val="20"/>
          <w:szCs w:val="20"/>
        </w:rPr>
      </w:pPr>
      <w:r>
        <w:rPr>
          <w:sz w:val="20"/>
          <w:szCs w:val="20"/>
        </w:rPr>
        <w:t> </w:t>
      </w:r>
    </w:p>
    <w:p w14:paraId="2B5F748F" w14:textId="77777777" w:rsidR="00000000" w:rsidRDefault="0015578C">
      <w:pPr>
        <w:pStyle w:val="a3"/>
        <w:spacing w:before="0" w:beforeAutospacing="0" w:after="0" w:afterAutospacing="0"/>
        <w:jc w:val="both"/>
        <w:rPr>
          <w:sz w:val="20"/>
          <w:szCs w:val="20"/>
        </w:rPr>
      </w:pPr>
      <w:r>
        <w:rPr>
          <w:rStyle w:val="a7"/>
          <w:b/>
          <w:bCs/>
          <w:sz w:val="20"/>
          <w:szCs w:val="20"/>
        </w:rPr>
        <w:t>Issuances of our stock in the future could dilute existing shareholders and adversely affect the market price of our common stock.</w:t>
      </w:r>
    </w:p>
    <w:p w14:paraId="08076CEA" w14:textId="77777777" w:rsidR="00000000" w:rsidRDefault="0015578C">
      <w:pPr>
        <w:pStyle w:val="a3"/>
        <w:spacing w:before="0" w:beforeAutospacing="0" w:after="0" w:afterAutospacing="0"/>
        <w:jc w:val="both"/>
        <w:rPr>
          <w:sz w:val="20"/>
          <w:szCs w:val="20"/>
        </w:rPr>
      </w:pPr>
      <w:r>
        <w:rPr>
          <w:sz w:val="20"/>
          <w:szCs w:val="20"/>
        </w:rPr>
        <w:t> </w:t>
      </w:r>
    </w:p>
    <w:p w14:paraId="1FEA141E" w14:textId="77777777" w:rsidR="00000000" w:rsidRDefault="0015578C">
      <w:pPr>
        <w:pStyle w:val="a3"/>
        <w:spacing w:before="0" w:beforeAutospacing="0" w:after="0" w:afterAutospacing="0"/>
        <w:ind w:firstLine="675"/>
        <w:jc w:val="both"/>
        <w:rPr>
          <w:sz w:val="20"/>
          <w:szCs w:val="20"/>
        </w:rPr>
      </w:pPr>
      <w:r>
        <w:rPr>
          <w:sz w:val="20"/>
          <w:szCs w:val="20"/>
        </w:rPr>
        <w:t xml:space="preserve">We have the authority to issue up to 100,000,000 shares of common stock and 10,000,000 shares of preferred stock, and to issue options and warrants to purchase shares of our common stock without shareholder approval. In addition, during 2021 we put an ATM </w:t>
      </w:r>
      <w:r>
        <w:rPr>
          <w:sz w:val="20"/>
          <w:szCs w:val="20"/>
        </w:rPr>
        <w:t>(“At the Market”) program in place and expect to sell shares of our common stock under that program from time to time. Future issuances of our securities could be at prices substantially below the price paid for our common stock by our current shareholders</w:t>
      </w:r>
      <w:r>
        <w:rPr>
          <w:sz w:val="20"/>
          <w:szCs w:val="20"/>
        </w:rPr>
        <w:t>. In addition, we can issue blocks of our common stock in amounts up to 20% of the then-outstanding shares without further shareholder approval. Sales of a substantial number of shares by the Company in the public market (or otherwise), or the perception t</w:t>
      </w:r>
      <w:r>
        <w:rPr>
          <w:sz w:val="20"/>
          <w:szCs w:val="20"/>
        </w:rPr>
        <w:t>hat those sales may occur, could cause the market price of our common stock to decline.</w:t>
      </w:r>
    </w:p>
    <w:p w14:paraId="721284D5" w14:textId="77777777" w:rsidR="00000000" w:rsidRDefault="0015578C">
      <w:pPr>
        <w:pStyle w:val="a3"/>
        <w:spacing w:before="0" w:beforeAutospacing="0" w:after="0" w:afterAutospacing="0"/>
        <w:jc w:val="both"/>
        <w:rPr>
          <w:sz w:val="20"/>
          <w:szCs w:val="20"/>
        </w:rPr>
      </w:pPr>
      <w:r>
        <w:rPr>
          <w:sz w:val="20"/>
          <w:szCs w:val="20"/>
        </w:rPr>
        <w:t> </w:t>
      </w:r>
    </w:p>
    <w:p w14:paraId="4B7ED996" w14:textId="77777777" w:rsidR="00000000" w:rsidRDefault="0015578C">
      <w:pPr>
        <w:pStyle w:val="a3"/>
        <w:spacing w:before="0" w:beforeAutospacing="0" w:after="0" w:afterAutospacing="0"/>
        <w:jc w:val="both"/>
        <w:rPr>
          <w:sz w:val="20"/>
          <w:szCs w:val="20"/>
        </w:rPr>
      </w:pPr>
      <w:r>
        <w:rPr>
          <w:rStyle w:val="a4"/>
          <w:sz w:val="20"/>
          <w:szCs w:val="20"/>
        </w:rPr>
        <w:t>General Risk Factors</w:t>
      </w:r>
    </w:p>
    <w:p w14:paraId="5C6E3338" w14:textId="77777777" w:rsidR="00000000" w:rsidRDefault="0015578C">
      <w:pPr>
        <w:pStyle w:val="a3"/>
        <w:spacing w:before="0" w:beforeAutospacing="0" w:after="0" w:afterAutospacing="0"/>
        <w:jc w:val="both"/>
        <w:rPr>
          <w:sz w:val="20"/>
          <w:szCs w:val="20"/>
        </w:rPr>
      </w:pPr>
      <w:r>
        <w:rPr>
          <w:sz w:val="20"/>
          <w:szCs w:val="20"/>
        </w:rPr>
        <w:t> </w:t>
      </w:r>
    </w:p>
    <w:p w14:paraId="0AAFE27C" w14:textId="77777777" w:rsidR="00000000" w:rsidRDefault="0015578C">
      <w:pPr>
        <w:pStyle w:val="a3"/>
        <w:spacing w:before="0" w:beforeAutospacing="0" w:after="0" w:afterAutospacing="0"/>
        <w:jc w:val="both"/>
        <w:rPr>
          <w:sz w:val="20"/>
          <w:szCs w:val="20"/>
        </w:rPr>
      </w:pPr>
      <w:r>
        <w:rPr>
          <w:rStyle w:val="a7"/>
          <w:b/>
          <w:bCs/>
          <w:sz w:val="20"/>
          <w:szCs w:val="20"/>
        </w:rPr>
        <w:t>The outbreak of pandemics, including the coronavirus (COVID-19) may affect our assets, operations and development plans at our projects.</w:t>
      </w:r>
    </w:p>
    <w:p w14:paraId="18905B2F" w14:textId="77777777" w:rsidR="00000000" w:rsidRDefault="0015578C">
      <w:pPr>
        <w:pStyle w:val="a3"/>
        <w:spacing w:before="0" w:beforeAutospacing="0" w:after="0" w:afterAutospacing="0"/>
        <w:jc w:val="both"/>
        <w:rPr>
          <w:sz w:val="20"/>
          <w:szCs w:val="20"/>
        </w:rPr>
      </w:pPr>
      <w:r>
        <w:rPr>
          <w:sz w:val="20"/>
          <w:szCs w:val="20"/>
        </w:rPr>
        <w:t> </w:t>
      </w:r>
    </w:p>
    <w:p w14:paraId="7506CD06" w14:textId="77777777" w:rsidR="00000000" w:rsidRDefault="0015578C">
      <w:pPr>
        <w:pStyle w:val="a3"/>
        <w:spacing w:before="0" w:beforeAutospacing="0" w:after="0" w:afterAutospacing="0"/>
        <w:ind w:firstLine="675"/>
        <w:jc w:val="both"/>
        <w:rPr>
          <w:sz w:val="20"/>
          <w:szCs w:val="20"/>
        </w:rPr>
      </w:pPr>
      <w:r>
        <w:rPr>
          <w:sz w:val="20"/>
          <w:szCs w:val="20"/>
        </w:rPr>
        <w:t>We f</w:t>
      </w:r>
      <w:r>
        <w:rPr>
          <w:sz w:val="20"/>
          <w:szCs w:val="20"/>
        </w:rPr>
        <w:t>ace risks related to health epidemics and other outbreaks of communicable diseases, which could significantly disrupt our operations and may materially and adversely affect our business and financial conditions.</w:t>
      </w:r>
    </w:p>
    <w:p w14:paraId="20F44CCD" w14:textId="77777777" w:rsidR="00000000" w:rsidRDefault="0015578C">
      <w:pPr>
        <w:pStyle w:val="a3"/>
        <w:spacing w:before="0" w:beforeAutospacing="0" w:after="0" w:afterAutospacing="0"/>
        <w:jc w:val="both"/>
        <w:rPr>
          <w:sz w:val="20"/>
          <w:szCs w:val="20"/>
        </w:rPr>
      </w:pPr>
      <w:r>
        <w:rPr>
          <w:sz w:val="20"/>
          <w:szCs w:val="20"/>
        </w:rPr>
        <w:t> </w:t>
      </w:r>
    </w:p>
    <w:p w14:paraId="5733246C" w14:textId="77777777" w:rsidR="00000000" w:rsidRDefault="0015578C">
      <w:pPr>
        <w:pStyle w:val="a3"/>
        <w:spacing w:before="0" w:beforeAutospacing="0" w:after="0" w:afterAutospacing="0"/>
        <w:ind w:firstLine="675"/>
        <w:jc w:val="both"/>
        <w:rPr>
          <w:sz w:val="20"/>
          <w:szCs w:val="20"/>
        </w:rPr>
      </w:pPr>
      <w:r>
        <w:rPr>
          <w:sz w:val="20"/>
          <w:szCs w:val="20"/>
        </w:rPr>
        <w:t>Our business still could be adversely impa</w:t>
      </w:r>
      <w:r>
        <w:rPr>
          <w:sz w:val="20"/>
          <w:szCs w:val="20"/>
        </w:rPr>
        <w:t>cted by the effects of the COVID-19 or other epidemics or pandemics. How these epidemics or pandemics may ultimately impact our business, including our future exploration and other activities and the market for our securities, will depend on future develop</w:t>
      </w:r>
      <w:r>
        <w:rPr>
          <w:sz w:val="20"/>
          <w:szCs w:val="20"/>
        </w:rPr>
        <w:t>ments, which are highly uncertain and cannot be predicted at this time, and include the duration, severity, and any recurrence of various strains of the outbreak and the actions taken to contain or treat the coronavirus outbreak. In particular travel and o</w:t>
      </w:r>
      <w:r>
        <w:rPr>
          <w:sz w:val="20"/>
          <w:szCs w:val="20"/>
        </w:rPr>
        <w:t>ther restrictions established to curb the spread of COVID-19, or other pandemic diseases could materially and adversely impact our business including without limitation, planned exploration programs at our Florida Canyon, Lik and Golden Crest projects duri</w:t>
      </w:r>
      <w:r>
        <w:rPr>
          <w:sz w:val="20"/>
          <w:szCs w:val="20"/>
        </w:rPr>
        <w:t>ng 2023 and beyond, employee health, workforce productivity, increased insurance premiums, limitations on travel, labor shortages and the availability of industry experts and personnel, the timing to process drilling and other metallurgical testing, supply</w:t>
      </w:r>
      <w:r>
        <w:rPr>
          <w:sz w:val="20"/>
          <w:szCs w:val="20"/>
        </w:rPr>
        <w:t xml:space="preserve"> chain constraints that impede exploration operations, and other factors that will depend on future developments beyond our control, which may have a material and adverse effect on our business, financial condition and results of operations. There can be n</w:t>
      </w:r>
      <w:r>
        <w:rPr>
          <w:sz w:val="20"/>
          <w:szCs w:val="20"/>
        </w:rPr>
        <w:t>o assurance that we will not be impacted by COVID-19 or other pandemic diseases and that we could ultimately see our workforce productivity reduced or incur increased medical costs or insurance premiums as a result of these health risks. The outbreak of ad</w:t>
      </w:r>
      <w:r>
        <w:rPr>
          <w:sz w:val="20"/>
          <w:szCs w:val="20"/>
        </w:rPr>
        <w:t>ditional strains of COVID-19 or other pandemic diseases could create a widespread global health crisis that contributes to volatility in the economy and financial markets that could have an adverse effect on the future demand for precious and base metals a</w:t>
      </w:r>
      <w:r>
        <w:rPr>
          <w:sz w:val="20"/>
          <w:szCs w:val="20"/>
        </w:rPr>
        <w:t>nd, in turn, our prospects.</w:t>
      </w:r>
    </w:p>
    <w:p w14:paraId="600915CE" w14:textId="77777777" w:rsidR="00000000" w:rsidRDefault="0015578C">
      <w:pPr>
        <w:pStyle w:val="a3"/>
        <w:spacing w:before="0" w:beforeAutospacing="0" w:after="0" w:afterAutospacing="0"/>
        <w:jc w:val="both"/>
        <w:rPr>
          <w:sz w:val="20"/>
          <w:szCs w:val="20"/>
        </w:rPr>
      </w:pPr>
      <w:r>
        <w:rPr>
          <w:sz w:val="20"/>
          <w:szCs w:val="20"/>
        </w:rPr>
        <w:t> </w:t>
      </w:r>
    </w:p>
    <w:p w14:paraId="5796601E" w14:textId="77777777" w:rsidR="00000000" w:rsidRDefault="0015578C">
      <w:pPr>
        <w:pStyle w:val="a3"/>
        <w:spacing w:before="0" w:beforeAutospacing="0" w:after="0" w:afterAutospacing="0"/>
        <w:jc w:val="both"/>
        <w:rPr>
          <w:sz w:val="20"/>
          <w:szCs w:val="20"/>
        </w:rPr>
      </w:pPr>
      <w:r>
        <w:rPr>
          <w:rStyle w:val="a7"/>
          <w:b/>
          <w:bCs/>
          <w:sz w:val="20"/>
          <w:szCs w:val="20"/>
        </w:rPr>
        <w:t>A significant portion of our liquid assets consist of U.S. Treasuries and cash held in brokerage accounts. The failure of the financial institutions that issued or hold these financial instruments or our cash could have a mate</w:t>
      </w:r>
      <w:r>
        <w:rPr>
          <w:rStyle w:val="a7"/>
          <w:b/>
          <w:bCs/>
          <w:sz w:val="20"/>
          <w:szCs w:val="20"/>
        </w:rPr>
        <w:t>rial adverse impact on the market price of our common stock and our liquidity and capital resources.</w:t>
      </w:r>
    </w:p>
    <w:p w14:paraId="3EF24866" w14:textId="77777777" w:rsidR="00000000" w:rsidRDefault="0015578C">
      <w:pPr>
        <w:pStyle w:val="a3"/>
        <w:spacing w:before="0" w:beforeAutospacing="0" w:after="0" w:afterAutospacing="0"/>
        <w:jc w:val="both"/>
        <w:rPr>
          <w:sz w:val="20"/>
          <w:szCs w:val="20"/>
        </w:rPr>
      </w:pPr>
      <w:r>
        <w:rPr>
          <w:sz w:val="20"/>
          <w:szCs w:val="20"/>
        </w:rPr>
        <w:t> </w:t>
      </w:r>
    </w:p>
    <w:p w14:paraId="6FD0414D" w14:textId="77777777" w:rsidR="00000000" w:rsidRDefault="0015578C">
      <w:pPr>
        <w:pStyle w:val="a3"/>
        <w:spacing w:before="0" w:beforeAutospacing="0" w:after="0" w:afterAutospacing="0"/>
        <w:ind w:firstLine="675"/>
        <w:jc w:val="both"/>
        <w:rPr>
          <w:sz w:val="20"/>
          <w:szCs w:val="20"/>
        </w:rPr>
      </w:pPr>
      <w:r>
        <w:rPr>
          <w:sz w:val="20"/>
          <w:szCs w:val="20"/>
        </w:rPr>
        <w:t>At December 31, 2022, we have invested $3,951,000 in United States Treasury securities (“USTS”) held in a brokerage account, with maturities of between 1</w:t>
      </w:r>
      <w:r>
        <w:rPr>
          <w:sz w:val="20"/>
          <w:szCs w:val="20"/>
        </w:rPr>
        <w:t>5 days and 12 months and we have approximately $293,000 of our cash in uninsured deposit accounts and brokerage accounts which are not covered by Federal Deposit Insurance Company insurance. The failure of a financial institution holding these funds and as</w:t>
      </w:r>
      <w:r>
        <w:rPr>
          <w:sz w:val="20"/>
          <w:szCs w:val="20"/>
        </w:rPr>
        <w:t>sets could have a material impact on the market price of our common stock and our liquidity and capital resources.</w:t>
      </w:r>
    </w:p>
    <w:p w14:paraId="2366156B" w14:textId="77777777" w:rsidR="00000000" w:rsidRDefault="0015578C">
      <w:pPr>
        <w:pStyle w:val="a3"/>
        <w:spacing w:before="0" w:beforeAutospacing="0" w:after="0" w:afterAutospacing="0"/>
        <w:jc w:val="both"/>
        <w:rPr>
          <w:sz w:val="20"/>
          <w:szCs w:val="20"/>
        </w:rPr>
      </w:pPr>
      <w:r>
        <w:rPr>
          <w:sz w:val="20"/>
          <w:szCs w:val="20"/>
        </w:rPr>
        <w:t> </w:t>
      </w:r>
    </w:p>
    <w:p w14:paraId="1E5079D2" w14:textId="77777777" w:rsidR="00000000" w:rsidRDefault="0015578C">
      <w:pPr>
        <w:pStyle w:val="a3"/>
        <w:spacing w:before="0" w:beforeAutospacing="0" w:after="0" w:afterAutospacing="0"/>
        <w:jc w:val="both"/>
        <w:rPr>
          <w:sz w:val="20"/>
          <w:szCs w:val="20"/>
        </w:rPr>
      </w:pPr>
      <w:r>
        <w:rPr>
          <w:rStyle w:val="a7"/>
          <w:b/>
          <w:bCs/>
          <w:sz w:val="20"/>
          <w:szCs w:val="20"/>
        </w:rPr>
        <w:t>Increased costs could impede our ability to explore sell or develop our current projects.</w:t>
      </w:r>
    </w:p>
    <w:p w14:paraId="105E3FDD" w14:textId="77777777" w:rsidR="00000000" w:rsidRDefault="0015578C">
      <w:pPr>
        <w:pStyle w:val="a3"/>
        <w:spacing w:before="0" w:beforeAutospacing="0" w:after="0" w:afterAutospacing="0"/>
        <w:jc w:val="both"/>
        <w:rPr>
          <w:sz w:val="20"/>
          <w:szCs w:val="20"/>
        </w:rPr>
      </w:pPr>
      <w:r>
        <w:rPr>
          <w:sz w:val="20"/>
          <w:szCs w:val="20"/>
        </w:rPr>
        <w:t> </w:t>
      </w:r>
    </w:p>
    <w:p w14:paraId="0AC4BB35" w14:textId="77777777" w:rsidR="00000000" w:rsidRDefault="0015578C">
      <w:pPr>
        <w:pStyle w:val="a3"/>
        <w:spacing w:before="0" w:beforeAutospacing="0" w:after="0" w:afterAutospacing="0"/>
        <w:ind w:firstLine="675"/>
        <w:jc w:val="both"/>
        <w:rPr>
          <w:sz w:val="20"/>
          <w:szCs w:val="20"/>
        </w:rPr>
      </w:pPr>
      <w:r>
        <w:rPr>
          <w:sz w:val="20"/>
          <w:szCs w:val="20"/>
        </w:rPr>
        <w:t>Capital and operating costs at mining operation</w:t>
      </w:r>
      <w:r>
        <w:rPr>
          <w:sz w:val="20"/>
          <w:szCs w:val="20"/>
        </w:rPr>
        <w:t>s are subject to variation due to a number of factors, such as changing ore grade, changing metallurgy, and revisions to mine plans in response to changing commodity prices, additional drilling results and updated geologic interpretations. In addition, cos</w:t>
      </w:r>
      <w:r>
        <w:rPr>
          <w:sz w:val="20"/>
          <w:szCs w:val="20"/>
        </w:rPr>
        <w:t>ts are affected by the cost of capital, tax and royalty regimes, trade tariffs, the global cost of mining and processing equipment, commodity prices, and foreign exchange rates, as well as the costs of fuel, electricity, operating supplies, and appropriate</w:t>
      </w:r>
      <w:r>
        <w:rPr>
          <w:sz w:val="20"/>
          <w:szCs w:val="20"/>
        </w:rPr>
        <w:t xml:space="preserve">ly skilled labor. These costs are at times subject to volatile price movements, including increases that could negatively affect our ongoing exploration efforts and negatively impact our potential for future development or sale of our exploration projects </w:t>
      </w:r>
      <w:r>
        <w:rPr>
          <w:sz w:val="20"/>
          <w:szCs w:val="20"/>
        </w:rPr>
        <w:t>as well as our estimates of mineral resources. This could have a material adverse effect on our business prospects, results of operations, cash flows and financial condition.</w:t>
      </w:r>
    </w:p>
    <w:p w14:paraId="384EA36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5990CD8" w14:textId="77777777">
        <w:trPr>
          <w:trHeight w:val="225"/>
          <w:tblCellSpacing w:w="15" w:type="dxa"/>
        </w:trPr>
        <w:tc>
          <w:tcPr>
            <w:tcW w:w="0" w:type="auto"/>
            <w:vAlign w:val="center"/>
            <w:hideMark/>
          </w:tcPr>
          <w:p w14:paraId="3BDF0394" w14:textId="77777777" w:rsidR="00000000" w:rsidRDefault="0015578C">
            <w:pPr>
              <w:rPr>
                <w:rFonts w:eastAsia="Times New Roman"/>
                <w:sz w:val="20"/>
                <w:szCs w:val="20"/>
              </w:rPr>
            </w:pPr>
            <w:r>
              <w:rPr>
                <w:rFonts w:eastAsia="Times New Roman"/>
                <w:sz w:val="20"/>
                <w:szCs w:val="20"/>
              </w:rPr>
              <w:t> </w:t>
            </w:r>
          </w:p>
        </w:tc>
      </w:tr>
      <w:tr w:rsidR="00000000" w14:paraId="7C1AFB8F" w14:textId="77777777">
        <w:trPr>
          <w:trHeight w:val="225"/>
          <w:tblCellSpacing w:w="15" w:type="dxa"/>
        </w:trPr>
        <w:tc>
          <w:tcPr>
            <w:tcW w:w="0" w:type="auto"/>
            <w:tcBorders>
              <w:bottom w:val="single" w:sz="6" w:space="0" w:color="000000"/>
            </w:tcBorders>
            <w:vAlign w:val="center"/>
            <w:hideMark/>
          </w:tcPr>
          <w:p w14:paraId="0B8EB0A2" w14:textId="77777777" w:rsidR="00000000" w:rsidRDefault="0015578C">
            <w:pPr>
              <w:jc w:val="center"/>
              <w:rPr>
                <w:rFonts w:eastAsia="Times New Roman"/>
                <w:sz w:val="20"/>
                <w:szCs w:val="20"/>
              </w:rPr>
            </w:pPr>
            <w:r>
              <w:rPr>
                <w:rFonts w:eastAsia="Times New Roman"/>
                <w:sz w:val="20"/>
                <w:szCs w:val="20"/>
              </w:rPr>
              <w:t>13</w:t>
            </w:r>
          </w:p>
        </w:tc>
      </w:tr>
      <w:tr w:rsidR="00000000" w14:paraId="31E5AFAE" w14:textId="77777777">
        <w:trPr>
          <w:trHeight w:val="225"/>
          <w:tblCellSpacing w:w="15" w:type="dxa"/>
        </w:trPr>
        <w:tc>
          <w:tcPr>
            <w:tcW w:w="0" w:type="auto"/>
            <w:vAlign w:val="center"/>
            <w:hideMark/>
          </w:tcPr>
          <w:p w14:paraId="32318C72" w14:textId="77777777" w:rsidR="00000000" w:rsidRDefault="0015578C">
            <w:pPr>
              <w:rPr>
                <w:rFonts w:eastAsia="Times New Roman"/>
                <w:sz w:val="20"/>
                <w:szCs w:val="20"/>
              </w:rPr>
            </w:pPr>
          </w:p>
        </w:tc>
      </w:tr>
      <w:tr w:rsidR="00000000" w14:paraId="0F96E826" w14:textId="77777777">
        <w:trPr>
          <w:trHeight w:val="225"/>
          <w:tblCellSpacing w:w="15" w:type="dxa"/>
        </w:trPr>
        <w:tc>
          <w:tcPr>
            <w:tcW w:w="0" w:type="auto"/>
            <w:vAlign w:val="center"/>
            <w:hideMark/>
          </w:tcPr>
          <w:p w14:paraId="53917DE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B54B141" w14:textId="77777777" w:rsidR="00000000" w:rsidRDefault="0015578C">
      <w:pPr>
        <w:pStyle w:val="a3"/>
        <w:spacing w:before="0" w:beforeAutospacing="0" w:after="0" w:afterAutospacing="0"/>
        <w:jc w:val="both"/>
        <w:rPr>
          <w:sz w:val="20"/>
          <w:szCs w:val="20"/>
        </w:rPr>
      </w:pPr>
      <w:r>
        <w:rPr>
          <w:sz w:val="20"/>
          <w:szCs w:val="20"/>
        </w:rPr>
        <w:t> </w:t>
      </w:r>
    </w:p>
    <w:p w14:paraId="6B20CDF9" w14:textId="77777777" w:rsidR="00000000" w:rsidRDefault="0015578C">
      <w:pPr>
        <w:pStyle w:val="a3"/>
        <w:spacing w:before="0" w:beforeAutospacing="0" w:after="0" w:afterAutospacing="0"/>
        <w:jc w:val="both"/>
        <w:rPr>
          <w:sz w:val="20"/>
          <w:szCs w:val="20"/>
        </w:rPr>
      </w:pPr>
      <w:r>
        <w:rPr>
          <w:rStyle w:val="a7"/>
          <w:b/>
          <w:bCs/>
          <w:sz w:val="20"/>
          <w:szCs w:val="20"/>
        </w:rPr>
        <w:t>We are dependent upon information technology systems, which are subject to disruption, damage, failure and risks associated with implementation and integration.</w:t>
      </w:r>
    </w:p>
    <w:p w14:paraId="648AAE9C" w14:textId="77777777" w:rsidR="00000000" w:rsidRDefault="0015578C">
      <w:pPr>
        <w:pStyle w:val="a3"/>
        <w:spacing w:before="0" w:beforeAutospacing="0" w:after="0" w:afterAutospacing="0"/>
        <w:jc w:val="both"/>
        <w:rPr>
          <w:sz w:val="20"/>
          <w:szCs w:val="20"/>
        </w:rPr>
      </w:pPr>
      <w:r>
        <w:rPr>
          <w:sz w:val="20"/>
          <w:szCs w:val="20"/>
        </w:rPr>
        <w:t> </w:t>
      </w:r>
    </w:p>
    <w:p w14:paraId="375978E7" w14:textId="77777777" w:rsidR="00000000" w:rsidRDefault="0015578C">
      <w:pPr>
        <w:pStyle w:val="a3"/>
        <w:spacing w:before="0" w:beforeAutospacing="0" w:after="0" w:afterAutospacing="0"/>
        <w:ind w:firstLine="675"/>
        <w:jc w:val="both"/>
        <w:rPr>
          <w:sz w:val="20"/>
          <w:szCs w:val="20"/>
        </w:rPr>
      </w:pPr>
      <w:r>
        <w:rPr>
          <w:sz w:val="20"/>
          <w:szCs w:val="20"/>
        </w:rPr>
        <w:t>We are dependent upon information technology systems in the conduct of our operations. Our in</w:t>
      </w:r>
      <w:r>
        <w:rPr>
          <w:sz w:val="20"/>
          <w:szCs w:val="20"/>
        </w:rPr>
        <w:t>formation technology systems are subject to disruption, damage or failure from a variety of sources, including, without limitation, computer viruses, security breaches, cyber-attacks, natural disasters and defects in design. Cybersecurity incidents, in par</w:t>
      </w:r>
      <w:r>
        <w:rPr>
          <w:sz w:val="20"/>
          <w:szCs w:val="20"/>
        </w:rPr>
        <w:t>ticular, are evolving and include, but are not limited to, malicious software, attempts to gain unauthorized access to data and other electronic security breaches that could lead to disruptions in systems, theft of assets, unauthorized release of confident</w:t>
      </w:r>
      <w:r>
        <w:rPr>
          <w:sz w:val="20"/>
          <w:szCs w:val="20"/>
        </w:rPr>
        <w:t>ial or otherwise protected information and the corruption of data. Various measures have been implemented to manage our risks related to information technology systems and network disruptions. However, given the unpredictability of the timing, nature and s</w:t>
      </w:r>
      <w:r>
        <w:rPr>
          <w:sz w:val="20"/>
          <w:szCs w:val="20"/>
        </w:rPr>
        <w:t>cope of information technology disruptions, we could potentially be subject to operational delays, the compromising of confidential or otherwise protected information, loss of assets, including our cash, short-term investments, or marketable equity securit</w:t>
      </w:r>
      <w:r>
        <w:rPr>
          <w:sz w:val="20"/>
          <w:szCs w:val="20"/>
        </w:rPr>
        <w:t xml:space="preserve">ies, destruction or corruption of data, security breaches, other manipulation or improper use of our systems and networks or financial losses from remedial actions, any of which could have a material adverse effect on our cash flows, competitive position, </w:t>
      </w:r>
      <w:r>
        <w:rPr>
          <w:sz w:val="20"/>
          <w:szCs w:val="20"/>
        </w:rPr>
        <w:t>financial condition or results of operations.</w:t>
      </w:r>
    </w:p>
    <w:p w14:paraId="7E8014C6" w14:textId="77777777" w:rsidR="00000000" w:rsidRDefault="0015578C">
      <w:pPr>
        <w:pStyle w:val="a3"/>
        <w:spacing w:before="0" w:beforeAutospacing="0" w:after="0" w:afterAutospacing="0"/>
        <w:jc w:val="both"/>
        <w:rPr>
          <w:sz w:val="20"/>
          <w:szCs w:val="20"/>
        </w:rPr>
      </w:pPr>
      <w:r>
        <w:rPr>
          <w:sz w:val="20"/>
          <w:szCs w:val="20"/>
        </w:rPr>
        <w:t> </w:t>
      </w:r>
    </w:p>
    <w:p w14:paraId="12A9EE7D"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1B. </w:t>
      </w:r>
      <w:r>
        <w:rPr>
          <w:rStyle w:val="atag"/>
          <w:b/>
          <w:bCs/>
          <w:sz w:val="20"/>
          <w:szCs w:val="20"/>
          <w:u w:val="single"/>
        </w:rPr>
        <w:t>Unresolved Staff Comment</w:t>
      </w:r>
      <w:r>
        <w:rPr>
          <w:rStyle w:val="atag"/>
          <w:b/>
          <w:bCs/>
          <w:sz w:val="20"/>
          <w:szCs w:val="20"/>
          <w:u w:val="single"/>
        </w:rPr>
        <w:t>s</w:t>
      </w:r>
    </w:p>
    <w:p w14:paraId="1C2EDCF2" w14:textId="77777777" w:rsidR="00000000" w:rsidRDefault="0015578C">
      <w:pPr>
        <w:pStyle w:val="a3"/>
        <w:spacing w:before="0" w:beforeAutospacing="0" w:after="0" w:afterAutospacing="0"/>
        <w:jc w:val="both"/>
        <w:rPr>
          <w:sz w:val="20"/>
          <w:szCs w:val="20"/>
        </w:rPr>
      </w:pPr>
      <w:r>
        <w:rPr>
          <w:sz w:val="20"/>
          <w:szCs w:val="20"/>
        </w:rPr>
        <w:t> </w:t>
      </w:r>
    </w:p>
    <w:p w14:paraId="4CDEF7D8" w14:textId="77777777" w:rsidR="00000000" w:rsidRDefault="0015578C">
      <w:pPr>
        <w:pStyle w:val="a3"/>
        <w:spacing w:before="0" w:beforeAutospacing="0" w:after="0" w:afterAutospacing="0"/>
        <w:jc w:val="both"/>
        <w:rPr>
          <w:sz w:val="20"/>
          <w:szCs w:val="20"/>
        </w:rPr>
      </w:pPr>
      <w:r>
        <w:rPr>
          <w:sz w:val="20"/>
          <w:szCs w:val="20"/>
        </w:rPr>
        <w:t>None</w:t>
      </w:r>
    </w:p>
    <w:p w14:paraId="20D701B2" w14:textId="77777777" w:rsidR="00000000" w:rsidRDefault="0015578C">
      <w:pPr>
        <w:pStyle w:val="a3"/>
        <w:spacing w:before="0" w:beforeAutospacing="0" w:after="0" w:afterAutospacing="0"/>
        <w:jc w:val="both"/>
        <w:rPr>
          <w:sz w:val="20"/>
          <w:szCs w:val="20"/>
        </w:rPr>
      </w:pPr>
      <w:r>
        <w:rPr>
          <w:sz w:val="20"/>
          <w:szCs w:val="20"/>
        </w:rPr>
        <w:t> </w:t>
      </w:r>
    </w:p>
    <w:p w14:paraId="7368D68A" w14:textId="77777777" w:rsidR="00000000" w:rsidRDefault="0015578C">
      <w:pPr>
        <w:pStyle w:val="a3"/>
        <w:spacing w:before="0" w:beforeAutospacing="0" w:after="0" w:afterAutospacing="0"/>
        <w:jc w:val="both"/>
        <w:rPr>
          <w:sz w:val="20"/>
          <w:szCs w:val="20"/>
        </w:rPr>
      </w:pPr>
      <w:r>
        <w:rPr>
          <w:rStyle w:val="a4"/>
          <w:sz w:val="20"/>
          <w:szCs w:val="20"/>
        </w:rPr>
        <w:t>Item 2.</w:t>
      </w:r>
      <w:r>
        <w:rPr>
          <w:rStyle w:val="atag"/>
          <w:sz w:val="20"/>
          <w:szCs w:val="20"/>
        </w:rPr>
        <w:t xml:space="preserve"> </w:t>
      </w:r>
      <w:r>
        <w:rPr>
          <w:rStyle w:val="a4"/>
          <w:sz w:val="20"/>
          <w:szCs w:val="20"/>
          <w:u w:val="single"/>
        </w:rPr>
        <w:t>Propertie</w:t>
      </w:r>
      <w:r>
        <w:rPr>
          <w:rStyle w:val="a4"/>
          <w:sz w:val="20"/>
          <w:szCs w:val="20"/>
          <w:u w:val="single"/>
        </w:rPr>
        <w:t>s</w:t>
      </w:r>
    </w:p>
    <w:p w14:paraId="17FB53E9" w14:textId="77777777" w:rsidR="00000000" w:rsidRDefault="0015578C">
      <w:pPr>
        <w:pStyle w:val="a3"/>
        <w:spacing w:before="0" w:beforeAutospacing="0" w:after="0" w:afterAutospacing="0"/>
        <w:jc w:val="both"/>
        <w:rPr>
          <w:sz w:val="20"/>
          <w:szCs w:val="20"/>
        </w:rPr>
      </w:pPr>
      <w:r>
        <w:rPr>
          <w:sz w:val="20"/>
          <w:szCs w:val="20"/>
        </w:rPr>
        <w:t> </w:t>
      </w:r>
    </w:p>
    <w:p w14:paraId="1FCEDB27" w14:textId="77777777" w:rsidR="00000000" w:rsidRDefault="0015578C">
      <w:pPr>
        <w:pStyle w:val="a3"/>
        <w:spacing w:before="0" w:beforeAutospacing="0" w:after="0" w:afterAutospacing="0"/>
        <w:jc w:val="both"/>
        <w:rPr>
          <w:sz w:val="20"/>
          <w:szCs w:val="20"/>
        </w:rPr>
      </w:pPr>
      <w:r>
        <w:rPr>
          <w:rStyle w:val="a4"/>
          <w:sz w:val="20"/>
          <w:szCs w:val="20"/>
        </w:rPr>
        <w:t>CAUTIONARY NOTE REGARDING DISCLOSURE OF MINERAL PROPERTIES</w:t>
      </w:r>
    </w:p>
    <w:p w14:paraId="5DBA21E9" w14:textId="77777777" w:rsidR="00000000" w:rsidRDefault="0015578C">
      <w:pPr>
        <w:pStyle w:val="a3"/>
        <w:spacing w:before="0" w:beforeAutospacing="0" w:after="0" w:afterAutospacing="0"/>
        <w:jc w:val="both"/>
        <w:rPr>
          <w:sz w:val="20"/>
          <w:szCs w:val="20"/>
        </w:rPr>
      </w:pPr>
      <w:r>
        <w:rPr>
          <w:sz w:val="20"/>
          <w:szCs w:val="20"/>
        </w:rPr>
        <w:t> </w:t>
      </w:r>
    </w:p>
    <w:p w14:paraId="48B3D112" w14:textId="77777777" w:rsidR="00000000" w:rsidRDefault="0015578C">
      <w:pPr>
        <w:pStyle w:val="a3"/>
        <w:spacing w:before="0" w:beforeAutospacing="0" w:after="0" w:afterAutospacing="0"/>
        <w:jc w:val="both"/>
        <w:rPr>
          <w:sz w:val="20"/>
          <w:szCs w:val="20"/>
        </w:rPr>
      </w:pPr>
      <w:r>
        <w:rPr>
          <w:rStyle w:val="a7"/>
          <w:sz w:val="20"/>
          <w:szCs w:val="20"/>
        </w:rPr>
        <w:t>Mineral</w:t>
      </w:r>
      <w:r>
        <w:rPr>
          <w:sz w:val="20"/>
          <w:szCs w:val="20"/>
        </w:rPr>
        <w:t xml:space="preserve"> </w:t>
      </w:r>
      <w:r>
        <w:rPr>
          <w:rStyle w:val="a7"/>
          <w:sz w:val="20"/>
          <w:szCs w:val="20"/>
        </w:rPr>
        <w:t>Reserves and Resources</w:t>
      </w:r>
    </w:p>
    <w:p w14:paraId="356868D2" w14:textId="77777777" w:rsidR="00000000" w:rsidRDefault="0015578C">
      <w:pPr>
        <w:pStyle w:val="a3"/>
        <w:spacing w:before="0" w:beforeAutospacing="0" w:after="0" w:afterAutospacing="0"/>
        <w:jc w:val="both"/>
        <w:rPr>
          <w:sz w:val="20"/>
          <w:szCs w:val="20"/>
        </w:rPr>
      </w:pPr>
      <w:r>
        <w:rPr>
          <w:sz w:val="20"/>
          <w:szCs w:val="20"/>
        </w:rPr>
        <w:t> </w:t>
      </w:r>
    </w:p>
    <w:p w14:paraId="018A0C7F" w14:textId="77777777" w:rsidR="00000000" w:rsidRDefault="0015578C">
      <w:pPr>
        <w:pStyle w:val="a3"/>
        <w:spacing w:before="0" w:beforeAutospacing="0" w:after="0" w:afterAutospacing="0"/>
        <w:ind w:firstLine="675"/>
        <w:jc w:val="both"/>
        <w:rPr>
          <w:sz w:val="20"/>
          <w:szCs w:val="20"/>
        </w:rPr>
      </w:pPr>
      <w:r>
        <w:rPr>
          <w:sz w:val="20"/>
          <w:szCs w:val="20"/>
        </w:rPr>
        <w:t>We are subject to the reporting requirements of t</w:t>
      </w:r>
      <w:r>
        <w:rPr>
          <w:sz w:val="20"/>
          <w:szCs w:val="20"/>
        </w:rPr>
        <w:t>he Exchange Act and applicable Canadian securities laws, and as a result we report our mineral resources according to two different standards. U.S. reporting requirements, are governed by Item 1300 of Regulation S-K (“S-K 1300”), as issued by the SEC. Cana</w:t>
      </w:r>
      <w:r>
        <w:rPr>
          <w:sz w:val="20"/>
          <w:szCs w:val="20"/>
        </w:rPr>
        <w:t>dian reporting requirements for disclosure of mineral properties are governed by National Instrument 43-101 Standards of Disclosure for Mineral Projects, as adopted from the definitions provided by the Canadian Institute of Mining, Metallurgy and Petroleum</w:t>
      </w:r>
      <w:r>
        <w:rPr>
          <w:sz w:val="20"/>
          <w:szCs w:val="20"/>
        </w:rPr>
        <w:t>. Both sets of reporting standards have similar goals in terms of conveying an appropriate level of confidence in the disclosures being reported, but the standards generally embody slightly different approaches and definitions.</w:t>
      </w:r>
    </w:p>
    <w:p w14:paraId="280E0D33" w14:textId="77777777" w:rsidR="00000000" w:rsidRDefault="0015578C">
      <w:pPr>
        <w:pStyle w:val="a3"/>
        <w:spacing w:before="0" w:beforeAutospacing="0" w:after="0" w:afterAutospacing="0"/>
        <w:jc w:val="both"/>
        <w:rPr>
          <w:sz w:val="20"/>
          <w:szCs w:val="20"/>
        </w:rPr>
      </w:pPr>
      <w:r>
        <w:rPr>
          <w:sz w:val="20"/>
          <w:szCs w:val="20"/>
        </w:rPr>
        <w:t> </w:t>
      </w:r>
    </w:p>
    <w:p w14:paraId="3E1D25AF" w14:textId="77777777" w:rsidR="00000000" w:rsidRDefault="0015578C">
      <w:pPr>
        <w:pStyle w:val="a3"/>
        <w:spacing w:before="0" w:beforeAutospacing="0" w:after="0" w:afterAutospacing="0"/>
        <w:ind w:firstLine="675"/>
        <w:jc w:val="both"/>
        <w:rPr>
          <w:sz w:val="20"/>
          <w:szCs w:val="20"/>
        </w:rPr>
      </w:pPr>
      <w:r>
        <w:rPr>
          <w:sz w:val="20"/>
          <w:szCs w:val="20"/>
        </w:rPr>
        <w:t>In our public filings in the U.S. and Canada and in certain other announcements not filed with the SEC, we disclose measured, indicated and inferred resources, each as defined in S-K 1300. The estimation of measured resources and indicated resources involv</w:t>
      </w:r>
      <w:r>
        <w:rPr>
          <w:sz w:val="20"/>
          <w:szCs w:val="20"/>
        </w:rPr>
        <w:t>e greater uncertainty as to their existence and economic feasibility than the estimation of proven and probable reserves, and therefore investors are cautioned not to assume that all or any part of measured or indicated resources will ever be converted int</w:t>
      </w:r>
      <w:r>
        <w:rPr>
          <w:sz w:val="20"/>
          <w:szCs w:val="20"/>
        </w:rPr>
        <w:t xml:space="preserve">o S-K 1300-compliant reserves. The estimation of inferred resources involves far greater uncertainty as to their existence and economic viability than the estimation of other categories of resources, and therefore it cannot be assumed that all or any part </w:t>
      </w:r>
      <w:r>
        <w:rPr>
          <w:sz w:val="20"/>
          <w:szCs w:val="20"/>
        </w:rPr>
        <w:t>of inferred resources will ever be upgraded to a higher category. Therefore, investors are cautioned not to assume that all or any part of inferred resources exist, or that they can be mined legally or economically.</w:t>
      </w:r>
    </w:p>
    <w:p w14:paraId="7F3B8CD7" w14:textId="77777777" w:rsidR="00000000" w:rsidRDefault="0015578C">
      <w:pPr>
        <w:pStyle w:val="a3"/>
        <w:spacing w:before="0" w:beforeAutospacing="0" w:after="0" w:afterAutospacing="0"/>
        <w:jc w:val="both"/>
        <w:rPr>
          <w:sz w:val="20"/>
          <w:szCs w:val="20"/>
        </w:rPr>
      </w:pPr>
      <w:r>
        <w:rPr>
          <w:sz w:val="20"/>
          <w:szCs w:val="20"/>
        </w:rPr>
        <w:t> </w:t>
      </w:r>
    </w:p>
    <w:p w14:paraId="2A970998" w14:textId="77777777" w:rsidR="00000000" w:rsidRDefault="0015578C">
      <w:pPr>
        <w:pStyle w:val="a3"/>
        <w:spacing w:before="0" w:beforeAutospacing="0" w:after="0" w:afterAutospacing="0"/>
        <w:jc w:val="both"/>
        <w:rPr>
          <w:sz w:val="20"/>
          <w:szCs w:val="20"/>
        </w:rPr>
      </w:pPr>
      <w:r>
        <w:rPr>
          <w:rStyle w:val="a7"/>
          <w:sz w:val="20"/>
          <w:szCs w:val="20"/>
        </w:rPr>
        <w:t>Technical Report Summaries and Qualifi</w:t>
      </w:r>
      <w:r>
        <w:rPr>
          <w:rStyle w:val="a7"/>
          <w:sz w:val="20"/>
          <w:szCs w:val="20"/>
        </w:rPr>
        <w:t>ed Persons</w:t>
      </w:r>
    </w:p>
    <w:p w14:paraId="7F57DEDC" w14:textId="77777777" w:rsidR="00000000" w:rsidRDefault="0015578C">
      <w:pPr>
        <w:pStyle w:val="a3"/>
        <w:spacing w:before="0" w:beforeAutospacing="0" w:after="0" w:afterAutospacing="0"/>
        <w:jc w:val="both"/>
        <w:rPr>
          <w:sz w:val="20"/>
          <w:szCs w:val="20"/>
        </w:rPr>
      </w:pPr>
      <w:r>
        <w:rPr>
          <w:sz w:val="20"/>
          <w:szCs w:val="20"/>
        </w:rPr>
        <w:t> </w:t>
      </w:r>
    </w:p>
    <w:p w14:paraId="690DAB89" w14:textId="77777777" w:rsidR="00000000" w:rsidRDefault="0015578C">
      <w:pPr>
        <w:pStyle w:val="a3"/>
        <w:spacing w:before="0" w:beforeAutospacing="0" w:after="0" w:afterAutospacing="0"/>
        <w:ind w:firstLine="675"/>
        <w:jc w:val="both"/>
        <w:rPr>
          <w:sz w:val="20"/>
          <w:szCs w:val="20"/>
        </w:rPr>
      </w:pPr>
      <w:r>
        <w:rPr>
          <w:sz w:val="20"/>
          <w:szCs w:val="20"/>
        </w:rPr>
        <w:t>The scientific and technical information concerning our mineral projects in this Annual Report on Form 10-K have been reviewed and approved by “qualified persons” under S-K 1300, including our Chief Operating Officer, Walter Hunt. For a descri</w:t>
      </w:r>
      <w:r>
        <w:rPr>
          <w:sz w:val="20"/>
          <w:szCs w:val="20"/>
        </w:rPr>
        <w:t xml:space="preserve">ption of the key assumptions, parameters and methods used to estimate mineral reserves and mineral resources included in this Annual Report on Form 10-K, as well as data verification procedures and a general discussion of the extent to which the estimates </w:t>
      </w:r>
      <w:r>
        <w:rPr>
          <w:sz w:val="20"/>
          <w:szCs w:val="20"/>
        </w:rPr>
        <w:t>may be affected by any known environmental, permitting, legal, title, taxation, sociopolitical, marketing or other relevant factors, please review the Technical Report Summaries for each of the Company’s material properties which are incorporated by refere</w:t>
      </w:r>
      <w:r>
        <w:rPr>
          <w:sz w:val="20"/>
          <w:szCs w:val="20"/>
        </w:rPr>
        <w:t>nce into, this Annual Report on Form 10-K.</w:t>
      </w:r>
    </w:p>
    <w:p w14:paraId="4C7A8C4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6433A4E" w14:textId="77777777">
        <w:trPr>
          <w:trHeight w:val="225"/>
          <w:tblCellSpacing w:w="15" w:type="dxa"/>
        </w:trPr>
        <w:tc>
          <w:tcPr>
            <w:tcW w:w="0" w:type="auto"/>
            <w:vAlign w:val="center"/>
            <w:hideMark/>
          </w:tcPr>
          <w:p w14:paraId="14651E2C" w14:textId="77777777" w:rsidR="00000000" w:rsidRDefault="0015578C">
            <w:pPr>
              <w:rPr>
                <w:rFonts w:eastAsia="Times New Roman"/>
                <w:sz w:val="20"/>
                <w:szCs w:val="20"/>
              </w:rPr>
            </w:pPr>
            <w:r>
              <w:rPr>
                <w:rFonts w:eastAsia="Times New Roman"/>
                <w:sz w:val="20"/>
                <w:szCs w:val="20"/>
              </w:rPr>
              <w:t> </w:t>
            </w:r>
          </w:p>
        </w:tc>
      </w:tr>
      <w:tr w:rsidR="00000000" w14:paraId="65994F9E" w14:textId="77777777">
        <w:trPr>
          <w:trHeight w:val="225"/>
          <w:tblCellSpacing w:w="15" w:type="dxa"/>
        </w:trPr>
        <w:tc>
          <w:tcPr>
            <w:tcW w:w="0" w:type="auto"/>
            <w:tcBorders>
              <w:bottom w:val="single" w:sz="6" w:space="0" w:color="000000"/>
            </w:tcBorders>
            <w:vAlign w:val="center"/>
            <w:hideMark/>
          </w:tcPr>
          <w:p w14:paraId="5C207E47" w14:textId="77777777" w:rsidR="00000000" w:rsidRDefault="0015578C">
            <w:pPr>
              <w:jc w:val="center"/>
              <w:rPr>
                <w:rFonts w:eastAsia="Times New Roman"/>
                <w:sz w:val="20"/>
                <w:szCs w:val="20"/>
              </w:rPr>
            </w:pPr>
            <w:r>
              <w:rPr>
                <w:rFonts w:eastAsia="Times New Roman"/>
                <w:sz w:val="20"/>
                <w:szCs w:val="20"/>
              </w:rPr>
              <w:t>14</w:t>
            </w:r>
          </w:p>
        </w:tc>
      </w:tr>
      <w:tr w:rsidR="00000000" w14:paraId="4DF96F93" w14:textId="77777777">
        <w:trPr>
          <w:trHeight w:val="225"/>
          <w:tblCellSpacing w:w="15" w:type="dxa"/>
        </w:trPr>
        <w:tc>
          <w:tcPr>
            <w:tcW w:w="0" w:type="auto"/>
            <w:vAlign w:val="center"/>
            <w:hideMark/>
          </w:tcPr>
          <w:p w14:paraId="45905AD5" w14:textId="77777777" w:rsidR="00000000" w:rsidRDefault="0015578C">
            <w:pPr>
              <w:rPr>
                <w:rFonts w:eastAsia="Times New Roman"/>
                <w:sz w:val="20"/>
                <w:szCs w:val="20"/>
              </w:rPr>
            </w:pPr>
          </w:p>
        </w:tc>
      </w:tr>
      <w:tr w:rsidR="00000000" w14:paraId="56714EFE" w14:textId="77777777">
        <w:trPr>
          <w:trHeight w:val="225"/>
          <w:tblCellSpacing w:w="15" w:type="dxa"/>
        </w:trPr>
        <w:tc>
          <w:tcPr>
            <w:tcW w:w="0" w:type="auto"/>
            <w:vAlign w:val="center"/>
            <w:hideMark/>
          </w:tcPr>
          <w:p w14:paraId="753A3E34"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3F05B16" w14:textId="77777777" w:rsidR="00000000" w:rsidRDefault="0015578C">
      <w:pPr>
        <w:pStyle w:val="a3"/>
        <w:spacing w:before="0" w:beforeAutospacing="0" w:after="0" w:afterAutospacing="0"/>
        <w:jc w:val="both"/>
        <w:rPr>
          <w:sz w:val="20"/>
          <w:szCs w:val="20"/>
        </w:rPr>
      </w:pPr>
      <w:r>
        <w:rPr>
          <w:sz w:val="20"/>
          <w:szCs w:val="20"/>
        </w:rPr>
        <w:t> </w:t>
      </w:r>
    </w:p>
    <w:p w14:paraId="46E33BA6" w14:textId="77777777" w:rsidR="00000000" w:rsidRDefault="0015578C">
      <w:pPr>
        <w:pStyle w:val="a3"/>
        <w:spacing w:before="0" w:beforeAutospacing="0" w:after="0" w:afterAutospacing="0"/>
        <w:jc w:val="both"/>
        <w:rPr>
          <w:sz w:val="20"/>
          <w:szCs w:val="20"/>
        </w:rPr>
      </w:pPr>
      <w:r>
        <w:rPr>
          <w:rStyle w:val="a4"/>
          <w:sz w:val="20"/>
          <w:szCs w:val="20"/>
        </w:rPr>
        <w:t>Golden Crest Project (United States)</w:t>
      </w:r>
    </w:p>
    <w:p w14:paraId="16743549" w14:textId="77777777" w:rsidR="00000000" w:rsidRDefault="0015578C">
      <w:pPr>
        <w:pStyle w:val="a3"/>
        <w:spacing w:before="0" w:beforeAutospacing="0" w:after="0" w:afterAutospacing="0"/>
        <w:jc w:val="both"/>
        <w:rPr>
          <w:sz w:val="20"/>
          <w:szCs w:val="20"/>
        </w:rPr>
      </w:pPr>
      <w:r>
        <w:rPr>
          <w:sz w:val="20"/>
          <w:szCs w:val="20"/>
        </w:rPr>
        <w:t> </w:t>
      </w:r>
    </w:p>
    <w:p w14:paraId="032CED2B" w14:textId="77777777" w:rsidR="00000000" w:rsidRDefault="0015578C">
      <w:pPr>
        <w:pStyle w:val="a3"/>
        <w:spacing w:before="0" w:beforeAutospacing="0" w:after="0" w:afterAutospacing="0"/>
        <w:jc w:val="both"/>
        <w:rPr>
          <w:sz w:val="20"/>
          <w:szCs w:val="20"/>
        </w:rPr>
      </w:pPr>
      <w:r>
        <w:rPr>
          <w:sz w:val="20"/>
          <w:szCs w:val="20"/>
        </w:rPr>
        <w:t xml:space="preserve">1. </w:t>
      </w:r>
      <w:r>
        <w:rPr>
          <w:sz w:val="20"/>
          <w:szCs w:val="20"/>
          <w:u w:val="single"/>
        </w:rPr>
        <w:t>Property Description and Location</w:t>
      </w:r>
    </w:p>
    <w:p w14:paraId="6D932E36" w14:textId="77777777" w:rsidR="00000000" w:rsidRDefault="0015578C">
      <w:pPr>
        <w:pStyle w:val="a3"/>
        <w:spacing w:before="0" w:beforeAutospacing="0" w:after="0" w:afterAutospacing="0"/>
        <w:jc w:val="both"/>
        <w:rPr>
          <w:sz w:val="20"/>
          <w:szCs w:val="20"/>
        </w:rPr>
      </w:pPr>
      <w:r>
        <w:rPr>
          <w:sz w:val="20"/>
          <w:szCs w:val="20"/>
        </w:rPr>
        <w:t xml:space="preserve">   </w:t>
      </w:r>
    </w:p>
    <w:p w14:paraId="4260B22C" w14:textId="77777777" w:rsidR="00000000" w:rsidRDefault="0015578C">
      <w:pPr>
        <w:pStyle w:val="a3"/>
        <w:spacing w:before="0" w:beforeAutospacing="0" w:after="0" w:afterAutospacing="0"/>
        <w:jc w:val="center"/>
        <w:rPr>
          <w:sz w:val="20"/>
          <w:szCs w:val="20"/>
        </w:rPr>
      </w:pPr>
      <w:r>
        <w:rPr>
          <w:noProof/>
          <w:sz w:val="20"/>
          <w:szCs w:val="20"/>
        </w:rPr>
        <w:drawing>
          <wp:inline distT="0" distB="0" distL="0" distR="0" wp14:anchorId="4EDC5667" wp14:editId="75EB8049">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sz w:val="20"/>
          <w:szCs w:val="20"/>
        </w:rPr>
        <w:drawing>
          <wp:inline distT="0" distB="0" distL="0" distR="0" wp14:anchorId="66A56CAC" wp14:editId="734701EF">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A029C3" w14:textId="77777777" w:rsidR="00000000" w:rsidRDefault="0015578C">
      <w:pPr>
        <w:pStyle w:val="a3"/>
        <w:spacing w:before="0" w:beforeAutospacing="0" w:after="0" w:afterAutospacing="0"/>
        <w:jc w:val="center"/>
        <w:rPr>
          <w:sz w:val="20"/>
          <w:szCs w:val="20"/>
        </w:rPr>
      </w:pPr>
      <w:r>
        <w:rPr>
          <w:sz w:val="20"/>
          <w:szCs w:val="20"/>
        </w:rPr>
        <w:t>(map of Golden Crest project)</w:t>
      </w:r>
    </w:p>
    <w:p w14:paraId="256EE746" w14:textId="77777777" w:rsidR="00000000" w:rsidRDefault="0015578C">
      <w:pPr>
        <w:pStyle w:val="a3"/>
        <w:spacing w:before="0" w:beforeAutospacing="0" w:after="0" w:afterAutospacing="0"/>
        <w:jc w:val="both"/>
        <w:rPr>
          <w:sz w:val="20"/>
          <w:szCs w:val="20"/>
        </w:rPr>
      </w:pPr>
      <w:r>
        <w:rPr>
          <w:sz w:val="20"/>
          <w:szCs w:val="20"/>
        </w:rPr>
        <w:t> </w:t>
      </w:r>
    </w:p>
    <w:p w14:paraId="2AAB1C35" w14:textId="77777777" w:rsidR="00000000" w:rsidRDefault="0015578C">
      <w:pPr>
        <w:pStyle w:val="a3"/>
        <w:spacing w:before="0" w:beforeAutospacing="0" w:after="0" w:afterAutospacing="0"/>
        <w:ind w:firstLine="675"/>
        <w:jc w:val="both"/>
        <w:rPr>
          <w:sz w:val="20"/>
          <w:szCs w:val="20"/>
        </w:rPr>
      </w:pPr>
      <w:r>
        <w:rPr>
          <w:sz w:val="20"/>
          <w:szCs w:val="20"/>
        </w:rPr>
        <w:t>The Golden Crest project is in the northern Black Hills of western South Dakota in Lawrence County. A map of the project location is shown above. The Golden Crest project is co</w:t>
      </w:r>
      <w:r>
        <w:rPr>
          <w:sz w:val="20"/>
          <w:szCs w:val="20"/>
        </w:rPr>
        <w:t>mprised of 1,707 unpatented lode claims, with an associated area of approximately 33,000 acres. Two hundred forty-one of the claims are leased from Golden Crest II, LLC , a Wyoming limited liability company (“GC LLC”) and 27 unpatented claims (“Easter Clai</w:t>
      </w:r>
      <w:r>
        <w:rPr>
          <w:sz w:val="20"/>
          <w:szCs w:val="20"/>
        </w:rPr>
        <w:t>ms”) are leased from the Easter Project, LLC, a Wyoming limited liability company. All the remaining claims are owned by Solitario and were staked throughout 2021 and 2022.</w:t>
      </w:r>
    </w:p>
    <w:p w14:paraId="0165E471" w14:textId="77777777" w:rsidR="00000000" w:rsidRDefault="0015578C">
      <w:pPr>
        <w:pStyle w:val="a3"/>
        <w:spacing w:before="0" w:beforeAutospacing="0" w:after="0" w:afterAutospacing="0"/>
        <w:jc w:val="both"/>
        <w:rPr>
          <w:sz w:val="20"/>
          <w:szCs w:val="20"/>
        </w:rPr>
      </w:pPr>
      <w:r>
        <w:rPr>
          <w:sz w:val="20"/>
          <w:szCs w:val="20"/>
        </w:rPr>
        <w:t> </w:t>
      </w:r>
    </w:p>
    <w:p w14:paraId="3CF96598" w14:textId="77777777" w:rsidR="00000000" w:rsidRDefault="0015578C">
      <w:pPr>
        <w:pStyle w:val="a3"/>
        <w:spacing w:before="0" w:beforeAutospacing="0" w:after="0" w:afterAutospacing="0"/>
        <w:ind w:firstLine="675"/>
        <w:jc w:val="both"/>
        <w:rPr>
          <w:sz w:val="20"/>
          <w:szCs w:val="20"/>
        </w:rPr>
      </w:pPr>
      <w:r>
        <w:rPr>
          <w:sz w:val="20"/>
          <w:szCs w:val="20"/>
        </w:rPr>
        <w:t>Solitario acquired its interest in the GC Claims in May 2021 by entering into the</w:t>
      </w:r>
      <w:r>
        <w:rPr>
          <w:sz w:val="20"/>
          <w:szCs w:val="20"/>
        </w:rPr>
        <w:t xml:space="preserve"> Golden Crest Agreement with GC LLC. Terms of the Golden Crest Agreement include scheduled payments to the underlying owner of $65,000 paid upon signing and an obligation to pay the underlying owner $60,000 at the first anniversary date. To continue the le</w:t>
      </w:r>
      <w:r>
        <w:rPr>
          <w:sz w:val="20"/>
          <w:szCs w:val="20"/>
        </w:rPr>
        <w:t xml:space="preserve">ase, Solitario has agreed to pay, at its option, the underlying owner escalating annual payments over a five-year period that total $340,000 and annual payments of $150,000 thereafter. Solitario has agreed to pay the underlying owner an additional success </w:t>
      </w:r>
      <w:r>
        <w:rPr>
          <w:sz w:val="20"/>
          <w:szCs w:val="20"/>
        </w:rPr>
        <w:t>fee of $1.00 per ounce of gold in the event Solitario files a 43-101 qualified resource of up to 1.5 million ounces of gold or a maximum of $1,500,000. Solitario has agreed to perform escalating work commitments, at Solitario’s option, on the GC Claims tot</w:t>
      </w:r>
      <w:r>
        <w:rPr>
          <w:sz w:val="20"/>
          <w:szCs w:val="20"/>
        </w:rPr>
        <w:t>aling $3,000,000 in work expenditures during the first five years of the lease. Solitario has fulfilled its $600,000 work commitment for the first two years. The term of the Golden Crest Agreement is for twenty years and is automatically extended as long a</w:t>
      </w:r>
      <w:r>
        <w:rPr>
          <w:sz w:val="20"/>
          <w:szCs w:val="20"/>
        </w:rPr>
        <w:t xml:space="preserve">s Solitario is performing any exploration, development or mining activities on the GC Claims. The underlying owner will retain a 2.0% Net Smelter Return royalty. Solitario has the option, but not the obligation, to reduce the Net Smelter Return royalty to </w:t>
      </w:r>
      <w:r>
        <w:rPr>
          <w:sz w:val="20"/>
          <w:szCs w:val="20"/>
        </w:rPr>
        <w:t>1.0% by paying the underlying owner $1,000,000. GC LLC reserves a three-mile area of interest to its original claim position.</w:t>
      </w:r>
    </w:p>
    <w:p w14:paraId="46BB47F2" w14:textId="77777777" w:rsidR="00000000" w:rsidRDefault="0015578C">
      <w:pPr>
        <w:pStyle w:val="a3"/>
        <w:spacing w:before="0" w:beforeAutospacing="0" w:after="0" w:afterAutospacing="0"/>
        <w:jc w:val="both"/>
        <w:rPr>
          <w:sz w:val="20"/>
          <w:szCs w:val="20"/>
        </w:rPr>
      </w:pPr>
      <w:r>
        <w:rPr>
          <w:sz w:val="20"/>
          <w:szCs w:val="20"/>
        </w:rPr>
        <w:t> </w:t>
      </w:r>
    </w:p>
    <w:p w14:paraId="19C3D80C" w14:textId="77777777" w:rsidR="00000000" w:rsidRDefault="0015578C">
      <w:pPr>
        <w:pStyle w:val="a3"/>
        <w:spacing w:before="0" w:beforeAutospacing="0" w:after="0" w:afterAutospacing="0"/>
        <w:ind w:firstLine="675"/>
        <w:jc w:val="both"/>
        <w:rPr>
          <w:sz w:val="20"/>
          <w:szCs w:val="20"/>
        </w:rPr>
      </w:pPr>
      <w:r>
        <w:rPr>
          <w:sz w:val="20"/>
          <w:szCs w:val="20"/>
        </w:rPr>
        <w:t>In February of 2022, Solitario entered into a lease agreement (the “Easter Agreement”) whereby Solitario acquired exclusive expl</w:t>
      </w:r>
      <w:r>
        <w:rPr>
          <w:sz w:val="20"/>
          <w:szCs w:val="20"/>
        </w:rPr>
        <w:t>oration rights to the Easter Claims in the Black Hills region of South Dakota. The Easter Claims are part of Solitario’s Golden Crest project. Terms of the Easter Agreement include $10,000 paid upon signing, scheduled annual payments to the underlying owne</w:t>
      </w:r>
      <w:r>
        <w:rPr>
          <w:sz w:val="20"/>
          <w:szCs w:val="20"/>
        </w:rPr>
        <w:t xml:space="preserve">r totaling $180,000 through the tenth anniversary, and $30,000 per year thereafter. Solitario has agreed to escalating work commitments, at Solitario’s option, on the Easter Claims totaling $660,000 during the first five years of the lease, with the first </w:t>
      </w:r>
      <w:r>
        <w:rPr>
          <w:sz w:val="20"/>
          <w:szCs w:val="20"/>
        </w:rPr>
        <w:t>year totaling $20,000. All other terms of the Easter Agreement are substantially the same as the Golden Crest Agreement, except there is no area of interest.</w:t>
      </w:r>
    </w:p>
    <w:p w14:paraId="094402A1" w14:textId="77777777" w:rsidR="00000000" w:rsidRDefault="0015578C">
      <w:pPr>
        <w:pStyle w:val="a3"/>
        <w:spacing w:before="0" w:beforeAutospacing="0" w:after="0" w:afterAutospacing="0"/>
        <w:jc w:val="both"/>
        <w:rPr>
          <w:sz w:val="20"/>
          <w:szCs w:val="20"/>
        </w:rPr>
      </w:pPr>
      <w:r>
        <w:rPr>
          <w:sz w:val="20"/>
          <w:szCs w:val="20"/>
        </w:rPr>
        <w:t> </w:t>
      </w:r>
    </w:p>
    <w:p w14:paraId="11258BCB" w14:textId="77777777" w:rsidR="00000000" w:rsidRDefault="0015578C">
      <w:pPr>
        <w:pStyle w:val="a3"/>
        <w:spacing w:before="0" w:beforeAutospacing="0" w:after="0" w:afterAutospacing="0"/>
        <w:ind w:firstLine="675"/>
        <w:jc w:val="both"/>
        <w:rPr>
          <w:sz w:val="20"/>
          <w:szCs w:val="20"/>
        </w:rPr>
      </w:pPr>
      <w:r>
        <w:rPr>
          <w:sz w:val="20"/>
          <w:szCs w:val="20"/>
        </w:rPr>
        <w:t xml:space="preserve">Federal maintenance fees and county registration due in 2022 will be approximately $333,000 for </w:t>
      </w:r>
      <w:r>
        <w:rPr>
          <w:sz w:val="20"/>
          <w:szCs w:val="20"/>
        </w:rPr>
        <w:t>all Golden Crest claims currently held by Solitario.</w:t>
      </w:r>
    </w:p>
    <w:p w14:paraId="6870B227" w14:textId="77777777" w:rsidR="00000000" w:rsidRDefault="0015578C">
      <w:pPr>
        <w:pStyle w:val="a3"/>
        <w:spacing w:before="0" w:beforeAutospacing="0" w:after="0" w:afterAutospacing="0"/>
        <w:jc w:val="both"/>
        <w:rPr>
          <w:sz w:val="20"/>
          <w:szCs w:val="20"/>
        </w:rPr>
      </w:pPr>
      <w:r>
        <w:rPr>
          <w:sz w:val="20"/>
          <w:szCs w:val="20"/>
        </w:rPr>
        <w:t> </w:t>
      </w:r>
    </w:p>
    <w:p w14:paraId="466F5FFA" w14:textId="77777777" w:rsidR="00000000" w:rsidRDefault="0015578C">
      <w:pPr>
        <w:pStyle w:val="a3"/>
        <w:spacing w:before="0" w:beforeAutospacing="0" w:after="0" w:afterAutospacing="0"/>
        <w:jc w:val="both"/>
        <w:rPr>
          <w:sz w:val="20"/>
          <w:szCs w:val="20"/>
        </w:rPr>
      </w:pPr>
      <w:r>
        <w:rPr>
          <w:sz w:val="20"/>
          <w:szCs w:val="20"/>
        </w:rPr>
        <w:t xml:space="preserve">2. </w:t>
      </w:r>
      <w:r>
        <w:rPr>
          <w:sz w:val="20"/>
          <w:szCs w:val="20"/>
          <w:u w:val="single"/>
        </w:rPr>
        <w:t>Accessibility, Climate, Local Resources, Infrastructure and Physiology</w:t>
      </w:r>
    </w:p>
    <w:p w14:paraId="39C1E38B" w14:textId="77777777" w:rsidR="00000000" w:rsidRDefault="0015578C">
      <w:pPr>
        <w:pStyle w:val="a3"/>
        <w:spacing w:before="0" w:beforeAutospacing="0" w:after="0" w:afterAutospacing="0"/>
        <w:jc w:val="both"/>
        <w:rPr>
          <w:sz w:val="20"/>
          <w:szCs w:val="20"/>
        </w:rPr>
      </w:pPr>
      <w:r>
        <w:rPr>
          <w:sz w:val="20"/>
          <w:szCs w:val="20"/>
        </w:rPr>
        <w:t> </w:t>
      </w:r>
    </w:p>
    <w:p w14:paraId="5E4330A6" w14:textId="77777777" w:rsidR="00000000" w:rsidRDefault="0015578C">
      <w:pPr>
        <w:pStyle w:val="a3"/>
        <w:spacing w:before="0" w:beforeAutospacing="0" w:after="0" w:afterAutospacing="0"/>
        <w:ind w:firstLine="675"/>
        <w:jc w:val="both"/>
        <w:rPr>
          <w:sz w:val="20"/>
          <w:szCs w:val="20"/>
        </w:rPr>
      </w:pPr>
      <w:r>
        <w:rPr>
          <w:sz w:val="20"/>
          <w:szCs w:val="20"/>
        </w:rPr>
        <w:t>Access to the Golden Crest project by road is by traveling south of the city of Spearfish, SD along several paved and/or grav</w:t>
      </w:r>
      <w:r>
        <w:rPr>
          <w:sz w:val="20"/>
          <w:szCs w:val="20"/>
        </w:rPr>
        <w:t>el roads. US Highway 14A, and US Highway 85 are near the eastern and southern boundaries of the Golden Crest project. Maintained gravel roads extending westward and northward from Highways 14A and 85 as well as numerous unmaintained, numbered secondary Uni</w:t>
      </w:r>
      <w:r>
        <w:rPr>
          <w:sz w:val="20"/>
          <w:szCs w:val="20"/>
        </w:rPr>
        <w:t>ted States Forest Service (“USFS”) roads provide additional ingress to the Golden Crest Project.</w:t>
      </w:r>
    </w:p>
    <w:p w14:paraId="52AE3263" w14:textId="77777777" w:rsidR="00000000" w:rsidRDefault="0015578C">
      <w:pPr>
        <w:pStyle w:val="a3"/>
        <w:spacing w:before="0" w:beforeAutospacing="0" w:after="0" w:afterAutospacing="0"/>
        <w:jc w:val="both"/>
        <w:rPr>
          <w:sz w:val="20"/>
          <w:szCs w:val="20"/>
        </w:rPr>
      </w:pPr>
      <w:r>
        <w:rPr>
          <w:sz w:val="20"/>
          <w:szCs w:val="20"/>
        </w:rPr>
        <w:t> </w:t>
      </w:r>
    </w:p>
    <w:p w14:paraId="7FCFD0E2" w14:textId="77777777" w:rsidR="00000000" w:rsidRDefault="0015578C">
      <w:pPr>
        <w:pStyle w:val="a3"/>
        <w:spacing w:before="0" w:beforeAutospacing="0" w:after="0" w:afterAutospacing="0"/>
        <w:ind w:firstLine="675"/>
        <w:jc w:val="both"/>
        <w:rPr>
          <w:sz w:val="20"/>
          <w:szCs w:val="20"/>
        </w:rPr>
      </w:pPr>
      <w:r>
        <w:rPr>
          <w:sz w:val="20"/>
          <w:szCs w:val="20"/>
        </w:rPr>
        <w:t>The Golden Crest Project is in forested highlands with subdued relief separated by steep-sided canyons. Elevations in the immediate area range from approxima</w:t>
      </w:r>
      <w:r>
        <w:rPr>
          <w:sz w:val="20"/>
          <w:szCs w:val="20"/>
        </w:rPr>
        <w:t>tely 1,500 m to 2000 m. Spearfish Creek, a stream with a perennial flow, is situated east of the property while most other creeks on the property are generally dry in the summer months. Vegetation consists of mixed forest composed of deciduous hardwoods an</w:t>
      </w:r>
      <w:r>
        <w:rPr>
          <w:sz w:val="20"/>
          <w:szCs w:val="20"/>
        </w:rPr>
        <w:t>d conifers with sporadic meadows and locally dense underbrush. Stands of timber of commercial value cover the property at higher elevations and are managed by the USFS. Logging activities have been widespread on large portions of the property in the past f</w:t>
      </w:r>
      <w:r>
        <w:rPr>
          <w:sz w:val="20"/>
          <w:szCs w:val="20"/>
        </w:rPr>
        <w:t>ive to twenty years and are ongoing.</w:t>
      </w:r>
    </w:p>
    <w:p w14:paraId="628D74E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BB9045D" w14:textId="77777777">
        <w:trPr>
          <w:trHeight w:val="225"/>
          <w:tblCellSpacing w:w="15" w:type="dxa"/>
        </w:trPr>
        <w:tc>
          <w:tcPr>
            <w:tcW w:w="0" w:type="auto"/>
            <w:vAlign w:val="center"/>
            <w:hideMark/>
          </w:tcPr>
          <w:p w14:paraId="67CA6CB3" w14:textId="77777777" w:rsidR="00000000" w:rsidRDefault="0015578C">
            <w:pPr>
              <w:rPr>
                <w:rFonts w:eastAsia="Times New Roman"/>
                <w:sz w:val="20"/>
                <w:szCs w:val="20"/>
              </w:rPr>
            </w:pPr>
            <w:r>
              <w:rPr>
                <w:rFonts w:eastAsia="Times New Roman"/>
                <w:sz w:val="20"/>
                <w:szCs w:val="20"/>
              </w:rPr>
              <w:t> </w:t>
            </w:r>
          </w:p>
        </w:tc>
      </w:tr>
      <w:tr w:rsidR="00000000" w14:paraId="0883170E" w14:textId="77777777">
        <w:trPr>
          <w:trHeight w:val="225"/>
          <w:tblCellSpacing w:w="15" w:type="dxa"/>
        </w:trPr>
        <w:tc>
          <w:tcPr>
            <w:tcW w:w="0" w:type="auto"/>
            <w:tcBorders>
              <w:bottom w:val="single" w:sz="6" w:space="0" w:color="000000"/>
            </w:tcBorders>
            <w:vAlign w:val="center"/>
            <w:hideMark/>
          </w:tcPr>
          <w:p w14:paraId="63E94EDB" w14:textId="77777777" w:rsidR="00000000" w:rsidRDefault="0015578C">
            <w:pPr>
              <w:jc w:val="center"/>
              <w:rPr>
                <w:rFonts w:eastAsia="Times New Roman"/>
                <w:sz w:val="20"/>
                <w:szCs w:val="20"/>
              </w:rPr>
            </w:pPr>
            <w:r>
              <w:rPr>
                <w:rFonts w:eastAsia="Times New Roman"/>
                <w:sz w:val="20"/>
                <w:szCs w:val="20"/>
              </w:rPr>
              <w:t>15</w:t>
            </w:r>
          </w:p>
        </w:tc>
      </w:tr>
      <w:tr w:rsidR="00000000" w14:paraId="43507E5D" w14:textId="77777777">
        <w:trPr>
          <w:trHeight w:val="225"/>
          <w:tblCellSpacing w:w="15" w:type="dxa"/>
        </w:trPr>
        <w:tc>
          <w:tcPr>
            <w:tcW w:w="0" w:type="auto"/>
            <w:vAlign w:val="center"/>
            <w:hideMark/>
          </w:tcPr>
          <w:p w14:paraId="2818325A" w14:textId="77777777" w:rsidR="00000000" w:rsidRDefault="0015578C">
            <w:pPr>
              <w:rPr>
                <w:rFonts w:eastAsia="Times New Roman"/>
                <w:sz w:val="20"/>
                <w:szCs w:val="20"/>
              </w:rPr>
            </w:pPr>
          </w:p>
        </w:tc>
      </w:tr>
      <w:tr w:rsidR="00000000" w14:paraId="342B9E9D" w14:textId="77777777">
        <w:trPr>
          <w:trHeight w:val="225"/>
          <w:tblCellSpacing w:w="15" w:type="dxa"/>
        </w:trPr>
        <w:tc>
          <w:tcPr>
            <w:tcW w:w="0" w:type="auto"/>
            <w:vAlign w:val="center"/>
            <w:hideMark/>
          </w:tcPr>
          <w:p w14:paraId="020C7D32"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870B067" w14:textId="77777777" w:rsidR="00000000" w:rsidRDefault="0015578C">
      <w:pPr>
        <w:pStyle w:val="a3"/>
        <w:spacing w:before="0" w:beforeAutospacing="0" w:after="0" w:afterAutospacing="0"/>
        <w:jc w:val="both"/>
        <w:rPr>
          <w:sz w:val="20"/>
          <w:szCs w:val="20"/>
        </w:rPr>
      </w:pPr>
      <w:r>
        <w:rPr>
          <w:sz w:val="20"/>
          <w:szCs w:val="20"/>
        </w:rPr>
        <w:t> </w:t>
      </w:r>
    </w:p>
    <w:p w14:paraId="662C0ED8" w14:textId="77777777" w:rsidR="00000000" w:rsidRDefault="0015578C">
      <w:pPr>
        <w:pStyle w:val="a3"/>
        <w:spacing w:before="0" w:beforeAutospacing="0" w:after="0" w:afterAutospacing="0"/>
        <w:ind w:firstLine="675"/>
        <w:jc w:val="both"/>
        <w:rPr>
          <w:sz w:val="20"/>
          <w:szCs w:val="20"/>
        </w:rPr>
      </w:pPr>
      <w:r>
        <w:rPr>
          <w:sz w:val="20"/>
          <w:szCs w:val="20"/>
        </w:rPr>
        <w:t>Climate at the Golden Crest project area is temperate, characterized by hot summers, cold winters and pronounced seasonal variation in precipitation and temperatures. Average annual temperature, as measured at the Spearfish weather station, is 55°F with se</w:t>
      </w:r>
      <w:r>
        <w:rPr>
          <w:sz w:val="20"/>
          <w:szCs w:val="20"/>
        </w:rPr>
        <w:t>asonal variation averages highs of 32°F and 80°F in winter and summer respectively. The average amount of annual rainfall is approximately 26 inches along with 44 inches of snowfall (as measured at the Spearfish recording station). Average precipitation is</w:t>
      </w:r>
      <w:r>
        <w:rPr>
          <w:sz w:val="20"/>
          <w:szCs w:val="20"/>
        </w:rPr>
        <w:t xml:space="preserve"> greater at the higher elevations of the property itself. The mineral exploration season is generally from early April to late November.</w:t>
      </w:r>
    </w:p>
    <w:p w14:paraId="434273D9" w14:textId="77777777" w:rsidR="00000000" w:rsidRDefault="0015578C">
      <w:pPr>
        <w:pStyle w:val="a3"/>
        <w:spacing w:before="0" w:beforeAutospacing="0" w:after="0" w:afterAutospacing="0"/>
        <w:jc w:val="both"/>
        <w:rPr>
          <w:sz w:val="20"/>
          <w:szCs w:val="20"/>
        </w:rPr>
      </w:pPr>
      <w:r>
        <w:rPr>
          <w:sz w:val="20"/>
          <w:szCs w:val="20"/>
        </w:rPr>
        <w:t> </w:t>
      </w:r>
    </w:p>
    <w:p w14:paraId="67631D94" w14:textId="77777777" w:rsidR="00000000" w:rsidRDefault="0015578C">
      <w:pPr>
        <w:pStyle w:val="a3"/>
        <w:spacing w:before="0" w:beforeAutospacing="0" w:after="0" w:afterAutospacing="0"/>
        <w:ind w:firstLine="675"/>
        <w:jc w:val="both"/>
        <w:rPr>
          <w:sz w:val="20"/>
          <w:szCs w:val="20"/>
        </w:rPr>
      </w:pPr>
      <w:r>
        <w:rPr>
          <w:sz w:val="20"/>
          <w:szCs w:val="20"/>
        </w:rPr>
        <w:t>The closest population center is Spearfish, South Dakota (population 11,500), which represents the largest city in La</w:t>
      </w:r>
      <w:r>
        <w:rPr>
          <w:sz w:val="20"/>
          <w:szCs w:val="20"/>
        </w:rPr>
        <w:t>wrence County (population: 25,800). Spearfish is located along Interstate Highway 90, linking Rapid City, South Dakota to Gillette, Wyoming. Spearfish supports light industry, ranching and tourism and hosts a small university, Black Hills State University.</w:t>
      </w:r>
      <w:r>
        <w:rPr>
          <w:sz w:val="20"/>
          <w:szCs w:val="20"/>
        </w:rPr>
        <w:t xml:space="preserve"> The nearest towns to the project area are Lead (population 3,000) and the nearby town of Deadwood (population 1,500), which is the county seat of Lawrence County and a major tourism and gaming center for the area. Mining related employment continues to be</w:t>
      </w:r>
      <w:r>
        <w:rPr>
          <w:sz w:val="20"/>
          <w:szCs w:val="20"/>
        </w:rPr>
        <w:t xml:space="preserve"> an important segment of Lawrence County’s economy. The closest regional airport servicing the area is at Rapid City, situated approximately 80 km southeast along Interstate Highway 90. All major commercial and industrial services are available in Rapid Ci</w:t>
      </w:r>
      <w:r>
        <w:rPr>
          <w:sz w:val="20"/>
          <w:szCs w:val="20"/>
        </w:rPr>
        <w:t>ty. Other mining services are available in Lead, South Dakota due to the legacy of the Homestake Mining Company (“Homestake”) operations and the currently producing Wharf mine operated by Coeur Mining. Solitario maintains an office in Spearfish, South Dako</w:t>
      </w:r>
      <w:r>
        <w:rPr>
          <w:sz w:val="20"/>
          <w:szCs w:val="20"/>
        </w:rPr>
        <w:t>ta.</w:t>
      </w:r>
    </w:p>
    <w:p w14:paraId="6072971F" w14:textId="77777777" w:rsidR="00000000" w:rsidRDefault="0015578C">
      <w:pPr>
        <w:pStyle w:val="a3"/>
        <w:spacing w:before="0" w:beforeAutospacing="0" w:after="0" w:afterAutospacing="0"/>
        <w:jc w:val="both"/>
        <w:rPr>
          <w:sz w:val="20"/>
          <w:szCs w:val="20"/>
        </w:rPr>
      </w:pPr>
      <w:r>
        <w:rPr>
          <w:sz w:val="20"/>
          <w:szCs w:val="20"/>
        </w:rPr>
        <w:t> </w:t>
      </w:r>
    </w:p>
    <w:p w14:paraId="271C70BB" w14:textId="77777777" w:rsidR="00000000" w:rsidRDefault="0015578C">
      <w:pPr>
        <w:pStyle w:val="a3"/>
        <w:spacing w:before="0" w:beforeAutospacing="0" w:after="0" w:afterAutospacing="0"/>
        <w:jc w:val="both"/>
        <w:rPr>
          <w:sz w:val="20"/>
          <w:szCs w:val="20"/>
        </w:rPr>
      </w:pPr>
      <w:r>
        <w:rPr>
          <w:sz w:val="20"/>
          <w:szCs w:val="20"/>
        </w:rPr>
        <w:t xml:space="preserve">3. </w:t>
      </w:r>
      <w:r>
        <w:rPr>
          <w:sz w:val="20"/>
          <w:szCs w:val="20"/>
          <w:u w:val="single"/>
        </w:rPr>
        <w:t>History</w:t>
      </w:r>
    </w:p>
    <w:p w14:paraId="091D8210" w14:textId="77777777" w:rsidR="00000000" w:rsidRDefault="0015578C">
      <w:pPr>
        <w:pStyle w:val="a3"/>
        <w:spacing w:before="0" w:beforeAutospacing="0" w:after="0" w:afterAutospacing="0"/>
        <w:jc w:val="both"/>
        <w:rPr>
          <w:sz w:val="20"/>
          <w:szCs w:val="20"/>
        </w:rPr>
      </w:pPr>
      <w:r>
        <w:rPr>
          <w:sz w:val="20"/>
          <w:szCs w:val="20"/>
        </w:rPr>
        <w:t> </w:t>
      </w:r>
    </w:p>
    <w:p w14:paraId="4C136845" w14:textId="77777777" w:rsidR="00000000" w:rsidRDefault="0015578C">
      <w:pPr>
        <w:pStyle w:val="a3"/>
        <w:spacing w:before="0" w:beforeAutospacing="0" w:after="0" w:afterAutospacing="0"/>
        <w:ind w:firstLine="675"/>
        <w:jc w:val="both"/>
        <w:rPr>
          <w:sz w:val="20"/>
          <w:szCs w:val="20"/>
        </w:rPr>
      </w:pPr>
      <w:r>
        <w:rPr>
          <w:sz w:val="20"/>
          <w:szCs w:val="20"/>
        </w:rPr>
        <w:t>The state of South Dakota ranks third among US states for historic gold production, totaling approximately 51 million ounces produced through 2020, most of which came from the world class Homestake Mine in Lead. The first documented gold</w:t>
      </w:r>
      <w:r>
        <w:rPr>
          <w:sz w:val="20"/>
          <w:szCs w:val="20"/>
        </w:rPr>
        <w:t xml:space="preserve"> discovery in the Black Hills was made by prospectors attached to the Custer Expedition of 1874, who discovered placer gold in gravel bars along French Creek near the present site of Custer, South Dakota. The first known lode claims in the Black Hills were</w:t>
      </w:r>
      <w:r>
        <w:rPr>
          <w:sz w:val="20"/>
          <w:szCs w:val="20"/>
        </w:rPr>
        <w:t xml:space="preserve"> located in the spring of 1876 at the head of Gold Run and Deadwood Gulches. Beginning in the 1890’s, hundreds of mines and mining companies sprang to life in the northern Black Hills, clustered within a relatively small area measuring 20 km long by 16 km </w:t>
      </w:r>
      <w:r>
        <w:rPr>
          <w:sz w:val="20"/>
          <w:szCs w:val="20"/>
        </w:rPr>
        <w:t>wide, and centered around the cities of Lead and Deadwood. Collectively this area, known as the Lead Gold District, is one of the richest gold districts in the world. Gold mining has occurred continuously in the district for 145 years, a record unmatched b</w:t>
      </w:r>
      <w:r>
        <w:rPr>
          <w:sz w:val="20"/>
          <w:szCs w:val="20"/>
        </w:rPr>
        <w:t>y any other US gold mining district.</w:t>
      </w:r>
    </w:p>
    <w:p w14:paraId="1F93EB59" w14:textId="77777777" w:rsidR="00000000" w:rsidRDefault="0015578C">
      <w:pPr>
        <w:pStyle w:val="a3"/>
        <w:spacing w:before="0" w:beforeAutospacing="0" w:after="0" w:afterAutospacing="0"/>
        <w:jc w:val="both"/>
        <w:rPr>
          <w:sz w:val="20"/>
          <w:szCs w:val="20"/>
        </w:rPr>
      </w:pPr>
      <w:r>
        <w:rPr>
          <w:sz w:val="20"/>
          <w:szCs w:val="20"/>
        </w:rPr>
        <w:t> </w:t>
      </w:r>
    </w:p>
    <w:p w14:paraId="08B8655D" w14:textId="77777777" w:rsidR="00000000" w:rsidRDefault="0015578C">
      <w:pPr>
        <w:pStyle w:val="a3"/>
        <w:spacing w:before="0" w:beforeAutospacing="0" w:after="0" w:afterAutospacing="0"/>
        <w:ind w:firstLine="675"/>
        <w:jc w:val="both"/>
        <w:rPr>
          <w:sz w:val="20"/>
          <w:szCs w:val="20"/>
        </w:rPr>
      </w:pPr>
      <w:r>
        <w:rPr>
          <w:sz w:val="20"/>
          <w:szCs w:val="20"/>
        </w:rPr>
        <w:t>Despite the importance of the Lead Gold District among American mining camps, during the last 140 years very little regional exploration has been conducted on the property which comprises the Golden Crest project. Alt</w:t>
      </w:r>
      <w:r>
        <w:rPr>
          <w:sz w:val="20"/>
          <w:szCs w:val="20"/>
        </w:rPr>
        <w:t>hough the Golden Crest project is adjacent to the Lead Gold District, the lack of regional exploration is apparently due to the widespread cover of the gold bearing Precambrian rocks by younger sedimentary formations. The Golden Crest project is within sev</w:t>
      </w:r>
      <w:r>
        <w:rPr>
          <w:sz w:val="20"/>
          <w:szCs w:val="20"/>
        </w:rPr>
        <w:t>eral kilometers of district mines with significant historical production, yet only a handful of prospect pits occur on the property. It is also thought that the subdued topography, soil cover and absence of outcrops of the distinctive Precambrian rocks tha</w:t>
      </w:r>
      <w:r>
        <w:rPr>
          <w:sz w:val="20"/>
          <w:szCs w:val="20"/>
        </w:rPr>
        <w:t>t host the ore in the main Lead Gold District resulted in the project area being largely overlooked for such a long time. There is no prior documented work on the property with the exception of three exploration core holes drilled by Homestake in 1993-1994</w:t>
      </w:r>
      <w:r>
        <w:rPr>
          <w:sz w:val="20"/>
          <w:szCs w:val="20"/>
        </w:rPr>
        <w:t>, a small cluster of small prospect pits and a very limited stream sediment survey.</w:t>
      </w:r>
    </w:p>
    <w:p w14:paraId="251564D2" w14:textId="77777777" w:rsidR="00000000" w:rsidRDefault="0015578C">
      <w:pPr>
        <w:pStyle w:val="a3"/>
        <w:spacing w:before="0" w:beforeAutospacing="0" w:after="0" w:afterAutospacing="0"/>
        <w:jc w:val="both"/>
        <w:rPr>
          <w:sz w:val="20"/>
          <w:szCs w:val="20"/>
        </w:rPr>
      </w:pPr>
      <w:r>
        <w:rPr>
          <w:sz w:val="20"/>
          <w:szCs w:val="20"/>
        </w:rPr>
        <w:t> </w:t>
      </w:r>
    </w:p>
    <w:p w14:paraId="40C9A36E" w14:textId="77777777" w:rsidR="00000000" w:rsidRDefault="0015578C">
      <w:pPr>
        <w:pStyle w:val="a3"/>
        <w:spacing w:before="0" w:beforeAutospacing="0" w:after="0" w:afterAutospacing="0"/>
        <w:ind w:firstLine="675"/>
        <w:jc w:val="both"/>
        <w:rPr>
          <w:sz w:val="20"/>
          <w:szCs w:val="20"/>
        </w:rPr>
      </w:pPr>
      <w:r>
        <w:rPr>
          <w:sz w:val="20"/>
          <w:szCs w:val="20"/>
        </w:rPr>
        <w:t>GC LLC staked the 241 GC Claims in 2021. Solitario acquired these claims in May of 2021. Prior to Solitario’s acquisition of the GC Claims, GC LLC completed a minimal amount of work comprised mainly of rock sampling throughout the area. GC LLC discovered g</w:t>
      </w:r>
      <w:r>
        <w:rPr>
          <w:sz w:val="20"/>
          <w:szCs w:val="20"/>
        </w:rPr>
        <w:t>old bearing rocks, mainly along recently disturbed logging roads, in the area where Homestake collected and documented gold anomalies in dry stream sediments. The Easter Claims property, previously known as the 11th Hour Mine, had a longer history with min</w:t>
      </w:r>
      <w:r>
        <w:rPr>
          <w:sz w:val="20"/>
          <w:szCs w:val="20"/>
        </w:rPr>
        <w:t>or production in the early 1900’s where by 1906 nearly 4000 feet of underground workings had been developed. However, an attempt to mill the mined ore was a technological failure and no further work was known to have been completed after 1909.</w:t>
      </w:r>
    </w:p>
    <w:p w14:paraId="128F9652" w14:textId="77777777" w:rsidR="00000000" w:rsidRDefault="0015578C">
      <w:pPr>
        <w:pStyle w:val="a3"/>
        <w:spacing w:before="0" w:beforeAutospacing="0" w:after="0" w:afterAutospacing="0"/>
        <w:jc w:val="both"/>
        <w:rPr>
          <w:sz w:val="20"/>
          <w:szCs w:val="20"/>
        </w:rPr>
      </w:pPr>
      <w:r>
        <w:rPr>
          <w:sz w:val="20"/>
          <w:szCs w:val="20"/>
        </w:rPr>
        <w:t> </w:t>
      </w:r>
    </w:p>
    <w:p w14:paraId="298675B9" w14:textId="77777777" w:rsidR="00000000" w:rsidRDefault="0015578C">
      <w:pPr>
        <w:pStyle w:val="a3"/>
        <w:spacing w:before="0" w:beforeAutospacing="0" w:after="0" w:afterAutospacing="0"/>
        <w:jc w:val="both"/>
        <w:rPr>
          <w:sz w:val="20"/>
          <w:szCs w:val="20"/>
        </w:rPr>
      </w:pPr>
      <w:r>
        <w:rPr>
          <w:sz w:val="20"/>
          <w:szCs w:val="20"/>
        </w:rPr>
        <w:t xml:space="preserve">4. </w:t>
      </w:r>
      <w:r>
        <w:rPr>
          <w:sz w:val="20"/>
          <w:szCs w:val="20"/>
          <w:u w:val="single"/>
        </w:rPr>
        <w:t>Geologi</w:t>
      </w:r>
      <w:r>
        <w:rPr>
          <w:sz w:val="20"/>
          <w:szCs w:val="20"/>
          <w:u w:val="single"/>
        </w:rPr>
        <w:t>cal Setting</w:t>
      </w:r>
    </w:p>
    <w:p w14:paraId="265EFAF2" w14:textId="77777777" w:rsidR="00000000" w:rsidRDefault="0015578C">
      <w:pPr>
        <w:pStyle w:val="a3"/>
        <w:spacing w:before="0" w:beforeAutospacing="0" w:after="0" w:afterAutospacing="0"/>
        <w:jc w:val="both"/>
        <w:rPr>
          <w:sz w:val="20"/>
          <w:szCs w:val="20"/>
        </w:rPr>
      </w:pPr>
      <w:r>
        <w:rPr>
          <w:sz w:val="20"/>
          <w:szCs w:val="20"/>
        </w:rPr>
        <w:t> </w:t>
      </w:r>
    </w:p>
    <w:p w14:paraId="24CDED5B" w14:textId="77777777" w:rsidR="00000000" w:rsidRDefault="0015578C">
      <w:pPr>
        <w:pStyle w:val="a3"/>
        <w:spacing w:before="0" w:beforeAutospacing="0" w:after="0" w:afterAutospacing="0"/>
        <w:ind w:firstLine="675"/>
        <w:jc w:val="both"/>
        <w:rPr>
          <w:sz w:val="20"/>
          <w:szCs w:val="20"/>
        </w:rPr>
      </w:pPr>
      <w:r>
        <w:rPr>
          <w:sz w:val="20"/>
          <w:szCs w:val="20"/>
        </w:rPr>
        <w:t>Geologically, the Black Hills consists of Archean and Proterozoic crystalline rocks that are overlain by Paleozoic rocks ranging in age from Cambrian to Pennsylvanian. Precambrian rocks in the Lead window consist primarily of Precambrian meta</w:t>
      </w:r>
      <w:r>
        <w:rPr>
          <w:sz w:val="20"/>
          <w:szCs w:val="20"/>
        </w:rPr>
        <w:t xml:space="preserve">sedimentary rocks and minor extrusive metabasalts and intrusive gabbros. The Paleozoic sequence of marine sedimentary rocks (mainly carbonates and calcareous sediments) contains five formations, dominated by the Cambro-Ordovician Deadwood Formation at its </w:t>
      </w:r>
      <w:r>
        <w:rPr>
          <w:sz w:val="20"/>
          <w:szCs w:val="20"/>
        </w:rPr>
        <w:t>base and the Mississippian-aged Pahasapa Group (regionally known as the Madison Group) at its top. Thin stratigraphic units including the Ordovician Winnipeg and Whitewood Formations and Devonian Englewood Formation are present. The Deadwood Formation is t</w:t>
      </w:r>
      <w:r>
        <w:rPr>
          <w:sz w:val="20"/>
          <w:szCs w:val="20"/>
        </w:rPr>
        <w:t>he most important Paleozoic host for Tertiary replacement gold mineralization and paleoplacer gold deposits. The Mississippian Pahasapa Group contains three recognizable members that correlate to the Lodgepole Limestone, Mission Canyon Limestone and Charle</w:t>
      </w:r>
      <w:r>
        <w:rPr>
          <w:sz w:val="20"/>
          <w:szCs w:val="20"/>
        </w:rPr>
        <w:t>s Formation of the regional Madison Group. The Pahasapa Group is overlain in stratigraphic unconformity by the Minnelusa Formation, a package of Pennsylvanian-aged shallow marine and continental red beds and evaporite successions up to 180 m thick. The upp</w:t>
      </w:r>
      <w:r>
        <w:rPr>
          <w:sz w:val="20"/>
          <w:szCs w:val="20"/>
        </w:rPr>
        <w:t>er Pahasapa was strongly karsted in the Black Hills prior to deposition of the Minnelusa, producing the world’s largest known paleo-cave systems.</w:t>
      </w:r>
    </w:p>
    <w:p w14:paraId="0B1794E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00AABE2" w14:textId="77777777">
        <w:trPr>
          <w:trHeight w:val="225"/>
          <w:tblCellSpacing w:w="15" w:type="dxa"/>
        </w:trPr>
        <w:tc>
          <w:tcPr>
            <w:tcW w:w="0" w:type="auto"/>
            <w:vAlign w:val="center"/>
            <w:hideMark/>
          </w:tcPr>
          <w:p w14:paraId="22B90BE9" w14:textId="77777777" w:rsidR="00000000" w:rsidRDefault="0015578C">
            <w:pPr>
              <w:rPr>
                <w:rFonts w:eastAsia="Times New Roman"/>
                <w:sz w:val="20"/>
                <w:szCs w:val="20"/>
              </w:rPr>
            </w:pPr>
            <w:r>
              <w:rPr>
                <w:rFonts w:eastAsia="Times New Roman"/>
                <w:sz w:val="20"/>
                <w:szCs w:val="20"/>
              </w:rPr>
              <w:t> </w:t>
            </w:r>
          </w:p>
        </w:tc>
      </w:tr>
      <w:tr w:rsidR="00000000" w14:paraId="157A49AD" w14:textId="77777777">
        <w:trPr>
          <w:trHeight w:val="225"/>
          <w:tblCellSpacing w:w="15" w:type="dxa"/>
        </w:trPr>
        <w:tc>
          <w:tcPr>
            <w:tcW w:w="0" w:type="auto"/>
            <w:tcBorders>
              <w:bottom w:val="single" w:sz="6" w:space="0" w:color="000000"/>
            </w:tcBorders>
            <w:vAlign w:val="center"/>
            <w:hideMark/>
          </w:tcPr>
          <w:p w14:paraId="2470C675" w14:textId="77777777" w:rsidR="00000000" w:rsidRDefault="0015578C">
            <w:pPr>
              <w:jc w:val="center"/>
              <w:rPr>
                <w:rFonts w:eastAsia="Times New Roman"/>
                <w:sz w:val="20"/>
                <w:szCs w:val="20"/>
              </w:rPr>
            </w:pPr>
            <w:r>
              <w:rPr>
                <w:rFonts w:eastAsia="Times New Roman"/>
                <w:sz w:val="20"/>
                <w:szCs w:val="20"/>
              </w:rPr>
              <w:t>16</w:t>
            </w:r>
          </w:p>
        </w:tc>
      </w:tr>
      <w:tr w:rsidR="00000000" w14:paraId="535BC9B3" w14:textId="77777777">
        <w:trPr>
          <w:trHeight w:val="225"/>
          <w:tblCellSpacing w:w="15" w:type="dxa"/>
        </w:trPr>
        <w:tc>
          <w:tcPr>
            <w:tcW w:w="0" w:type="auto"/>
            <w:vAlign w:val="center"/>
            <w:hideMark/>
          </w:tcPr>
          <w:p w14:paraId="0F693D27" w14:textId="77777777" w:rsidR="00000000" w:rsidRDefault="0015578C">
            <w:pPr>
              <w:rPr>
                <w:rFonts w:eastAsia="Times New Roman"/>
                <w:sz w:val="20"/>
                <w:szCs w:val="20"/>
              </w:rPr>
            </w:pPr>
          </w:p>
        </w:tc>
      </w:tr>
      <w:tr w:rsidR="00000000" w14:paraId="08986EB4" w14:textId="77777777">
        <w:trPr>
          <w:trHeight w:val="225"/>
          <w:tblCellSpacing w:w="15" w:type="dxa"/>
        </w:trPr>
        <w:tc>
          <w:tcPr>
            <w:tcW w:w="0" w:type="auto"/>
            <w:vAlign w:val="center"/>
            <w:hideMark/>
          </w:tcPr>
          <w:p w14:paraId="0355AB47"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ADBB3CD" w14:textId="77777777" w:rsidR="00000000" w:rsidRDefault="0015578C">
      <w:pPr>
        <w:pStyle w:val="a3"/>
        <w:spacing w:before="0" w:beforeAutospacing="0" w:after="0" w:afterAutospacing="0"/>
        <w:jc w:val="both"/>
        <w:rPr>
          <w:sz w:val="20"/>
          <w:szCs w:val="20"/>
        </w:rPr>
      </w:pPr>
      <w:r>
        <w:rPr>
          <w:sz w:val="20"/>
          <w:szCs w:val="20"/>
        </w:rPr>
        <w:t> </w:t>
      </w:r>
    </w:p>
    <w:p w14:paraId="398D9318" w14:textId="77777777" w:rsidR="00000000" w:rsidRDefault="0015578C">
      <w:pPr>
        <w:pStyle w:val="a3"/>
        <w:spacing w:before="0" w:beforeAutospacing="0" w:after="0" w:afterAutospacing="0"/>
        <w:ind w:firstLine="675"/>
        <w:jc w:val="both"/>
        <w:rPr>
          <w:sz w:val="20"/>
          <w:szCs w:val="20"/>
        </w:rPr>
      </w:pPr>
      <w:r>
        <w:rPr>
          <w:sz w:val="20"/>
          <w:szCs w:val="20"/>
        </w:rPr>
        <w:t>This karsted carbonate package is an important lith</w:t>
      </w:r>
      <w:r>
        <w:rPr>
          <w:sz w:val="20"/>
          <w:szCs w:val="20"/>
        </w:rPr>
        <w:t>ologic host for alteration and mineralization across the Golden Crest project. The thickness of the Paleozoic sedimentary package varies from east to west across the Lead District from less than 240 m thick east of Deadwood to over 365 m thick at Tinton in</w:t>
      </w:r>
      <w:r>
        <w:rPr>
          <w:sz w:val="20"/>
          <w:szCs w:val="20"/>
        </w:rPr>
        <w:t xml:space="preserve"> the west. Tertiary igneous rocks preferentially invade several shale horizons in the Deadwood Formation and have locally inflated the thickness of the Cambro-Ordovician section by up to 300 m. Igneous rocks rarely intrude higher stratigraphic units except</w:t>
      </w:r>
      <w:r>
        <w:rPr>
          <w:sz w:val="20"/>
          <w:szCs w:val="20"/>
        </w:rPr>
        <w:t xml:space="preserve"> for a few pre-mineralization laccolithic stocks and plugs.</w:t>
      </w:r>
    </w:p>
    <w:p w14:paraId="0750CE79" w14:textId="77777777" w:rsidR="00000000" w:rsidRDefault="0015578C">
      <w:pPr>
        <w:pStyle w:val="a3"/>
        <w:spacing w:before="0" w:beforeAutospacing="0" w:after="0" w:afterAutospacing="0"/>
        <w:jc w:val="both"/>
        <w:rPr>
          <w:sz w:val="20"/>
          <w:szCs w:val="20"/>
        </w:rPr>
      </w:pPr>
      <w:r>
        <w:rPr>
          <w:sz w:val="20"/>
          <w:szCs w:val="20"/>
        </w:rPr>
        <w:t> </w:t>
      </w:r>
    </w:p>
    <w:p w14:paraId="420DA7C3" w14:textId="77777777" w:rsidR="00000000" w:rsidRDefault="0015578C">
      <w:pPr>
        <w:pStyle w:val="a3"/>
        <w:spacing w:before="0" w:beforeAutospacing="0" w:after="0" w:afterAutospacing="0"/>
        <w:ind w:firstLine="675"/>
        <w:jc w:val="both"/>
        <w:rPr>
          <w:sz w:val="20"/>
          <w:szCs w:val="20"/>
        </w:rPr>
      </w:pPr>
      <w:r>
        <w:rPr>
          <w:sz w:val="20"/>
          <w:szCs w:val="20"/>
        </w:rPr>
        <w:t>The Golden Crest project area is centered on a broad synform separating the Lead and Tinton domes in the west-central part of the Lead Gold District. Geographically the synform constitutes a broad plateau 40 km long and up to 20 km across with little struc</w:t>
      </w:r>
      <w:r>
        <w:rPr>
          <w:sz w:val="20"/>
          <w:szCs w:val="20"/>
        </w:rPr>
        <w:t>tural or topographic relief. The surface of the plateau is dominated by Upper Paleozoic rock units, the Mississippian Pahasapa Group and the Pennsylvanian Minnelusa Formation. No Precambrian is exposed on the Golden Crest project property and only three di</w:t>
      </w:r>
      <w:r>
        <w:rPr>
          <w:sz w:val="20"/>
          <w:szCs w:val="20"/>
        </w:rPr>
        <w:t>amond drill holes have been drilled into these Precambrian rocks.</w:t>
      </w:r>
    </w:p>
    <w:p w14:paraId="20E9B956" w14:textId="77777777" w:rsidR="00000000" w:rsidRDefault="0015578C">
      <w:pPr>
        <w:pStyle w:val="a3"/>
        <w:spacing w:before="0" w:beforeAutospacing="0" w:after="0" w:afterAutospacing="0"/>
        <w:jc w:val="both"/>
        <w:rPr>
          <w:sz w:val="20"/>
          <w:szCs w:val="20"/>
        </w:rPr>
      </w:pPr>
      <w:r>
        <w:rPr>
          <w:sz w:val="20"/>
          <w:szCs w:val="20"/>
        </w:rPr>
        <w:t> </w:t>
      </w:r>
    </w:p>
    <w:p w14:paraId="4177D562" w14:textId="77777777" w:rsidR="00000000" w:rsidRDefault="0015578C">
      <w:pPr>
        <w:pStyle w:val="a3"/>
        <w:spacing w:before="0" w:beforeAutospacing="0" w:after="0" w:afterAutospacing="0"/>
        <w:jc w:val="both"/>
        <w:rPr>
          <w:sz w:val="20"/>
          <w:szCs w:val="20"/>
        </w:rPr>
      </w:pPr>
      <w:r>
        <w:rPr>
          <w:sz w:val="20"/>
          <w:szCs w:val="20"/>
        </w:rPr>
        <w:t xml:space="preserve">5. </w:t>
      </w:r>
      <w:r>
        <w:rPr>
          <w:sz w:val="20"/>
          <w:szCs w:val="20"/>
          <w:u w:val="single"/>
        </w:rPr>
        <w:t>Prior Exploration and Recent Work</w:t>
      </w:r>
    </w:p>
    <w:p w14:paraId="2D41F2D6" w14:textId="77777777" w:rsidR="00000000" w:rsidRDefault="0015578C">
      <w:pPr>
        <w:pStyle w:val="a3"/>
        <w:spacing w:before="0" w:beforeAutospacing="0" w:after="0" w:afterAutospacing="0"/>
        <w:jc w:val="both"/>
        <w:rPr>
          <w:sz w:val="20"/>
          <w:szCs w:val="20"/>
        </w:rPr>
      </w:pPr>
      <w:r>
        <w:rPr>
          <w:sz w:val="20"/>
          <w:szCs w:val="20"/>
        </w:rPr>
        <w:t> </w:t>
      </w:r>
    </w:p>
    <w:p w14:paraId="560DB43D" w14:textId="77777777" w:rsidR="00000000" w:rsidRDefault="0015578C">
      <w:pPr>
        <w:pStyle w:val="a3"/>
        <w:spacing w:before="0" w:beforeAutospacing="0" w:after="0" w:afterAutospacing="0"/>
        <w:ind w:firstLine="675"/>
        <w:jc w:val="both"/>
        <w:rPr>
          <w:sz w:val="20"/>
          <w:szCs w:val="20"/>
        </w:rPr>
      </w:pPr>
      <w:r>
        <w:rPr>
          <w:sz w:val="20"/>
          <w:szCs w:val="20"/>
        </w:rPr>
        <w:t>The first known mineral exploration work on the property was a limited dry stream sediment survey conducted by Homestake from 1988 to 1993 over a 250</w:t>
      </w:r>
      <w:r>
        <w:rPr>
          <w:sz w:val="20"/>
          <w:szCs w:val="20"/>
        </w:rPr>
        <w:t xml:space="preserve"> square kilometer area. The results of this survey pointed to a seven square kilometer area of anomalous gold values that was subsequently staked by the GC LLC and leased by Solitario. Homestake drilled three deep exploration core holes in 1993-1994 on Sol</w:t>
      </w:r>
      <w:r>
        <w:rPr>
          <w:sz w:val="20"/>
          <w:szCs w:val="20"/>
        </w:rPr>
        <w:t>itario’s current property, but not in the area of the anomalous gold values in dry stream sediments. The objective of these holes was to test for the presence of the Precambrian Homestake Formation that hosts the prolific past-producing 42 million-ounce Ho</w:t>
      </w:r>
      <w:r>
        <w:rPr>
          <w:sz w:val="20"/>
          <w:szCs w:val="20"/>
        </w:rPr>
        <w:t>mestake gold deposit. Two of the three holes intersected the Homestake Formation.</w:t>
      </w:r>
    </w:p>
    <w:p w14:paraId="66C86059" w14:textId="77777777" w:rsidR="00000000" w:rsidRDefault="0015578C">
      <w:pPr>
        <w:pStyle w:val="a3"/>
        <w:spacing w:before="0" w:beforeAutospacing="0" w:after="0" w:afterAutospacing="0"/>
        <w:jc w:val="both"/>
        <w:rPr>
          <w:sz w:val="20"/>
          <w:szCs w:val="20"/>
        </w:rPr>
      </w:pPr>
      <w:r>
        <w:rPr>
          <w:sz w:val="20"/>
          <w:szCs w:val="20"/>
        </w:rPr>
        <w:t> </w:t>
      </w:r>
    </w:p>
    <w:p w14:paraId="30252E85" w14:textId="77777777" w:rsidR="00000000" w:rsidRDefault="0015578C">
      <w:pPr>
        <w:pStyle w:val="a3"/>
        <w:spacing w:before="0" w:beforeAutospacing="0" w:after="0" w:afterAutospacing="0"/>
        <w:ind w:firstLine="675"/>
        <w:jc w:val="both"/>
        <w:rPr>
          <w:sz w:val="20"/>
          <w:szCs w:val="20"/>
        </w:rPr>
      </w:pPr>
      <w:r>
        <w:rPr>
          <w:sz w:val="20"/>
          <w:szCs w:val="20"/>
        </w:rPr>
        <w:t>From approximately 2017 to 2020, GC LLC conducted surface exploration consisting of collecting 251 rock float samples mainly exposed in and near recently constructed loggin</w:t>
      </w:r>
      <w:r>
        <w:rPr>
          <w:sz w:val="20"/>
          <w:szCs w:val="20"/>
        </w:rPr>
        <w:t xml:space="preserve">g roads. Of these, 103 samples contained gold values greater than 20 parts per billion (“ppb”) gold, with 12 samples containing greater than 1,000 ppb gold. Many of the collected rock samples were siliceous hydrothermal breccias (jasperoids) that occurred </w:t>
      </w:r>
      <w:r>
        <w:rPr>
          <w:sz w:val="20"/>
          <w:szCs w:val="20"/>
        </w:rPr>
        <w:t>as narrow veinlets cutting the limestone formation at surface.</w:t>
      </w:r>
    </w:p>
    <w:p w14:paraId="1D766548" w14:textId="77777777" w:rsidR="00000000" w:rsidRDefault="0015578C">
      <w:pPr>
        <w:pStyle w:val="a3"/>
        <w:spacing w:before="0" w:beforeAutospacing="0" w:after="0" w:afterAutospacing="0"/>
        <w:jc w:val="both"/>
        <w:rPr>
          <w:sz w:val="20"/>
          <w:szCs w:val="20"/>
        </w:rPr>
      </w:pPr>
      <w:r>
        <w:rPr>
          <w:sz w:val="20"/>
          <w:szCs w:val="20"/>
        </w:rPr>
        <w:t> </w:t>
      </w:r>
    </w:p>
    <w:p w14:paraId="62184123" w14:textId="77777777" w:rsidR="00000000" w:rsidRDefault="0015578C">
      <w:pPr>
        <w:pStyle w:val="a3"/>
        <w:spacing w:before="0" w:beforeAutospacing="0" w:after="0" w:afterAutospacing="0"/>
        <w:ind w:firstLine="675"/>
        <w:jc w:val="both"/>
        <w:rPr>
          <w:sz w:val="20"/>
          <w:szCs w:val="20"/>
        </w:rPr>
      </w:pPr>
      <w:r>
        <w:rPr>
          <w:sz w:val="20"/>
          <w:szCs w:val="20"/>
        </w:rPr>
        <w:t>In March 2021 Solitario started exploration activities in the area. Exploration largely consisted of widespread sampling of suspected mineralized and hydrothermally altered rock float, primar</w:t>
      </w:r>
      <w:r>
        <w:rPr>
          <w:sz w:val="20"/>
          <w:szCs w:val="20"/>
        </w:rPr>
        <w:t>ily from the Pahasapa and Minnelusa Formations and systematic soil sampling on a grid. Outcrop or subcrop is rare so rock sampling is often limited to float which is resistant to weathering. The topography of most of the property is flat to very gently rol</w:t>
      </w:r>
      <w:r>
        <w:rPr>
          <w:sz w:val="20"/>
          <w:szCs w:val="20"/>
        </w:rPr>
        <w:t>ling so the lateral transport of the surficial rocks is minimal.</w:t>
      </w:r>
    </w:p>
    <w:p w14:paraId="5787CE94" w14:textId="77777777" w:rsidR="00000000" w:rsidRDefault="0015578C">
      <w:pPr>
        <w:pStyle w:val="a3"/>
        <w:spacing w:before="0" w:beforeAutospacing="0" w:after="0" w:afterAutospacing="0"/>
        <w:jc w:val="both"/>
        <w:rPr>
          <w:sz w:val="20"/>
          <w:szCs w:val="20"/>
        </w:rPr>
      </w:pPr>
      <w:r>
        <w:rPr>
          <w:sz w:val="20"/>
          <w:szCs w:val="20"/>
        </w:rPr>
        <w:t> </w:t>
      </w:r>
    </w:p>
    <w:p w14:paraId="100CEF11" w14:textId="77777777" w:rsidR="00000000" w:rsidRDefault="0015578C">
      <w:pPr>
        <w:pStyle w:val="a3"/>
        <w:spacing w:before="0" w:beforeAutospacing="0" w:after="0" w:afterAutospacing="0"/>
        <w:ind w:firstLine="675"/>
        <w:jc w:val="both"/>
        <w:rPr>
          <w:sz w:val="20"/>
          <w:szCs w:val="20"/>
        </w:rPr>
      </w:pPr>
      <w:r>
        <w:rPr>
          <w:sz w:val="20"/>
          <w:szCs w:val="20"/>
        </w:rPr>
        <w:t xml:space="preserve">Apart from the float rock which is highly resistant to weathering, the inference of the subcropping geology is limited to areas where the topography is less flat and those areas where road </w:t>
      </w:r>
      <w:r>
        <w:rPr>
          <w:sz w:val="20"/>
          <w:szCs w:val="20"/>
        </w:rPr>
        <w:t>cuts or road beds expose “C” horizon soils. The inability to observe outcrop limits the ability to detect and interpret the geometry and thickness of zones of alteration, so a soil sampling program was initiated property-wide to assist in the identificatio</w:t>
      </w:r>
      <w:r>
        <w:rPr>
          <w:sz w:val="20"/>
          <w:szCs w:val="20"/>
        </w:rPr>
        <w:t>n of new target areas for mapping and more detailed rock sampling. Exploration work during the past two years has consisted of grid soil sampling, select grab rock sampling of float and less commonly bedrock, hand-dug trenching, geologic mapping and Induce</w:t>
      </w:r>
      <w:r>
        <w:rPr>
          <w:sz w:val="20"/>
          <w:szCs w:val="20"/>
        </w:rPr>
        <w:t>d Polarization ground geophysics.</w:t>
      </w:r>
    </w:p>
    <w:p w14:paraId="5B3C16D9" w14:textId="77777777" w:rsidR="00000000" w:rsidRDefault="0015578C">
      <w:pPr>
        <w:pStyle w:val="a3"/>
        <w:spacing w:before="0" w:beforeAutospacing="0" w:after="0" w:afterAutospacing="0"/>
        <w:jc w:val="both"/>
        <w:rPr>
          <w:sz w:val="20"/>
          <w:szCs w:val="20"/>
        </w:rPr>
      </w:pPr>
      <w:r>
        <w:rPr>
          <w:sz w:val="20"/>
          <w:szCs w:val="20"/>
        </w:rPr>
        <w:t> </w:t>
      </w:r>
    </w:p>
    <w:p w14:paraId="2B455B19" w14:textId="77777777" w:rsidR="00000000" w:rsidRDefault="0015578C">
      <w:pPr>
        <w:pStyle w:val="a3"/>
        <w:spacing w:before="0" w:beforeAutospacing="0" w:after="0" w:afterAutospacing="0"/>
        <w:jc w:val="both"/>
        <w:rPr>
          <w:sz w:val="20"/>
          <w:szCs w:val="20"/>
        </w:rPr>
      </w:pPr>
      <w:r>
        <w:rPr>
          <w:sz w:val="20"/>
          <w:szCs w:val="20"/>
        </w:rPr>
        <w:t xml:space="preserve">6. </w:t>
      </w:r>
      <w:r>
        <w:rPr>
          <w:sz w:val="20"/>
          <w:szCs w:val="20"/>
          <w:u w:val="single"/>
        </w:rPr>
        <w:t>Mineralization</w:t>
      </w:r>
    </w:p>
    <w:p w14:paraId="1EC4A6E0" w14:textId="77777777" w:rsidR="00000000" w:rsidRDefault="0015578C">
      <w:pPr>
        <w:pStyle w:val="a3"/>
        <w:spacing w:before="0" w:beforeAutospacing="0" w:after="0" w:afterAutospacing="0"/>
        <w:jc w:val="both"/>
        <w:rPr>
          <w:sz w:val="20"/>
          <w:szCs w:val="20"/>
        </w:rPr>
      </w:pPr>
      <w:r>
        <w:rPr>
          <w:sz w:val="20"/>
          <w:szCs w:val="20"/>
        </w:rPr>
        <w:t> </w:t>
      </w:r>
    </w:p>
    <w:p w14:paraId="79429C37" w14:textId="77777777" w:rsidR="00000000" w:rsidRDefault="0015578C">
      <w:pPr>
        <w:pStyle w:val="a3"/>
        <w:spacing w:before="0" w:beforeAutospacing="0" w:after="0" w:afterAutospacing="0"/>
        <w:ind w:firstLine="675"/>
        <w:jc w:val="both"/>
        <w:rPr>
          <w:sz w:val="20"/>
          <w:szCs w:val="20"/>
        </w:rPr>
      </w:pPr>
      <w:r>
        <w:rPr>
          <w:sz w:val="20"/>
          <w:szCs w:val="20"/>
        </w:rPr>
        <w:t>The Black Hills are unique for the remarkable spatial superposition of several genetic styles of gold mineralization formed over &gt;2 billion years of geologic history. In excess of 90 million ounces of</w:t>
      </w:r>
      <w:r>
        <w:rPr>
          <w:sz w:val="20"/>
          <w:szCs w:val="20"/>
        </w:rPr>
        <w:t xml:space="preserve"> gold (recorded past production + unmined resources reported from published sources believed to be accurate, but not verified) are contained within five distinct styles of gold deposits in roughly a 300 square kilometer area. This is thought to represent t</w:t>
      </w:r>
      <w:r>
        <w:rPr>
          <w:sz w:val="20"/>
          <w:szCs w:val="20"/>
        </w:rPr>
        <w:t>he greatest endowment per square kilometer of any gold district in the United States. The repeated formation of large gold deposits over time in the same small geographic area argues for a fundamentally gold-enriched area of the earth’s crust that has pers</w:t>
      </w:r>
      <w:r>
        <w:rPr>
          <w:sz w:val="20"/>
          <w:szCs w:val="20"/>
        </w:rPr>
        <w:t>isted since the Archean time. Solitario’s property does not contain any historic producing mines nor resources and the presence of nearby gold deposits does not indicate that economic gold deposits are present on the Golden Crest project.</w:t>
      </w:r>
    </w:p>
    <w:p w14:paraId="0B6FD6B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5287314" w14:textId="77777777">
        <w:trPr>
          <w:trHeight w:val="225"/>
          <w:tblCellSpacing w:w="15" w:type="dxa"/>
        </w:trPr>
        <w:tc>
          <w:tcPr>
            <w:tcW w:w="0" w:type="auto"/>
            <w:vAlign w:val="center"/>
            <w:hideMark/>
          </w:tcPr>
          <w:p w14:paraId="5C8C8072" w14:textId="77777777" w:rsidR="00000000" w:rsidRDefault="0015578C">
            <w:pPr>
              <w:rPr>
                <w:rFonts w:eastAsia="Times New Roman"/>
                <w:sz w:val="20"/>
                <w:szCs w:val="20"/>
              </w:rPr>
            </w:pPr>
            <w:r>
              <w:rPr>
                <w:rFonts w:eastAsia="Times New Roman"/>
                <w:sz w:val="20"/>
                <w:szCs w:val="20"/>
              </w:rPr>
              <w:t> </w:t>
            </w:r>
          </w:p>
        </w:tc>
      </w:tr>
      <w:tr w:rsidR="00000000" w14:paraId="0B3CFC56" w14:textId="77777777">
        <w:trPr>
          <w:trHeight w:val="225"/>
          <w:tblCellSpacing w:w="15" w:type="dxa"/>
        </w:trPr>
        <w:tc>
          <w:tcPr>
            <w:tcW w:w="0" w:type="auto"/>
            <w:tcBorders>
              <w:bottom w:val="single" w:sz="6" w:space="0" w:color="000000"/>
            </w:tcBorders>
            <w:vAlign w:val="center"/>
            <w:hideMark/>
          </w:tcPr>
          <w:p w14:paraId="4BD37BB0" w14:textId="77777777" w:rsidR="00000000" w:rsidRDefault="0015578C">
            <w:pPr>
              <w:jc w:val="center"/>
              <w:rPr>
                <w:rFonts w:eastAsia="Times New Roman"/>
                <w:sz w:val="20"/>
                <w:szCs w:val="20"/>
              </w:rPr>
            </w:pPr>
            <w:r>
              <w:rPr>
                <w:rFonts w:eastAsia="Times New Roman"/>
                <w:sz w:val="20"/>
                <w:szCs w:val="20"/>
              </w:rPr>
              <w:t>17</w:t>
            </w:r>
          </w:p>
        </w:tc>
      </w:tr>
      <w:tr w:rsidR="00000000" w14:paraId="1DC53196" w14:textId="77777777">
        <w:trPr>
          <w:trHeight w:val="225"/>
          <w:tblCellSpacing w:w="15" w:type="dxa"/>
        </w:trPr>
        <w:tc>
          <w:tcPr>
            <w:tcW w:w="0" w:type="auto"/>
            <w:vAlign w:val="center"/>
            <w:hideMark/>
          </w:tcPr>
          <w:p w14:paraId="3DA92A36" w14:textId="77777777" w:rsidR="00000000" w:rsidRDefault="0015578C">
            <w:pPr>
              <w:rPr>
                <w:rFonts w:eastAsia="Times New Roman"/>
                <w:sz w:val="20"/>
                <w:szCs w:val="20"/>
              </w:rPr>
            </w:pPr>
          </w:p>
        </w:tc>
      </w:tr>
      <w:tr w:rsidR="00000000" w14:paraId="3511FD79" w14:textId="77777777">
        <w:trPr>
          <w:trHeight w:val="225"/>
          <w:tblCellSpacing w:w="15" w:type="dxa"/>
        </w:trPr>
        <w:tc>
          <w:tcPr>
            <w:tcW w:w="0" w:type="auto"/>
            <w:vAlign w:val="center"/>
            <w:hideMark/>
          </w:tcPr>
          <w:p w14:paraId="310C0469"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E35CFD2" w14:textId="77777777" w:rsidR="00000000" w:rsidRDefault="0015578C">
      <w:pPr>
        <w:pStyle w:val="a3"/>
        <w:spacing w:before="0" w:beforeAutospacing="0" w:after="0" w:afterAutospacing="0"/>
        <w:jc w:val="both"/>
        <w:rPr>
          <w:sz w:val="20"/>
          <w:szCs w:val="20"/>
        </w:rPr>
      </w:pPr>
      <w:r>
        <w:rPr>
          <w:sz w:val="20"/>
          <w:szCs w:val="20"/>
        </w:rPr>
        <w:t> </w:t>
      </w:r>
    </w:p>
    <w:p w14:paraId="41725BFE" w14:textId="77777777" w:rsidR="00000000" w:rsidRDefault="0015578C">
      <w:pPr>
        <w:pStyle w:val="a3"/>
        <w:spacing w:before="0" w:beforeAutospacing="0" w:after="0" w:afterAutospacing="0"/>
        <w:ind w:firstLine="675"/>
        <w:jc w:val="both"/>
        <w:rPr>
          <w:sz w:val="20"/>
          <w:szCs w:val="20"/>
        </w:rPr>
      </w:pPr>
      <w:r>
        <w:rPr>
          <w:sz w:val="20"/>
          <w:szCs w:val="20"/>
        </w:rPr>
        <w:t xml:space="preserve">A Laramide-aged igneous belt of alkalic magmatic intrusive centers occurs along a linear WNW-trending belt for approximately 150 km across the northern Black Hills and includes dozens of intrusive stocks and </w:t>
      </w:r>
      <w:r>
        <w:rPr>
          <w:sz w:val="20"/>
          <w:szCs w:val="20"/>
        </w:rPr>
        <w:t>laccoliths and innumerable dikes and sills concentrated in five magmatic centers. These Tertiary-aged intrusive rocks have remobilized important orogenic gold mineralization in the Precambrian basement into overlying Paleozoic rocks. In the Ruby Basin camp</w:t>
      </w:r>
      <w:r>
        <w:rPr>
          <w:sz w:val="20"/>
          <w:szCs w:val="20"/>
        </w:rPr>
        <w:t xml:space="preserve"> at the Wharf Mine Complex, thick pre-mineral igneous sills acted as permeability barriers within the Deadwood Formation that resulted in the deposition of gold mineralization.</w:t>
      </w:r>
    </w:p>
    <w:p w14:paraId="5B3FFBA9" w14:textId="77777777" w:rsidR="00000000" w:rsidRDefault="0015578C">
      <w:pPr>
        <w:pStyle w:val="a3"/>
        <w:spacing w:before="0" w:beforeAutospacing="0" w:after="0" w:afterAutospacing="0"/>
        <w:jc w:val="both"/>
        <w:rPr>
          <w:sz w:val="20"/>
          <w:szCs w:val="20"/>
        </w:rPr>
      </w:pPr>
      <w:r>
        <w:rPr>
          <w:sz w:val="20"/>
          <w:szCs w:val="20"/>
        </w:rPr>
        <w:t> </w:t>
      </w:r>
    </w:p>
    <w:p w14:paraId="40A65ACF" w14:textId="77777777" w:rsidR="00000000" w:rsidRDefault="0015578C">
      <w:pPr>
        <w:pStyle w:val="a3"/>
        <w:spacing w:before="0" w:beforeAutospacing="0" w:after="0" w:afterAutospacing="0"/>
        <w:ind w:firstLine="675"/>
        <w:jc w:val="both"/>
        <w:rPr>
          <w:sz w:val="20"/>
          <w:szCs w:val="20"/>
        </w:rPr>
      </w:pPr>
      <w:r>
        <w:rPr>
          <w:sz w:val="20"/>
          <w:szCs w:val="20"/>
        </w:rPr>
        <w:t>Alteration, gold and trace element enrichment in the Pahasapa formation at th</w:t>
      </w:r>
      <w:r>
        <w:rPr>
          <w:sz w:val="20"/>
          <w:szCs w:val="20"/>
        </w:rPr>
        <w:t>e Golden Crest project is viewed as a possible indication of replacement-style epithermal mineralization in stratigraphic units lower in the sedimentary sequence (e.g. Upper and Lower Deadwood Formation). Ore-forming magmatic hydrothermal fluids ascended f</w:t>
      </w:r>
      <w:r>
        <w:rPr>
          <w:sz w:val="20"/>
          <w:szCs w:val="20"/>
        </w:rPr>
        <w:t>rom mineralizing centers may have passed through overlying Paleozoic carbonate sections along subvertical faults and fractures, becoming progressively cooler and diluted by ground water, and depositing trace elements and gold. This extensive hydrothermal f</w:t>
      </w:r>
      <w:r>
        <w:rPr>
          <w:sz w:val="20"/>
          <w:szCs w:val="20"/>
        </w:rPr>
        <w:t>luid interaction is interpreted to have resulted in widespread low-temperature alteration of limestones, silicification and geochemical anomalism +/- gold mineralization in the Pahasapa Formation.</w:t>
      </w:r>
    </w:p>
    <w:p w14:paraId="48F69DED" w14:textId="77777777" w:rsidR="00000000" w:rsidRDefault="0015578C">
      <w:pPr>
        <w:pStyle w:val="a3"/>
        <w:spacing w:before="0" w:beforeAutospacing="0" w:after="0" w:afterAutospacing="0"/>
        <w:jc w:val="both"/>
        <w:rPr>
          <w:sz w:val="20"/>
          <w:szCs w:val="20"/>
        </w:rPr>
      </w:pPr>
      <w:r>
        <w:rPr>
          <w:sz w:val="20"/>
          <w:szCs w:val="20"/>
        </w:rPr>
        <w:t> </w:t>
      </w:r>
    </w:p>
    <w:p w14:paraId="38156810" w14:textId="77777777" w:rsidR="00000000" w:rsidRDefault="0015578C">
      <w:pPr>
        <w:pStyle w:val="a3"/>
        <w:spacing w:before="0" w:beforeAutospacing="0" w:after="0" w:afterAutospacing="0"/>
        <w:ind w:firstLine="675"/>
        <w:jc w:val="both"/>
        <w:rPr>
          <w:sz w:val="20"/>
          <w:szCs w:val="20"/>
        </w:rPr>
      </w:pPr>
      <w:r>
        <w:rPr>
          <w:sz w:val="20"/>
          <w:szCs w:val="20"/>
        </w:rPr>
        <w:t>Over twenty gold-enriched target areas have been identifi</w:t>
      </w:r>
      <w:r>
        <w:rPr>
          <w:sz w:val="20"/>
          <w:szCs w:val="20"/>
        </w:rPr>
        <w:t>ed by Solitario by select rock grab sampling. All of these prospects have returned anomalous gold assays, with fourteen containing multi-gram gold per tonne and the remaining prospects returned values between 0.1 and one-gram gold. with fourteen containing</w:t>
      </w:r>
      <w:r>
        <w:rPr>
          <w:sz w:val="20"/>
          <w:szCs w:val="20"/>
        </w:rPr>
        <w:t xml:space="preserve"> multi-gram gold per tonne and the remaining prospects returned values between 0.1 and one-gram gold.</w:t>
      </w:r>
    </w:p>
    <w:p w14:paraId="2845F4EC" w14:textId="77777777" w:rsidR="00000000" w:rsidRDefault="0015578C">
      <w:pPr>
        <w:pStyle w:val="a3"/>
        <w:spacing w:before="0" w:beforeAutospacing="0" w:after="0" w:afterAutospacing="0"/>
        <w:jc w:val="both"/>
        <w:rPr>
          <w:sz w:val="20"/>
          <w:szCs w:val="20"/>
        </w:rPr>
      </w:pPr>
      <w:r>
        <w:rPr>
          <w:sz w:val="20"/>
          <w:szCs w:val="20"/>
        </w:rPr>
        <w:t> </w:t>
      </w:r>
    </w:p>
    <w:p w14:paraId="1ED1C3AC" w14:textId="77777777" w:rsidR="00000000" w:rsidRDefault="0015578C">
      <w:pPr>
        <w:pStyle w:val="a3"/>
        <w:spacing w:before="0" w:beforeAutospacing="0" w:after="0" w:afterAutospacing="0"/>
        <w:ind w:firstLine="675"/>
        <w:jc w:val="both"/>
        <w:rPr>
          <w:sz w:val="20"/>
          <w:szCs w:val="20"/>
        </w:rPr>
      </w:pPr>
      <w:r>
        <w:rPr>
          <w:sz w:val="20"/>
          <w:szCs w:val="20"/>
        </w:rPr>
        <w:t>Late in the 2021 field season, Solitario received very high-grade gold values from select surface grab rock samples at the Downpour target area. Additio</w:t>
      </w:r>
      <w:r>
        <w:rPr>
          <w:sz w:val="20"/>
          <w:szCs w:val="20"/>
        </w:rPr>
        <w:t>nal surface sampling was conducted in the immediate area of the high-grade samples and eight continuous three-meter (total 24 meters) rock-chip channel samples were also collected. In 2022, Solitario sampled an additional 127.5 meters of trenching at Downp</w:t>
      </w:r>
      <w:r>
        <w:rPr>
          <w:sz w:val="20"/>
          <w:szCs w:val="20"/>
        </w:rPr>
        <w:t>our, where significant high-grade intervals were found as shown in the lefthand Downpour Target map below.</w:t>
      </w:r>
    </w:p>
    <w:p w14:paraId="704C7154" w14:textId="77777777" w:rsidR="00000000" w:rsidRDefault="0015578C">
      <w:pPr>
        <w:pStyle w:val="a3"/>
        <w:spacing w:before="0" w:beforeAutospacing="0" w:after="0" w:afterAutospacing="0"/>
        <w:jc w:val="both"/>
        <w:rPr>
          <w:sz w:val="20"/>
          <w:szCs w:val="20"/>
        </w:rPr>
      </w:pPr>
      <w:r>
        <w:rPr>
          <w:sz w:val="20"/>
          <w:szCs w:val="20"/>
        </w:rPr>
        <w:t> </w:t>
      </w:r>
    </w:p>
    <w:p w14:paraId="3FA4872C" w14:textId="77777777" w:rsidR="00000000" w:rsidRDefault="0015578C">
      <w:pPr>
        <w:pStyle w:val="a3"/>
        <w:spacing w:before="0" w:beforeAutospacing="0" w:after="0" w:afterAutospacing="0"/>
        <w:ind w:firstLine="675"/>
        <w:jc w:val="both"/>
        <w:rPr>
          <w:sz w:val="20"/>
          <w:szCs w:val="20"/>
        </w:rPr>
      </w:pPr>
      <w:r>
        <w:rPr>
          <w:sz w:val="20"/>
          <w:szCs w:val="20"/>
        </w:rPr>
        <w:t>Solitario also expanded its exploration search area at the Downpour Prospect in 2022 and successfully enlarged the potential target area for high-g</w:t>
      </w:r>
      <w:r>
        <w:rPr>
          <w:sz w:val="20"/>
          <w:szCs w:val="20"/>
        </w:rPr>
        <w:t xml:space="preserve">rade gold mineralization. As shown on the Rock Grab Sample Assay Map on the righthand side below, mineralization at Downpour has now been identified over an 800-meter-long strike length, with a width of up to 500 meters wide. This prospect remains open in </w:t>
      </w:r>
      <w:r>
        <w:rPr>
          <w:sz w:val="20"/>
          <w:szCs w:val="20"/>
        </w:rPr>
        <w:t>three directions.</w:t>
      </w:r>
    </w:p>
    <w:p w14:paraId="25E26CF1"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4056"/>
        <w:gridCol w:w="194"/>
        <w:gridCol w:w="4056"/>
      </w:tblGrid>
      <w:tr w:rsidR="00000000" w14:paraId="7818D861" w14:textId="77777777">
        <w:trPr>
          <w:trHeight w:val="225"/>
          <w:tblCellSpacing w:w="15" w:type="dxa"/>
        </w:trPr>
        <w:tc>
          <w:tcPr>
            <w:tcW w:w="2450" w:type="pct"/>
            <w:vAlign w:val="center"/>
            <w:hideMark/>
          </w:tcPr>
          <w:p w14:paraId="7A7A17BD" w14:textId="77777777" w:rsidR="00000000" w:rsidRDefault="0015578C">
            <w:pPr>
              <w:pStyle w:val="a3"/>
              <w:spacing w:before="0" w:beforeAutospacing="0" w:after="0" w:afterAutospacing="0"/>
              <w:jc w:val="center"/>
              <w:rPr>
                <w:sz w:val="20"/>
                <w:szCs w:val="20"/>
              </w:rPr>
            </w:pPr>
            <w:r>
              <w:rPr>
                <w:sz w:val="20"/>
                <w:szCs w:val="20"/>
              </w:rPr>
              <w:t> </w:t>
            </w:r>
          </w:p>
          <w:p w14:paraId="38EDA4B9" w14:textId="77777777" w:rsidR="00000000" w:rsidRDefault="0015578C">
            <w:pPr>
              <w:pStyle w:val="a3"/>
              <w:spacing w:before="0" w:beforeAutospacing="0" w:after="0" w:afterAutospacing="0"/>
              <w:jc w:val="right"/>
              <w:rPr>
                <w:sz w:val="20"/>
                <w:szCs w:val="20"/>
              </w:rPr>
            </w:pPr>
            <w:r>
              <w:rPr>
                <w:noProof/>
                <w:sz w:val="20"/>
                <w:szCs w:val="20"/>
              </w:rPr>
              <w:drawing>
                <wp:inline distT="0" distB="0" distL="0" distR="0" wp14:anchorId="06222CE8" wp14:editId="68217627">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0" w:type="pct"/>
            <w:vAlign w:val="center"/>
            <w:hideMark/>
          </w:tcPr>
          <w:p w14:paraId="0FD518D0" w14:textId="77777777" w:rsidR="00000000" w:rsidRDefault="0015578C">
            <w:pPr>
              <w:pStyle w:val="a3"/>
              <w:spacing w:before="0" w:beforeAutospacing="0" w:after="0" w:afterAutospacing="0"/>
              <w:rPr>
                <w:sz w:val="20"/>
                <w:szCs w:val="20"/>
              </w:rPr>
            </w:pPr>
            <w:r>
              <w:rPr>
                <w:sz w:val="20"/>
                <w:szCs w:val="20"/>
              </w:rPr>
              <w:t> </w:t>
            </w:r>
          </w:p>
        </w:tc>
        <w:tc>
          <w:tcPr>
            <w:tcW w:w="2450" w:type="pct"/>
            <w:vAlign w:val="center"/>
            <w:hideMark/>
          </w:tcPr>
          <w:p w14:paraId="7D25A19A" w14:textId="77777777" w:rsidR="00000000" w:rsidRDefault="0015578C">
            <w:pPr>
              <w:pStyle w:val="a3"/>
              <w:spacing w:before="0" w:beforeAutospacing="0" w:after="0" w:afterAutospacing="0"/>
              <w:rPr>
                <w:sz w:val="20"/>
                <w:szCs w:val="20"/>
              </w:rPr>
            </w:pPr>
            <w:r>
              <w:rPr>
                <w:sz w:val="20"/>
                <w:szCs w:val="20"/>
              </w:rPr>
              <w:t> </w:t>
            </w:r>
          </w:p>
          <w:p w14:paraId="27B57A12" w14:textId="77777777" w:rsidR="00000000" w:rsidRDefault="0015578C">
            <w:pPr>
              <w:pStyle w:val="a3"/>
              <w:spacing w:before="0" w:beforeAutospacing="0" w:after="0" w:afterAutospacing="0"/>
              <w:rPr>
                <w:sz w:val="20"/>
                <w:szCs w:val="20"/>
              </w:rPr>
            </w:pPr>
            <w:r>
              <w:rPr>
                <w:noProof/>
                <w:sz w:val="20"/>
                <w:szCs w:val="20"/>
              </w:rPr>
              <w:drawing>
                <wp:inline distT="0" distB="0" distL="0" distR="0" wp14:anchorId="66BEA702" wp14:editId="3B19E6B2">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14:paraId="0D074906" w14:textId="77777777">
        <w:trPr>
          <w:trHeight w:val="225"/>
          <w:tblCellSpacing w:w="15" w:type="dxa"/>
        </w:trPr>
        <w:tc>
          <w:tcPr>
            <w:tcW w:w="0" w:type="auto"/>
            <w:vAlign w:val="center"/>
            <w:hideMark/>
          </w:tcPr>
          <w:p w14:paraId="6C320B41" w14:textId="77777777" w:rsidR="00000000" w:rsidRDefault="0015578C">
            <w:pPr>
              <w:pStyle w:val="a3"/>
              <w:spacing w:before="0" w:beforeAutospacing="0" w:after="0" w:afterAutospacing="0"/>
              <w:jc w:val="right"/>
              <w:rPr>
                <w:sz w:val="20"/>
                <w:szCs w:val="20"/>
              </w:rPr>
            </w:pPr>
            <w:r>
              <w:rPr>
                <w:sz w:val="20"/>
                <w:szCs w:val="20"/>
              </w:rPr>
              <w:t xml:space="preserve"> Downpour trenching results with assay values in gpt gold. </w:t>
            </w:r>
          </w:p>
        </w:tc>
        <w:tc>
          <w:tcPr>
            <w:tcW w:w="0" w:type="auto"/>
            <w:vAlign w:val="center"/>
            <w:hideMark/>
          </w:tcPr>
          <w:p w14:paraId="56E6ACEE"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A850B16" w14:textId="77777777" w:rsidR="00000000" w:rsidRDefault="0015578C">
            <w:pPr>
              <w:pStyle w:val="a3"/>
              <w:spacing w:before="0" w:beforeAutospacing="0" w:after="0" w:afterAutospacing="0"/>
              <w:rPr>
                <w:sz w:val="20"/>
                <w:szCs w:val="20"/>
              </w:rPr>
            </w:pPr>
            <w:r>
              <w:rPr>
                <w:sz w:val="20"/>
                <w:szCs w:val="20"/>
              </w:rPr>
              <w:t> Greater Downpour area with rock grab sample assay results.</w:t>
            </w:r>
          </w:p>
        </w:tc>
      </w:tr>
    </w:tbl>
    <w:p w14:paraId="6B893296" w14:textId="77777777" w:rsidR="00000000" w:rsidRDefault="0015578C">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CA1ADB2" w14:textId="77777777">
        <w:trPr>
          <w:trHeight w:val="225"/>
          <w:tblCellSpacing w:w="15" w:type="dxa"/>
        </w:trPr>
        <w:tc>
          <w:tcPr>
            <w:tcW w:w="0" w:type="auto"/>
            <w:vAlign w:val="center"/>
            <w:hideMark/>
          </w:tcPr>
          <w:p w14:paraId="0966824E" w14:textId="77777777" w:rsidR="00000000" w:rsidRDefault="0015578C">
            <w:pPr>
              <w:rPr>
                <w:rFonts w:eastAsia="Times New Roman"/>
                <w:sz w:val="20"/>
                <w:szCs w:val="20"/>
              </w:rPr>
            </w:pPr>
            <w:r>
              <w:rPr>
                <w:rFonts w:eastAsia="Times New Roman"/>
                <w:sz w:val="20"/>
                <w:szCs w:val="20"/>
              </w:rPr>
              <w:t> </w:t>
            </w:r>
          </w:p>
        </w:tc>
      </w:tr>
      <w:tr w:rsidR="00000000" w14:paraId="62BBB601" w14:textId="77777777">
        <w:trPr>
          <w:trHeight w:val="225"/>
          <w:tblCellSpacing w:w="15" w:type="dxa"/>
        </w:trPr>
        <w:tc>
          <w:tcPr>
            <w:tcW w:w="0" w:type="auto"/>
            <w:tcBorders>
              <w:bottom w:val="single" w:sz="6" w:space="0" w:color="000000"/>
            </w:tcBorders>
            <w:vAlign w:val="center"/>
            <w:hideMark/>
          </w:tcPr>
          <w:p w14:paraId="21916AD2" w14:textId="77777777" w:rsidR="00000000" w:rsidRDefault="0015578C">
            <w:pPr>
              <w:jc w:val="center"/>
              <w:rPr>
                <w:rFonts w:eastAsia="Times New Roman"/>
                <w:sz w:val="20"/>
                <w:szCs w:val="20"/>
              </w:rPr>
            </w:pPr>
            <w:r>
              <w:rPr>
                <w:rFonts w:eastAsia="Times New Roman"/>
                <w:sz w:val="20"/>
                <w:szCs w:val="20"/>
              </w:rPr>
              <w:t>18</w:t>
            </w:r>
          </w:p>
        </w:tc>
      </w:tr>
      <w:tr w:rsidR="00000000" w14:paraId="45F72FBD" w14:textId="77777777">
        <w:trPr>
          <w:trHeight w:val="225"/>
          <w:tblCellSpacing w:w="15" w:type="dxa"/>
        </w:trPr>
        <w:tc>
          <w:tcPr>
            <w:tcW w:w="0" w:type="auto"/>
            <w:vAlign w:val="center"/>
            <w:hideMark/>
          </w:tcPr>
          <w:p w14:paraId="56423BA6" w14:textId="77777777" w:rsidR="00000000" w:rsidRDefault="0015578C">
            <w:pPr>
              <w:rPr>
                <w:rFonts w:eastAsia="Times New Roman"/>
                <w:sz w:val="20"/>
                <w:szCs w:val="20"/>
              </w:rPr>
            </w:pPr>
          </w:p>
        </w:tc>
      </w:tr>
      <w:tr w:rsidR="00000000" w14:paraId="1213924E" w14:textId="77777777">
        <w:trPr>
          <w:trHeight w:val="225"/>
          <w:tblCellSpacing w:w="15" w:type="dxa"/>
        </w:trPr>
        <w:tc>
          <w:tcPr>
            <w:tcW w:w="0" w:type="auto"/>
            <w:vAlign w:val="center"/>
            <w:hideMark/>
          </w:tcPr>
          <w:p w14:paraId="36EF36BC"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3E0832B" w14:textId="77777777" w:rsidR="00000000" w:rsidRDefault="0015578C">
      <w:pPr>
        <w:pStyle w:val="a3"/>
        <w:spacing w:before="0" w:beforeAutospacing="0" w:after="0" w:afterAutospacing="0"/>
        <w:jc w:val="both"/>
        <w:rPr>
          <w:sz w:val="20"/>
          <w:szCs w:val="20"/>
        </w:rPr>
      </w:pPr>
      <w:r>
        <w:rPr>
          <w:sz w:val="20"/>
          <w:szCs w:val="20"/>
        </w:rPr>
        <w:t>    </w:t>
      </w:r>
    </w:p>
    <w:p w14:paraId="2714D161" w14:textId="77777777" w:rsidR="00000000" w:rsidRDefault="0015578C">
      <w:pPr>
        <w:pStyle w:val="a3"/>
        <w:spacing w:before="0" w:beforeAutospacing="0" w:after="0" w:afterAutospacing="0"/>
        <w:ind w:firstLine="675"/>
        <w:jc w:val="both"/>
        <w:rPr>
          <w:sz w:val="20"/>
          <w:szCs w:val="20"/>
        </w:rPr>
      </w:pPr>
      <w:r>
        <w:rPr>
          <w:sz w:val="20"/>
          <w:szCs w:val="20"/>
        </w:rPr>
        <w:t>In 2022, Solitario discovered a new area of significant mineralization within a generalized area called Ponderosa. Select grab sampling of float, weathered bedrock and bedrock yielded both low- and high-grade gold mineralization. Three centers of mineraliz</w:t>
      </w:r>
      <w:r>
        <w:rPr>
          <w:sz w:val="20"/>
          <w:szCs w:val="20"/>
        </w:rPr>
        <w:t>ation were initially identified by select grab samples: Geyser, Spur and Zig Zag. Based on these very favorable results, a trenching program was initiated in all three areas. Assay results for both the select rock grab samples and trenching samples are pre</w:t>
      </w:r>
      <w:r>
        <w:rPr>
          <w:sz w:val="20"/>
          <w:szCs w:val="20"/>
        </w:rPr>
        <w:t>sented on the map below:</w:t>
      </w:r>
    </w:p>
    <w:p w14:paraId="64B13806" w14:textId="77777777" w:rsidR="00000000" w:rsidRDefault="0015578C">
      <w:pPr>
        <w:pStyle w:val="a3"/>
        <w:spacing w:before="0" w:beforeAutospacing="0" w:after="0" w:afterAutospacing="0"/>
        <w:ind w:firstLine="675"/>
        <w:jc w:val="both"/>
        <w:rPr>
          <w:sz w:val="20"/>
          <w:szCs w:val="20"/>
        </w:rPr>
      </w:pPr>
      <w:r>
        <w:rPr>
          <w:sz w:val="20"/>
          <w:szCs w:val="20"/>
        </w:rPr>
        <w:t xml:space="preserve">  </w:t>
      </w:r>
    </w:p>
    <w:p w14:paraId="7DBF2A73" w14:textId="77777777" w:rsidR="00000000" w:rsidRDefault="0015578C">
      <w:pPr>
        <w:pStyle w:val="a3"/>
        <w:spacing w:before="0" w:beforeAutospacing="0" w:after="0" w:afterAutospacing="0"/>
        <w:jc w:val="center"/>
        <w:rPr>
          <w:sz w:val="20"/>
          <w:szCs w:val="20"/>
        </w:rPr>
      </w:pPr>
      <w:r>
        <w:rPr>
          <w:noProof/>
          <w:sz w:val="20"/>
          <w:szCs w:val="20"/>
        </w:rPr>
        <w:drawing>
          <wp:inline distT="0" distB="0" distL="0" distR="0" wp14:anchorId="6BB414E0" wp14:editId="7691C9E3">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CC69AD" w14:textId="77777777" w:rsidR="00000000" w:rsidRDefault="0015578C">
      <w:pPr>
        <w:pStyle w:val="a3"/>
        <w:spacing w:before="0" w:beforeAutospacing="0" w:after="0" w:afterAutospacing="0"/>
        <w:jc w:val="both"/>
        <w:rPr>
          <w:sz w:val="20"/>
          <w:szCs w:val="20"/>
        </w:rPr>
      </w:pPr>
      <w:r>
        <w:rPr>
          <w:sz w:val="20"/>
          <w:szCs w:val="20"/>
        </w:rPr>
        <w:t>   </w:t>
      </w:r>
    </w:p>
    <w:p w14:paraId="21FEDAE8" w14:textId="77777777" w:rsidR="00000000" w:rsidRDefault="0015578C">
      <w:pPr>
        <w:pStyle w:val="a3"/>
        <w:spacing w:before="0" w:beforeAutospacing="0" w:after="0" w:afterAutospacing="0"/>
        <w:jc w:val="both"/>
        <w:rPr>
          <w:sz w:val="20"/>
          <w:szCs w:val="20"/>
        </w:rPr>
      </w:pPr>
      <w:r>
        <w:rPr>
          <w:sz w:val="20"/>
          <w:szCs w:val="20"/>
        </w:rPr>
        <w:t>Geyser-Spur-Zig Zag prospect area with gold (gpt) assays for rock grab samples and tren</w:t>
      </w:r>
      <w:r>
        <w:rPr>
          <w:sz w:val="20"/>
          <w:szCs w:val="20"/>
        </w:rPr>
        <w:t>ch samples.</w:t>
      </w:r>
    </w:p>
    <w:p w14:paraId="4920AD94" w14:textId="77777777" w:rsidR="00000000" w:rsidRDefault="0015578C">
      <w:pPr>
        <w:pStyle w:val="a3"/>
        <w:spacing w:before="0" w:beforeAutospacing="0" w:after="0" w:afterAutospacing="0"/>
        <w:jc w:val="both"/>
        <w:rPr>
          <w:sz w:val="20"/>
          <w:szCs w:val="20"/>
        </w:rPr>
      </w:pPr>
      <w:r>
        <w:rPr>
          <w:sz w:val="20"/>
          <w:szCs w:val="20"/>
        </w:rPr>
        <w:t> </w:t>
      </w:r>
    </w:p>
    <w:p w14:paraId="05AFE28F" w14:textId="77777777" w:rsidR="00000000" w:rsidRDefault="0015578C">
      <w:pPr>
        <w:pStyle w:val="a3"/>
        <w:spacing w:before="0" w:beforeAutospacing="0" w:after="0" w:afterAutospacing="0"/>
        <w:ind w:firstLine="675"/>
        <w:jc w:val="both"/>
        <w:rPr>
          <w:sz w:val="20"/>
          <w:szCs w:val="20"/>
        </w:rPr>
      </w:pPr>
      <w:r>
        <w:rPr>
          <w:sz w:val="20"/>
          <w:szCs w:val="20"/>
        </w:rPr>
        <w:t>All areas of trenching on the Golden Crest properties are manually completed using hand tools and are reclaimed as soon as sampling is complete. Revegetation is accomplished utilizing a seed mixture approved by the USFS.</w:t>
      </w:r>
    </w:p>
    <w:p w14:paraId="4793289E" w14:textId="77777777" w:rsidR="00000000" w:rsidRDefault="0015578C">
      <w:pPr>
        <w:pStyle w:val="a3"/>
        <w:spacing w:before="0" w:beforeAutospacing="0" w:after="0" w:afterAutospacing="0"/>
        <w:jc w:val="both"/>
        <w:rPr>
          <w:sz w:val="20"/>
          <w:szCs w:val="20"/>
        </w:rPr>
      </w:pPr>
      <w:r>
        <w:rPr>
          <w:sz w:val="20"/>
          <w:szCs w:val="20"/>
        </w:rPr>
        <w:t> </w:t>
      </w:r>
    </w:p>
    <w:p w14:paraId="738A16BA" w14:textId="77777777" w:rsidR="00000000" w:rsidRDefault="0015578C">
      <w:pPr>
        <w:pStyle w:val="a3"/>
        <w:spacing w:before="0" w:beforeAutospacing="0" w:after="0" w:afterAutospacing="0"/>
        <w:jc w:val="both"/>
        <w:rPr>
          <w:sz w:val="20"/>
          <w:szCs w:val="20"/>
        </w:rPr>
      </w:pPr>
      <w:r>
        <w:rPr>
          <w:sz w:val="20"/>
          <w:szCs w:val="20"/>
        </w:rPr>
        <w:t xml:space="preserve">7. </w:t>
      </w:r>
      <w:r>
        <w:rPr>
          <w:sz w:val="20"/>
          <w:szCs w:val="20"/>
          <w:u w:val="single"/>
        </w:rPr>
        <w:t>Drilling</w:t>
      </w:r>
      <w:r>
        <w:rPr>
          <w:sz w:val="20"/>
          <w:szCs w:val="20"/>
        </w:rPr>
        <w:t>:</w:t>
      </w:r>
    </w:p>
    <w:p w14:paraId="1396DBE7" w14:textId="77777777" w:rsidR="00000000" w:rsidRDefault="0015578C">
      <w:pPr>
        <w:pStyle w:val="a3"/>
        <w:spacing w:before="0" w:beforeAutospacing="0" w:after="0" w:afterAutospacing="0"/>
        <w:jc w:val="both"/>
        <w:rPr>
          <w:sz w:val="20"/>
          <w:szCs w:val="20"/>
        </w:rPr>
      </w:pPr>
      <w:r>
        <w:rPr>
          <w:sz w:val="20"/>
          <w:szCs w:val="20"/>
        </w:rPr>
        <w:t> </w:t>
      </w:r>
    </w:p>
    <w:p w14:paraId="1D7EE9FD" w14:textId="77777777" w:rsidR="00000000" w:rsidRDefault="0015578C">
      <w:pPr>
        <w:pStyle w:val="a3"/>
        <w:spacing w:before="0" w:beforeAutospacing="0" w:after="0" w:afterAutospacing="0"/>
        <w:ind w:firstLine="675"/>
        <w:jc w:val="both"/>
        <w:rPr>
          <w:sz w:val="20"/>
          <w:szCs w:val="20"/>
        </w:rPr>
      </w:pPr>
      <w:r>
        <w:rPr>
          <w:sz w:val="20"/>
          <w:szCs w:val="20"/>
        </w:rPr>
        <w:t>No d</w:t>
      </w:r>
      <w:r>
        <w:rPr>
          <w:sz w:val="20"/>
          <w:szCs w:val="20"/>
        </w:rPr>
        <w:t>rilling has been conducted at the Golden Crest project by Solitario but is scheduled to begin before the end of the second quarter of 2023, pending permit approvals (see Exploration and Development section below).</w:t>
      </w:r>
    </w:p>
    <w:p w14:paraId="28E343D0" w14:textId="77777777" w:rsidR="00000000" w:rsidRDefault="0015578C">
      <w:pPr>
        <w:pStyle w:val="a3"/>
        <w:spacing w:before="0" w:beforeAutospacing="0" w:after="0" w:afterAutospacing="0"/>
        <w:jc w:val="both"/>
        <w:rPr>
          <w:sz w:val="20"/>
          <w:szCs w:val="20"/>
        </w:rPr>
      </w:pPr>
      <w:r>
        <w:rPr>
          <w:sz w:val="20"/>
          <w:szCs w:val="20"/>
        </w:rPr>
        <w:t> </w:t>
      </w:r>
    </w:p>
    <w:p w14:paraId="31AD3F2E" w14:textId="77777777" w:rsidR="00000000" w:rsidRDefault="0015578C">
      <w:pPr>
        <w:pStyle w:val="a3"/>
        <w:spacing w:before="0" w:beforeAutospacing="0" w:after="0" w:afterAutospacing="0"/>
        <w:jc w:val="both"/>
        <w:rPr>
          <w:sz w:val="20"/>
          <w:szCs w:val="20"/>
        </w:rPr>
      </w:pPr>
      <w:r>
        <w:rPr>
          <w:sz w:val="20"/>
          <w:szCs w:val="20"/>
        </w:rPr>
        <w:t xml:space="preserve">8. </w:t>
      </w:r>
      <w:r>
        <w:rPr>
          <w:sz w:val="20"/>
          <w:szCs w:val="20"/>
          <w:u w:val="single"/>
        </w:rPr>
        <w:t>Sampling, Analysis and Security of Sa</w:t>
      </w:r>
      <w:r>
        <w:rPr>
          <w:sz w:val="20"/>
          <w:szCs w:val="20"/>
          <w:u w:val="single"/>
        </w:rPr>
        <w:t>mples</w:t>
      </w:r>
    </w:p>
    <w:p w14:paraId="5E5D9F86" w14:textId="77777777" w:rsidR="00000000" w:rsidRDefault="0015578C">
      <w:pPr>
        <w:pStyle w:val="a3"/>
        <w:spacing w:before="0" w:beforeAutospacing="0" w:after="0" w:afterAutospacing="0"/>
        <w:jc w:val="both"/>
        <w:rPr>
          <w:sz w:val="20"/>
          <w:szCs w:val="20"/>
        </w:rPr>
      </w:pPr>
      <w:r>
        <w:rPr>
          <w:sz w:val="20"/>
          <w:szCs w:val="20"/>
        </w:rPr>
        <w:t> </w:t>
      </w:r>
    </w:p>
    <w:p w14:paraId="48BDD363" w14:textId="77777777" w:rsidR="00000000" w:rsidRDefault="0015578C">
      <w:pPr>
        <w:pStyle w:val="a3"/>
        <w:spacing w:before="0" w:beforeAutospacing="0" w:after="0" w:afterAutospacing="0"/>
        <w:ind w:firstLine="675"/>
        <w:jc w:val="both"/>
        <w:rPr>
          <w:sz w:val="20"/>
          <w:szCs w:val="20"/>
        </w:rPr>
      </w:pPr>
      <w:r>
        <w:rPr>
          <w:sz w:val="20"/>
          <w:szCs w:val="20"/>
        </w:rPr>
        <w:t>The collection of all select surface grab rock samples was supervised by project geologists, including chain of custody. Rock grab samples were reconnaissance select composite samples that usually displayed alteration, typically silicification, and</w:t>
      </w:r>
      <w:r>
        <w:rPr>
          <w:sz w:val="20"/>
          <w:szCs w:val="20"/>
        </w:rPr>
        <w:t xml:space="preserve"> hydrothermal brecciation. Many of the select grab samples were rock float. These samples were derived from the underlying bedrock in the immediate area, with little transport due to the subdued relief. In all cases the samples are composites within a smal</w:t>
      </w:r>
      <w:r>
        <w:rPr>
          <w:sz w:val="20"/>
          <w:szCs w:val="20"/>
        </w:rPr>
        <w:t>l area of less than one-square meter or composites of sub-crop or outcrop. The significance of these samples is limited to determining whether gold, or trace elements usually associated with gold, are present within rocks affected by hydrothermal alteratio</w:t>
      </w:r>
      <w:r>
        <w:rPr>
          <w:sz w:val="20"/>
          <w:szCs w:val="20"/>
        </w:rPr>
        <w:t>n fluids and assay results may not be representative of, nor verify economically mineable mineralization at depth.</w:t>
      </w:r>
    </w:p>
    <w:p w14:paraId="35635289" w14:textId="77777777" w:rsidR="00000000" w:rsidRDefault="0015578C">
      <w:pPr>
        <w:pStyle w:val="a3"/>
        <w:spacing w:before="0" w:beforeAutospacing="0" w:after="0" w:afterAutospacing="0"/>
        <w:jc w:val="both"/>
        <w:rPr>
          <w:sz w:val="20"/>
          <w:szCs w:val="20"/>
        </w:rPr>
      </w:pPr>
      <w:r>
        <w:rPr>
          <w:sz w:val="20"/>
          <w:szCs w:val="20"/>
        </w:rPr>
        <w:t> </w:t>
      </w:r>
    </w:p>
    <w:p w14:paraId="3E6215E1" w14:textId="77777777" w:rsidR="00000000" w:rsidRDefault="0015578C">
      <w:pPr>
        <w:pStyle w:val="a3"/>
        <w:spacing w:before="0" w:beforeAutospacing="0" w:after="0" w:afterAutospacing="0"/>
        <w:ind w:firstLine="675"/>
        <w:jc w:val="both"/>
        <w:rPr>
          <w:sz w:val="20"/>
          <w:szCs w:val="20"/>
        </w:rPr>
      </w:pPr>
      <w:r>
        <w:rPr>
          <w:sz w:val="20"/>
          <w:szCs w:val="20"/>
        </w:rPr>
        <w:t>Chip-channel and trenching and composite samples were more systematically collected as a measured continuous sample of bedrock, Bedrock + w</w:t>
      </w:r>
      <w:r>
        <w:rPr>
          <w:sz w:val="20"/>
          <w:szCs w:val="20"/>
        </w:rPr>
        <w:t>eathered bedrock and weathered bedrock. The chip channel assays are thought to be the most representative of bedrock mineralization in comparison to trench samples that contained weathered bedrock and/or soil. In all cases, chip channel and trenching sampl</w:t>
      </w:r>
      <w:r>
        <w:rPr>
          <w:sz w:val="20"/>
          <w:szCs w:val="20"/>
        </w:rPr>
        <w:t>es are considered more representative than select grab samples. Samples were analyzed by ALS Laboratories in Reno, NV, a laboratory accredited in accordance with the standards of ISO 17025:2017. The samples were crushed and pulverized, and sample pulps wer</w:t>
      </w:r>
      <w:r>
        <w:rPr>
          <w:sz w:val="20"/>
          <w:szCs w:val="20"/>
        </w:rPr>
        <w:t>e analyzed using industry standard fire assay methods. A certified reference sample or duplicate was inserted at least every 20th sample.</w:t>
      </w:r>
    </w:p>
    <w:p w14:paraId="53EE36D9"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54B1AD8" w14:textId="77777777">
        <w:trPr>
          <w:trHeight w:val="225"/>
          <w:tblCellSpacing w:w="15" w:type="dxa"/>
        </w:trPr>
        <w:tc>
          <w:tcPr>
            <w:tcW w:w="0" w:type="auto"/>
            <w:vAlign w:val="center"/>
            <w:hideMark/>
          </w:tcPr>
          <w:p w14:paraId="74BB0210" w14:textId="77777777" w:rsidR="00000000" w:rsidRDefault="0015578C">
            <w:pPr>
              <w:rPr>
                <w:rFonts w:eastAsia="Times New Roman"/>
                <w:sz w:val="20"/>
                <w:szCs w:val="20"/>
              </w:rPr>
            </w:pPr>
            <w:r>
              <w:rPr>
                <w:rFonts w:eastAsia="Times New Roman"/>
                <w:sz w:val="20"/>
                <w:szCs w:val="20"/>
              </w:rPr>
              <w:t> </w:t>
            </w:r>
          </w:p>
        </w:tc>
      </w:tr>
      <w:tr w:rsidR="00000000" w14:paraId="727AD94C" w14:textId="77777777">
        <w:trPr>
          <w:trHeight w:val="225"/>
          <w:tblCellSpacing w:w="15" w:type="dxa"/>
        </w:trPr>
        <w:tc>
          <w:tcPr>
            <w:tcW w:w="0" w:type="auto"/>
            <w:tcBorders>
              <w:bottom w:val="single" w:sz="6" w:space="0" w:color="000000"/>
            </w:tcBorders>
            <w:vAlign w:val="center"/>
            <w:hideMark/>
          </w:tcPr>
          <w:p w14:paraId="6D51B432" w14:textId="77777777" w:rsidR="00000000" w:rsidRDefault="0015578C">
            <w:pPr>
              <w:jc w:val="center"/>
              <w:rPr>
                <w:rFonts w:eastAsia="Times New Roman"/>
                <w:sz w:val="20"/>
                <w:szCs w:val="20"/>
              </w:rPr>
            </w:pPr>
            <w:r>
              <w:rPr>
                <w:rFonts w:eastAsia="Times New Roman"/>
                <w:sz w:val="20"/>
                <w:szCs w:val="20"/>
              </w:rPr>
              <w:t>19</w:t>
            </w:r>
          </w:p>
        </w:tc>
      </w:tr>
      <w:tr w:rsidR="00000000" w14:paraId="0C4F61BA" w14:textId="77777777">
        <w:trPr>
          <w:trHeight w:val="225"/>
          <w:tblCellSpacing w:w="15" w:type="dxa"/>
        </w:trPr>
        <w:tc>
          <w:tcPr>
            <w:tcW w:w="0" w:type="auto"/>
            <w:vAlign w:val="center"/>
            <w:hideMark/>
          </w:tcPr>
          <w:p w14:paraId="6DEF319E" w14:textId="77777777" w:rsidR="00000000" w:rsidRDefault="0015578C">
            <w:pPr>
              <w:rPr>
                <w:rFonts w:eastAsia="Times New Roman"/>
                <w:sz w:val="20"/>
                <w:szCs w:val="20"/>
              </w:rPr>
            </w:pPr>
          </w:p>
        </w:tc>
      </w:tr>
      <w:tr w:rsidR="00000000" w14:paraId="25570DF6" w14:textId="77777777">
        <w:trPr>
          <w:trHeight w:val="225"/>
          <w:tblCellSpacing w:w="15" w:type="dxa"/>
        </w:trPr>
        <w:tc>
          <w:tcPr>
            <w:tcW w:w="0" w:type="auto"/>
            <w:vAlign w:val="center"/>
            <w:hideMark/>
          </w:tcPr>
          <w:p w14:paraId="5C64E2A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7BF572F" w14:textId="77777777" w:rsidR="00000000" w:rsidRDefault="0015578C">
      <w:pPr>
        <w:pStyle w:val="a3"/>
        <w:spacing w:before="0" w:beforeAutospacing="0" w:after="0" w:afterAutospacing="0"/>
        <w:jc w:val="both"/>
        <w:rPr>
          <w:sz w:val="20"/>
          <w:szCs w:val="20"/>
        </w:rPr>
      </w:pPr>
      <w:r>
        <w:rPr>
          <w:sz w:val="20"/>
          <w:szCs w:val="20"/>
        </w:rPr>
        <w:t> </w:t>
      </w:r>
    </w:p>
    <w:p w14:paraId="22805E1F" w14:textId="77777777" w:rsidR="00000000" w:rsidRDefault="0015578C">
      <w:pPr>
        <w:pStyle w:val="a3"/>
        <w:spacing w:before="0" w:beforeAutospacing="0" w:after="0" w:afterAutospacing="0"/>
        <w:jc w:val="both"/>
        <w:rPr>
          <w:sz w:val="20"/>
          <w:szCs w:val="20"/>
        </w:rPr>
      </w:pPr>
      <w:r>
        <w:rPr>
          <w:sz w:val="20"/>
          <w:szCs w:val="20"/>
        </w:rPr>
        <w:t xml:space="preserve">9. </w:t>
      </w:r>
      <w:r>
        <w:rPr>
          <w:sz w:val="20"/>
          <w:szCs w:val="20"/>
          <w:u w:val="single"/>
        </w:rPr>
        <w:t>Prefeasibility Studies</w:t>
      </w:r>
      <w:r>
        <w:rPr>
          <w:sz w:val="20"/>
          <w:szCs w:val="20"/>
        </w:rPr>
        <w:t>: No prefeasibility studies have been conducted on the Golden Crest project.</w:t>
      </w:r>
    </w:p>
    <w:p w14:paraId="31A7A002" w14:textId="77777777" w:rsidR="00000000" w:rsidRDefault="0015578C">
      <w:pPr>
        <w:pStyle w:val="a3"/>
        <w:spacing w:before="0" w:beforeAutospacing="0" w:after="0" w:afterAutospacing="0"/>
        <w:jc w:val="both"/>
        <w:rPr>
          <w:sz w:val="20"/>
          <w:szCs w:val="20"/>
        </w:rPr>
      </w:pPr>
      <w:r>
        <w:rPr>
          <w:sz w:val="20"/>
          <w:szCs w:val="20"/>
        </w:rPr>
        <w:t> </w:t>
      </w:r>
    </w:p>
    <w:p w14:paraId="06B230EA" w14:textId="77777777" w:rsidR="00000000" w:rsidRDefault="0015578C">
      <w:pPr>
        <w:pStyle w:val="a3"/>
        <w:spacing w:before="0" w:beforeAutospacing="0" w:after="0" w:afterAutospacing="0"/>
        <w:jc w:val="both"/>
        <w:rPr>
          <w:sz w:val="20"/>
          <w:szCs w:val="20"/>
        </w:rPr>
      </w:pPr>
      <w:r>
        <w:rPr>
          <w:sz w:val="20"/>
          <w:szCs w:val="20"/>
        </w:rPr>
        <w:t xml:space="preserve">10. </w:t>
      </w:r>
      <w:r>
        <w:rPr>
          <w:sz w:val="20"/>
          <w:szCs w:val="20"/>
          <w:u w:val="single"/>
        </w:rPr>
        <w:t>Reserves and Resources</w:t>
      </w:r>
      <w:r>
        <w:rPr>
          <w:sz w:val="20"/>
          <w:szCs w:val="20"/>
        </w:rPr>
        <w:t>: There are no reported mineral reserves or mineral resources on the Golden Crest Project.</w:t>
      </w:r>
    </w:p>
    <w:p w14:paraId="7D0B3FB8" w14:textId="77777777" w:rsidR="00000000" w:rsidRDefault="0015578C">
      <w:pPr>
        <w:pStyle w:val="a3"/>
        <w:spacing w:before="0" w:beforeAutospacing="0" w:after="0" w:afterAutospacing="0"/>
        <w:jc w:val="both"/>
        <w:rPr>
          <w:sz w:val="20"/>
          <w:szCs w:val="20"/>
        </w:rPr>
      </w:pPr>
      <w:r>
        <w:rPr>
          <w:sz w:val="20"/>
          <w:szCs w:val="20"/>
        </w:rPr>
        <w:t> </w:t>
      </w:r>
    </w:p>
    <w:p w14:paraId="33987752" w14:textId="77777777" w:rsidR="00000000" w:rsidRDefault="0015578C">
      <w:pPr>
        <w:pStyle w:val="a3"/>
        <w:spacing w:before="0" w:beforeAutospacing="0" w:after="0" w:afterAutospacing="0"/>
        <w:jc w:val="both"/>
        <w:rPr>
          <w:sz w:val="20"/>
          <w:szCs w:val="20"/>
        </w:rPr>
      </w:pPr>
      <w:r>
        <w:rPr>
          <w:sz w:val="20"/>
          <w:szCs w:val="20"/>
        </w:rPr>
        <w:t>11. Drill Hole Permitting, General Reclamation and ESG</w:t>
      </w:r>
    </w:p>
    <w:p w14:paraId="7B2659D4" w14:textId="77777777" w:rsidR="00000000" w:rsidRDefault="0015578C">
      <w:pPr>
        <w:pStyle w:val="a3"/>
        <w:spacing w:before="0" w:beforeAutospacing="0" w:after="0" w:afterAutospacing="0"/>
        <w:jc w:val="both"/>
        <w:rPr>
          <w:sz w:val="20"/>
          <w:szCs w:val="20"/>
        </w:rPr>
      </w:pPr>
      <w:r>
        <w:rPr>
          <w:sz w:val="20"/>
          <w:szCs w:val="20"/>
        </w:rPr>
        <w:t> </w:t>
      </w:r>
    </w:p>
    <w:p w14:paraId="09512071" w14:textId="77777777" w:rsidR="00000000" w:rsidRDefault="0015578C">
      <w:pPr>
        <w:pStyle w:val="a3"/>
        <w:spacing w:before="0" w:beforeAutospacing="0" w:after="0" w:afterAutospacing="0"/>
        <w:ind w:firstLine="675"/>
        <w:jc w:val="both"/>
        <w:rPr>
          <w:sz w:val="20"/>
          <w:szCs w:val="20"/>
        </w:rPr>
      </w:pPr>
      <w:r>
        <w:rPr>
          <w:sz w:val="20"/>
          <w:szCs w:val="20"/>
        </w:rPr>
        <w:t>S</w:t>
      </w:r>
      <w:r>
        <w:rPr>
          <w:sz w:val="20"/>
          <w:szCs w:val="20"/>
        </w:rPr>
        <w:t>olitario submitted a Plan of Operations (“POO”) to the USFS in late-2021 for 25 widely spaced drill hole locations throughout our property position. After USFS comments, and Solitario responses to those comments, the POO was deemed complete in May of 2022.</w:t>
      </w:r>
      <w:r>
        <w:rPr>
          <w:sz w:val="20"/>
          <w:szCs w:val="20"/>
        </w:rPr>
        <w:t xml:space="preserve"> Respec Company LLC (“Respec”) was engaged by the USFS to complete an Environmental Assessment (“EA”) on Solitario’s proposed POO activities. A draft EA is nearing completion. After a comment period the USFS, in coordination with Respec, will analyze and p</w:t>
      </w:r>
      <w:r>
        <w:rPr>
          <w:sz w:val="20"/>
          <w:szCs w:val="20"/>
        </w:rPr>
        <w:t>repare responses to the public comments, make any required changes to the analysis, prepare a final EA and determine if a Finding of No Significant Impact (FONSI) is appropriate. A USFS decision and an administrative record is anticipated to be filed by th</w:t>
      </w:r>
      <w:r>
        <w:rPr>
          <w:sz w:val="20"/>
          <w:szCs w:val="20"/>
        </w:rPr>
        <w:t>e end of the second quarter 2023.</w:t>
      </w:r>
    </w:p>
    <w:p w14:paraId="08563D6F" w14:textId="77777777" w:rsidR="00000000" w:rsidRDefault="0015578C">
      <w:pPr>
        <w:pStyle w:val="a3"/>
        <w:spacing w:before="0" w:beforeAutospacing="0" w:after="0" w:afterAutospacing="0"/>
        <w:jc w:val="both"/>
        <w:rPr>
          <w:sz w:val="20"/>
          <w:szCs w:val="20"/>
        </w:rPr>
      </w:pPr>
      <w:r>
        <w:rPr>
          <w:sz w:val="20"/>
          <w:szCs w:val="20"/>
        </w:rPr>
        <w:t> </w:t>
      </w:r>
    </w:p>
    <w:p w14:paraId="6F7F8F82" w14:textId="77777777" w:rsidR="00000000" w:rsidRDefault="0015578C">
      <w:pPr>
        <w:pStyle w:val="a3"/>
        <w:spacing w:before="0" w:beforeAutospacing="0" w:after="0" w:afterAutospacing="0"/>
        <w:ind w:firstLine="675"/>
        <w:jc w:val="both"/>
        <w:rPr>
          <w:sz w:val="20"/>
          <w:szCs w:val="20"/>
        </w:rPr>
      </w:pPr>
      <w:r>
        <w:rPr>
          <w:sz w:val="20"/>
          <w:szCs w:val="20"/>
        </w:rPr>
        <w:t>Solitario is committed to a “best practices” policy for all of its exploration activities, whether on private or public lands. For example, all proposed drill hole locations will be located adjacent to or on logging road</w:t>
      </w:r>
      <w:r>
        <w:rPr>
          <w:sz w:val="20"/>
          <w:szCs w:val="20"/>
        </w:rPr>
        <w:t>s or other logging related surface disturbances. In this way drill hole sites will minimize or eliminate new surface disturbance on public land. All rock and soil sampling, as well as hand-tool trenching, conducted to date has been reclaimed as soon as pra</w:t>
      </w:r>
      <w:r>
        <w:rPr>
          <w:sz w:val="20"/>
          <w:szCs w:val="20"/>
        </w:rPr>
        <w:t xml:space="preserve">ctical after taking of surface samples. We have monitored the impacts of these activities, and in all instances, virtually no visual impacts exist after completion of reclamation. Drilling proposed under the POO and analyzed in the EA will be conducted in </w:t>
      </w:r>
      <w:r>
        <w:rPr>
          <w:sz w:val="20"/>
          <w:szCs w:val="20"/>
        </w:rPr>
        <w:t>accordance with the provisions of the decision document issued by the USFS and any state permits granted for proposed actions.</w:t>
      </w:r>
    </w:p>
    <w:p w14:paraId="0BB1534F" w14:textId="77777777" w:rsidR="00000000" w:rsidRDefault="0015578C">
      <w:pPr>
        <w:pStyle w:val="a3"/>
        <w:spacing w:before="0" w:beforeAutospacing="0" w:after="0" w:afterAutospacing="0"/>
        <w:jc w:val="both"/>
        <w:rPr>
          <w:sz w:val="20"/>
          <w:szCs w:val="20"/>
        </w:rPr>
      </w:pPr>
      <w:r>
        <w:rPr>
          <w:sz w:val="20"/>
          <w:szCs w:val="20"/>
        </w:rPr>
        <w:t> </w:t>
      </w:r>
    </w:p>
    <w:p w14:paraId="2CD5B286" w14:textId="77777777" w:rsidR="00000000" w:rsidRDefault="0015578C">
      <w:pPr>
        <w:pStyle w:val="a3"/>
        <w:spacing w:before="0" w:beforeAutospacing="0" w:after="0" w:afterAutospacing="0"/>
        <w:jc w:val="both"/>
        <w:rPr>
          <w:sz w:val="20"/>
          <w:szCs w:val="20"/>
        </w:rPr>
      </w:pPr>
      <w:r>
        <w:rPr>
          <w:sz w:val="20"/>
          <w:szCs w:val="20"/>
        </w:rPr>
        <w:t xml:space="preserve">12. </w:t>
      </w:r>
      <w:r>
        <w:rPr>
          <w:sz w:val="20"/>
          <w:szCs w:val="20"/>
          <w:u w:val="single"/>
        </w:rPr>
        <w:t>Planned Exploration and Development</w:t>
      </w:r>
    </w:p>
    <w:p w14:paraId="1D2E9AB2" w14:textId="77777777" w:rsidR="00000000" w:rsidRDefault="0015578C">
      <w:pPr>
        <w:pStyle w:val="a3"/>
        <w:spacing w:before="0" w:beforeAutospacing="0" w:after="0" w:afterAutospacing="0"/>
        <w:jc w:val="both"/>
        <w:rPr>
          <w:sz w:val="20"/>
          <w:szCs w:val="20"/>
        </w:rPr>
      </w:pPr>
      <w:r>
        <w:rPr>
          <w:sz w:val="20"/>
          <w:szCs w:val="20"/>
        </w:rPr>
        <w:t> </w:t>
      </w:r>
    </w:p>
    <w:p w14:paraId="1FF1543D" w14:textId="77777777" w:rsidR="00000000" w:rsidRDefault="0015578C">
      <w:pPr>
        <w:pStyle w:val="a3"/>
        <w:spacing w:before="0" w:beforeAutospacing="0" w:after="0" w:afterAutospacing="0"/>
        <w:ind w:firstLine="675"/>
        <w:jc w:val="both"/>
        <w:rPr>
          <w:sz w:val="20"/>
          <w:szCs w:val="20"/>
        </w:rPr>
      </w:pPr>
      <w:r>
        <w:rPr>
          <w:sz w:val="20"/>
          <w:szCs w:val="20"/>
        </w:rPr>
        <w:t>For 2023, Solitario is planning to conduct a 4,000-5,000-meter drilling program consisting of approximately eight to twelve exploration core holes. The initiation of this program is dependent upon receiving permit approvals, which are expected before the e</w:t>
      </w:r>
      <w:r>
        <w:rPr>
          <w:sz w:val="20"/>
          <w:szCs w:val="20"/>
        </w:rPr>
        <w:t>nd of the second quarter of 2023 (see Section 11 above for drill hole permitting process and status). Solitario will also continue its surface exploration program at the Golden Crest project consisting of prospecting for new areas of mineralization through</w:t>
      </w:r>
      <w:r>
        <w:rPr>
          <w:sz w:val="20"/>
          <w:szCs w:val="20"/>
        </w:rPr>
        <w:t xml:space="preserve"> the collection of select rock grab samples, systematic soil sampling, trenching and geophysics.</w:t>
      </w:r>
    </w:p>
    <w:p w14:paraId="08397D22" w14:textId="77777777" w:rsidR="00000000" w:rsidRDefault="0015578C">
      <w:pPr>
        <w:pStyle w:val="a3"/>
        <w:spacing w:before="0" w:beforeAutospacing="0" w:after="0" w:afterAutospacing="0"/>
        <w:jc w:val="both"/>
        <w:rPr>
          <w:sz w:val="20"/>
          <w:szCs w:val="20"/>
        </w:rPr>
      </w:pPr>
      <w:r>
        <w:rPr>
          <w:sz w:val="20"/>
          <w:szCs w:val="20"/>
        </w:rPr>
        <w:t> </w:t>
      </w:r>
    </w:p>
    <w:p w14:paraId="20823415" w14:textId="77777777" w:rsidR="00000000" w:rsidRDefault="0015578C">
      <w:pPr>
        <w:pStyle w:val="a3"/>
        <w:spacing w:before="0" w:beforeAutospacing="0" w:after="0" w:afterAutospacing="0"/>
        <w:jc w:val="both"/>
        <w:rPr>
          <w:sz w:val="20"/>
          <w:szCs w:val="20"/>
        </w:rPr>
      </w:pPr>
      <w:r>
        <w:rPr>
          <w:rStyle w:val="a4"/>
          <w:sz w:val="20"/>
          <w:szCs w:val="20"/>
        </w:rPr>
        <w:t>Florida Canyon Zinc Project (Peru)</w:t>
      </w:r>
    </w:p>
    <w:p w14:paraId="3E14BBFB" w14:textId="77777777" w:rsidR="00000000" w:rsidRDefault="0015578C">
      <w:pPr>
        <w:pStyle w:val="a3"/>
        <w:spacing w:before="0" w:beforeAutospacing="0" w:after="0" w:afterAutospacing="0"/>
        <w:jc w:val="both"/>
        <w:rPr>
          <w:sz w:val="20"/>
          <w:szCs w:val="20"/>
        </w:rPr>
      </w:pPr>
      <w:r>
        <w:rPr>
          <w:sz w:val="20"/>
          <w:szCs w:val="20"/>
        </w:rPr>
        <w:t> </w:t>
      </w:r>
    </w:p>
    <w:p w14:paraId="3C7C686C" w14:textId="77777777" w:rsidR="00000000" w:rsidRDefault="0015578C">
      <w:pPr>
        <w:pStyle w:val="a3"/>
        <w:spacing w:before="0" w:beforeAutospacing="0" w:after="0" w:afterAutospacing="0"/>
        <w:ind w:firstLine="675"/>
        <w:jc w:val="both"/>
        <w:rPr>
          <w:sz w:val="20"/>
          <w:szCs w:val="20"/>
        </w:rPr>
      </w:pPr>
      <w:r>
        <w:rPr>
          <w:sz w:val="20"/>
          <w:szCs w:val="20"/>
        </w:rPr>
        <w:t xml:space="preserve">Gustavson &amp; Associates completed the S-K 1300 Florida Canyon TRS which is entitled </w:t>
      </w:r>
      <w:r>
        <w:rPr>
          <w:rStyle w:val="a7"/>
          <w:sz w:val="20"/>
          <w:szCs w:val="20"/>
        </w:rPr>
        <w:t>S-K 1300 Technical Report Summary Flo</w:t>
      </w:r>
      <w:r>
        <w:rPr>
          <w:rStyle w:val="a7"/>
          <w:sz w:val="20"/>
          <w:szCs w:val="20"/>
        </w:rPr>
        <w:t>rida Canyon Zinc Project,Amazonas Department, Peru; Effective Date: February 1, 2022, Report Date: March 15, 2022.</w:t>
      </w:r>
    </w:p>
    <w:p w14:paraId="0BBEC1B7" w14:textId="77777777" w:rsidR="00000000" w:rsidRDefault="0015578C">
      <w:pPr>
        <w:pStyle w:val="a3"/>
        <w:spacing w:before="0" w:beforeAutospacing="0" w:after="0" w:afterAutospacing="0"/>
        <w:jc w:val="both"/>
        <w:rPr>
          <w:sz w:val="20"/>
          <w:szCs w:val="20"/>
        </w:rPr>
      </w:pPr>
      <w:r>
        <w:rPr>
          <w:sz w:val="20"/>
          <w:szCs w:val="20"/>
        </w:rPr>
        <w:t> </w:t>
      </w:r>
    </w:p>
    <w:p w14:paraId="301A5216" w14:textId="77777777" w:rsidR="00000000" w:rsidRDefault="0015578C">
      <w:pPr>
        <w:pStyle w:val="a3"/>
        <w:spacing w:before="0" w:beforeAutospacing="0" w:after="0" w:afterAutospacing="0"/>
        <w:ind w:firstLine="675"/>
        <w:jc w:val="both"/>
        <w:rPr>
          <w:sz w:val="20"/>
          <w:szCs w:val="20"/>
        </w:rPr>
      </w:pPr>
      <w:r>
        <w:rPr>
          <w:sz w:val="20"/>
          <w:szCs w:val="20"/>
        </w:rPr>
        <w:t>The following summary descriptions of the Florida Canyon project does not purport to be a complete description and is qualified in its enti</w:t>
      </w:r>
      <w:r>
        <w:rPr>
          <w:sz w:val="20"/>
          <w:szCs w:val="20"/>
        </w:rPr>
        <w:t>rety by reference to the full text of the S-K 1300 Florida Canyon TRS, which is incorporated by reference as Exhibit 96.1 to this Annual Report on Form 10-K. There has not been material change in the mineral reserves or mineral resources for the Florida Ca</w:t>
      </w:r>
      <w:r>
        <w:rPr>
          <w:sz w:val="20"/>
          <w:szCs w:val="20"/>
        </w:rPr>
        <w:t>nyon Zinc project since the date of the last technical report summary for the property.</w:t>
      </w:r>
    </w:p>
    <w:p w14:paraId="7CCBF03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24F2DA4" w14:textId="77777777">
        <w:trPr>
          <w:trHeight w:val="225"/>
          <w:tblCellSpacing w:w="15" w:type="dxa"/>
        </w:trPr>
        <w:tc>
          <w:tcPr>
            <w:tcW w:w="0" w:type="auto"/>
            <w:vAlign w:val="center"/>
            <w:hideMark/>
          </w:tcPr>
          <w:p w14:paraId="36CAEF68" w14:textId="77777777" w:rsidR="00000000" w:rsidRDefault="0015578C">
            <w:pPr>
              <w:rPr>
                <w:rFonts w:eastAsia="Times New Roman"/>
                <w:sz w:val="20"/>
                <w:szCs w:val="20"/>
              </w:rPr>
            </w:pPr>
            <w:r>
              <w:rPr>
                <w:rFonts w:eastAsia="Times New Roman"/>
                <w:sz w:val="20"/>
                <w:szCs w:val="20"/>
              </w:rPr>
              <w:t> </w:t>
            </w:r>
          </w:p>
        </w:tc>
      </w:tr>
      <w:tr w:rsidR="00000000" w14:paraId="7CDC6D53" w14:textId="77777777">
        <w:trPr>
          <w:trHeight w:val="225"/>
          <w:tblCellSpacing w:w="15" w:type="dxa"/>
        </w:trPr>
        <w:tc>
          <w:tcPr>
            <w:tcW w:w="0" w:type="auto"/>
            <w:tcBorders>
              <w:bottom w:val="single" w:sz="6" w:space="0" w:color="000000"/>
            </w:tcBorders>
            <w:vAlign w:val="center"/>
            <w:hideMark/>
          </w:tcPr>
          <w:p w14:paraId="5296C3A5" w14:textId="77777777" w:rsidR="00000000" w:rsidRDefault="0015578C">
            <w:pPr>
              <w:jc w:val="center"/>
              <w:rPr>
                <w:rFonts w:eastAsia="Times New Roman"/>
                <w:sz w:val="20"/>
                <w:szCs w:val="20"/>
              </w:rPr>
            </w:pPr>
            <w:r>
              <w:rPr>
                <w:rFonts w:eastAsia="Times New Roman"/>
                <w:sz w:val="20"/>
                <w:szCs w:val="20"/>
              </w:rPr>
              <w:t>20</w:t>
            </w:r>
          </w:p>
        </w:tc>
      </w:tr>
      <w:tr w:rsidR="00000000" w14:paraId="524C1C30" w14:textId="77777777">
        <w:trPr>
          <w:trHeight w:val="225"/>
          <w:tblCellSpacing w:w="15" w:type="dxa"/>
        </w:trPr>
        <w:tc>
          <w:tcPr>
            <w:tcW w:w="0" w:type="auto"/>
            <w:vAlign w:val="center"/>
            <w:hideMark/>
          </w:tcPr>
          <w:p w14:paraId="2F5B07EF" w14:textId="77777777" w:rsidR="00000000" w:rsidRDefault="0015578C">
            <w:pPr>
              <w:rPr>
                <w:rFonts w:eastAsia="Times New Roman"/>
                <w:sz w:val="20"/>
                <w:szCs w:val="20"/>
              </w:rPr>
            </w:pPr>
          </w:p>
        </w:tc>
      </w:tr>
      <w:tr w:rsidR="00000000" w14:paraId="1D9A8E87" w14:textId="77777777">
        <w:trPr>
          <w:trHeight w:val="225"/>
          <w:tblCellSpacing w:w="15" w:type="dxa"/>
        </w:trPr>
        <w:tc>
          <w:tcPr>
            <w:tcW w:w="0" w:type="auto"/>
            <w:vAlign w:val="center"/>
            <w:hideMark/>
          </w:tcPr>
          <w:p w14:paraId="4CE2386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4D5A92FB" w14:textId="77777777" w:rsidR="00000000" w:rsidRDefault="0015578C">
      <w:pPr>
        <w:pStyle w:val="a3"/>
        <w:spacing w:before="0" w:beforeAutospacing="0" w:after="0" w:afterAutospacing="0"/>
        <w:jc w:val="both"/>
        <w:rPr>
          <w:sz w:val="20"/>
          <w:szCs w:val="20"/>
        </w:rPr>
      </w:pPr>
      <w:r>
        <w:rPr>
          <w:sz w:val="20"/>
          <w:szCs w:val="20"/>
        </w:rPr>
        <w:t> </w:t>
      </w:r>
    </w:p>
    <w:p w14:paraId="26C57B08" w14:textId="77777777" w:rsidR="00000000" w:rsidRDefault="0015578C">
      <w:pPr>
        <w:pStyle w:val="a3"/>
        <w:spacing w:before="0" w:beforeAutospacing="0" w:after="0" w:afterAutospacing="0"/>
        <w:jc w:val="both"/>
        <w:rPr>
          <w:sz w:val="20"/>
          <w:szCs w:val="20"/>
        </w:rPr>
      </w:pPr>
      <w:r>
        <w:rPr>
          <w:sz w:val="20"/>
          <w:szCs w:val="20"/>
        </w:rPr>
        <w:t xml:space="preserve">1. </w:t>
      </w:r>
      <w:r>
        <w:rPr>
          <w:sz w:val="20"/>
          <w:szCs w:val="20"/>
          <w:u w:val="single"/>
        </w:rPr>
        <w:t>Property Description and Location</w:t>
      </w:r>
    </w:p>
    <w:p w14:paraId="010D9F34" w14:textId="77777777" w:rsidR="00000000" w:rsidRDefault="0015578C">
      <w:pPr>
        <w:pStyle w:val="a3"/>
        <w:spacing w:before="0" w:beforeAutospacing="0" w:after="0" w:afterAutospacing="0"/>
        <w:jc w:val="both"/>
        <w:rPr>
          <w:sz w:val="20"/>
          <w:szCs w:val="20"/>
        </w:rPr>
      </w:pPr>
      <w:r>
        <w:rPr>
          <w:sz w:val="20"/>
          <w:szCs w:val="20"/>
        </w:rPr>
        <w:t> </w:t>
      </w:r>
    </w:p>
    <w:p w14:paraId="02A13156" w14:textId="77777777" w:rsidR="00000000" w:rsidRDefault="0015578C">
      <w:pPr>
        <w:pStyle w:val="a3"/>
        <w:spacing w:before="0" w:beforeAutospacing="0" w:after="0" w:afterAutospacing="0"/>
        <w:jc w:val="center"/>
        <w:rPr>
          <w:sz w:val="20"/>
          <w:szCs w:val="20"/>
        </w:rPr>
      </w:pPr>
      <w:r>
        <w:rPr>
          <w:noProof/>
          <w:sz w:val="20"/>
          <w:szCs w:val="20"/>
        </w:rPr>
        <w:drawing>
          <wp:inline distT="0" distB="0" distL="0" distR="0" wp14:anchorId="51FAF4B0" wp14:editId="2389DB15">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EE607E" w14:textId="77777777" w:rsidR="00000000" w:rsidRDefault="0015578C">
      <w:pPr>
        <w:pStyle w:val="a3"/>
        <w:spacing w:before="0" w:beforeAutospacing="0" w:after="0" w:afterAutospacing="0"/>
        <w:jc w:val="center"/>
        <w:rPr>
          <w:sz w:val="20"/>
          <w:szCs w:val="20"/>
        </w:rPr>
      </w:pPr>
      <w:r>
        <w:rPr>
          <w:sz w:val="20"/>
          <w:szCs w:val="20"/>
        </w:rPr>
        <w:t>(Map of Florida Canyon Property, formerly Bongará)</w:t>
      </w:r>
    </w:p>
    <w:p w14:paraId="5FF8CC93" w14:textId="77777777" w:rsidR="00000000" w:rsidRDefault="0015578C">
      <w:pPr>
        <w:pStyle w:val="a3"/>
        <w:spacing w:before="0" w:beforeAutospacing="0" w:after="0" w:afterAutospacing="0"/>
        <w:jc w:val="both"/>
        <w:rPr>
          <w:sz w:val="20"/>
          <w:szCs w:val="20"/>
        </w:rPr>
      </w:pPr>
      <w:r>
        <w:rPr>
          <w:sz w:val="20"/>
          <w:szCs w:val="20"/>
        </w:rPr>
        <w:t> </w:t>
      </w:r>
    </w:p>
    <w:p w14:paraId="66CD0C3A" w14:textId="77777777" w:rsidR="00000000" w:rsidRDefault="0015578C">
      <w:pPr>
        <w:pStyle w:val="a3"/>
        <w:spacing w:before="0" w:beforeAutospacing="0" w:after="0" w:afterAutospacing="0"/>
        <w:ind w:firstLine="675"/>
        <w:jc w:val="both"/>
        <w:rPr>
          <w:sz w:val="20"/>
          <w:szCs w:val="20"/>
        </w:rPr>
      </w:pPr>
      <w:r>
        <w:rPr>
          <w:sz w:val="20"/>
          <w:szCs w:val="20"/>
        </w:rPr>
        <w:t>On August 15, 2006, Solitario signed a Letter Agreement with Votorantim Metais Cajamarquilla, S.A., a wholly-owned subsi</w:t>
      </w:r>
      <w:r>
        <w:rPr>
          <w:sz w:val="20"/>
          <w:szCs w:val="20"/>
        </w:rPr>
        <w:t xml:space="preserve">diary of Votorantim (now known as Nexa) (both companies are referred to in this Item 2 as ”Nexa”) on Solitario's 100%-owned Florida Canyon zinc project (formerly called the Bongará project), On March 24, 2007, Solitario signed the Framework Agreement with </w:t>
      </w:r>
      <w:r>
        <w:rPr>
          <w:sz w:val="20"/>
          <w:szCs w:val="20"/>
        </w:rPr>
        <w:t>Votorantim for the Exploration and Potential Development of Mining Properties (the “Framework Agreement”), pursuant to, and replacing, the 2006 Letter Agreement. In 2015 Votorantim transferred its interest in the Florida Canyon project to Milpo, an 80%-own</w:t>
      </w:r>
      <w:r>
        <w:rPr>
          <w:sz w:val="20"/>
          <w:szCs w:val="20"/>
        </w:rPr>
        <w:t>ed affiliate of Votorantim. In October of 2017, Milpo and Votorantim merged to form Nexa. Nexa is listed on the NYSE under the trading symbol “NEXA.” For the remainder of this Florida Canyon property section, all references to Votorantim, Milpo or Nexa are</w:t>
      </w:r>
      <w:r>
        <w:rPr>
          <w:sz w:val="20"/>
          <w:szCs w:val="20"/>
        </w:rPr>
        <w:t xml:space="preserve"> collectively referred to as Nexa.</w:t>
      </w:r>
    </w:p>
    <w:p w14:paraId="635AEB54" w14:textId="77777777" w:rsidR="00000000" w:rsidRDefault="0015578C">
      <w:pPr>
        <w:pStyle w:val="a3"/>
        <w:spacing w:before="0" w:beforeAutospacing="0" w:after="0" w:afterAutospacing="0"/>
        <w:ind w:firstLine="675"/>
        <w:jc w:val="both"/>
        <w:rPr>
          <w:sz w:val="20"/>
          <w:szCs w:val="20"/>
        </w:rPr>
      </w:pPr>
      <w:r>
        <w:rPr>
          <w:sz w:val="20"/>
          <w:szCs w:val="20"/>
        </w:rPr>
        <w:t> </w:t>
      </w:r>
    </w:p>
    <w:p w14:paraId="3202E2B0" w14:textId="77777777" w:rsidR="00000000" w:rsidRDefault="0015578C">
      <w:pPr>
        <w:pStyle w:val="a3"/>
        <w:spacing w:before="0" w:beforeAutospacing="0" w:after="0" w:afterAutospacing="0"/>
        <w:ind w:firstLine="675"/>
        <w:jc w:val="both"/>
        <w:rPr>
          <w:sz w:val="20"/>
          <w:szCs w:val="20"/>
        </w:rPr>
      </w:pPr>
      <w:r>
        <w:rPr>
          <w:sz w:val="20"/>
          <w:szCs w:val="20"/>
        </w:rPr>
        <w:t>The Florida Canyon project consists of 16 concessions comprising 12,600 hectares of mineral rights originally granted to Minera Bongará S.A., our subsidiary incorporated in Peru. The property is located in the Departmen</w:t>
      </w:r>
      <w:r>
        <w:rPr>
          <w:sz w:val="20"/>
          <w:szCs w:val="20"/>
        </w:rPr>
        <w:t>t of Amazonas, northern Peru. Solitario's and Nexa’s property interests are held through the ownership of shares in Minera Bongará S.A., a joint operating company that holds a 100% interest in the mineral rights and other project assets. Solitario currentl</w:t>
      </w:r>
      <w:r>
        <w:rPr>
          <w:sz w:val="20"/>
          <w:szCs w:val="20"/>
        </w:rPr>
        <w:t>y owns a 39% interest in the Florida Canyon project.</w:t>
      </w:r>
    </w:p>
    <w:p w14:paraId="33BF465E" w14:textId="77777777" w:rsidR="00000000" w:rsidRDefault="0015578C">
      <w:pPr>
        <w:pStyle w:val="a3"/>
        <w:spacing w:before="0" w:beforeAutospacing="0" w:after="0" w:afterAutospacing="0"/>
        <w:ind w:firstLine="675"/>
        <w:jc w:val="both"/>
        <w:rPr>
          <w:sz w:val="20"/>
          <w:szCs w:val="20"/>
        </w:rPr>
      </w:pPr>
      <w:r>
        <w:rPr>
          <w:sz w:val="20"/>
          <w:szCs w:val="20"/>
        </w:rPr>
        <w:t> </w:t>
      </w:r>
    </w:p>
    <w:p w14:paraId="4BFB421D" w14:textId="77777777" w:rsidR="00000000" w:rsidRDefault="0015578C">
      <w:pPr>
        <w:pStyle w:val="a3"/>
        <w:spacing w:before="0" w:beforeAutospacing="0" w:after="0" w:afterAutospacing="0"/>
        <w:ind w:firstLine="675"/>
        <w:jc w:val="both"/>
        <w:rPr>
          <w:sz w:val="20"/>
          <w:szCs w:val="20"/>
        </w:rPr>
      </w:pPr>
      <w:r>
        <w:rPr>
          <w:sz w:val="20"/>
          <w:szCs w:val="20"/>
        </w:rPr>
        <w:t>During 2015 Nexa completed the steps required to earn a 61% interest in the Florida Canyon project, with Solitario retaining a 39% interest. Nexa may earn an additional 9% interest (up to a 70% shareho</w:t>
      </w:r>
      <w:r>
        <w:rPr>
          <w:sz w:val="20"/>
          <w:szCs w:val="20"/>
        </w:rPr>
        <w:t xml:space="preserve">lding interest) in Minera Bongará S.A., by sole-funding future annual exploration and development expenditures until a production decision is made. The option to earn the 70% interest can be exercised by Nexa at any time by committing to place the project </w:t>
      </w:r>
      <w:r>
        <w:rPr>
          <w:sz w:val="20"/>
          <w:szCs w:val="20"/>
        </w:rPr>
        <w:t>into production based upon a completed feasibility study. Nexa is the project manager. Once Nexa has committed to place the project into production based upon a feasibility study, it has further agreed to finance Solitario's 30% participating interest unti</w:t>
      </w:r>
      <w:r>
        <w:rPr>
          <w:sz w:val="20"/>
          <w:szCs w:val="20"/>
        </w:rPr>
        <w:t>l production with a loan facility from Nexa to Solitario. Solitario will repay this loan facility through 50% of Solitario's cash flow distributions from the joint operating company. Solitario completed the funding of $1,580,000 of a drilling program durin</w:t>
      </w:r>
      <w:r>
        <w:rPr>
          <w:sz w:val="20"/>
          <w:szCs w:val="20"/>
        </w:rPr>
        <w:t>g 2019. Solitario was not obligated to fund under the terms of the Framework Agreement. The paid funding of the drilling program will be treated as an advance on Solitario’s commitment to fund 30% of any future construction development costs of Florida Can</w:t>
      </w:r>
      <w:r>
        <w:rPr>
          <w:sz w:val="20"/>
          <w:szCs w:val="20"/>
        </w:rPr>
        <w:t xml:space="preserve">yon under the original joint venture agreement. Accordingly, in the event the Florida Canyon project is developed, which cannot be assured at this time, the funds paid to Nexa under this arrangement will reduce the amount of Solitario’s obligation to fund </w:t>
      </w:r>
      <w:r>
        <w:rPr>
          <w:sz w:val="20"/>
          <w:szCs w:val="20"/>
        </w:rPr>
        <w:t>30% of future development costs, and/or repay loans from Nexa for future development costs at the Florida Canyon project.</w:t>
      </w:r>
    </w:p>
    <w:p w14:paraId="012434B2" w14:textId="77777777" w:rsidR="00000000" w:rsidRDefault="0015578C">
      <w:pPr>
        <w:pStyle w:val="a3"/>
        <w:spacing w:before="0" w:beforeAutospacing="0" w:after="0" w:afterAutospacing="0"/>
        <w:ind w:firstLine="675"/>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C262E1D" w14:textId="77777777">
        <w:trPr>
          <w:trHeight w:val="225"/>
          <w:tblCellSpacing w:w="15" w:type="dxa"/>
        </w:trPr>
        <w:tc>
          <w:tcPr>
            <w:tcW w:w="0" w:type="auto"/>
            <w:vAlign w:val="center"/>
            <w:hideMark/>
          </w:tcPr>
          <w:p w14:paraId="65064231" w14:textId="77777777" w:rsidR="00000000" w:rsidRDefault="0015578C">
            <w:pPr>
              <w:rPr>
                <w:rFonts w:eastAsia="Times New Roman"/>
                <w:sz w:val="20"/>
                <w:szCs w:val="20"/>
              </w:rPr>
            </w:pPr>
            <w:r>
              <w:rPr>
                <w:rFonts w:eastAsia="Times New Roman"/>
                <w:sz w:val="20"/>
                <w:szCs w:val="20"/>
              </w:rPr>
              <w:t> </w:t>
            </w:r>
          </w:p>
        </w:tc>
      </w:tr>
      <w:tr w:rsidR="00000000" w14:paraId="3A2C573F" w14:textId="77777777">
        <w:trPr>
          <w:trHeight w:val="225"/>
          <w:tblCellSpacing w:w="15" w:type="dxa"/>
        </w:trPr>
        <w:tc>
          <w:tcPr>
            <w:tcW w:w="0" w:type="auto"/>
            <w:tcBorders>
              <w:bottom w:val="single" w:sz="6" w:space="0" w:color="000000"/>
            </w:tcBorders>
            <w:vAlign w:val="center"/>
            <w:hideMark/>
          </w:tcPr>
          <w:p w14:paraId="1FC3EB73" w14:textId="77777777" w:rsidR="00000000" w:rsidRDefault="0015578C">
            <w:pPr>
              <w:jc w:val="center"/>
              <w:rPr>
                <w:rFonts w:eastAsia="Times New Roman"/>
                <w:sz w:val="20"/>
                <w:szCs w:val="20"/>
              </w:rPr>
            </w:pPr>
            <w:r>
              <w:rPr>
                <w:rFonts w:eastAsia="Times New Roman"/>
                <w:sz w:val="20"/>
                <w:szCs w:val="20"/>
              </w:rPr>
              <w:t>21</w:t>
            </w:r>
          </w:p>
        </w:tc>
      </w:tr>
      <w:tr w:rsidR="00000000" w14:paraId="10E49DCB" w14:textId="77777777">
        <w:trPr>
          <w:trHeight w:val="225"/>
          <w:tblCellSpacing w:w="15" w:type="dxa"/>
        </w:trPr>
        <w:tc>
          <w:tcPr>
            <w:tcW w:w="0" w:type="auto"/>
            <w:vAlign w:val="center"/>
            <w:hideMark/>
          </w:tcPr>
          <w:p w14:paraId="521BD5C4" w14:textId="77777777" w:rsidR="00000000" w:rsidRDefault="0015578C">
            <w:pPr>
              <w:rPr>
                <w:rFonts w:eastAsia="Times New Roman"/>
                <w:sz w:val="20"/>
                <w:szCs w:val="20"/>
              </w:rPr>
            </w:pPr>
          </w:p>
        </w:tc>
      </w:tr>
      <w:tr w:rsidR="00000000" w14:paraId="0E014D0C" w14:textId="77777777">
        <w:trPr>
          <w:trHeight w:val="225"/>
          <w:tblCellSpacing w:w="15" w:type="dxa"/>
        </w:trPr>
        <w:tc>
          <w:tcPr>
            <w:tcW w:w="0" w:type="auto"/>
            <w:vAlign w:val="center"/>
            <w:hideMark/>
          </w:tcPr>
          <w:p w14:paraId="2D862334"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2F57FF4" w14:textId="77777777" w:rsidR="00000000" w:rsidRDefault="0015578C">
      <w:pPr>
        <w:pStyle w:val="a3"/>
        <w:spacing w:before="0" w:beforeAutospacing="0" w:after="0" w:afterAutospacing="0"/>
        <w:jc w:val="both"/>
        <w:rPr>
          <w:sz w:val="20"/>
          <w:szCs w:val="20"/>
        </w:rPr>
      </w:pPr>
      <w:r>
        <w:rPr>
          <w:sz w:val="20"/>
          <w:szCs w:val="20"/>
        </w:rPr>
        <w:t> </w:t>
      </w:r>
    </w:p>
    <w:p w14:paraId="7F3A8F20" w14:textId="77777777" w:rsidR="00000000" w:rsidRDefault="0015578C">
      <w:pPr>
        <w:pStyle w:val="a3"/>
        <w:spacing w:before="0" w:beforeAutospacing="0" w:after="0" w:afterAutospacing="0"/>
        <w:ind w:firstLine="675"/>
        <w:jc w:val="both"/>
        <w:rPr>
          <w:sz w:val="20"/>
          <w:szCs w:val="20"/>
        </w:rPr>
      </w:pPr>
      <w:r>
        <w:rPr>
          <w:sz w:val="20"/>
          <w:szCs w:val="20"/>
        </w:rPr>
        <w:t>According to Peruvian law, concessions may be held indefinitely, subject only to payment of annual fees to the government. In June 2023, payments of approximately $360,000 to the Peruvian government will be due in order to maintain all the Florida Canyon m</w:t>
      </w:r>
      <w:r>
        <w:rPr>
          <w:sz w:val="20"/>
          <w:szCs w:val="20"/>
        </w:rPr>
        <w:t>ineral rights of Minera Bongará S.A. Nexa is responsible for paying these costs as part of its earn-in expenditure. Peru imposes a sliding scale royalty varying from 1% to 12% of the operating profit of a mining operation. The percentage royalty is determi</w:t>
      </w:r>
      <w:r>
        <w:rPr>
          <w:sz w:val="20"/>
          <w:szCs w:val="20"/>
        </w:rPr>
        <w:t>ned by rule based on the operating margin; however, the minimum royalty is 1% of the revenues.</w:t>
      </w:r>
    </w:p>
    <w:p w14:paraId="0491B684" w14:textId="77777777" w:rsidR="00000000" w:rsidRDefault="0015578C">
      <w:pPr>
        <w:pStyle w:val="a3"/>
        <w:spacing w:before="0" w:beforeAutospacing="0" w:after="0" w:afterAutospacing="0"/>
        <w:ind w:firstLine="675"/>
        <w:jc w:val="both"/>
        <w:rPr>
          <w:sz w:val="20"/>
          <w:szCs w:val="20"/>
        </w:rPr>
      </w:pPr>
      <w:r>
        <w:rPr>
          <w:sz w:val="20"/>
          <w:szCs w:val="20"/>
        </w:rPr>
        <w:t> </w:t>
      </w:r>
    </w:p>
    <w:p w14:paraId="65138B0A" w14:textId="77777777" w:rsidR="00000000" w:rsidRDefault="0015578C">
      <w:pPr>
        <w:pStyle w:val="a3"/>
        <w:spacing w:before="0" w:beforeAutospacing="0" w:after="0" w:afterAutospacing="0"/>
        <w:ind w:firstLine="675"/>
        <w:jc w:val="both"/>
        <w:rPr>
          <w:sz w:val="20"/>
          <w:szCs w:val="20"/>
        </w:rPr>
      </w:pPr>
      <w:r>
        <w:rPr>
          <w:sz w:val="20"/>
          <w:szCs w:val="20"/>
        </w:rPr>
        <w:t>From time-to-time Nexa may enter into surface rights agreements with individual landowners to provide access for exploration work at the Florida Canyon project</w:t>
      </w:r>
      <w:r>
        <w:rPr>
          <w:sz w:val="20"/>
          <w:szCs w:val="20"/>
        </w:rPr>
        <w:t>. Generally, these are short-term agreements. Nexa has an agreement with the local community which specifies certain obligations and payments that Nexa is required to provide in exchange for community permissions to perform work.</w:t>
      </w:r>
    </w:p>
    <w:p w14:paraId="39C9FB77" w14:textId="77777777" w:rsidR="00000000" w:rsidRDefault="0015578C">
      <w:pPr>
        <w:pStyle w:val="a3"/>
        <w:spacing w:before="0" w:beforeAutospacing="0" w:after="0" w:afterAutospacing="0"/>
        <w:ind w:firstLine="675"/>
        <w:jc w:val="both"/>
        <w:rPr>
          <w:sz w:val="20"/>
          <w:szCs w:val="20"/>
        </w:rPr>
      </w:pPr>
      <w:r>
        <w:rPr>
          <w:sz w:val="20"/>
          <w:szCs w:val="20"/>
        </w:rPr>
        <w:t> </w:t>
      </w:r>
    </w:p>
    <w:p w14:paraId="14C0CF3D" w14:textId="77777777" w:rsidR="00000000" w:rsidRDefault="0015578C">
      <w:pPr>
        <w:pStyle w:val="a3"/>
        <w:spacing w:before="0" w:beforeAutospacing="0" w:after="0" w:afterAutospacing="0"/>
        <w:ind w:firstLine="675"/>
        <w:jc w:val="both"/>
        <w:rPr>
          <w:sz w:val="20"/>
          <w:szCs w:val="20"/>
        </w:rPr>
      </w:pPr>
      <w:r>
        <w:rPr>
          <w:sz w:val="20"/>
          <w:szCs w:val="20"/>
        </w:rPr>
        <w:t>Environmental permits ar</w:t>
      </w:r>
      <w:r>
        <w:rPr>
          <w:sz w:val="20"/>
          <w:szCs w:val="20"/>
        </w:rPr>
        <w:t>e required for exploration and development projects in Peru that involve drilling, road building or underground mining. The requisite environmental and archeological studies were completed for all past work. Nexa received a permit in 2021 to allow for dril</w:t>
      </w:r>
      <w:r>
        <w:rPr>
          <w:sz w:val="20"/>
          <w:szCs w:val="20"/>
        </w:rPr>
        <w:t>ling immediately south and east of the current Florida Canyon drilling area and is currently working on an additional permit for an expanded drilling program. Although we believe that new permits will be obtained in a timely fashion, the timing of governme</w:t>
      </w:r>
      <w:r>
        <w:rPr>
          <w:sz w:val="20"/>
          <w:szCs w:val="20"/>
        </w:rPr>
        <w:t>nt approval of permits remains beyond our control.</w:t>
      </w:r>
    </w:p>
    <w:p w14:paraId="43DB03D1" w14:textId="77777777" w:rsidR="00000000" w:rsidRDefault="0015578C">
      <w:pPr>
        <w:pStyle w:val="a3"/>
        <w:spacing w:before="0" w:beforeAutospacing="0" w:after="0" w:afterAutospacing="0"/>
        <w:jc w:val="both"/>
        <w:rPr>
          <w:sz w:val="20"/>
          <w:szCs w:val="20"/>
        </w:rPr>
      </w:pPr>
      <w:r>
        <w:rPr>
          <w:sz w:val="20"/>
          <w:szCs w:val="20"/>
        </w:rPr>
        <w:t> </w:t>
      </w:r>
    </w:p>
    <w:p w14:paraId="442E4CA8" w14:textId="77777777" w:rsidR="00000000" w:rsidRDefault="0015578C">
      <w:pPr>
        <w:pStyle w:val="a3"/>
        <w:spacing w:before="0" w:beforeAutospacing="0" w:after="0" w:afterAutospacing="0"/>
        <w:jc w:val="both"/>
        <w:rPr>
          <w:sz w:val="20"/>
          <w:szCs w:val="20"/>
        </w:rPr>
      </w:pPr>
      <w:r>
        <w:rPr>
          <w:sz w:val="20"/>
          <w:szCs w:val="20"/>
        </w:rPr>
        <w:t xml:space="preserve">2. </w:t>
      </w:r>
      <w:r>
        <w:rPr>
          <w:sz w:val="20"/>
          <w:szCs w:val="20"/>
          <w:u w:val="single"/>
        </w:rPr>
        <w:t>Accessibility, Climate, Local Resources, Infrastructure and Physiology</w:t>
      </w:r>
    </w:p>
    <w:p w14:paraId="3F3F99CE" w14:textId="77777777" w:rsidR="00000000" w:rsidRDefault="0015578C">
      <w:pPr>
        <w:pStyle w:val="a3"/>
        <w:spacing w:before="0" w:beforeAutospacing="0" w:after="0" w:afterAutospacing="0"/>
        <w:jc w:val="both"/>
        <w:rPr>
          <w:sz w:val="20"/>
          <w:szCs w:val="20"/>
        </w:rPr>
      </w:pPr>
      <w:r>
        <w:rPr>
          <w:sz w:val="20"/>
          <w:szCs w:val="20"/>
        </w:rPr>
        <w:t> </w:t>
      </w:r>
    </w:p>
    <w:p w14:paraId="05FC4656" w14:textId="77777777" w:rsidR="00000000" w:rsidRDefault="0015578C">
      <w:pPr>
        <w:pStyle w:val="a3"/>
        <w:spacing w:before="0" w:beforeAutospacing="0" w:after="0" w:afterAutospacing="0"/>
        <w:ind w:firstLine="675"/>
        <w:jc w:val="both"/>
        <w:rPr>
          <w:sz w:val="20"/>
          <w:szCs w:val="20"/>
        </w:rPr>
      </w:pPr>
      <w:r>
        <w:rPr>
          <w:sz w:val="20"/>
          <w:szCs w:val="20"/>
        </w:rPr>
        <w:t>The Florida Canyon property is accessed from the coastal city of Chiclayo by the paved Carretera Marginal road, which is a heav</w:t>
      </w:r>
      <w:r>
        <w:rPr>
          <w:sz w:val="20"/>
          <w:szCs w:val="20"/>
        </w:rPr>
        <w:t>ily travelled paved national highway that passes approximately eight kilometers south of the deposit. The nearest town to the project is Pedro Ruiz located 15 kilometers southeast of the property. The area of the majority of past drilling and the most pros</w:t>
      </w:r>
      <w:r>
        <w:rPr>
          <w:sz w:val="20"/>
          <w:szCs w:val="20"/>
        </w:rPr>
        <w:t>pective mineralization, Florida Canyon, was previously inaccessible by road, the work to date having been done by either foot or helicopter access. Nexa has now completed approximately 40 kilometers of access road and is planning to complete the road acces</w:t>
      </w:r>
      <w:r>
        <w:rPr>
          <w:sz w:val="20"/>
          <w:szCs w:val="20"/>
        </w:rPr>
        <w:t>s to local communities and the mineralized area of the project in 2023. Nexa maintains project field offices in Pedro Ruiz and a drill core processing facility and operations office in the nearby community of Shipasbamba.</w:t>
      </w:r>
    </w:p>
    <w:p w14:paraId="3A230432" w14:textId="77777777" w:rsidR="00000000" w:rsidRDefault="0015578C">
      <w:pPr>
        <w:pStyle w:val="a3"/>
        <w:spacing w:before="0" w:beforeAutospacing="0" w:after="0" w:afterAutospacing="0"/>
        <w:ind w:firstLine="675"/>
        <w:jc w:val="both"/>
        <w:rPr>
          <w:sz w:val="20"/>
          <w:szCs w:val="20"/>
        </w:rPr>
      </w:pPr>
      <w:r>
        <w:rPr>
          <w:sz w:val="20"/>
          <w:szCs w:val="20"/>
        </w:rPr>
        <w:t> </w:t>
      </w:r>
    </w:p>
    <w:p w14:paraId="6C64B96B" w14:textId="77777777" w:rsidR="00000000" w:rsidRDefault="0015578C">
      <w:pPr>
        <w:pStyle w:val="a3"/>
        <w:spacing w:before="0" w:beforeAutospacing="0" w:after="0" w:afterAutospacing="0"/>
        <w:ind w:firstLine="675"/>
        <w:jc w:val="both"/>
        <w:rPr>
          <w:sz w:val="20"/>
          <w:szCs w:val="20"/>
        </w:rPr>
      </w:pPr>
      <w:r>
        <w:rPr>
          <w:sz w:val="20"/>
          <w:szCs w:val="20"/>
        </w:rPr>
        <w:t>The project area elevation range</w:t>
      </w:r>
      <w:r>
        <w:rPr>
          <w:sz w:val="20"/>
          <w:szCs w:val="20"/>
        </w:rPr>
        <w:t>s between 1,800 and 3,200 meters above sea level. The climate is tropical with an average annual temperature of approximately 25</w:t>
      </w:r>
      <w:r>
        <w:rPr>
          <w:sz w:val="20"/>
          <w:szCs w:val="20"/>
          <w:vertAlign w:val="superscript"/>
        </w:rPr>
        <w:t>o</w:t>
      </w:r>
      <w:r>
        <w:rPr>
          <w:sz w:val="20"/>
          <w:szCs w:val="20"/>
        </w:rPr>
        <w:t>C. Mean annual rainfall exceeds one meter with up to two meters in the cloud forest at higher elevations. Most precipitation oc</w:t>
      </w:r>
      <w:r>
        <w:rPr>
          <w:sz w:val="20"/>
          <w:szCs w:val="20"/>
        </w:rPr>
        <w:t>curs during the rainy season, between November and April. Field work is considerably more difficult in the rainy season. Topography is steep, consisting of prominent escarpments and deep valleys. Dense jungle or forest vegetation covers the project area. W</w:t>
      </w:r>
      <w:r>
        <w:rPr>
          <w:sz w:val="20"/>
          <w:szCs w:val="20"/>
        </w:rPr>
        <w:t>ith the exception of the partially completed access road and approximately 700 meters of tunneling, no permanent infrastructure facilities have been constructed within the project area</w:t>
      </w:r>
    </w:p>
    <w:p w14:paraId="6F2A341B" w14:textId="77777777" w:rsidR="00000000" w:rsidRDefault="0015578C">
      <w:pPr>
        <w:pStyle w:val="a3"/>
        <w:spacing w:before="0" w:beforeAutospacing="0" w:after="0" w:afterAutospacing="0"/>
        <w:jc w:val="both"/>
        <w:rPr>
          <w:sz w:val="20"/>
          <w:szCs w:val="20"/>
        </w:rPr>
      </w:pPr>
      <w:r>
        <w:rPr>
          <w:sz w:val="20"/>
          <w:szCs w:val="20"/>
        </w:rPr>
        <w:t> </w:t>
      </w:r>
    </w:p>
    <w:p w14:paraId="411DE1ED" w14:textId="77777777" w:rsidR="00000000" w:rsidRDefault="0015578C">
      <w:pPr>
        <w:pStyle w:val="a3"/>
        <w:spacing w:before="0" w:beforeAutospacing="0" w:after="0" w:afterAutospacing="0"/>
        <w:jc w:val="both"/>
        <w:rPr>
          <w:sz w:val="20"/>
          <w:szCs w:val="20"/>
        </w:rPr>
      </w:pPr>
      <w:r>
        <w:rPr>
          <w:sz w:val="20"/>
          <w:szCs w:val="20"/>
        </w:rPr>
        <w:t xml:space="preserve">3. </w:t>
      </w:r>
      <w:r>
        <w:rPr>
          <w:sz w:val="20"/>
          <w:szCs w:val="20"/>
          <w:u w:val="single"/>
        </w:rPr>
        <w:t>History</w:t>
      </w:r>
    </w:p>
    <w:p w14:paraId="32710D27" w14:textId="77777777" w:rsidR="00000000" w:rsidRDefault="0015578C">
      <w:pPr>
        <w:pStyle w:val="a3"/>
        <w:spacing w:before="0" w:beforeAutospacing="0" w:after="0" w:afterAutospacing="0"/>
        <w:jc w:val="both"/>
        <w:rPr>
          <w:sz w:val="20"/>
          <w:szCs w:val="20"/>
        </w:rPr>
      </w:pPr>
      <w:r>
        <w:rPr>
          <w:sz w:val="20"/>
          <w:szCs w:val="20"/>
        </w:rPr>
        <w:t> </w:t>
      </w:r>
    </w:p>
    <w:p w14:paraId="361252A8" w14:textId="77777777" w:rsidR="00000000" w:rsidRDefault="0015578C">
      <w:pPr>
        <w:pStyle w:val="a3"/>
        <w:spacing w:before="0" w:beforeAutospacing="0" w:after="0" w:afterAutospacing="0"/>
        <w:ind w:firstLine="675"/>
        <w:jc w:val="both"/>
        <w:rPr>
          <w:sz w:val="20"/>
          <w:szCs w:val="20"/>
        </w:rPr>
      </w:pPr>
      <w:r>
        <w:rPr>
          <w:sz w:val="20"/>
          <w:szCs w:val="20"/>
        </w:rPr>
        <w:t>We discovered the Florida Canyon mineralized zone of the</w:t>
      </w:r>
      <w:r>
        <w:rPr>
          <w:sz w:val="20"/>
          <w:szCs w:val="20"/>
        </w:rPr>
        <w:t xml:space="preserve"> Florida Canyon project in 1996. Subsequently, we joint ventured the property in December 1996 to Cominco (now Teck). Cominco drilled 80 core holes from 1997-2000. Cominco withdrew from the joint venture in February 2001, and at that time Solitario retaine</w:t>
      </w:r>
      <w:r>
        <w:rPr>
          <w:sz w:val="20"/>
          <w:szCs w:val="20"/>
        </w:rPr>
        <w:t>d its 100% interest in the project. We maintained the claims from 2001 to 2006, until the 2006 letter agreement was signed. Nexa conducted surface drilling on an annual basis from 2006 to 2013 and from 2018 to 2019, and underground tunneling and drilling f</w:t>
      </w:r>
      <w:r>
        <w:rPr>
          <w:sz w:val="20"/>
          <w:szCs w:val="20"/>
        </w:rPr>
        <w:t>rom 2010 to 2013. All significant work on the property has been conducted by our joint venture partners, Cominco and Nexa, and is described below in Section 5, “Prior Exploration and Recent Work.”</w:t>
      </w:r>
    </w:p>
    <w:p w14:paraId="77F9C76D" w14:textId="77777777" w:rsidR="00000000" w:rsidRDefault="0015578C">
      <w:pPr>
        <w:pStyle w:val="a3"/>
        <w:spacing w:before="0" w:beforeAutospacing="0" w:after="0" w:afterAutospacing="0"/>
        <w:jc w:val="both"/>
        <w:rPr>
          <w:sz w:val="20"/>
          <w:szCs w:val="20"/>
        </w:rPr>
      </w:pPr>
      <w:r>
        <w:rPr>
          <w:sz w:val="20"/>
          <w:szCs w:val="20"/>
        </w:rPr>
        <w:t> </w:t>
      </w:r>
    </w:p>
    <w:p w14:paraId="44649CFB" w14:textId="77777777" w:rsidR="00000000" w:rsidRDefault="0015578C">
      <w:pPr>
        <w:pStyle w:val="a3"/>
        <w:spacing w:before="0" w:beforeAutospacing="0" w:after="0" w:afterAutospacing="0"/>
        <w:jc w:val="both"/>
        <w:rPr>
          <w:sz w:val="20"/>
          <w:szCs w:val="20"/>
        </w:rPr>
      </w:pPr>
      <w:r>
        <w:rPr>
          <w:sz w:val="20"/>
          <w:szCs w:val="20"/>
        </w:rPr>
        <w:t xml:space="preserve">4. </w:t>
      </w:r>
      <w:r>
        <w:rPr>
          <w:sz w:val="20"/>
          <w:szCs w:val="20"/>
          <w:u w:val="single"/>
        </w:rPr>
        <w:t>Geological Setting</w:t>
      </w:r>
    </w:p>
    <w:p w14:paraId="62E710BD" w14:textId="77777777" w:rsidR="00000000" w:rsidRDefault="0015578C">
      <w:pPr>
        <w:pStyle w:val="a3"/>
        <w:spacing w:before="0" w:beforeAutospacing="0" w:after="0" w:afterAutospacing="0"/>
        <w:jc w:val="both"/>
        <w:rPr>
          <w:sz w:val="20"/>
          <w:szCs w:val="20"/>
        </w:rPr>
      </w:pPr>
      <w:r>
        <w:rPr>
          <w:sz w:val="20"/>
          <w:szCs w:val="20"/>
        </w:rPr>
        <w:t> </w:t>
      </w:r>
    </w:p>
    <w:p w14:paraId="557A0E68" w14:textId="77777777" w:rsidR="00000000" w:rsidRDefault="0015578C">
      <w:pPr>
        <w:pStyle w:val="a3"/>
        <w:spacing w:before="0" w:beforeAutospacing="0" w:after="0" w:afterAutospacing="0"/>
        <w:ind w:firstLine="675"/>
        <w:jc w:val="both"/>
        <w:rPr>
          <w:sz w:val="20"/>
          <w:szCs w:val="20"/>
        </w:rPr>
      </w:pPr>
      <w:r>
        <w:rPr>
          <w:sz w:val="20"/>
          <w:szCs w:val="20"/>
        </w:rPr>
        <w:t>The project is located within an extensive belt of Mesozoic carbonate rocks belonging to the Upper Triassic to Lower Jurassic Pucará Group and equivalents. This belt extends through the central and eastern extent of the Peruvian Andes for nearly 1,000 km a</w:t>
      </w:r>
      <w:r>
        <w:rPr>
          <w:sz w:val="20"/>
          <w:szCs w:val="20"/>
        </w:rPr>
        <w:t>nd is the host for many polymetallic and base metal vein and replacement deposits in the Peruvian Mineral Belt. Among these is the San Vicente Mississippi Valley Type (“MVT”) zinc-lead-silver deposit that has many similarities to the Florida Canyon deposit</w:t>
      </w:r>
      <w:r>
        <w:rPr>
          <w:sz w:val="20"/>
          <w:szCs w:val="20"/>
        </w:rPr>
        <w:t xml:space="preserve"> and other MVT occurrences in the project area.</w:t>
      </w:r>
    </w:p>
    <w:p w14:paraId="46878D43" w14:textId="77777777" w:rsidR="00000000" w:rsidRDefault="0015578C">
      <w:pPr>
        <w:pStyle w:val="a3"/>
        <w:spacing w:before="0" w:beforeAutospacing="0" w:after="0" w:afterAutospacing="0"/>
        <w:ind w:firstLine="675"/>
        <w:jc w:val="both"/>
        <w:rPr>
          <w:sz w:val="20"/>
          <w:szCs w:val="20"/>
        </w:rPr>
      </w:pPr>
      <w:r>
        <w:rPr>
          <w:sz w:val="20"/>
          <w:szCs w:val="20"/>
        </w:rPr>
        <w:t> </w:t>
      </w:r>
    </w:p>
    <w:p w14:paraId="5943293E" w14:textId="77777777" w:rsidR="00000000" w:rsidRDefault="0015578C">
      <w:pPr>
        <w:pStyle w:val="a3"/>
        <w:spacing w:before="0" w:beforeAutospacing="0" w:after="0" w:afterAutospacing="0"/>
        <w:ind w:firstLine="675"/>
        <w:jc w:val="both"/>
        <w:rPr>
          <w:sz w:val="20"/>
          <w:szCs w:val="20"/>
        </w:rPr>
      </w:pPr>
      <w:r>
        <w:rPr>
          <w:sz w:val="20"/>
          <w:szCs w:val="20"/>
        </w:rPr>
        <w:t xml:space="preserve">The geology of the Florida Canyon area is relatively simple consisting of a sequence of Jurassic and Triassic clastic and carbonate rocks which are gently deformed into a broad northwesterly trending domal </w:t>
      </w:r>
      <w:r>
        <w:rPr>
          <w:sz w:val="20"/>
          <w:szCs w:val="20"/>
        </w:rPr>
        <w:t>anticline. The MVT zinc-lead-silver mineralization occurs in the carbonate facies of the Chambara (rock) Formation. This domal anticline is cut on the west by the Sam Fault and to the east by the Tesoro-Florida Fault.</w:t>
      </w:r>
    </w:p>
    <w:p w14:paraId="00920A91" w14:textId="77777777" w:rsidR="00000000" w:rsidRDefault="0015578C">
      <w:pPr>
        <w:pStyle w:val="a3"/>
        <w:spacing w:before="0" w:beforeAutospacing="0" w:after="0" w:afterAutospacing="0"/>
        <w:jc w:val="both"/>
        <w:rPr>
          <w:sz w:val="20"/>
          <w:szCs w:val="20"/>
        </w:rPr>
      </w:pPr>
      <w:r>
        <w:rPr>
          <w:sz w:val="20"/>
          <w:szCs w:val="20"/>
        </w:rPr>
        <w:t> </w:t>
      </w:r>
    </w:p>
    <w:p w14:paraId="7DAC0462" w14:textId="77777777" w:rsidR="00000000" w:rsidRDefault="0015578C">
      <w:pPr>
        <w:pStyle w:val="a3"/>
        <w:spacing w:before="0" w:beforeAutospacing="0" w:after="0" w:afterAutospacing="0"/>
        <w:jc w:val="both"/>
        <w:rPr>
          <w:sz w:val="20"/>
          <w:szCs w:val="20"/>
        </w:rPr>
      </w:pPr>
      <w:r>
        <w:rPr>
          <w:sz w:val="20"/>
          <w:szCs w:val="20"/>
        </w:rPr>
        <w:t xml:space="preserve">5. </w:t>
      </w:r>
      <w:r>
        <w:rPr>
          <w:sz w:val="20"/>
          <w:szCs w:val="20"/>
          <w:u w:val="single"/>
        </w:rPr>
        <w:t>Prior Exploration and Recent Work</w:t>
      </w:r>
    </w:p>
    <w:p w14:paraId="4B312E25" w14:textId="77777777" w:rsidR="00000000" w:rsidRDefault="0015578C">
      <w:pPr>
        <w:pStyle w:val="a3"/>
        <w:spacing w:before="0" w:beforeAutospacing="0" w:after="0" w:afterAutospacing="0"/>
        <w:jc w:val="both"/>
        <w:rPr>
          <w:sz w:val="20"/>
          <w:szCs w:val="20"/>
        </w:rPr>
      </w:pPr>
      <w:r>
        <w:rPr>
          <w:sz w:val="20"/>
          <w:szCs w:val="20"/>
        </w:rPr>
        <w:t> </w:t>
      </w:r>
    </w:p>
    <w:p w14:paraId="38C42147" w14:textId="77777777" w:rsidR="00000000" w:rsidRDefault="0015578C">
      <w:pPr>
        <w:pStyle w:val="a3"/>
        <w:spacing w:before="0" w:beforeAutospacing="0" w:after="0" w:afterAutospacing="0"/>
        <w:ind w:firstLine="675"/>
        <w:jc w:val="both"/>
        <w:rPr>
          <w:sz w:val="20"/>
          <w:szCs w:val="20"/>
        </w:rPr>
      </w:pPr>
      <w:r>
        <w:rPr>
          <w:sz w:val="20"/>
          <w:szCs w:val="20"/>
        </w:rPr>
        <w:t>We conducted a regional stream sediment survey and reconnaissance geological surveys leading to the discovery of the Florida Canyon area in 1996. The discovered outcropping mineralization is located in two deeply incised canyons within the limestone str</w:t>
      </w:r>
      <w:r>
        <w:rPr>
          <w:sz w:val="20"/>
          <w:szCs w:val="20"/>
        </w:rPr>
        <w:t>atigraphy.</w:t>
      </w:r>
    </w:p>
    <w:p w14:paraId="573D607B" w14:textId="77777777" w:rsidR="00000000" w:rsidRDefault="0015578C">
      <w:pPr>
        <w:pStyle w:val="a3"/>
        <w:spacing w:before="0" w:beforeAutospacing="0" w:after="0" w:afterAutospacing="0"/>
        <w:ind w:firstLine="675"/>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B83143B" w14:textId="77777777">
        <w:trPr>
          <w:trHeight w:val="225"/>
          <w:tblCellSpacing w:w="15" w:type="dxa"/>
        </w:trPr>
        <w:tc>
          <w:tcPr>
            <w:tcW w:w="0" w:type="auto"/>
            <w:vAlign w:val="center"/>
            <w:hideMark/>
          </w:tcPr>
          <w:p w14:paraId="68AB37A8" w14:textId="77777777" w:rsidR="00000000" w:rsidRDefault="0015578C">
            <w:pPr>
              <w:rPr>
                <w:rFonts w:eastAsia="Times New Roman"/>
                <w:sz w:val="20"/>
                <w:szCs w:val="20"/>
              </w:rPr>
            </w:pPr>
            <w:r>
              <w:rPr>
                <w:rFonts w:eastAsia="Times New Roman"/>
                <w:sz w:val="20"/>
                <w:szCs w:val="20"/>
              </w:rPr>
              <w:t> </w:t>
            </w:r>
          </w:p>
        </w:tc>
      </w:tr>
      <w:tr w:rsidR="00000000" w14:paraId="61D6FF2D" w14:textId="77777777">
        <w:trPr>
          <w:trHeight w:val="225"/>
          <w:tblCellSpacing w:w="15" w:type="dxa"/>
        </w:trPr>
        <w:tc>
          <w:tcPr>
            <w:tcW w:w="0" w:type="auto"/>
            <w:tcBorders>
              <w:bottom w:val="single" w:sz="6" w:space="0" w:color="000000"/>
            </w:tcBorders>
            <w:vAlign w:val="center"/>
            <w:hideMark/>
          </w:tcPr>
          <w:p w14:paraId="3EABDA00" w14:textId="77777777" w:rsidR="00000000" w:rsidRDefault="0015578C">
            <w:pPr>
              <w:jc w:val="center"/>
              <w:rPr>
                <w:rFonts w:eastAsia="Times New Roman"/>
                <w:sz w:val="20"/>
                <w:szCs w:val="20"/>
              </w:rPr>
            </w:pPr>
            <w:r>
              <w:rPr>
                <w:rFonts w:eastAsia="Times New Roman"/>
                <w:sz w:val="20"/>
                <w:szCs w:val="20"/>
              </w:rPr>
              <w:t>22</w:t>
            </w:r>
          </w:p>
        </w:tc>
      </w:tr>
      <w:tr w:rsidR="00000000" w14:paraId="2757AC2A" w14:textId="77777777">
        <w:trPr>
          <w:trHeight w:val="225"/>
          <w:tblCellSpacing w:w="15" w:type="dxa"/>
        </w:trPr>
        <w:tc>
          <w:tcPr>
            <w:tcW w:w="0" w:type="auto"/>
            <w:vAlign w:val="center"/>
            <w:hideMark/>
          </w:tcPr>
          <w:p w14:paraId="10083EA3" w14:textId="77777777" w:rsidR="00000000" w:rsidRDefault="0015578C">
            <w:pPr>
              <w:rPr>
                <w:rFonts w:eastAsia="Times New Roman"/>
                <w:sz w:val="20"/>
                <w:szCs w:val="20"/>
              </w:rPr>
            </w:pPr>
          </w:p>
        </w:tc>
      </w:tr>
      <w:tr w:rsidR="00000000" w14:paraId="34DA4CDE" w14:textId="77777777">
        <w:trPr>
          <w:trHeight w:val="225"/>
          <w:tblCellSpacing w:w="15" w:type="dxa"/>
        </w:trPr>
        <w:tc>
          <w:tcPr>
            <w:tcW w:w="0" w:type="auto"/>
            <w:vAlign w:val="center"/>
            <w:hideMark/>
          </w:tcPr>
          <w:p w14:paraId="69747C88"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35C3A3DC" w14:textId="77777777" w:rsidR="00000000" w:rsidRDefault="0015578C">
      <w:pPr>
        <w:pStyle w:val="a3"/>
        <w:spacing w:before="0" w:beforeAutospacing="0" w:after="0" w:afterAutospacing="0"/>
        <w:jc w:val="both"/>
        <w:rPr>
          <w:sz w:val="20"/>
          <w:szCs w:val="20"/>
        </w:rPr>
      </w:pPr>
      <w:r>
        <w:rPr>
          <w:sz w:val="20"/>
          <w:szCs w:val="20"/>
        </w:rPr>
        <w:t> </w:t>
      </w:r>
    </w:p>
    <w:p w14:paraId="2D720624" w14:textId="77777777" w:rsidR="00000000" w:rsidRDefault="0015578C">
      <w:pPr>
        <w:pStyle w:val="a3"/>
        <w:spacing w:before="0" w:beforeAutospacing="0" w:after="0" w:afterAutospacing="0"/>
        <w:ind w:firstLine="675"/>
        <w:jc w:val="both"/>
        <w:rPr>
          <w:sz w:val="20"/>
          <w:szCs w:val="20"/>
        </w:rPr>
      </w:pPr>
      <w:r>
        <w:rPr>
          <w:sz w:val="20"/>
          <w:szCs w:val="20"/>
        </w:rPr>
        <w:t>Subsequent to our initial work, Cominco conducted extensive mapping, soil and rock sampling, stream sediment surveys and drilling. This work was designed to determine the extent and grade of the zinc-lead mineralization, to determine the controls of minera</w:t>
      </w:r>
      <w:r>
        <w:rPr>
          <w:sz w:val="20"/>
          <w:szCs w:val="20"/>
        </w:rPr>
        <w:t xml:space="preserve">l deposition and to identify areas of potential new mineralization. Nexa began work in the fall of 2006 and drilled annually from 2006 through 2013, and in 2018-2019. Underground exploration operations were conducted from 2011-2013. Nexa has more recently </w:t>
      </w:r>
      <w:r>
        <w:rPr>
          <w:sz w:val="20"/>
          <w:szCs w:val="20"/>
        </w:rPr>
        <w:t>continued surface exploration work consisting of geologic mapping and sampling that has identified new surface zinc mineralization to the south and east of Florida Canyon and also 15 kilometers to the north and northwest in areas called San Jose and Naranj</w:t>
      </w:r>
      <w:r>
        <w:rPr>
          <w:sz w:val="20"/>
          <w:szCs w:val="20"/>
        </w:rPr>
        <w:t>itos (see Chambara Project below). Nexa’s expenditures for 2022 were approximately $3.2 million. The two major work activities for 2022 were: 1) advancement and upgrading of the access road to the project area and adjacent communities as part of their comm</w:t>
      </w:r>
      <w:r>
        <w:rPr>
          <w:sz w:val="20"/>
          <w:szCs w:val="20"/>
        </w:rPr>
        <w:t>unity outreach program; and 2) a significant metallurgical testing program (see section 9 below: “Prefeasibility Studies”).</w:t>
      </w:r>
    </w:p>
    <w:p w14:paraId="0A62570B" w14:textId="77777777" w:rsidR="00000000" w:rsidRDefault="0015578C">
      <w:pPr>
        <w:pStyle w:val="a3"/>
        <w:spacing w:before="0" w:beforeAutospacing="0" w:after="0" w:afterAutospacing="0"/>
        <w:jc w:val="both"/>
        <w:rPr>
          <w:sz w:val="20"/>
          <w:szCs w:val="20"/>
        </w:rPr>
      </w:pPr>
      <w:r>
        <w:rPr>
          <w:sz w:val="20"/>
          <w:szCs w:val="20"/>
        </w:rPr>
        <w:t> </w:t>
      </w:r>
    </w:p>
    <w:p w14:paraId="79B1EACE" w14:textId="77777777" w:rsidR="00000000" w:rsidRDefault="0015578C">
      <w:pPr>
        <w:pStyle w:val="a3"/>
        <w:spacing w:before="0" w:beforeAutospacing="0" w:after="0" w:afterAutospacing="0"/>
        <w:jc w:val="both"/>
        <w:rPr>
          <w:sz w:val="20"/>
          <w:szCs w:val="20"/>
        </w:rPr>
      </w:pPr>
      <w:r>
        <w:rPr>
          <w:sz w:val="20"/>
          <w:szCs w:val="20"/>
        </w:rPr>
        <w:t xml:space="preserve">6. </w:t>
      </w:r>
      <w:r>
        <w:rPr>
          <w:sz w:val="20"/>
          <w:szCs w:val="20"/>
          <w:u w:val="single"/>
        </w:rPr>
        <w:t>Mineralization</w:t>
      </w:r>
    </w:p>
    <w:p w14:paraId="3989C850" w14:textId="77777777" w:rsidR="00000000" w:rsidRDefault="0015578C">
      <w:pPr>
        <w:pStyle w:val="a3"/>
        <w:spacing w:before="0" w:beforeAutospacing="0" w:after="0" w:afterAutospacing="0"/>
        <w:jc w:val="both"/>
        <w:rPr>
          <w:sz w:val="20"/>
          <w:szCs w:val="20"/>
        </w:rPr>
      </w:pPr>
      <w:r>
        <w:rPr>
          <w:sz w:val="20"/>
          <w:szCs w:val="20"/>
        </w:rPr>
        <w:t> </w:t>
      </w:r>
    </w:p>
    <w:p w14:paraId="75D6790E" w14:textId="77777777" w:rsidR="00000000" w:rsidRDefault="0015578C">
      <w:pPr>
        <w:pStyle w:val="a3"/>
        <w:spacing w:before="0" w:beforeAutospacing="0" w:after="0" w:afterAutospacing="0"/>
        <w:ind w:firstLine="675"/>
        <w:jc w:val="both"/>
        <w:rPr>
          <w:sz w:val="20"/>
          <w:szCs w:val="20"/>
        </w:rPr>
      </w:pPr>
      <w:r>
        <w:rPr>
          <w:sz w:val="20"/>
          <w:szCs w:val="20"/>
        </w:rPr>
        <w:t>Two important styles of mineralization occur at Florida Canyon: Manto-style with mineralization usually locali</w:t>
      </w:r>
      <w:r>
        <w:rPr>
          <w:sz w:val="20"/>
          <w:szCs w:val="20"/>
        </w:rPr>
        <w:t>zed in favorable carbonate strata in a near horizontal orientation; and a second style with mineralization in a near-vertical orientation occurring within high-angle structural zones. Manto mineralization occurs as both massive to semi-massive replacements</w:t>
      </w:r>
      <w:r>
        <w:rPr>
          <w:sz w:val="20"/>
          <w:szCs w:val="20"/>
        </w:rPr>
        <w:t xml:space="preserve"> and disseminations of sphalerite and galena localized by specific sedimentary facies (rock strata) within the limestone stratigraphy. Often manto-style mineralization is laterally associated with near-vertical structural feeders and karst breccias that cu</w:t>
      </w:r>
      <w:r>
        <w:rPr>
          <w:sz w:val="20"/>
          <w:szCs w:val="20"/>
        </w:rPr>
        <w:t xml:space="preserve">t the carbonate stratigraphy. A total of 11 preferred beds for replacement mineralization have been located within the middle unit of the Chambara Formation. Mineralization is associated with the conversion of limestone to dolomite, which creates porosity </w:t>
      </w:r>
      <w:r>
        <w:rPr>
          <w:sz w:val="20"/>
          <w:szCs w:val="20"/>
        </w:rPr>
        <w:t>and permeability within the rock formations. It is believed that mineralizing fluids passed through structurally controlled vertical feeder zones and into adjacent near-horizontal rock formations to produce mineralized vertical replacement bodies and strat</w:t>
      </w:r>
      <w:r>
        <w:rPr>
          <w:sz w:val="20"/>
          <w:szCs w:val="20"/>
        </w:rPr>
        <w:t>igraphically controlled near-horizontal manto deposits. Drilling of stratigraphic targets has shown that certain coarser-grained facies of the stratigraphy are the best hosts for manto mineralization. Stratigraphically controlled mineralization is typicall</w:t>
      </w:r>
      <w:r>
        <w:rPr>
          <w:sz w:val="20"/>
          <w:szCs w:val="20"/>
        </w:rPr>
        <w:t>y one to several meters in thickness, but often attains thicknesses of five to ten meters.</w:t>
      </w:r>
    </w:p>
    <w:p w14:paraId="3FEEFFAD" w14:textId="77777777" w:rsidR="00000000" w:rsidRDefault="0015578C">
      <w:pPr>
        <w:pStyle w:val="a3"/>
        <w:spacing w:before="0" w:beforeAutospacing="0" w:after="0" w:afterAutospacing="0"/>
        <w:ind w:firstLine="675"/>
        <w:jc w:val="both"/>
        <w:rPr>
          <w:sz w:val="20"/>
          <w:szCs w:val="20"/>
        </w:rPr>
      </w:pPr>
      <w:r>
        <w:rPr>
          <w:sz w:val="20"/>
          <w:szCs w:val="20"/>
        </w:rPr>
        <w:t> </w:t>
      </w:r>
    </w:p>
    <w:p w14:paraId="4ED377C6" w14:textId="77777777" w:rsidR="00000000" w:rsidRDefault="0015578C">
      <w:pPr>
        <w:pStyle w:val="a3"/>
        <w:spacing w:before="0" w:beforeAutospacing="0" w:after="0" w:afterAutospacing="0"/>
        <w:ind w:firstLine="675"/>
        <w:jc w:val="both"/>
        <w:rPr>
          <w:sz w:val="20"/>
          <w:szCs w:val="20"/>
        </w:rPr>
      </w:pPr>
      <w:r>
        <w:rPr>
          <w:sz w:val="20"/>
          <w:szCs w:val="20"/>
        </w:rPr>
        <w:t>Zinc mineralization was originally deposited in the form of sulfide minerals. However, some near-surface mineralization has been oxidized to varying degrees. Appro</w:t>
      </w:r>
      <w:r>
        <w:rPr>
          <w:sz w:val="20"/>
          <w:szCs w:val="20"/>
        </w:rPr>
        <w:t>ximately 80% of mineralization defined at Florida Canyon is sulfide-dominant with the remainder being mixed sulfide-oxide, or oxide-dominant. Processing sulfide mineralization is commercially more profitable.</w:t>
      </w:r>
    </w:p>
    <w:p w14:paraId="21A6BE4C" w14:textId="77777777" w:rsidR="00000000" w:rsidRDefault="0015578C">
      <w:pPr>
        <w:pStyle w:val="a3"/>
        <w:spacing w:before="0" w:beforeAutospacing="0" w:after="0" w:afterAutospacing="0"/>
        <w:ind w:firstLine="675"/>
        <w:jc w:val="both"/>
        <w:rPr>
          <w:sz w:val="20"/>
          <w:szCs w:val="20"/>
        </w:rPr>
      </w:pPr>
      <w:r>
        <w:rPr>
          <w:sz w:val="20"/>
          <w:szCs w:val="20"/>
        </w:rPr>
        <w:t> </w:t>
      </w:r>
    </w:p>
    <w:p w14:paraId="14DF3B82" w14:textId="77777777" w:rsidR="00000000" w:rsidRDefault="0015578C">
      <w:pPr>
        <w:pStyle w:val="a3"/>
        <w:spacing w:before="0" w:beforeAutospacing="0" w:after="0" w:afterAutospacing="0"/>
        <w:ind w:firstLine="675"/>
        <w:jc w:val="both"/>
        <w:rPr>
          <w:sz w:val="20"/>
          <w:szCs w:val="20"/>
        </w:rPr>
      </w:pPr>
      <w:r>
        <w:rPr>
          <w:sz w:val="20"/>
          <w:szCs w:val="20"/>
        </w:rPr>
        <w:t>Karst features are localized along the feeder</w:t>
      </w:r>
      <w:r>
        <w:rPr>
          <w:sz w:val="20"/>
          <w:szCs w:val="20"/>
        </w:rPr>
        <w:t xml:space="preserve"> faults and locally produce "breakout zones" where mineralization may extend vertically across thick stratigraphic intervals where collapse breccias have been replaced by ore minerals. Mineralized karst structures are up to 50 meters in width (horizontal),</w:t>
      </w:r>
      <w:r>
        <w:rPr>
          <w:sz w:val="20"/>
          <w:szCs w:val="20"/>
        </w:rPr>
        <w:t xml:space="preserve"> up to 900 meters vertically, and up to 1,000 meters along strike.</w:t>
      </w:r>
    </w:p>
    <w:p w14:paraId="52FAB228" w14:textId="77777777" w:rsidR="00000000" w:rsidRDefault="0015578C">
      <w:pPr>
        <w:pStyle w:val="a3"/>
        <w:spacing w:before="0" w:beforeAutospacing="0" w:after="0" w:afterAutospacing="0"/>
        <w:ind w:firstLine="675"/>
        <w:jc w:val="both"/>
        <w:rPr>
          <w:sz w:val="20"/>
          <w:szCs w:val="20"/>
        </w:rPr>
      </w:pPr>
      <w:r>
        <w:rPr>
          <w:sz w:val="20"/>
          <w:szCs w:val="20"/>
        </w:rPr>
        <w:t> </w:t>
      </w:r>
    </w:p>
    <w:p w14:paraId="769190C1" w14:textId="77777777" w:rsidR="00000000" w:rsidRDefault="0015578C">
      <w:pPr>
        <w:pStyle w:val="a3"/>
        <w:spacing w:before="0" w:beforeAutospacing="0" w:after="0" w:afterAutospacing="0"/>
        <w:ind w:firstLine="675"/>
        <w:jc w:val="both"/>
        <w:rPr>
          <w:sz w:val="20"/>
          <w:szCs w:val="20"/>
        </w:rPr>
      </w:pPr>
      <w:r>
        <w:rPr>
          <w:sz w:val="20"/>
          <w:szCs w:val="20"/>
        </w:rPr>
        <w:t>Evidence for these breakout zones is provided by the following drill holes from various locations on the property:</w:t>
      </w:r>
    </w:p>
    <w:p w14:paraId="496B2F5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4"/>
        <w:gridCol w:w="1359"/>
        <w:gridCol w:w="1360"/>
        <w:gridCol w:w="1360"/>
        <w:gridCol w:w="1360"/>
        <w:gridCol w:w="1477"/>
      </w:tblGrid>
      <w:tr w:rsidR="00000000" w14:paraId="48E7D457" w14:textId="77777777">
        <w:trPr>
          <w:trHeight w:val="225"/>
          <w:tblCellSpacing w:w="15" w:type="dxa"/>
        </w:trPr>
        <w:tc>
          <w:tcPr>
            <w:tcW w:w="650" w:type="pct"/>
            <w:hideMark/>
          </w:tcPr>
          <w:p w14:paraId="3004779F" w14:textId="77777777" w:rsidR="00000000" w:rsidRDefault="0015578C">
            <w:pPr>
              <w:pStyle w:val="a3"/>
              <w:spacing w:before="0" w:beforeAutospacing="0" w:after="0" w:afterAutospacing="0"/>
              <w:jc w:val="center"/>
              <w:rPr>
                <w:sz w:val="20"/>
                <w:szCs w:val="20"/>
              </w:rPr>
            </w:pPr>
            <w:r>
              <w:rPr>
                <w:rStyle w:val="a4"/>
                <w:sz w:val="20"/>
                <w:szCs w:val="20"/>
              </w:rPr>
              <w:t>Breakout</w:t>
            </w:r>
          </w:p>
          <w:p w14:paraId="366DE621" w14:textId="77777777" w:rsidR="00000000" w:rsidRDefault="0015578C">
            <w:pPr>
              <w:pStyle w:val="a3"/>
              <w:spacing w:before="0" w:beforeAutospacing="0" w:after="0" w:afterAutospacing="0"/>
              <w:jc w:val="center"/>
              <w:rPr>
                <w:sz w:val="20"/>
                <w:szCs w:val="20"/>
              </w:rPr>
            </w:pPr>
            <w:r>
              <w:rPr>
                <w:rStyle w:val="a4"/>
                <w:sz w:val="20"/>
                <w:szCs w:val="20"/>
              </w:rPr>
              <w:t>Zone Name</w:t>
            </w:r>
          </w:p>
        </w:tc>
        <w:tc>
          <w:tcPr>
            <w:tcW w:w="650" w:type="pct"/>
            <w:hideMark/>
          </w:tcPr>
          <w:p w14:paraId="312251E3" w14:textId="77777777" w:rsidR="00000000" w:rsidRDefault="0015578C">
            <w:pPr>
              <w:pStyle w:val="a3"/>
              <w:spacing w:before="0" w:beforeAutospacing="0" w:after="0" w:afterAutospacing="0"/>
              <w:jc w:val="center"/>
              <w:rPr>
                <w:sz w:val="20"/>
                <w:szCs w:val="20"/>
              </w:rPr>
            </w:pPr>
            <w:r>
              <w:rPr>
                <w:rStyle w:val="a4"/>
                <w:sz w:val="20"/>
                <w:szCs w:val="20"/>
              </w:rPr>
              <w:t>Drill Hole</w:t>
            </w:r>
          </w:p>
          <w:p w14:paraId="0CAC3966" w14:textId="77777777" w:rsidR="00000000" w:rsidRDefault="0015578C">
            <w:pPr>
              <w:pStyle w:val="a3"/>
              <w:spacing w:before="0" w:beforeAutospacing="0" w:after="0" w:afterAutospacing="0"/>
              <w:jc w:val="center"/>
              <w:rPr>
                <w:sz w:val="20"/>
                <w:szCs w:val="20"/>
              </w:rPr>
            </w:pPr>
            <w:r>
              <w:rPr>
                <w:rStyle w:val="a4"/>
                <w:sz w:val="20"/>
                <w:szCs w:val="20"/>
              </w:rPr>
              <w:t>Number</w:t>
            </w:r>
          </w:p>
        </w:tc>
        <w:tc>
          <w:tcPr>
            <w:tcW w:w="650" w:type="pct"/>
            <w:hideMark/>
          </w:tcPr>
          <w:p w14:paraId="4622BFEB" w14:textId="77777777" w:rsidR="00000000" w:rsidRDefault="0015578C">
            <w:pPr>
              <w:pStyle w:val="a3"/>
              <w:spacing w:before="0" w:beforeAutospacing="0" w:after="0" w:afterAutospacing="0"/>
              <w:jc w:val="center"/>
              <w:rPr>
                <w:sz w:val="20"/>
                <w:szCs w:val="20"/>
              </w:rPr>
            </w:pPr>
            <w:r>
              <w:rPr>
                <w:rStyle w:val="a4"/>
                <w:sz w:val="20"/>
                <w:szCs w:val="20"/>
              </w:rPr>
              <w:t>Intercepts</w:t>
            </w:r>
          </w:p>
          <w:p w14:paraId="3E29673F" w14:textId="77777777" w:rsidR="00000000" w:rsidRDefault="0015578C">
            <w:pPr>
              <w:pStyle w:val="a3"/>
              <w:spacing w:before="0" w:beforeAutospacing="0" w:after="0" w:afterAutospacing="0"/>
              <w:jc w:val="center"/>
              <w:rPr>
                <w:sz w:val="20"/>
                <w:szCs w:val="20"/>
              </w:rPr>
            </w:pPr>
            <w:r>
              <w:rPr>
                <w:rStyle w:val="a4"/>
                <w:sz w:val="20"/>
                <w:szCs w:val="20"/>
              </w:rPr>
              <w:t>(meters)</w:t>
            </w:r>
          </w:p>
        </w:tc>
        <w:tc>
          <w:tcPr>
            <w:tcW w:w="650" w:type="pct"/>
            <w:hideMark/>
          </w:tcPr>
          <w:p w14:paraId="556AC3A9" w14:textId="77777777" w:rsidR="00000000" w:rsidRDefault="0015578C">
            <w:pPr>
              <w:pStyle w:val="a3"/>
              <w:spacing w:before="0" w:beforeAutospacing="0" w:after="0" w:afterAutospacing="0"/>
              <w:jc w:val="center"/>
              <w:rPr>
                <w:sz w:val="20"/>
                <w:szCs w:val="20"/>
              </w:rPr>
            </w:pPr>
            <w:r>
              <w:rPr>
                <w:rStyle w:val="a4"/>
                <w:sz w:val="20"/>
                <w:szCs w:val="20"/>
              </w:rPr>
              <w:t>Zinc</w:t>
            </w:r>
          </w:p>
          <w:p w14:paraId="7BE11A2F" w14:textId="77777777" w:rsidR="00000000" w:rsidRDefault="0015578C">
            <w:pPr>
              <w:pStyle w:val="a3"/>
              <w:spacing w:before="0" w:beforeAutospacing="0" w:after="0" w:afterAutospacing="0"/>
              <w:jc w:val="center"/>
              <w:rPr>
                <w:sz w:val="20"/>
                <w:szCs w:val="20"/>
              </w:rPr>
            </w:pPr>
            <w:r>
              <w:rPr>
                <w:rStyle w:val="a4"/>
                <w:sz w:val="20"/>
                <w:szCs w:val="20"/>
              </w:rPr>
              <w:t>%</w:t>
            </w:r>
          </w:p>
        </w:tc>
        <w:tc>
          <w:tcPr>
            <w:tcW w:w="650" w:type="pct"/>
            <w:hideMark/>
          </w:tcPr>
          <w:p w14:paraId="05B67D95" w14:textId="77777777" w:rsidR="00000000" w:rsidRDefault="0015578C">
            <w:pPr>
              <w:pStyle w:val="a3"/>
              <w:spacing w:before="0" w:beforeAutospacing="0" w:after="0" w:afterAutospacing="0"/>
              <w:jc w:val="center"/>
              <w:rPr>
                <w:sz w:val="20"/>
                <w:szCs w:val="20"/>
              </w:rPr>
            </w:pPr>
            <w:r>
              <w:rPr>
                <w:rStyle w:val="a4"/>
                <w:sz w:val="20"/>
                <w:szCs w:val="20"/>
              </w:rPr>
              <w:t>Lead</w:t>
            </w:r>
          </w:p>
          <w:p w14:paraId="44FC5E06" w14:textId="77777777" w:rsidR="00000000" w:rsidRDefault="0015578C">
            <w:pPr>
              <w:pStyle w:val="a3"/>
              <w:spacing w:before="0" w:beforeAutospacing="0" w:after="0" w:afterAutospacing="0"/>
              <w:jc w:val="center"/>
              <w:rPr>
                <w:sz w:val="20"/>
                <w:szCs w:val="20"/>
              </w:rPr>
            </w:pPr>
            <w:r>
              <w:rPr>
                <w:rStyle w:val="a4"/>
                <w:sz w:val="20"/>
                <w:szCs w:val="20"/>
              </w:rPr>
              <w:t>%</w:t>
            </w:r>
          </w:p>
        </w:tc>
        <w:tc>
          <w:tcPr>
            <w:tcW w:w="700" w:type="pct"/>
            <w:hideMark/>
          </w:tcPr>
          <w:p w14:paraId="20AFDC0E" w14:textId="77777777" w:rsidR="00000000" w:rsidRDefault="0015578C">
            <w:pPr>
              <w:pStyle w:val="a3"/>
              <w:spacing w:before="0" w:beforeAutospacing="0" w:after="0" w:afterAutospacing="0"/>
              <w:jc w:val="center"/>
              <w:rPr>
                <w:sz w:val="20"/>
                <w:szCs w:val="20"/>
              </w:rPr>
            </w:pPr>
            <w:r>
              <w:rPr>
                <w:rStyle w:val="a4"/>
                <w:sz w:val="20"/>
                <w:szCs w:val="20"/>
              </w:rPr>
              <w:t>Zinc+Lead</w:t>
            </w:r>
          </w:p>
          <w:p w14:paraId="1599D0B1" w14:textId="77777777" w:rsidR="00000000" w:rsidRDefault="0015578C">
            <w:pPr>
              <w:pStyle w:val="a3"/>
              <w:spacing w:before="0" w:beforeAutospacing="0" w:after="0" w:afterAutospacing="0"/>
              <w:jc w:val="center"/>
              <w:rPr>
                <w:sz w:val="20"/>
                <w:szCs w:val="20"/>
              </w:rPr>
            </w:pPr>
            <w:r>
              <w:rPr>
                <w:rStyle w:val="a4"/>
                <w:sz w:val="20"/>
                <w:szCs w:val="20"/>
              </w:rPr>
              <w:t>%</w:t>
            </w:r>
          </w:p>
        </w:tc>
      </w:tr>
      <w:tr w:rsidR="00000000" w14:paraId="554B7AB6" w14:textId="77777777">
        <w:trPr>
          <w:trHeight w:val="225"/>
          <w:tblCellSpacing w:w="15" w:type="dxa"/>
        </w:trPr>
        <w:tc>
          <w:tcPr>
            <w:tcW w:w="650" w:type="pct"/>
            <w:shd w:val="clear" w:color="auto" w:fill="CCEEFF"/>
            <w:hideMark/>
          </w:tcPr>
          <w:p w14:paraId="00C9F6BC" w14:textId="77777777" w:rsidR="00000000" w:rsidRDefault="0015578C">
            <w:pPr>
              <w:pStyle w:val="a3"/>
              <w:spacing w:before="0" w:beforeAutospacing="0" w:after="0" w:afterAutospacing="0"/>
              <w:jc w:val="center"/>
              <w:rPr>
                <w:sz w:val="20"/>
                <w:szCs w:val="20"/>
              </w:rPr>
            </w:pPr>
            <w:r>
              <w:rPr>
                <w:sz w:val="20"/>
                <w:szCs w:val="20"/>
              </w:rPr>
              <w:t>Sam</w:t>
            </w:r>
          </w:p>
        </w:tc>
        <w:tc>
          <w:tcPr>
            <w:tcW w:w="650" w:type="pct"/>
            <w:shd w:val="clear" w:color="auto" w:fill="CCEEFF"/>
            <w:hideMark/>
          </w:tcPr>
          <w:p w14:paraId="5F0B37B4" w14:textId="77777777" w:rsidR="00000000" w:rsidRDefault="0015578C">
            <w:pPr>
              <w:pStyle w:val="a3"/>
              <w:spacing w:before="0" w:beforeAutospacing="0" w:after="0" w:afterAutospacing="0"/>
              <w:jc w:val="center"/>
              <w:rPr>
                <w:sz w:val="20"/>
                <w:szCs w:val="20"/>
              </w:rPr>
            </w:pPr>
            <w:r>
              <w:rPr>
                <w:sz w:val="20"/>
                <w:szCs w:val="20"/>
              </w:rPr>
              <w:t>GC-17</w:t>
            </w:r>
          </w:p>
          <w:p w14:paraId="4C64D114" w14:textId="77777777" w:rsidR="00000000" w:rsidRDefault="0015578C">
            <w:pPr>
              <w:pStyle w:val="a3"/>
              <w:spacing w:before="0" w:beforeAutospacing="0" w:after="0" w:afterAutospacing="0"/>
              <w:jc w:val="center"/>
              <w:rPr>
                <w:sz w:val="20"/>
                <w:szCs w:val="20"/>
              </w:rPr>
            </w:pPr>
            <w:r>
              <w:rPr>
                <w:sz w:val="20"/>
                <w:szCs w:val="20"/>
              </w:rPr>
              <w:t>FC-23</w:t>
            </w:r>
          </w:p>
        </w:tc>
        <w:tc>
          <w:tcPr>
            <w:tcW w:w="650" w:type="pct"/>
            <w:shd w:val="clear" w:color="auto" w:fill="CCEEFF"/>
            <w:vAlign w:val="bottom"/>
            <w:hideMark/>
          </w:tcPr>
          <w:p w14:paraId="52B5C5A7" w14:textId="77777777" w:rsidR="00000000" w:rsidRDefault="0015578C">
            <w:pPr>
              <w:pStyle w:val="a3"/>
              <w:spacing w:before="0" w:beforeAutospacing="0" w:after="0" w:afterAutospacing="0"/>
              <w:jc w:val="right"/>
              <w:rPr>
                <w:sz w:val="20"/>
                <w:szCs w:val="20"/>
              </w:rPr>
            </w:pPr>
            <w:r>
              <w:rPr>
                <w:sz w:val="20"/>
                <w:szCs w:val="20"/>
              </w:rPr>
              <w:t>58.8</w:t>
            </w:r>
          </w:p>
          <w:p w14:paraId="226C8C42" w14:textId="77777777" w:rsidR="00000000" w:rsidRDefault="0015578C">
            <w:pPr>
              <w:pStyle w:val="a3"/>
              <w:spacing w:before="0" w:beforeAutospacing="0" w:after="0" w:afterAutospacing="0"/>
              <w:jc w:val="right"/>
              <w:rPr>
                <w:sz w:val="20"/>
                <w:szCs w:val="20"/>
              </w:rPr>
            </w:pPr>
            <w:r>
              <w:rPr>
                <w:sz w:val="20"/>
                <w:szCs w:val="20"/>
              </w:rPr>
              <w:t>81.5</w:t>
            </w:r>
          </w:p>
        </w:tc>
        <w:tc>
          <w:tcPr>
            <w:tcW w:w="650" w:type="pct"/>
            <w:shd w:val="clear" w:color="auto" w:fill="CCEEFF"/>
            <w:vAlign w:val="bottom"/>
            <w:hideMark/>
          </w:tcPr>
          <w:p w14:paraId="394D8BBB" w14:textId="77777777" w:rsidR="00000000" w:rsidRDefault="0015578C">
            <w:pPr>
              <w:pStyle w:val="a3"/>
              <w:spacing w:before="0" w:beforeAutospacing="0" w:after="0" w:afterAutospacing="0"/>
              <w:jc w:val="right"/>
              <w:rPr>
                <w:sz w:val="20"/>
                <w:szCs w:val="20"/>
              </w:rPr>
            </w:pPr>
            <w:r>
              <w:rPr>
                <w:sz w:val="20"/>
                <w:szCs w:val="20"/>
              </w:rPr>
              <w:t>12.0</w:t>
            </w:r>
          </w:p>
          <w:p w14:paraId="6EF650E9" w14:textId="77777777" w:rsidR="00000000" w:rsidRDefault="0015578C">
            <w:pPr>
              <w:pStyle w:val="a3"/>
              <w:spacing w:before="0" w:beforeAutospacing="0" w:after="0" w:afterAutospacing="0"/>
              <w:jc w:val="right"/>
              <w:rPr>
                <w:sz w:val="20"/>
                <w:szCs w:val="20"/>
              </w:rPr>
            </w:pPr>
            <w:r>
              <w:rPr>
                <w:sz w:val="20"/>
                <w:szCs w:val="20"/>
              </w:rPr>
              <w:t>4.8</w:t>
            </w:r>
          </w:p>
        </w:tc>
        <w:tc>
          <w:tcPr>
            <w:tcW w:w="650" w:type="pct"/>
            <w:shd w:val="clear" w:color="auto" w:fill="CCEEFF"/>
            <w:vAlign w:val="bottom"/>
            <w:hideMark/>
          </w:tcPr>
          <w:p w14:paraId="7A8ADB86" w14:textId="77777777" w:rsidR="00000000" w:rsidRDefault="0015578C">
            <w:pPr>
              <w:pStyle w:val="a3"/>
              <w:spacing w:before="0" w:beforeAutospacing="0" w:after="0" w:afterAutospacing="0"/>
              <w:jc w:val="right"/>
              <w:rPr>
                <w:sz w:val="20"/>
                <w:szCs w:val="20"/>
              </w:rPr>
            </w:pPr>
            <w:r>
              <w:rPr>
                <w:sz w:val="20"/>
                <w:szCs w:val="20"/>
              </w:rPr>
              <w:t>2.8</w:t>
            </w:r>
          </w:p>
          <w:p w14:paraId="3C149EA3" w14:textId="77777777" w:rsidR="00000000" w:rsidRDefault="0015578C">
            <w:pPr>
              <w:pStyle w:val="a3"/>
              <w:spacing w:before="0" w:beforeAutospacing="0" w:after="0" w:afterAutospacing="0"/>
              <w:jc w:val="right"/>
              <w:rPr>
                <w:sz w:val="20"/>
                <w:szCs w:val="20"/>
              </w:rPr>
            </w:pPr>
            <w:r>
              <w:rPr>
                <w:sz w:val="20"/>
                <w:szCs w:val="20"/>
              </w:rPr>
              <w:t>0.8</w:t>
            </w:r>
          </w:p>
        </w:tc>
        <w:tc>
          <w:tcPr>
            <w:tcW w:w="700" w:type="pct"/>
            <w:shd w:val="clear" w:color="auto" w:fill="CCEEFF"/>
            <w:vAlign w:val="bottom"/>
            <w:hideMark/>
          </w:tcPr>
          <w:p w14:paraId="7E16AFE6" w14:textId="77777777" w:rsidR="00000000" w:rsidRDefault="0015578C">
            <w:pPr>
              <w:pStyle w:val="a3"/>
              <w:spacing w:before="0" w:beforeAutospacing="0" w:after="0" w:afterAutospacing="0"/>
              <w:jc w:val="right"/>
              <w:rPr>
                <w:sz w:val="20"/>
                <w:szCs w:val="20"/>
              </w:rPr>
            </w:pPr>
            <w:r>
              <w:rPr>
                <w:rStyle w:val="a4"/>
                <w:sz w:val="20"/>
                <w:szCs w:val="20"/>
              </w:rPr>
              <w:t>14.8</w:t>
            </w:r>
          </w:p>
          <w:p w14:paraId="4766FED8" w14:textId="77777777" w:rsidR="00000000" w:rsidRDefault="0015578C">
            <w:pPr>
              <w:pStyle w:val="a3"/>
              <w:spacing w:before="0" w:beforeAutospacing="0" w:after="0" w:afterAutospacing="0"/>
              <w:jc w:val="right"/>
              <w:rPr>
                <w:sz w:val="20"/>
                <w:szCs w:val="20"/>
              </w:rPr>
            </w:pPr>
            <w:r>
              <w:rPr>
                <w:sz w:val="20"/>
                <w:szCs w:val="20"/>
              </w:rPr>
              <w:t>5.6</w:t>
            </w:r>
          </w:p>
        </w:tc>
      </w:tr>
      <w:tr w:rsidR="00000000" w14:paraId="60AB7E93" w14:textId="77777777">
        <w:trPr>
          <w:trHeight w:val="225"/>
          <w:tblCellSpacing w:w="15" w:type="dxa"/>
        </w:trPr>
        <w:tc>
          <w:tcPr>
            <w:tcW w:w="650" w:type="pct"/>
            <w:shd w:val="clear" w:color="auto" w:fill="FFFFFF"/>
            <w:hideMark/>
          </w:tcPr>
          <w:p w14:paraId="4BAF7494" w14:textId="77777777" w:rsidR="00000000" w:rsidRDefault="0015578C">
            <w:pPr>
              <w:pStyle w:val="a3"/>
              <w:spacing w:before="0" w:beforeAutospacing="0" w:after="0" w:afterAutospacing="0"/>
              <w:jc w:val="center"/>
              <w:rPr>
                <w:sz w:val="20"/>
                <w:szCs w:val="20"/>
              </w:rPr>
            </w:pPr>
            <w:r>
              <w:rPr>
                <w:sz w:val="20"/>
                <w:szCs w:val="20"/>
              </w:rPr>
              <w:t>Karen</w:t>
            </w:r>
          </w:p>
        </w:tc>
        <w:tc>
          <w:tcPr>
            <w:tcW w:w="650" w:type="pct"/>
            <w:shd w:val="clear" w:color="auto" w:fill="FFFFFF"/>
            <w:hideMark/>
          </w:tcPr>
          <w:p w14:paraId="25183127" w14:textId="77777777" w:rsidR="00000000" w:rsidRDefault="0015578C">
            <w:pPr>
              <w:pStyle w:val="a3"/>
              <w:spacing w:before="0" w:beforeAutospacing="0" w:after="0" w:afterAutospacing="0"/>
              <w:jc w:val="center"/>
              <w:rPr>
                <w:sz w:val="20"/>
                <w:szCs w:val="20"/>
              </w:rPr>
            </w:pPr>
            <w:r>
              <w:rPr>
                <w:sz w:val="20"/>
                <w:szCs w:val="20"/>
              </w:rPr>
              <w:t>A-1</w:t>
            </w:r>
          </w:p>
        </w:tc>
        <w:tc>
          <w:tcPr>
            <w:tcW w:w="650" w:type="pct"/>
            <w:shd w:val="clear" w:color="auto" w:fill="FFFFFF"/>
            <w:vAlign w:val="bottom"/>
            <w:hideMark/>
          </w:tcPr>
          <w:p w14:paraId="2C226169" w14:textId="77777777" w:rsidR="00000000" w:rsidRDefault="0015578C">
            <w:pPr>
              <w:pStyle w:val="a3"/>
              <w:spacing w:before="0" w:beforeAutospacing="0" w:after="0" w:afterAutospacing="0"/>
              <w:jc w:val="right"/>
              <w:rPr>
                <w:sz w:val="20"/>
                <w:szCs w:val="20"/>
              </w:rPr>
            </w:pPr>
            <w:r>
              <w:rPr>
                <w:sz w:val="20"/>
                <w:szCs w:val="20"/>
              </w:rPr>
              <w:t>36.2</w:t>
            </w:r>
          </w:p>
        </w:tc>
        <w:tc>
          <w:tcPr>
            <w:tcW w:w="650" w:type="pct"/>
            <w:shd w:val="clear" w:color="auto" w:fill="FFFFFF"/>
            <w:vAlign w:val="bottom"/>
            <w:hideMark/>
          </w:tcPr>
          <w:p w14:paraId="3DFFD47C" w14:textId="77777777" w:rsidR="00000000" w:rsidRDefault="0015578C">
            <w:pPr>
              <w:pStyle w:val="a3"/>
              <w:spacing w:before="0" w:beforeAutospacing="0" w:after="0" w:afterAutospacing="0"/>
              <w:jc w:val="right"/>
              <w:rPr>
                <w:sz w:val="20"/>
                <w:szCs w:val="20"/>
              </w:rPr>
            </w:pPr>
            <w:r>
              <w:rPr>
                <w:sz w:val="20"/>
                <w:szCs w:val="20"/>
              </w:rPr>
              <w:t>12.8</w:t>
            </w:r>
          </w:p>
        </w:tc>
        <w:tc>
          <w:tcPr>
            <w:tcW w:w="650" w:type="pct"/>
            <w:shd w:val="clear" w:color="auto" w:fill="FFFFFF"/>
            <w:vAlign w:val="bottom"/>
            <w:hideMark/>
          </w:tcPr>
          <w:p w14:paraId="1A875CA3" w14:textId="77777777" w:rsidR="00000000" w:rsidRDefault="0015578C">
            <w:pPr>
              <w:pStyle w:val="a3"/>
              <w:spacing w:before="0" w:beforeAutospacing="0" w:after="0" w:afterAutospacing="0"/>
              <w:jc w:val="right"/>
              <w:rPr>
                <w:sz w:val="20"/>
                <w:szCs w:val="20"/>
              </w:rPr>
            </w:pPr>
            <w:r>
              <w:rPr>
                <w:sz w:val="20"/>
                <w:szCs w:val="20"/>
              </w:rPr>
              <w:t>2.7</w:t>
            </w:r>
          </w:p>
        </w:tc>
        <w:tc>
          <w:tcPr>
            <w:tcW w:w="700" w:type="pct"/>
            <w:shd w:val="clear" w:color="auto" w:fill="FFFFFF"/>
            <w:vAlign w:val="bottom"/>
            <w:hideMark/>
          </w:tcPr>
          <w:p w14:paraId="55F9868C" w14:textId="77777777" w:rsidR="00000000" w:rsidRDefault="0015578C">
            <w:pPr>
              <w:pStyle w:val="a3"/>
              <w:spacing w:before="0" w:beforeAutospacing="0" w:after="0" w:afterAutospacing="0"/>
              <w:jc w:val="right"/>
              <w:rPr>
                <w:sz w:val="20"/>
                <w:szCs w:val="20"/>
              </w:rPr>
            </w:pPr>
            <w:r>
              <w:rPr>
                <w:rStyle w:val="a4"/>
                <w:sz w:val="20"/>
                <w:szCs w:val="20"/>
              </w:rPr>
              <w:t>15.5</w:t>
            </w:r>
          </w:p>
        </w:tc>
      </w:tr>
      <w:tr w:rsidR="00000000" w14:paraId="1978FC52" w14:textId="77777777">
        <w:trPr>
          <w:trHeight w:val="225"/>
          <w:tblCellSpacing w:w="15" w:type="dxa"/>
        </w:trPr>
        <w:tc>
          <w:tcPr>
            <w:tcW w:w="650" w:type="pct"/>
            <w:shd w:val="clear" w:color="auto" w:fill="CCEEFF"/>
            <w:hideMark/>
          </w:tcPr>
          <w:p w14:paraId="2E23C5D0" w14:textId="77777777" w:rsidR="00000000" w:rsidRDefault="0015578C">
            <w:pPr>
              <w:pStyle w:val="a3"/>
              <w:spacing w:before="0" w:beforeAutospacing="0" w:after="0" w:afterAutospacing="0"/>
              <w:jc w:val="center"/>
              <w:rPr>
                <w:sz w:val="20"/>
                <w:szCs w:val="20"/>
              </w:rPr>
            </w:pPr>
            <w:r>
              <w:rPr>
                <w:sz w:val="20"/>
                <w:szCs w:val="20"/>
              </w:rPr>
              <w:t>V-1021</w:t>
            </w:r>
          </w:p>
        </w:tc>
        <w:tc>
          <w:tcPr>
            <w:tcW w:w="650" w:type="pct"/>
            <w:shd w:val="clear" w:color="auto" w:fill="CCEEFF"/>
            <w:hideMark/>
          </w:tcPr>
          <w:p w14:paraId="2D68926F" w14:textId="77777777" w:rsidR="00000000" w:rsidRDefault="0015578C">
            <w:pPr>
              <w:pStyle w:val="a3"/>
              <w:spacing w:before="0" w:beforeAutospacing="0" w:after="0" w:afterAutospacing="0"/>
              <w:jc w:val="center"/>
              <w:rPr>
                <w:sz w:val="20"/>
                <w:szCs w:val="20"/>
              </w:rPr>
            </w:pPr>
            <w:r>
              <w:rPr>
                <w:sz w:val="20"/>
                <w:szCs w:val="20"/>
              </w:rPr>
              <w:t>V-21</w:t>
            </w:r>
          </w:p>
        </w:tc>
        <w:tc>
          <w:tcPr>
            <w:tcW w:w="650" w:type="pct"/>
            <w:shd w:val="clear" w:color="auto" w:fill="CCEEFF"/>
            <w:vAlign w:val="bottom"/>
            <w:hideMark/>
          </w:tcPr>
          <w:p w14:paraId="1FC665F2" w14:textId="77777777" w:rsidR="00000000" w:rsidRDefault="0015578C">
            <w:pPr>
              <w:pStyle w:val="a3"/>
              <w:spacing w:before="0" w:beforeAutospacing="0" w:after="0" w:afterAutospacing="0"/>
              <w:jc w:val="right"/>
              <w:rPr>
                <w:sz w:val="20"/>
                <w:szCs w:val="20"/>
              </w:rPr>
            </w:pPr>
            <w:r>
              <w:rPr>
                <w:sz w:val="20"/>
                <w:szCs w:val="20"/>
              </w:rPr>
              <w:t>92.0</w:t>
            </w:r>
          </w:p>
        </w:tc>
        <w:tc>
          <w:tcPr>
            <w:tcW w:w="650" w:type="pct"/>
            <w:shd w:val="clear" w:color="auto" w:fill="CCEEFF"/>
            <w:vAlign w:val="bottom"/>
            <w:hideMark/>
          </w:tcPr>
          <w:p w14:paraId="1941C28B" w14:textId="77777777" w:rsidR="00000000" w:rsidRDefault="0015578C">
            <w:pPr>
              <w:pStyle w:val="a3"/>
              <w:spacing w:before="0" w:beforeAutospacing="0" w:after="0" w:afterAutospacing="0"/>
              <w:jc w:val="right"/>
              <w:rPr>
                <w:sz w:val="20"/>
                <w:szCs w:val="20"/>
              </w:rPr>
            </w:pPr>
            <w:r>
              <w:rPr>
                <w:sz w:val="20"/>
                <w:szCs w:val="20"/>
              </w:rPr>
              <w:t>5.5</w:t>
            </w:r>
          </w:p>
        </w:tc>
        <w:tc>
          <w:tcPr>
            <w:tcW w:w="650" w:type="pct"/>
            <w:shd w:val="clear" w:color="auto" w:fill="CCEEFF"/>
            <w:vAlign w:val="bottom"/>
            <w:hideMark/>
          </w:tcPr>
          <w:p w14:paraId="0AD108DE" w14:textId="77777777" w:rsidR="00000000" w:rsidRDefault="0015578C">
            <w:pPr>
              <w:pStyle w:val="a3"/>
              <w:spacing w:before="0" w:beforeAutospacing="0" w:after="0" w:afterAutospacing="0"/>
              <w:jc w:val="right"/>
              <w:rPr>
                <w:sz w:val="20"/>
                <w:szCs w:val="20"/>
              </w:rPr>
            </w:pPr>
            <w:r>
              <w:rPr>
                <w:sz w:val="20"/>
                <w:szCs w:val="20"/>
              </w:rPr>
              <w:t>1.7</w:t>
            </w:r>
          </w:p>
        </w:tc>
        <w:tc>
          <w:tcPr>
            <w:tcW w:w="700" w:type="pct"/>
            <w:shd w:val="clear" w:color="auto" w:fill="CCEEFF"/>
            <w:vAlign w:val="bottom"/>
            <w:hideMark/>
          </w:tcPr>
          <w:p w14:paraId="104DF33C" w14:textId="77777777" w:rsidR="00000000" w:rsidRDefault="0015578C">
            <w:pPr>
              <w:pStyle w:val="a3"/>
              <w:spacing w:before="0" w:beforeAutospacing="0" w:after="0" w:afterAutospacing="0"/>
              <w:jc w:val="right"/>
              <w:rPr>
                <w:sz w:val="20"/>
                <w:szCs w:val="20"/>
              </w:rPr>
            </w:pPr>
            <w:r>
              <w:rPr>
                <w:rStyle w:val="a4"/>
                <w:sz w:val="20"/>
                <w:szCs w:val="20"/>
              </w:rPr>
              <w:t>7.2</w:t>
            </w:r>
          </w:p>
        </w:tc>
      </w:tr>
      <w:tr w:rsidR="00000000" w14:paraId="53FCF756" w14:textId="77777777">
        <w:trPr>
          <w:trHeight w:val="225"/>
          <w:tblCellSpacing w:w="15" w:type="dxa"/>
        </w:trPr>
        <w:tc>
          <w:tcPr>
            <w:tcW w:w="650" w:type="pct"/>
            <w:shd w:val="clear" w:color="auto" w:fill="FFFFFF"/>
            <w:hideMark/>
          </w:tcPr>
          <w:p w14:paraId="5174A01E" w14:textId="77777777" w:rsidR="00000000" w:rsidRDefault="0015578C">
            <w:pPr>
              <w:pStyle w:val="a3"/>
              <w:spacing w:before="0" w:beforeAutospacing="0" w:after="0" w:afterAutospacing="0"/>
              <w:jc w:val="center"/>
              <w:rPr>
                <w:sz w:val="20"/>
                <w:szCs w:val="20"/>
              </w:rPr>
            </w:pPr>
            <w:r>
              <w:rPr>
                <w:sz w:val="20"/>
                <w:szCs w:val="20"/>
              </w:rPr>
              <w:t>South Zone</w:t>
            </w:r>
          </w:p>
        </w:tc>
        <w:tc>
          <w:tcPr>
            <w:tcW w:w="650" w:type="pct"/>
            <w:shd w:val="clear" w:color="auto" w:fill="FFFFFF"/>
            <w:hideMark/>
          </w:tcPr>
          <w:p w14:paraId="022F7FEF" w14:textId="77777777" w:rsidR="00000000" w:rsidRDefault="0015578C">
            <w:pPr>
              <w:pStyle w:val="a3"/>
              <w:spacing w:before="0" w:beforeAutospacing="0" w:after="0" w:afterAutospacing="0"/>
              <w:jc w:val="center"/>
              <w:rPr>
                <w:sz w:val="20"/>
                <w:szCs w:val="20"/>
              </w:rPr>
            </w:pPr>
            <w:r>
              <w:rPr>
                <w:sz w:val="20"/>
                <w:szCs w:val="20"/>
              </w:rPr>
              <w:t>V-44</w:t>
            </w:r>
          </w:p>
          <w:p w14:paraId="734BAFEA" w14:textId="77777777" w:rsidR="00000000" w:rsidRDefault="0015578C">
            <w:pPr>
              <w:pStyle w:val="a3"/>
              <w:spacing w:before="0" w:beforeAutospacing="0" w:after="0" w:afterAutospacing="0"/>
              <w:jc w:val="center"/>
              <w:rPr>
                <w:sz w:val="20"/>
                <w:szCs w:val="20"/>
              </w:rPr>
            </w:pPr>
            <w:r>
              <w:rPr>
                <w:sz w:val="20"/>
                <w:szCs w:val="20"/>
              </w:rPr>
              <w:t>V-169</w:t>
            </w:r>
          </w:p>
        </w:tc>
        <w:tc>
          <w:tcPr>
            <w:tcW w:w="650" w:type="pct"/>
            <w:shd w:val="clear" w:color="auto" w:fill="FFFFFF"/>
            <w:vAlign w:val="bottom"/>
            <w:hideMark/>
          </w:tcPr>
          <w:p w14:paraId="39A897C6" w14:textId="77777777" w:rsidR="00000000" w:rsidRDefault="0015578C">
            <w:pPr>
              <w:pStyle w:val="a3"/>
              <w:spacing w:before="0" w:beforeAutospacing="0" w:after="0" w:afterAutospacing="0"/>
              <w:jc w:val="right"/>
              <w:rPr>
                <w:sz w:val="20"/>
                <w:szCs w:val="20"/>
              </w:rPr>
            </w:pPr>
            <w:r>
              <w:rPr>
                <w:sz w:val="20"/>
                <w:szCs w:val="20"/>
              </w:rPr>
              <w:t>28.3</w:t>
            </w:r>
          </w:p>
          <w:p w14:paraId="13D369C3" w14:textId="77777777" w:rsidR="00000000" w:rsidRDefault="0015578C">
            <w:pPr>
              <w:pStyle w:val="a3"/>
              <w:spacing w:before="0" w:beforeAutospacing="0" w:after="0" w:afterAutospacing="0"/>
              <w:jc w:val="right"/>
              <w:rPr>
                <w:sz w:val="20"/>
                <w:szCs w:val="20"/>
              </w:rPr>
            </w:pPr>
            <w:r>
              <w:rPr>
                <w:sz w:val="20"/>
                <w:szCs w:val="20"/>
              </w:rPr>
              <w:t>51.6</w:t>
            </w:r>
          </w:p>
        </w:tc>
        <w:tc>
          <w:tcPr>
            <w:tcW w:w="650" w:type="pct"/>
            <w:shd w:val="clear" w:color="auto" w:fill="FFFFFF"/>
            <w:vAlign w:val="bottom"/>
            <w:hideMark/>
          </w:tcPr>
          <w:p w14:paraId="308D27B8" w14:textId="77777777" w:rsidR="00000000" w:rsidRDefault="0015578C">
            <w:pPr>
              <w:pStyle w:val="a3"/>
              <w:spacing w:before="0" w:beforeAutospacing="0" w:after="0" w:afterAutospacing="0"/>
              <w:jc w:val="right"/>
              <w:rPr>
                <w:sz w:val="20"/>
                <w:szCs w:val="20"/>
              </w:rPr>
            </w:pPr>
            <w:r>
              <w:rPr>
                <w:sz w:val="20"/>
                <w:szCs w:val="20"/>
              </w:rPr>
              <w:t>15.2</w:t>
            </w:r>
          </w:p>
          <w:p w14:paraId="32399B6E" w14:textId="77777777" w:rsidR="00000000" w:rsidRDefault="0015578C">
            <w:pPr>
              <w:pStyle w:val="a3"/>
              <w:spacing w:before="0" w:beforeAutospacing="0" w:after="0" w:afterAutospacing="0"/>
              <w:jc w:val="right"/>
              <w:rPr>
                <w:sz w:val="20"/>
                <w:szCs w:val="20"/>
              </w:rPr>
            </w:pPr>
            <w:r>
              <w:rPr>
                <w:sz w:val="20"/>
                <w:szCs w:val="20"/>
              </w:rPr>
              <w:t>7.1</w:t>
            </w:r>
          </w:p>
        </w:tc>
        <w:tc>
          <w:tcPr>
            <w:tcW w:w="650" w:type="pct"/>
            <w:shd w:val="clear" w:color="auto" w:fill="FFFFFF"/>
            <w:vAlign w:val="bottom"/>
            <w:hideMark/>
          </w:tcPr>
          <w:p w14:paraId="670C9FC7" w14:textId="77777777" w:rsidR="00000000" w:rsidRDefault="0015578C">
            <w:pPr>
              <w:pStyle w:val="a3"/>
              <w:spacing w:before="0" w:beforeAutospacing="0" w:after="0" w:afterAutospacing="0"/>
              <w:jc w:val="right"/>
              <w:rPr>
                <w:sz w:val="20"/>
                <w:szCs w:val="20"/>
              </w:rPr>
            </w:pPr>
            <w:r>
              <w:rPr>
                <w:sz w:val="20"/>
                <w:szCs w:val="20"/>
              </w:rPr>
              <w:t>0.8</w:t>
            </w:r>
          </w:p>
          <w:p w14:paraId="6A5A86CF" w14:textId="77777777" w:rsidR="00000000" w:rsidRDefault="0015578C">
            <w:pPr>
              <w:pStyle w:val="a3"/>
              <w:spacing w:before="0" w:beforeAutospacing="0" w:after="0" w:afterAutospacing="0"/>
              <w:jc w:val="right"/>
              <w:rPr>
                <w:sz w:val="20"/>
                <w:szCs w:val="20"/>
              </w:rPr>
            </w:pPr>
            <w:r>
              <w:rPr>
                <w:sz w:val="20"/>
                <w:szCs w:val="20"/>
              </w:rPr>
              <w:t>0.7</w:t>
            </w:r>
          </w:p>
        </w:tc>
        <w:tc>
          <w:tcPr>
            <w:tcW w:w="700" w:type="pct"/>
            <w:shd w:val="clear" w:color="auto" w:fill="FFFFFF"/>
            <w:vAlign w:val="bottom"/>
            <w:hideMark/>
          </w:tcPr>
          <w:p w14:paraId="2DF29428" w14:textId="77777777" w:rsidR="00000000" w:rsidRDefault="0015578C">
            <w:pPr>
              <w:pStyle w:val="a3"/>
              <w:spacing w:before="0" w:beforeAutospacing="0" w:after="0" w:afterAutospacing="0"/>
              <w:jc w:val="right"/>
              <w:rPr>
                <w:sz w:val="20"/>
                <w:szCs w:val="20"/>
              </w:rPr>
            </w:pPr>
            <w:r>
              <w:rPr>
                <w:rStyle w:val="a4"/>
                <w:sz w:val="20"/>
                <w:szCs w:val="20"/>
              </w:rPr>
              <w:t>16.0</w:t>
            </w:r>
          </w:p>
          <w:p w14:paraId="4E2A9E05" w14:textId="77777777" w:rsidR="00000000" w:rsidRDefault="0015578C">
            <w:pPr>
              <w:pStyle w:val="a3"/>
              <w:spacing w:before="0" w:beforeAutospacing="0" w:after="0" w:afterAutospacing="0"/>
              <w:jc w:val="right"/>
              <w:rPr>
                <w:sz w:val="20"/>
                <w:szCs w:val="20"/>
              </w:rPr>
            </w:pPr>
            <w:r>
              <w:rPr>
                <w:sz w:val="20"/>
                <w:szCs w:val="20"/>
              </w:rPr>
              <w:t>7.8</w:t>
            </w:r>
          </w:p>
        </w:tc>
      </w:tr>
      <w:tr w:rsidR="00000000" w14:paraId="00CA03E0" w14:textId="77777777">
        <w:trPr>
          <w:trHeight w:val="225"/>
          <w:tblCellSpacing w:w="15" w:type="dxa"/>
        </w:trPr>
        <w:tc>
          <w:tcPr>
            <w:tcW w:w="650" w:type="pct"/>
            <w:shd w:val="clear" w:color="auto" w:fill="CCEEFF"/>
            <w:hideMark/>
          </w:tcPr>
          <w:p w14:paraId="2AA9900F" w14:textId="77777777" w:rsidR="00000000" w:rsidRDefault="0015578C">
            <w:pPr>
              <w:pStyle w:val="a3"/>
              <w:spacing w:before="0" w:beforeAutospacing="0" w:after="0" w:afterAutospacing="0"/>
              <w:jc w:val="center"/>
              <w:rPr>
                <w:sz w:val="20"/>
                <w:szCs w:val="20"/>
              </w:rPr>
            </w:pPr>
            <w:r>
              <w:rPr>
                <w:sz w:val="20"/>
                <w:szCs w:val="20"/>
              </w:rPr>
              <w:t>San Jorge</w:t>
            </w:r>
          </w:p>
        </w:tc>
        <w:tc>
          <w:tcPr>
            <w:tcW w:w="650" w:type="pct"/>
            <w:shd w:val="clear" w:color="auto" w:fill="CCEEFF"/>
            <w:hideMark/>
          </w:tcPr>
          <w:p w14:paraId="460865EB" w14:textId="77777777" w:rsidR="00000000" w:rsidRDefault="0015578C">
            <w:pPr>
              <w:pStyle w:val="a3"/>
              <w:spacing w:before="0" w:beforeAutospacing="0" w:after="0" w:afterAutospacing="0"/>
              <w:jc w:val="center"/>
              <w:rPr>
                <w:sz w:val="20"/>
                <w:szCs w:val="20"/>
              </w:rPr>
            </w:pPr>
            <w:r>
              <w:rPr>
                <w:sz w:val="20"/>
                <w:szCs w:val="20"/>
              </w:rPr>
              <w:t>V-297</w:t>
            </w:r>
          </w:p>
        </w:tc>
        <w:tc>
          <w:tcPr>
            <w:tcW w:w="650" w:type="pct"/>
            <w:shd w:val="clear" w:color="auto" w:fill="CCEEFF"/>
            <w:vAlign w:val="bottom"/>
            <w:hideMark/>
          </w:tcPr>
          <w:p w14:paraId="4B3AB360" w14:textId="77777777" w:rsidR="00000000" w:rsidRDefault="0015578C">
            <w:pPr>
              <w:pStyle w:val="a3"/>
              <w:spacing w:before="0" w:beforeAutospacing="0" w:after="0" w:afterAutospacing="0"/>
              <w:jc w:val="right"/>
              <w:rPr>
                <w:sz w:val="20"/>
                <w:szCs w:val="20"/>
              </w:rPr>
            </w:pPr>
            <w:r>
              <w:rPr>
                <w:sz w:val="20"/>
                <w:szCs w:val="20"/>
              </w:rPr>
              <w:t>56.6</w:t>
            </w:r>
          </w:p>
        </w:tc>
        <w:tc>
          <w:tcPr>
            <w:tcW w:w="650" w:type="pct"/>
            <w:shd w:val="clear" w:color="auto" w:fill="CCEEFF"/>
            <w:vAlign w:val="bottom"/>
            <w:hideMark/>
          </w:tcPr>
          <w:p w14:paraId="26003CE6" w14:textId="77777777" w:rsidR="00000000" w:rsidRDefault="0015578C">
            <w:pPr>
              <w:pStyle w:val="a3"/>
              <w:spacing w:before="0" w:beforeAutospacing="0" w:after="0" w:afterAutospacing="0"/>
              <w:jc w:val="right"/>
              <w:rPr>
                <w:sz w:val="20"/>
                <w:szCs w:val="20"/>
              </w:rPr>
            </w:pPr>
            <w:r>
              <w:rPr>
                <w:sz w:val="20"/>
                <w:szCs w:val="20"/>
              </w:rPr>
              <w:t>22.69</w:t>
            </w:r>
          </w:p>
        </w:tc>
        <w:tc>
          <w:tcPr>
            <w:tcW w:w="650" w:type="pct"/>
            <w:shd w:val="clear" w:color="auto" w:fill="CCEEFF"/>
            <w:vAlign w:val="bottom"/>
            <w:hideMark/>
          </w:tcPr>
          <w:p w14:paraId="722D00EB" w14:textId="77777777" w:rsidR="00000000" w:rsidRDefault="0015578C">
            <w:pPr>
              <w:pStyle w:val="a3"/>
              <w:spacing w:before="0" w:beforeAutospacing="0" w:after="0" w:afterAutospacing="0"/>
              <w:jc w:val="right"/>
              <w:rPr>
                <w:sz w:val="20"/>
                <w:szCs w:val="20"/>
              </w:rPr>
            </w:pPr>
            <w:r>
              <w:rPr>
                <w:sz w:val="20"/>
                <w:szCs w:val="20"/>
              </w:rPr>
              <w:t>1.15</w:t>
            </w:r>
          </w:p>
        </w:tc>
        <w:tc>
          <w:tcPr>
            <w:tcW w:w="700" w:type="pct"/>
            <w:shd w:val="clear" w:color="auto" w:fill="CCEEFF"/>
            <w:vAlign w:val="bottom"/>
            <w:hideMark/>
          </w:tcPr>
          <w:p w14:paraId="43892E82" w14:textId="77777777" w:rsidR="00000000" w:rsidRDefault="0015578C">
            <w:pPr>
              <w:pStyle w:val="a3"/>
              <w:spacing w:before="0" w:beforeAutospacing="0" w:after="0" w:afterAutospacing="0"/>
              <w:jc w:val="right"/>
              <w:rPr>
                <w:sz w:val="20"/>
                <w:szCs w:val="20"/>
              </w:rPr>
            </w:pPr>
            <w:r>
              <w:rPr>
                <w:rStyle w:val="a4"/>
                <w:sz w:val="20"/>
                <w:szCs w:val="20"/>
              </w:rPr>
              <w:t>23.84</w:t>
            </w:r>
          </w:p>
        </w:tc>
      </w:tr>
    </w:tbl>
    <w:p w14:paraId="61036943" w14:textId="77777777" w:rsidR="00000000" w:rsidRDefault="0015578C">
      <w:pPr>
        <w:pStyle w:val="a3"/>
        <w:spacing w:before="0" w:beforeAutospacing="0" w:after="0" w:afterAutospacing="0"/>
        <w:jc w:val="both"/>
        <w:rPr>
          <w:sz w:val="20"/>
          <w:szCs w:val="20"/>
        </w:rPr>
      </w:pPr>
      <w:r>
        <w:rPr>
          <w:sz w:val="20"/>
          <w:szCs w:val="20"/>
        </w:rPr>
        <w:t>   </w:t>
      </w:r>
    </w:p>
    <w:p w14:paraId="5AEA14B8" w14:textId="77777777" w:rsidR="00000000" w:rsidRDefault="0015578C">
      <w:pPr>
        <w:pStyle w:val="a3"/>
        <w:spacing w:before="0" w:beforeAutospacing="0" w:after="0" w:afterAutospacing="0"/>
        <w:ind w:firstLine="675"/>
        <w:jc w:val="both"/>
        <w:rPr>
          <w:sz w:val="20"/>
          <w:szCs w:val="20"/>
        </w:rPr>
      </w:pPr>
      <w:r>
        <w:rPr>
          <w:sz w:val="20"/>
          <w:szCs w:val="20"/>
        </w:rPr>
        <w:t>Dolomitization reaches stratigraphic thicknesses in excess of 100 meters locally.  This alteration is thought to be related to the mineralizing event and is an important exploration tool.  Continuity of the mineralization is demonstrable in areas of highes</w:t>
      </w:r>
      <w:r>
        <w:rPr>
          <w:sz w:val="20"/>
          <w:szCs w:val="20"/>
        </w:rPr>
        <w:t>t drilling density by correlation of mineralization within characteristic sedimentary facies, typical of specific stratigraphic intervals or within through-going observable structural zones in drill core.  At Florida Canyon the two largest-sized high-angle</w:t>
      </w:r>
      <w:r>
        <w:rPr>
          <w:sz w:val="20"/>
          <w:szCs w:val="20"/>
        </w:rPr>
        <w:t xml:space="preserve"> zones identified to date are the San Jorge and 1021 zones.  These zones represent well-defined north-northeast structural feeder zones.  Less important mineralization occurs along northwest and northeast fracture systems.  These structures occur in conjug</w:t>
      </w:r>
      <w:r>
        <w:rPr>
          <w:sz w:val="20"/>
          <w:szCs w:val="20"/>
        </w:rPr>
        <w:t xml:space="preserve">ate fractures, with N10º-50ºE trends present at a number of mineralized surface outcrops while trends of N50º-80ºW are identified at other showings.  </w:t>
      </w:r>
    </w:p>
    <w:p w14:paraId="6129B2EE"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0D2E200" w14:textId="77777777">
        <w:trPr>
          <w:trHeight w:val="225"/>
          <w:tblCellSpacing w:w="15" w:type="dxa"/>
        </w:trPr>
        <w:tc>
          <w:tcPr>
            <w:tcW w:w="0" w:type="auto"/>
            <w:vAlign w:val="center"/>
            <w:hideMark/>
          </w:tcPr>
          <w:p w14:paraId="17C2375E" w14:textId="77777777" w:rsidR="00000000" w:rsidRDefault="0015578C">
            <w:pPr>
              <w:rPr>
                <w:rFonts w:eastAsia="Times New Roman"/>
                <w:sz w:val="20"/>
                <w:szCs w:val="20"/>
              </w:rPr>
            </w:pPr>
            <w:r>
              <w:rPr>
                <w:rFonts w:eastAsia="Times New Roman"/>
                <w:sz w:val="20"/>
                <w:szCs w:val="20"/>
              </w:rPr>
              <w:t> </w:t>
            </w:r>
          </w:p>
        </w:tc>
      </w:tr>
      <w:tr w:rsidR="00000000" w14:paraId="55AD33A3" w14:textId="77777777">
        <w:trPr>
          <w:trHeight w:val="225"/>
          <w:tblCellSpacing w:w="15" w:type="dxa"/>
        </w:trPr>
        <w:tc>
          <w:tcPr>
            <w:tcW w:w="0" w:type="auto"/>
            <w:tcBorders>
              <w:bottom w:val="single" w:sz="6" w:space="0" w:color="000000"/>
            </w:tcBorders>
            <w:vAlign w:val="center"/>
            <w:hideMark/>
          </w:tcPr>
          <w:p w14:paraId="0534CD1B" w14:textId="77777777" w:rsidR="00000000" w:rsidRDefault="0015578C">
            <w:pPr>
              <w:jc w:val="center"/>
              <w:rPr>
                <w:rFonts w:eastAsia="Times New Roman"/>
                <w:sz w:val="20"/>
                <w:szCs w:val="20"/>
              </w:rPr>
            </w:pPr>
            <w:r>
              <w:rPr>
                <w:rFonts w:eastAsia="Times New Roman"/>
                <w:sz w:val="20"/>
                <w:szCs w:val="20"/>
              </w:rPr>
              <w:t>23</w:t>
            </w:r>
          </w:p>
        </w:tc>
      </w:tr>
      <w:tr w:rsidR="00000000" w14:paraId="33CCFDF8" w14:textId="77777777">
        <w:trPr>
          <w:trHeight w:val="225"/>
          <w:tblCellSpacing w:w="15" w:type="dxa"/>
        </w:trPr>
        <w:tc>
          <w:tcPr>
            <w:tcW w:w="0" w:type="auto"/>
            <w:vAlign w:val="center"/>
            <w:hideMark/>
          </w:tcPr>
          <w:p w14:paraId="70A2E235" w14:textId="77777777" w:rsidR="00000000" w:rsidRDefault="0015578C">
            <w:pPr>
              <w:rPr>
                <w:rFonts w:eastAsia="Times New Roman"/>
                <w:sz w:val="20"/>
                <w:szCs w:val="20"/>
              </w:rPr>
            </w:pPr>
          </w:p>
        </w:tc>
      </w:tr>
      <w:tr w:rsidR="00000000" w14:paraId="2F13584A" w14:textId="77777777">
        <w:trPr>
          <w:trHeight w:val="225"/>
          <w:tblCellSpacing w:w="15" w:type="dxa"/>
        </w:trPr>
        <w:tc>
          <w:tcPr>
            <w:tcW w:w="0" w:type="auto"/>
            <w:vAlign w:val="center"/>
            <w:hideMark/>
          </w:tcPr>
          <w:p w14:paraId="5A37F087"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42EE248" w14:textId="77777777" w:rsidR="00000000" w:rsidRDefault="0015578C">
      <w:pPr>
        <w:pStyle w:val="a3"/>
        <w:spacing w:before="0" w:beforeAutospacing="0" w:after="0" w:afterAutospacing="0"/>
        <w:jc w:val="both"/>
        <w:rPr>
          <w:sz w:val="20"/>
          <w:szCs w:val="20"/>
        </w:rPr>
      </w:pPr>
      <w:r>
        <w:rPr>
          <w:sz w:val="20"/>
          <w:szCs w:val="20"/>
        </w:rPr>
        <w:t> </w:t>
      </w:r>
    </w:p>
    <w:p w14:paraId="65AB9E00" w14:textId="77777777" w:rsidR="00000000" w:rsidRDefault="0015578C">
      <w:pPr>
        <w:pStyle w:val="a3"/>
        <w:spacing w:before="0" w:beforeAutospacing="0" w:after="0" w:afterAutospacing="0"/>
        <w:jc w:val="both"/>
        <w:rPr>
          <w:sz w:val="20"/>
          <w:szCs w:val="20"/>
        </w:rPr>
      </w:pPr>
      <w:r>
        <w:rPr>
          <w:sz w:val="20"/>
          <w:szCs w:val="20"/>
        </w:rPr>
        <w:t xml:space="preserve">7. </w:t>
      </w:r>
      <w:r>
        <w:rPr>
          <w:sz w:val="20"/>
          <w:szCs w:val="20"/>
          <w:u w:val="single"/>
        </w:rPr>
        <w:t>Drilling</w:t>
      </w:r>
    </w:p>
    <w:p w14:paraId="03D94889" w14:textId="77777777" w:rsidR="00000000" w:rsidRDefault="0015578C">
      <w:pPr>
        <w:pStyle w:val="a3"/>
        <w:spacing w:before="0" w:beforeAutospacing="0" w:after="0" w:afterAutospacing="0"/>
        <w:jc w:val="both"/>
        <w:rPr>
          <w:sz w:val="20"/>
          <w:szCs w:val="20"/>
        </w:rPr>
      </w:pPr>
      <w:r>
        <w:rPr>
          <w:sz w:val="20"/>
          <w:szCs w:val="20"/>
        </w:rPr>
        <w:t> </w:t>
      </w:r>
    </w:p>
    <w:p w14:paraId="41C05DC7" w14:textId="77777777" w:rsidR="00000000" w:rsidRDefault="0015578C">
      <w:pPr>
        <w:pStyle w:val="a3"/>
        <w:spacing w:before="0" w:beforeAutospacing="0" w:after="0" w:afterAutospacing="0"/>
        <w:ind w:firstLine="675"/>
        <w:jc w:val="both"/>
        <w:rPr>
          <w:sz w:val="20"/>
          <w:szCs w:val="20"/>
        </w:rPr>
      </w:pPr>
      <w:r>
        <w:rPr>
          <w:sz w:val="20"/>
          <w:szCs w:val="20"/>
        </w:rPr>
        <w:t>From 1997 through 2001, Cominco drilled 80 surface core holes totaling 24,696 meters.  From 2006-2013, Nexa completed 309 surface core holes totaling 77,193 meters.  From 2011-2013, Nexa completed 95 underground core holes totaling 15,144 meters.  The unde</w:t>
      </w:r>
      <w:r>
        <w:rPr>
          <w:sz w:val="20"/>
          <w:szCs w:val="20"/>
        </w:rPr>
        <w:t>rground drilling was conducted from 10 drill stations at generally 40-meter centers (two drill stations at 20-meter centers) and entirely within the San Jorge mineralized zone.  Anywhere from three to 14 holes were drilled from each of the ten drill statio</w:t>
      </w:r>
      <w:r>
        <w:rPr>
          <w:sz w:val="20"/>
          <w:szCs w:val="20"/>
        </w:rPr>
        <w:t xml:space="preserve">ns.  The underground drilling was tightly spaced and designed to allow for feasibility-level reserve estimation.  </w:t>
      </w:r>
    </w:p>
    <w:p w14:paraId="0BDA6301" w14:textId="77777777" w:rsidR="00000000" w:rsidRDefault="0015578C">
      <w:pPr>
        <w:pStyle w:val="a3"/>
        <w:spacing w:before="0" w:beforeAutospacing="0" w:after="0" w:afterAutospacing="0"/>
        <w:ind w:firstLine="675"/>
        <w:jc w:val="both"/>
        <w:rPr>
          <w:sz w:val="20"/>
          <w:szCs w:val="20"/>
        </w:rPr>
      </w:pPr>
      <w:r>
        <w:rPr>
          <w:sz w:val="20"/>
          <w:szCs w:val="20"/>
        </w:rPr>
        <w:t> </w:t>
      </w:r>
    </w:p>
    <w:p w14:paraId="5414CA52" w14:textId="77777777" w:rsidR="00000000" w:rsidRDefault="0015578C">
      <w:pPr>
        <w:pStyle w:val="a3"/>
        <w:spacing w:before="0" w:beforeAutospacing="0" w:after="0" w:afterAutospacing="0"/>
        <w:ind w:firstLine="675"/>
        <w:jc w:val="both"/>
        <w:rPr>
          <w:sz w:val="20"/>
          <w:szCs w:val="20"/>
        </w:rPr>
      </w:pPr>
      <w:r>
        <w:rPr>
          <w:sz w:val="20"/>
          <w:szCs w:val="20"/>
        </w:rPr>
        <w:t>From November 2018 to October 2019, Nexa completed a 39-hole, 17,033-meter core drilling program.  The majority of holes were drilled in 20</w:t>
      </w:r>
      <w:r>
        <w:rPr>
          <w:sz w:val="20"/>
          <w:szCs w:val="20"/>
        </w:rPr>
        <w:t>19.  The program had three major objectives:  1) extend the San Jorge near-vertical replacement body to the south and the adjacent near-horizontal manto bodies to the east; 2) offset previously drilled hole V-21 in the northern part of Florida Canyon to de</w:t>
      </w:r>
      <w:r>
        <w:rPr>
          <w:sz w:val="20"/>
          <w:szCs w:val="20"/>
        </w:rPr>
        <w:t>termine if it represented a significant near-vertical replacement body with horizontal mantos similar to the San Jorge Zone; and 3) extend horizontal mantos in the central and northern parts of the Florida Canyon drilling footprint.  All three objectives w</w:t>
      </w:r>
      <w:r>
        <w:rPr>
          <w:sz w:val="20"/>
          <w:szCs w:val="20"/>
        </w:rPr>
        <w:t xml:space="preserve">ere successfully achieved.    </w:t>
      </w:r>
    </w:p>
    <w:p w14:paraId="3CA28507" w14:textId="77777777" w:rsidR="00000000" w:rsidRDefault="0015578C">
      <w:pPr>
        <w:pStyle w:val="a3"/>
        <w:spacing w:before="0" w:beforeAutospacing="0" w:after="0" w:afterAutospacing="0"/>
        <w:ind w:firstLine="675"/>
        <w:jc w:val="both"/>
        <w:rPr>
          <w:sz w:val="20"/>
          <w:szCs w:val="20"/>
        </w:rPr>
      </w:pPr>
      <w:r>
        <w:rPr>
          <w:sz w:val="20"/>
          <w:szCs w:val="20"/>
        </w:rPr>
        <w:t> </w:t>
      </w:r>
    </w:p>
    <w:p w14:paraId="41D64432" w14:textId="77777777" w:rsidR="00000000" w:rsidRDefault="0015578C">
      <w:pPr>
        <w:pStyle w:val="a3"/>
        <w:spacing w:before="0" w:beforeAutospacing="0" w:after="0" w:afterAutospacing="0"/>
        <w:ind w:firstLine="675"/>
        <w:jc w:val="both"/>
        <w:rPr>
          <w:sz w:val="20"/>
          <w:szCs w:val="20"/>
        </w:rPr>
      </w:pPr>
      <w:r>
        <w:rPr>
          <w:sz w:val="20"/>
          <w:szCs w:val="20"/>
        </w:rPr>
        <w:t>All past drilling conducted is within a footprint measuring approximately 2.5 kilometers long in a north-south direction and a little over a kilometer in an east-west direction.  The entire drill pattern is within what we h</w:t>
      </w:r>
      <w:r>
        <w:rPr>
          <w:sz w:val="20"/>
          <w:szCs w:val="20"/>
        </w:rPr>
        <w:t>ave informally labeled the Florida Canyon district.  Within this district, several zones of strong zinc mineralization have been defined.  The three zones with the largest amount of drilling are the San Jorge, the Karen-Milagros and the 1021 zones.  Drilli</w:t>
      </w:r>
      <w:r>
        <w:rPr>
          <w:sz w:val="20"/>
          <w:szCs w:val="20"/>
        </w:rPr>
        <w:t>ng indicates that, for the most part, the entire Florida Canyon district remains open to expansion and the identified zones are interconnected.  Better 2018-2019 drill-hole intercepts are provided in the table below:</w:t>
      </w:r>
    </w:p>
    <w:p w14:paraId="5403062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53"/>
        <w:gridCol w:w="230"/>
        <w:gridCol w:w="1137"/>
        <w:gridCol w:w="1338"/>
        <w:gridCol w:w="1339"/>
        <w:gridCol w:w="1439"/>
        <w:gridCol w:w="1454"/>
      </w:tblGrid>
      <w:tr w:rsidR="00000000" w14:paraId="6C60732F" w14:textId="77777777">
        <w:trPr>
          <w:trHeight w:val="225"/>
          <w:tblCellSpacing w:w="15" w:type="dxa"/>
        </w:trPr>
        <w:tc>
          <w:tcPr>
            <w:tcW w:w="4000" w:type="pct"/>
            <w:gridSpan w:val="7"/>
            <w:tcBorders>
              <w:top w:val="single" w:sz="6" w:space="0" w:color="000000"/>
              <w:left w:val="single" w:sz="6" w:space="0" w:color="000000"/>
            </w:tcBorders>
            <w:hideMark/>
          </w:tcPr>
          <w:p w14:paraId="13101E20" w14:textId="77777777" w:rsidR="00000000" w:rsidRDefault="0015578C">
            <w:pPr>
              <w:pStyle w:val="a3"/>
              <w:spacing w:before="0" w:beforeAutospacing="0" w:after="0" w:afterAutospacing="0"/>
              <w:jc w:val="center"/>
              <w:rPr>
                <w:sz w:val="20"/>
                <w:szCs w:val="20"/>
              </w:rPr>
            </w:pPr>
            <w:r>
              <w:rPr>
                <w:sz w:val="20"/>
                <w:szCs w:val="20"/>
              </w:rPr>
              <w:t>2018-2019 Mineralized Intersections</w:t>
            </w:r>
          </w:p>
        </w:tc>
      </w:tr>
      <w:tr w:rsidR="00000000" w14:paraId="12649A77" w14:textId="77777777">
        <w:trPr>
          <w:trHeight w:val="225"/>
          <w:tblCellSpacing w:w="15" w:type="dxa"/>
        </w:trPr>
        <w:tc>
          <w:tcPr>
            <w:tcW w:w="650" w:type="pct"/>
            <w:tcBorders>
              <w:top w:val="single" w:sz="6" w:space="0" w:color="000000"/>
              <w:left w:val="single" w:sz="6" w:space="0" w:color="000000"/>
            </w:tcBorders>
            <w:hideMark/>
          </w:tcPr>
          <w:p w14:paraId="4B2FCFCE" w14:textId="77777777" w:rsidR="00000000" w:rsidRDefault="0015578C">
            <w:pPr>
              <w:pStyle w:val="a3"/>
              <w:spacing w:before="0" w:beforeAutospacing="0" w:after="0" w:afterAutospacing="0"/>
              <w:jc w:val="center"/>
              <w:rPr>
                <w:sz w:val="20"/>
                <w:szCs w:val="20"/>
              </w:rPr>
            </w:pPr>
            <w:r>
              <w:rPr>
                <w:sz w:val="20"/>
                <w:szCs w:val="20"/>
              </w:rPr>
              <w:t>Drill Hole</w:t>
            </w:r>
          </w:p>
        </w:tc>
        <w:tc>
          <w:tcPr>
            <w:tcW w:w="100" w:type="pct"/>
            <w:tcBorders>
              <w:top w:val="single" w:sz="6" w:space="0" w:color="000000"/>
              <w:left w:val="single" w:sz="6" w:space="0" w:color="000000"/>
            </w:tcBorders>
            <w:vAlign w:val="center"/>
            <w:hideMark/>
          </w:tcPr>
          <w:p w14:paraId="0443E3E3"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hideMark/>
          </w:tcPr>
          <w:p w14:paraId="3B8A2AF8" w14:textId="77777777" w:rsidR="00000000" w:rsidRDefault="0015578C">
            <w:pPr>
              <w:pStyle w:val="a3"/>
              <w:spacing w:before="0" w:beforeAutospacing="0" w:after="0" w:afterAutospacing="0"/>
              <w:jc w:val="center"/>
              <w:rPr>
                <w:sz w:val="20"/>
                <w:szCs w:val="20"/>
              </w:rPr>
            </w:pPr>
            <w:r>
              <w:rPr>
                <w:sz w:val="20"/>
                <w:szCs w:val="20"/>
              </w:rPr>
              <w:t>Intercept</w:t>
            </w:r>
          </w:p>
        </w:tc>
        <w:tc>
          <w:tcPr>
            <w:tcW w:w="650" w:type="pct"/>
            <w:tcBorders>
              <w:top w:val="single" w:sz="6" w:space="0" w:color="000000"/>
              <w:left w:val="single" w:sz="6" w:space="0" w:color="000000"/>
            </w:tcBorders>
            <w:hideMark/>
          </w:tcPr>
          <w:p w14:paraId="3E9F4C14" w14:textId="77777777" w:rsidR="00000000" w:rsidRDefault="0015578C">
            <w:pPr>
              <w:pStyle w:val="a3"/>
              <w:spacing w:before="0" w:beforeAutospacing="0" w:after="0" w:afterAutospacing="0"/>
              <w:jc w:val="center"/>
              <w:rPr>
                <w:sz w:val="20"/>
                <w:szCs w:val="20"/>
              </w:rPr>
            </w:pPr>
            <w:r>
              <w:rPr>
                <w:sz w:val="20"/>
                <w:szCs w:val="20"/>
              </w:rPr>
              <w:t>Zinc</w:t>
            </w:r>
          </w:p>
        </w:tc>
        <w:tc>
          <w:tcPr>
            <w:tcW w:w="650" w:type="pct"/>
            <w:tcBorders>
              <w:top w:val="single" w:sz="6" w:space="0" w:color="000000"/>
              <w:left w:val="single" w:sz="6" w:space="0" w:color="000000"/>
            </w:tcBorders>
            <w:hideMark/>
          </w:tcPr>
          <w:p w14:paraId="003668E5" w14:textId="77777777" w:rsidR="00000000" w:rsidRDefault="0015578C">
            <w:pPr>
              <w:pStyle w:val="a3"/>
              <w:spacing w:before="0" w:beforeAutospacing="0" w:after="0" w:afterAutospacing="0"/>
              <w:jc w:val="center"/>
              <w:rPr>
                <w:sz w:val="20"/>
                <w:szCs w:val="20"/>
              </w:rPr>
            </w:pPr>
            <w:r>
              <w:rPr>
                <w:sz w:val="20"/>
                <w:szCs w:val="20"/>
              </w:rPr>
              <w:t>Lead</w:t>
            </w:r>
          </w:p>
        </w:tc>
        <w:tc>
          <w:tcPr>
            <w:tcW w:w="700" w:type="pct"/>
            <w:tcBorders>
              <w:top w:val="single" w:sz="6" w:space="0" w:color="000000"/>
              <w:left w:val="single" w:sz="6" w:space="0" w:color="000000"/>
            </w:tcBorders>
            <w:hideMark/>
          </w:tcPr>
          <w:p w14:paraId="4262D390" w14:textId="77777777" w:rsidR="00000000" w:rsidRDefault="0015578C">
            <w:pPr>
              <w:pStyle w:val="a3"/>
              <w:spacing w:before="0" w:beforeAutospacing="0" w:after="0" w:afterAutospacing="0"/>
              <w:jc w:val="center"/>
              <w:rPr>
                <w:sz w:val="20"/>
                <w:szCs w:val="20"/>
              </w:rPr>
            </w:pPr>
            <w:r>
              <w:rPr>
                <w:sz w:val="20"/>
                <w:szCs w:val="20"/>
              </w:rPr>
              <w:t>Silver</w:t>
            </w:r>
          </w:p>
        </w:tc>
        <w:tc>
          <w:tcPr>
            <w:tcW w:w="700" w:type="pct"/>
            <w:tcBorders>
              <w:top w:val="single" w:sz="6" w:space="0" w:color="000000"/>
              <w:left w:val="single" w:sz="6" w:space="0" w:color="000000"/>
            </w:tcBorders>
            <w:hideMark/>
          </w:tcPr>
          <w:p w14:paraId="645B01E5" w14:textId="77777777" w:rsidR="00000000" w:rsidRDefault="0015578C">
            <w:pPr>
              <w:pStyle w:val="a3"/>
              <w:spacing w:before="0" w:beforeAutospacing="0" w:after="0" w:afterAutospacing="0"/>
              <w:jc w:val="center"/>
              <w:rPr>
                <w:sz w:val="20"/>
                <w:szCs w:val="20"/>
              </w:rPr>
            </w:pPr>
            <w:r>
              <w:rPr>
                <w:sz w:val="20"/>
                <w:szCs w:val="20"/>
              </w:rPr>
              <w:t>ZnEq*</w:t>
            </w:r>
          </w:p>
        </w:tc>
      </w:tr>
      <w:tr w:rsidR="00000000" w14:paraId="7E17E3DE"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38868CC4" w14:textId="77777777" w:rsidR="00000000" w:rsidRDefault="0015578C">
            <w:pPr>
              <w:pStyle w:val="a3"/>
              <w:spacing w:before="0" w:beforeAutospacing="0" w:after="0" w:afterAutospacing="0"/>
              <w:jc w:val="center"/>
              <w:rPr>
                <w:sz w:val="20"/>
                <w:szCs w:val="20"/>
              </w:rPr>
            </w:pPr>
            <w:r>
              <w:rPr>
                <w:sz w:val="20"/>
                <w:szCs w:val="20"/>
              </w:rPr>
              <w:t>Number</w:t>
            </w:r>
          </w:p>
        </w:tc>
        <w:tc>
          <w:tcPr>
            <w:tcW w:w="100" w:type="pct"/>
            <w:tcBorders>
              <w:top w:val="single" w:sz="6" w:space="0" w:color="000000"/>
              <w:left w:val="single" w:sz="6" w:space="0" w:color="000000"/>
            </w:tcBorders>
            <w:shd w:val="clear" w:color="auto" w:fill="CCEEFF"/>
            <w:vAlign w:val="center"/>
            <w:hideMark/>
          </w:tcPr>
          <w:p w14:paraId="1CD30443"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665735A3" w14:textId="77777777" w:rsidR="00000000" w:rsidRDefault="0015578C">
            <w:pPr>
              <w:pStyle w:val="a3"/>
              <w:spacing w:before="0" w:beforeAutospacing="0" w:after="0" w:afterAutospacing="0"/>
              <w:jc w:val="center"/>
              <w:rPr>
                <w:sz w:val="20"/>
                <w:szCs w:val="20"/>
              </w:rPr>
            </w:pPr>
            <w:r>
              <w:rPr>
                <w:sz w:val="20"/>
                <w:szCs w:val="20"/>
              </w:rPr>
              <w:t>Meters</w:t>
            </w:r>
          </w:p>
        </w:tc>
        <w:tc>
          <w:tcPr>
            <w:tcW w:w="650" w:type="pct"/>
            <w:tcBorders>
              <w:top w:val="single" w:sz="6" w:space="0" w:color="000000"/>
              <w:left w:val="single" w:sz="6" w:space="0" w:color="000000"/>
            </w:tcBorders>
            <w:shd w:val="clear" w:color="auto" w:fill="CCEEFF"/>
            <w:hideMark/>
          </w:tcPr>
          <w:p w14:paraId="3AB18A01" w14:textId="77777777" w:rsidR="00000000" w:rsidRDefault="0015578C">
            <w:pPr>
              <w:pStyle w:val="a3"/>
              <w:spacing w:before="0" w:beforeAutospacing="0" w:after="0" w:afterAutospacing="0"/>
              <w:jc w:val="center"/>
              <w:rPr>
                <w:sz w:val="20"/>
                <w:szCs w:val="20"/>
              </w:rPr>
            </w:pPr>
            <w:r>
              <w:rPr>
                <w:sz w:val="20"/>
                <w:szCs w:val="20"/>
              </w:rPr>
              <w:t>(%)</w:t>
            </w:r>
          </w:p>
        </w:tc>
        <w:tc>
          <w:tcPr>
            <w:tcW w:w="650" w:type="pct"/>
            <w:tcBorders>
              <w:top w:val="single" w:sz="6" w:space="0" w:color="000000"/>
              <w:left w:val="single" w:sz="6" w:space="0" w:color="000000"/>
            </w:tcBorders>
            <w:shd w:val="clear" w:color="auto" w:fill="CCEEFF"/>
            <w:hideMark/>
          </w:tcPr>
          <w:p w14:paraId="48080F65" w14:textId="77777777" w:rsidR="00000000" w:rsidRDefault="0015578C">
            <w:pPr>
              <w:pStyle w:val="a3"/>
              <w:spacing w:before="0" w:beforeAutospacing="0" w:after="0" w:afterAutospacing="0"/>
              <w:jc w:val="center"/>
              <w:rPr>
                <w:sz w:val="20"/>
                <w:szCs w:val="20"/>
              </w:rPr>
            </w:pPr>
            <w:r>
              <w:rPr>
                <w:sz w:val="20"/>
                <w:szCs w:val="20"/>
              </w:rPr>
              <w:t>(%)</w:t>
            </w:r>
          </w:p>
        </w:tc>
        <w:tc>
          <w:tcPr>
            <w:tcW w:w="700" w:type="pct"/>
            <w:tcBorders>
              <w:top w:val="single" w:sz="6" w:space="0" w:color="000000"/>
              <w:left w:val="single" w:sz="6" w:space="0" w:color="000000"/>
            </w:tcBorders>
            <w:shd w:val="clear" w:color="auto" w:fill="CCEEFF"/>
            <w:hideMark/>
          </w:tcPr>
          <w:p w14:paraId="78437705" w14:textId="77777777" w:rsidR="00000000" w:rsidRDefault="0015578C">
            <w:pPr>
              <w:pStyle w:val="a3"/>
              <w:spacing w:before="0" w:beforeAutospacing="0" w:after="0" w:afterAutospacing="0"/>
              <w:jc w:val="center"/>
              <w:rPr>
                <w:sz w:val="20"/>
                <w:szCs w:val="20"/>
              </w:rPr>
            </w:pPr>
            <w:r>
              <w:rPr>
                <w:sz w:val="20"/>
                <w:szCs w:val="20"/>
              </w:rPr>
              <w:t>(grams/t)</w:t>
            </w:r>
          </w:p>
        </w:tc>
        <w:tc>
          <w:tcPr>
            <w:tcW w:w="700" w:type="pct"/>
            <w:tcBorders>
              <w:top w:val="single" w:sz="6" w:space="0" w:color="000000"/>
              <w:left w:val="single" w:sz="6" w:space="0" w:color="000000"/>
            </w:tcBorders>
            <w:shd w:val="clear" w:color="auto" w:fill="CCEEFF"/>
            <w:hideMark/>
          </w:tcPr>
          <w:p w14:paraId="4F39F925" w14:textId="77777777" w:rsidR="00000000" w:rsidRDefault="0015578C">
            <w:pPr>
              <w:pStyle w:val="a3"/>
              <w:spacing w:before="0" w:beforeAutospacing="0" w:after="0" w:afterAutospacing="0"/>
              <w:jc w:val="center"/>
              <w:rPr>
                <w:sz w:val="20"/>
                <w:szCs w:val="20"/>
              </w:rPr>
            </w:pPr>
            <w:r>
              <w:rPr>
                <w:sz w:val="20"/>
                <w:szCs w:val="20"/>
              </w:rPr>
              <w:t>(%)</w:t>
            </w:r>
          </w:p>
        </w:tc>
      </w:tr>
      <w:tr w:rsidR="00000000" w14:paraId="6342750B"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758DBD45" w14:textId="77777777" w:rsidR="00000000" w:rsidRDefault="0015578C">
            <w:pPr>
              <w:pStyle w:val="a3"/>
              <w:spacing w:before="0" w:beforeAutospacing="0" w:after="0" w:afterAutospacing="0"/>
              <w:jc w:val="center"/>
              <w:rPr>
                <w:sz w:val="20"/>
                <w:szCs w:val="20"/>
              </w:rPr>
            </w:pPr>
            <w:r>
              <w:rPr>
                <w:sz w:val="20"/>
                <w:szCs w:val="20"/>
              </w:rPr>
              <w:t>PEBGD-03</w:t>
            </w:r>
          </w:p>
        </w:tc>
        <w:tc>
          <w:tcPr>
            <w:tcW w:w="100" w:type="pct"/>
            <w:tcBorders>
              <w:top w:val="single" w:sz="6" w:space="0" w:color="000000"/>
              <w:left w:val="single" w:sz="6" w:space="0" w:color="000000"/>
            </w:tcBorders>
            <w:shd w:val="clear" w:color="auto" w:fill="FFFFFF"/>
            <w:vAlign w:val="center"/>
            <w:hideMark/>
          </w:tcPr>
          <w:p w14:paraId="59A3098F"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5EB298C6" w14:textId="77777777" w:rsidR="00000000" w:rsidRDefault="0015578C">
            <w:pPr>
              <w:pStyle w:val="a3"/>
              <w:spacing w:before="0" w:beforeAutospacing="0" w:after="0" w:afterAutospacing="0"/>
              <w:jc w:val="center"/>
              <w:rPr>
                <w:sz w:val="20"/>
                <w:szCs w:val="20"/>
              </w:rPr>
            </w:pPr>
            <w:r>
              <w:rPr>
                <w:sz w:val="20"/>
                <w:szCs w:val="20"/>
              </w:rPr>
              <w:t>1.3</w:t>
            </w:r>
          </w:p>
        </w:tc>
        <w:tc>
          <w:tcPr>
            <w:tcW w:w="650" w:type="pct"/>
            <w:tcBorders>
              <w:top w:val="single" w:sz="6" w:space="0" w:color="000000"/>
              <w:left w:val="single" w:sz="6" w:space="0" w:color="000000"/>
            </w:tcBorders>
            <w:shd w:val="clear" w:color="auto" w:fill="FFFFFF"/>
            <w:hideMark/>
          </w:tcPr>
          <w:p w14:paraId="049BDE5E" w14:textId="77777777" w:rsidR="00000000" w:rsidRDefault="0015578C">
            <w:pPr>
              <w:pStyle w:val="a3"/>
              <w:spacing w:before="0" w:beforeAutospacing="0" w:after="0" w:afterAutospacing="0"/>
              <w:jc w:val="center"/>
              <w:rPr>
                <w:sz w:val="20"/>
                <w:szCs w:val="20"/>
              </w:rPr>
            </w:pPr>
            <w:r>
              <w:rPr>
                <w:sz w:val="20"/>
                <w:szCs w:val="20"/>
              </w:rPr>
              <w:t>42.7</w:t>
            </w:r>
          </w:p>
        </w:tc>
        <w:tc>
          <w:tcPr>
            <w:tcW w:w="650" w:type="pct"/>
            <w:tcBorders>
              <w:top w:val="single" w:sz="6" w:space="0" w:color="000000"/>
              <w:left w:val="single" w:sz="6" w:space="0" w:color="000000"/>
            </w:tcBorders>
            <w:shd w:val="clear" w:color="auto" w:fill="FFFFFF"/>
            <w:hideMark/>
          </w:tcPr>
          <w:p w14:paraId="6AAE67FB" w14:textId="77777777" w:rsidR="00000000" w:rsidRDefault="0015578C">
            <w:pPr>
              <w:pStyle w:val="a3"/>
              <w:spacing w:before="0" w:beforeAutospacing="0" w:after="0" w:afterAutospacing="0"/>
              <w:jc w:val="center"/>
              <w:rPr>
                <w:sz w:val="20"/>
                <w:szCs w:val="20"/>
              </w:rPr>
            </w:pPr>
            <w:r>
              <w:rPr>
                <w:sz w:val="20"/>
                <w:szCs w:val="20"/>
              </w:rPr>
              <w:t>15.0</w:t>
            </w:r>
          </w:p>
        </w:tc>
        <w:tc>
          <w:tcPr>
            <w:tcW w:w="700" w:type="pct"/>
            <w:tcBorders>
              <w:top w:val="single" w:sz="6" w:space="0" w:color="000000"/>
              <w:left w:val="single" w:sz="6" w:space="0" w:color="000000"/>
            </w:tcBorders>
            <w:shd w:val="clear" w:color="auto" w:fill="FFFFFF"/>
            <w:hideMark/>
          </w:tcPr>
          <w:p w14:paraId="3FD7EBFD" w14:textId="77777777" w:rsidR="00000000" w:rsidRDefault="0015578C">
            <w:pPr>
              <w:pStyle w:val="a3"/>
              <w:spacing w:before="0" w:beforeAutospacing="0" w:after="0" w:afterAutospacing="0"/>
              <w:jc w:val="center"/>
              <w:rPr>
                <w:sz w:val="20"/>
                <w:szCs w:val="20"/>
              </w:rPr>
            </w:pPr>
            <w:r>
              <w:rPr>
                <w:sz w:val="20"/>
                <w:szCs w:val="20"/>
              </w:rPr>
              <w:t>83.0</w:t>
            </w:r>
          </w:p>
        </w:tc>
        <w:tc>
          <w:tcPr>
            <w:tcW w:w="700" w:type="pct"/>
            <w:tcBorders>
              <w:top w:val="single" w:sz="6" w:space="0" w:color="000000"/>
              <w:left w:val="single" w:sz="6" w:space="0" w:color="000000"/>
            </w:tcBorders>
            <w:shd w:val="clear" w:color="auto" w:fill="FFFFFF"/>
            <w:hideMark/>
          </w:tcPr>
          <w:p w14:paraId="598520A6" w14:textId="77777777" w:rsidR="00000000" w:rsidRDefault="0015578C">
            <w:pPr>
              <w:pStyle w:val="a3"/>
              <w:spacing w:before="0" w:beforeAutospacing="0" w:after="0" w:afterAutospacing="0"/>
              <w:jc w:val="center"/>
              <w:rPr>
                <w:sz w:val="20"/>
                <w:szCs w:val="20"/>
              </w:rPr>
            </w:pPr>
            <w:r>
              <w:rPr>
                <w:sz w:val="20"/>
                <w:szCs w:val="20"/>
              </w:rPr>
              <w:t>56.9</w:t>
            </w:r>
          </w:p>
        </w:tc>
      </w:tr>
      <w:tr w:rsidR="00000000" w14:paraId="413E5901"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079100B0" w14:textId="77777777" w:rsidR="00000000" w:rsidRDefault="0015578C">
            <w:pPr>
              <w:pStyle w:val="a3"/>
              <w:spacing w:before="0" w:beforeAutospacing="0" w:after="0" w:afterAutospacing="0"/>
              <w:jc w:val="center"/>
              <w:rPr>
                <w:sz w:val="20"/>
                <w:szCs w:val="20"/>
              </w:rPr>
            </w:pPr>
            <w:r>
              <w:rPr>
                <w:sz w:val="20"/>
                <w:szCs w:val="20"/>
              </w:rPr>
              <w:t>PEBGD-04</w:t>
            </w:r>
          </w:p>
        </w:tc>
        <w:tc>
          <w:tcPr>
            <w:tcW w:w="100" w:type="pct"/>
            <w:tcBorders>
              <w:top w:val="single" w:sz="6" w:space="0" w:color="000000"/>
              <w:left w:val="single" w:sz="6" w:space="0" w:color="000000"/>
            </w:tcBorders>
            <w:shd w:val="clear" w:color="auto" w:fill="CCEEFF"/>
            <w:vAlign w:val="center"/>
            <w:hideMark/>
          </w:tcPr>
          <w:p w14:paraId="60D423AC"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45695F1E" w14:textId="77777777" w:rsidR="00000000" w:rsidRDefault="0015578C">
            <w:pPr>
              <w:pStyle w:val="a3"/>
              <w:spacing w:before="0" w:beforeAutospacing="0" w:after="0" w:afterAutospacing="0"/>
              <w:jc w:val="center"/>
              <w:rPr>
                <w:sz w:val="20"/>
                <w:szCs w:val="20"/>
              </w:rPr>
            </w:pPr>
            <w:r>
              <w:rPr>
                <w:sz w:val="20"/>
                <w:szCs w:val="20"/>
              </w:rPr>
              <w:t>1.3</w:t>
            </w:r>
          </w:p>
        </w:tc>
        <w:tc>
          <w:tcPr>
            <w:tcW w:w="650" w:type="pct"/>
            <w:tcBorders>
              <w:top w:val="single" w:sz="6" w:space="0" w:color="000000"/>
              <w:left w:val="single" w:sz="6" w:space="0" w:color="000000"/>
            </w:tcBorders>
            <w:shd w:val="clear" w:color="auto" w:fill="CCEEFF"/>
            <w:hideMark/>
          </w:tcPr>
          <w:p w14:paraId="7672CF5F" w14:textId="77777777" w:rsidR="00000000" w:rsidRDefault="0015578C">
            <w:pPr>
              <w:pStyle w:val="a3"/>
              <w:spacing w:before="0" w:beforeAutospacing="0" w:after="0" w:afterAutospacing="0"/>
              <w:jc w:val="center"/>
              <w:rPr>
                <w:sz w:val="20"/>
                <w:szCs w:val="20"/>
              </w:rPr>
            </w:pPr>
            <w:r>
              <w:rPr>
                <w:sz w:val="20"/>
                <w:szCs w:val="20"/>
              </w:rPr>
              <w:t>40.5</w:t>
            </w:r>
          </w:p>
        </w:tc>
        <w:tc>
          <w:tcPr>
            <w:tcW w:w="650" w:type="pct"/>
            <w:tcBorders>
              <w:top w:val="single" w:sz="6" w:space="0" w:color="000000"/>
              <w:left w:val="single" w:sz="6" w:space="0" w:color="000000"/>
            </w:tcBorders>
            <w:shd w:val="clear" w:color="auto" w:fill="CCEEFF"/>
            <w:hideMark/>
          </w:tcPr>
          <w:p w14:paraId="2D8A68AC" w14:textId="77777777" w:rsidR="00000000" w:rsidRDefault="0015578C">
            <w:pPr>
              <w:pStyle w:val="a3"/>
              <w:spacing w:before="0" w:beforeAutospacing="0" w:after="0" w:afterAutospacing="0"/>
              <w:jc w:val="center"/>
              <w:rPr>
                <w:sz w:val="20"/>
                <w:szCs w:val="20"/>
              </w:rPr>
            </w:pPr>
            <w:r>
              <w:rPr>
                <w:sz w:val="20"/>
                <w:szCs w:val="20"/>
              </w:rPr>
              <w:t>0.0</w:t>
            </w:r>
          </w:p>
        </w:tc>
        <w:tc>
          <w:tcPr>
            <w:tcW w:w="700" w:type="pct"/>
            <w:tcBorders>
              <w:top w:val="single" w:sz="6" w:space="0" w:color="000000"/>
              <w:left w:val="single" w:sz="6" w:space="0" w:color="000000"/>
            </w:tcBorders>
            <w:shd w:val="clear" w:color="auto" w:fill="CCEEFF"/>
            <w:hideMark/>
          </w:tcPr>
          <w:p w14:paraId="31DE5D63" w14:textId="77777777" w:rsidR="00000000" w:rsidRDefault="0015578C">
            <w:pPr>
              <w:pStyle w:val="a3"/>
              <w:spacing w:before="0" w:beforeAutospacing="0" w:after="0" w:afterAutospacing="0"/>
              <w:jc w:val="center"/>
              <w:rPr>
                <w:sz w:val="20"/>
                <w:szCs w:val="20"/>
              </w:rPr>
            </w:pPr>
            <w:r>
              <w:rPr>
                <w:sz w:val="20"/>
                <w:szCs w:val="20"/>
              </w:rPr>
              <w:t>4.8</w:t>
            </w:r>
          </w:p>
        </w:tc>
        <w:tc>
          <w:tcPr>
            <w:tcW w:w="700" w:type="pct"/>
            <w:tcBorders>
              <w:top w:val="single" w:sz="6" w:space="0" w:color="000000"/>
              <w:left w:val="single" w:sz="6" w:space="0" w:color="000000"/>
            </w:tcBorders>
            <w:shd w:val="clear" w:color="auto" w:fill="CCEEFF"/>
            <w:hideMark/>
          </w:tcPr>
          <w:p w14:paraId="3AB15CB5" w14:textId="77777777" w:rsidR="00000000" w:rsidRDefault="0015578C">
            <w:pPr>
              <w:pStyle w:val="a3"/>
              <w:spacing w:before="0" w:beforeAutospacing="0" w:after="0" w:afterAutospacing="0"/>
              <w:jc w:val="center"/>
              <w:rPr>
                <w:sz w:val="20"/>
                <w:szCs w:val="20"/>
              </w:rPr>
            </w:pPr>
            <w:r>
              <w:rPr>
                <w:sz w:val="20"/>
                <w:szCs w:val="20"/>
              </w:rPr>
              <w:t>40.6</w:t>
            </w:r>
          </w:p>
        </w:tc>
      </w:tr>
      <w:tr w:rsidR="00000000" w14:paraId="58E21AFB"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0FE95F9F" w14:textId="77777777" w:rsidR="00000000" w:rsidRDefault="0015578C">
            <w:pPr>
              <w:pStyle w:val="a3"/>
              <w:spacing w:before="0" w:beforeAutospacing="0" w:after="0" w:afterAutospacing="0"/>
              <w:jc w:val="center"/>
              <w:rPr>
                <w:sz w:val="20"/>
                <w:szCs w:val="20"/>
              </w:rPr>
            </w:pPr>
            <w:r>
              <w:rPr>
                <w:sz w:val="20"/>
                <w:szCs w:val="20"/>
              </w:rPr>
              <w:t>PEBGD-08</w:t>
            </w:r>
          </w:p>
        </w:tc>
        <w:tc>
          <w:tcPr>
            <w:tcW w:w="100" w:type="pct"/>
            <w:tcBorders>
              <w:top w:val="single" w:sz="6" w:space="0" w:color="000000"/>
              <w:left w:val="single" w:sz="6" w:space="0" w:color="000000"/>
            </w:tcBorders>
            <w:shd w:val="clear" w:color="auto" w:fill="FFFFFF"/>
            <w:vAlign w:val="center"/>
            <w:hideMark/>
          </w:tcPr>
          <w:p w14:paraId="07060B97"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0DF75582" w14:textId="77777777" w:rsidR="00000000" w:rsidRDefault="0015578C">
            <w:pPr>
              <w:pStyle w:val="a3"/>
              <w:spacing w:before="0" w:beforeAutospacing="0" w:after="0" w:afterAutospacing="0"/>
              <w:jc w:val="center"/>
              <w:rPr>
                <w:sz w:val="20"/>
                <w:szCs w:val="20"/>
              </w:rPr>
            </w:pPr>
            <w:r>
              <w:rPr>
                <w:sz w:val="20"/>
                <w:szCs w:val="20"/>
              </w:rPr>
              <w:t>4.4</w:t>
            </w:r>
          </w:p>
        </w:tc>
        <w:tc>
          <w:tcPr>
            <w:tcW w:w="650" w:type="pct"/>
            <w:tcBorders>
              <w:top w:val="single" w:sz="6" w:space="0" w:color="000000"/>
              <w:left w:val="single" w:sz="6" w:space="0" w:color="000000"/>
            </w:tcBorders>
            <w:shd w:val="clear" w:color="auto" w:fill="FFFFFF"/>
            <w:hideMark/>
          </w:tcPr>
          <w:p w14:paraId="649811CC" w14:textId="77777777" w:rsidR="00000000" w:rsidRDefault="0015578C">
            <w:pPr>
              <w:pStyle w:val="a3"/>
              <w:spacing w:before="0" w:beforeAutospacing="0" w:after="0" w:afterAutospacing="0"/>
              <w:jc w:val="center"/>
              <w:rPr>
                <w:sz w:val="20"/>
                <w:szCs w:val="20"/>
              </w:rPr>
            </w:pPr>
            <w:r>
              <w:rPr>
                <w:sz w:val="20"/>
                <w:szCs w:val="20"/>
              </w:rPr>
              <w:t>16.8</w:t>
            </w:r>
          </w:p>
        </w:tc>
        <w:tc>
          <w:tcPr>
            <w:tcW w:w="650" w:type="pct"/>
            <w:tcBorders>
              <w:top w:val="single" w:sz="6" w:space="0" w:color="000000"/>
              <w:left w:val="single" w:sz="6" w:space="0" w:color="000000"/>
            </w:tcBorders>
            <w:shd w:val="clear" w:color="auto" w:fill="FFFFFF"/>
            <w:hideMark/>
          </w:tcPr>
          <w:p w14:paraId="38EFBA71" w14:textId="77777777" w:rsidR="00000000" w:rsidRDefault="0015578C">
            <w:pPr>
              <w:pStyle w:val="a3"/>
              <w:spacing w:before="0" w:beforeAutospacing="0" w:after="0" w:afterAutospacing="0"/>
              <w:jc w:val="center"/>
              <w:rPr>
                <w:sz w:val="20"/>
                <w:szCs w:val="20"/>
              </w:rPr>
            </w:pPr>
            <w:r>
              <w:rPr>
                <w:sz w:val="20"/>
                <w:szCs w:val="20"/>
              </w:rPr>
              <w:t>1.1</w:t>
            </w:r>
          </w:p>
        </w:tc>
        <w:tc>
          <w:tcPr>
            <w:tcW w:w="700" w:type="pct"/>
            <w:tcBorders>
              <w:top w:val="single" w:sz="6" w:space="0" w:color="000000"/>
              <w:left w:val="single" w:sz="6" w:space="0" w:color="000000"/>
            </w:tcBorders>
            <w:shd w:val="clear" w:color="auto" w:fill="FFFFFF"/>
            <w:hideMark/>
          </w:tcPr>
          <w:p w14:paraId="5FD05A24" w14:textId="77777777" w:rsidR="00000000" w:rsidRDefault="0015578C">
            <w:pPr>
              <w:pStyle w:val="a3"/>
              <w:spacing w:before="0" w:beforeAutospacing="0" w:after="0" w:afterAutospacing="0"/>
              <w:jc w:val="center"/>
              <w:rPr>
                <w:sz w:val="20"/>
                <w:szCs w:val="20"/>
              </w:rPr>
            </w:pPr>
            <w:r>
              <w:rPr>
                <w:sz w:val="20"/>
                <w:szCs w:val="20"/>
              </w:rPr>
              <w:t>32.1</w:t>
            </w:r>
          </w:p>
        </w:tc>
        <w:tc>
          <w:tcPr>
            <w:tcW w:w="700" w:type="pct"/>
            <w:tcBorders>
              <w:top w:val="single" w:sz="6" w:space="0" w:color="000000"/>
              <w:left w:val="single" w:sz="6" w:space="0" w:color="000000"/>
            </w:tcBorders>
            <w:shd w:val="clear" w:color="auto" w:fill="FFFFFF"/>
            <w:hideMark/>
          </w:tcPr>
          <w:p w14:paraId="571EEFCB" w14:textId="77777777" w:rsidR="00000000" w:rsidRDefault="0015578C">
            <w:pPr>
              <w:pStyle w:val="a3"/>
              <w:spacing w:before="0" w:beforeAutospacing="0" w:after="0" w:afterAutospacing="0"/>
              <w:jc w:val="center"/>
              <w:rPr>
                <w:sz w:val="20"/>
                <w:szCs w:val="20"/>
              </w:rPr>
            </w:pPr>
            <w:r>
              <w:rPr>
                <w:sz w:val="20"/>
                <w:szCs w:val="20"/>
              </w:rPr>
              <w:t>18.3</w:t>
            </w:r>
          </w:p>
        </w:tc>
      </w:tr>
      <w:tr w:rsidR="00000000" w14:paraId="232986F1"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75320006" w14:textId="77777777" w:rsidR="00000000" w:rsidRDefault="0015578C">
            <w:pPr>
              <w:pStyle w:val="a3"/>
              <w:spacing w:before="0" w:beforeAutospacing="0" w:after="0" w:afterAutospacing="0"/>
              <w:jc w:val="center"/>
              <w:rPr>
                <w:sz w:val="20"/>
                <w:szCs w:val="20"/>
              </w:rPr>
            </w:pPr>
            <w:r>
              <w:rPr>
                <w:sz w:val="20"/>
                <w:szCs w:val="20"/>
              </w:rPr>
              <w:t>PEBGD-10</w:t>
            </w:r>
          </w:p>
        </w:tc>
        <w:tc>
          <w:tcPr>
            <w:tcW w:w="100" w:type="pct"/>
            <w:tcBorders>
              <w:top w:val="single" w:sz="6" w:space="0" w:color="000000"/>
              <w:left w:val="single" w:sz="6" w:space="0" w:color="000000"/>
            </w:tcBorders>
            <w:shd w:val="clear" w:color="auto" w:fill="CCEEFF"/>
            <w:vAlign w:val="center"/>
            <w:hideMark/>
          </w:tcPr>
          <w:p w14:paraId="1A37D527"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6AF8ED17" w14:textId="77777777" w:rsidR="00000000" w:rsidRDefault="0015578C">
            <w:pPr>
              <w:pStyle w:val="a3"/>
              <w:spacing w:before="0" w:beforeAutospacing="0" w:after="0" w:afterAutospacing="0"/>
              <w:jc w:val="center"/>
              <w:rPr>
                <w:sz w:val="20"/>
                <w:szCs w:val="20"/>
              </w:rPr>
            </w:pPr>
            <w:r>
              <w:rPr>
                <w:sz w:val="20"/>
                <w:szCs w:val="20"/>
              </w:rPr>
              <w:t>48.9</w:t>
            </w:r>
          </w:p>
        </w:tc>
        <w:tc>
          <w:tcPr>
            <w:tcW w:w="650" w:type="pct"/>
            <w:tcBorders>
              <w:top w:val="single" w:sz="6" w:space="0" w:color="000000"/>
              <w:left w:val="single" w:sz="6" w:space="0" w:color="000000"/>
            </w:tcBorders>
            <w:shd w:val="clear" w:color="auto" w:fill="CCEEFF"/>
            <w:hideMark/>
          </w:tcPr>
          <w:p w14:paraId="6AAC86D6" w14:textId="77777777" w:rsidR="00000000" w:rsidRDefault="0015578C">
            <w:pPr>
              <w:pStyle w:val="a3"/>
              <w:spacing w:before="0" w:beforeAutospacing="0" w:after="0" w:afterAutospacing="0"/>
              <w:jc w:val="center"/>
              <w:rPr>
                <w:sz w:val="20"/>
                <w:szCs w:val="20"/>
              </w:rPr>
            </w:pPr>
            <w:r>
              <w:rPr>
                <w:sz w:val="20"/>
                <w:szCs w:val="20"/>
              </w:rPr>
              <w:t>5.2</w:t>
            </w:r>
          </w:p>
        </w:tc>
        <w:tc>
          <w:tcPr>
            <w:tcW w:w="650" w:type="pct"/>
            <w:tcBorders>
              <w:top w:val="single" w:sz="6" w:space="0" w:color="000000"/>
              <w:left w:val="single" w:sz="6" w:space="0" w:color="000000"/>
            </w:tcBorders>
            <w:shd w:val="clear" w:color="auto" w:fill="CCEEFF"/>
            <w:hideMark/>
          </w:tcPr>
          <w:p w14:paraId="77BDA6C4" w14:textId="77777777" w:rsidR="00000000" w:rsidRDefault="0015578C">
            <w:pPr>
              <w:pStyle w:val="a3"/>
              <w:spacing w:before="0" w:beforeAutospacing="0" w:after="0" w:afterAutospacing="0"/>
              <w:jc w:val="center"/>
              <w:rPr>
                <w:sz w:val="20"/>
                <w:szCs w:val="20"/>
              </w:rPr>
            </w:pPr>
            <w:r>
              <w:rPr>
                <w:sz w:val="20"/>
                <w:szCs w:val="20"/>
              </w:rPr>
              <w:t>1.0</w:t>
            </w:r>
          </w:p>
        </w:tc>
        <w:tc>
          <w:tcPr>
            <w:tcW w:w="700" w:type="pct"/>
            <w:tcBorders>
              <w:top w:val="single" w:sz="6" w:space="0" w:color="000000"/>
              <w:left w:val="single" w:sz="6" w:space="0" w:color="000000"/>
            </w:tcBorders>
            <w:shd w:val="clear" w:color="auto" w:fill="CCEEFF"/>
            <w:hideMark/>
          </w:tcPr>
          <w:p w14:paraId="41B3A40A" w14:textId="77777777" w:rsidR="00000000" w:rsidRDefault="0015578C">
            <w:pPr>
              <w:pStyle w:val="a3"/>
              <w:spacing w:before="0" w:beforeAutospacing="0" w:after="0" w:afterAutospacing="0"/>
              <w:jc w:val="center"/>
              <w:rPr>
                <w:sz w:val="20"/>
                <w:szCs w:val="20"/>
              </w:rPr>
            </w:pPr>
            <w:r>
              <w:rPr>
                <w:sz w:val="20"/>
                <w:szCs w:val="20"/>
              </w:rPr>
              <w:t>11.5</w:t>
            </w:r>
          </w:p>
        </w:tc>
        <w:tc>
          <w:tcPr>
            <w:tcW w:w="700" w:type="pct"/>
            <w:tcBorders>
              <w:top w:val="single" w:sz="6" w:space="0" w:color="000000"/>
              <w:left w:val="single" w:sz="6" w:space="0" w:color="000000"/>
            </w:tcBorders>
            <w:shd w:val="clear" w:color="auto" w:fill="CCEEFF"/>
            <w:hideMark/>
          </w:tcPr>
          <w:p w14:paraId="23A8F0C5" w14:textId="77777777" w:rsidR="00000000" w:rsidRDefault="0015578C">
            <w:pPr>
              <w:pStyle w:val="a3"/>
              <w:spacing w:before="0" w:beforeAutospacing="0" w:after="0" w:afterAutospacing="0"/>
              <w:jc w:val="center"/>
              <w:rPr>
                <w:sz w:val="20"/>
                <w:szCs w:val="20"/>
              </w:rPr>
            </w:pPr>
            <w:r>
              <w:rPr>
                <w:sz w:val="20"/>
                <w:szCs w:val="20"/>
              </w:rPr>
              <w:t>6.2</w:t>
            </w:r>
          </w:p>
        </w:tc>
      </w:tr>
      <w:tr w:rsidR="00000000" w14:paraId="58679557"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0B2A8912" w14:textId="77777777" w:rsidR="00000000" w:rsidRDefault="0015578C">
            <w:pPr>
              <w:pStyle w:val="a3"/>
              <w:spacing w:before="0" w:beforeAutospacing="0" w:after="0" w:afterAutospacing="0"/>
              <w:jc w:val="center"/>
              <w:rPr>
                <w:sz w:val="20"/>
                <w:szCs w:val="20"/>
              </w:rPr>
            </w:pPr>
            <w:r>
              <w:rPr>
                <w:sz w:val="20"/>
                <w:szCs w:val="20"/>
              </w:rPr>
              <w:t>including</w:t>
            </w:r>
          </w:p>
        </w:tc>
        <w:tc>
          <w:tcPr>
            <w:tcW w:w="100" w:type="pct"/>
            <w:tcBorders>
              <w:top w:val="single" w:sz="6" w:space="0" w:color="000000"/>
              <w:left w:val="single" w:sz="6" w:space="0" w:color="000000"/>
            </w:tcBorders>
            <w:shd w:val="clear" w:color="auto" w:fill="FFFFFF"/>
            <w:vAlign w:val="center"/>
            <w:hideMark/>
          </w:tcPr>
          <w:p w14:paraId="79D92FE2"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1C0EE1B9" w14:textId="77777777" w:rsidR="00000000" w:rsidRDefault="0015578C">
            <w:pPr>
              <w:pStyle w:val="a3"/>
              <w:spacing w:before="0" w:beforeAutospacing="0" w:after="0" w:afterAutospacing="0"/>
              <w:jc w:val="center"/>
              <w:rPr>
                <w:sz w:val="20"/>
                <w:szCs w:val="20"/>
              </w:rPr>
            </w:pPr>
            <w:r>
              <w:rPr>
                <w:sz w:val="20"/>
                <w:szCs w:val="20"/>
              </w:rPr>
              <w:t>17.5</w:t>
            </w:r>
          </w:p>
        </w:tc>
        <w:tc>
          <w:tcPr>
            <w:tcW w:w="650" w:type="pct"/>
            <w:tcBorders>
              <w:top w:val="single" w:sz="6" w:space="0" w:color="000000"/>
              <w:left w:val="single" w:sz="6" w:space="0" w:color="000000"/>
            </w:tcBorders>
            <w:shd w:val="clear" w:color="auto" w:fill="FFFFFF"/>
            <w:hideMark/>
          </w:tcPr>
          <w:p w14:paraId="01F629FD" w14:textId="77777777" w:rsidR="00000000" w:rsidRDefault="0015578C">
            <w:pPr>
              <w:pStyle w:val="a3"/>
              <w:spacing w:before="0" w:beforeAutospacing="0" w:after="0" w:afterAutospacing="0"/>
              <w:jc w:val="center"/>
              <w:rPr>
                <w:sz w:val="20"/>
                <w:szCs w:val="20"/>
              </w:rPr>
            </w:pPr>
            <w:r>
              <w:rPr>
                <w:sz w:val="20"/>
                <w:szCs w:val="20"/>
              </w:rPr>
              <w:t>11.3</w:t>
            </w:r>
          </w:p>
        </w:tc>
        <w:tc>
          <w:tcPr>
            <w:tcW w:w="650" w:type="pct"/>
            <w:tcBorders>
              <w:top w:val="single" w:sz="6" w:space="0" w:color="000000"/>
              <w:left w:val="single" w:sz="6" w:space="0" w:color="000000"/>
            </w:tcBorders>
            <w:shd w:val="clear" w:color="auto" w:fill="FFFFFF"/>
            <w:hideMark/>
          </w:tcPr>
          <w:p w14:paraId="5BB56FBA" w14:textId="77777777" w:rsidR="00000000" w:rsidRDefault="0015578C">
            <w:pPr>
              <w:pStyle w:val="a3"/>
              <w:spacing w:before="0" w:beforeAutospacing="0" w:after="0" w:afterAutospacing="0"/>
              <w:jc w:val="center"/>
              <w:rPr>
                <w:sz w:val="20"/>
                <w:szCs w:val="20"/>
              </w:rPr>
            </w:pPr>
            <w:r>
              <w:rPr>
                <w:sz w:val="20"/>
                <w:szCs w:val="20"/>
              </w:rPr>
              <w:t>2.2</w:t>
            </w:r>
          </w:p>
        </w:tc>
        <w:tc>
          <w:tcPr>
            <w:tcW w:w="700" w:type="pct"/>
            <w:tcBorders>
              <w:top w:val="single" w:sz="6" w:space="0" w:color="000000"/>
              <w:left w:val="single" w:sz="6" w:space="0" w:color="000000"/>
            </w:tcBorders>
            <w:shd w:val="clear" w:color="auto" w:fill="FFFFFF"/>
            <w:hideMark/>
          </w:tcPr>
          <w:p w14:paraId="5A8C21D7" w14:textId="77777777" w:rsidR="00000000" w:rsidRDefault="0015578C">
            <w:pPr>
              <w:pStyle w:val="a3"/>
              <w:spacing w:before="0" w:beforeAutospacing="0" w:after="0" w:afterAutospacing="0"/>
              <w:jc w:val="center"/>
              <w:rPr>
                <w:sz w:val="20"/>
                <w:szCs w:val="20"/>
              </w:rPr>
            </w:pPr>
            <w:r>
              <w:rPr>
                <w:sz w:val="20"/>
                <w:szCs w:val="20"/>
              </w:rPr>
              <w:t>25.4</w:t>
            </w:r>
          </w:p>
        </w:tc>
        <w:tc>
          <w:tcPr>
            <w:tcW w:w="700" w:type="pct"/>
            <w:tcBorders>
              <w:top w:val="single" w:sz="6" w:space="0" w:color="000000"/>
              <w:left w:val="single" w:sz="6" w:space="0" w:color="000000"/>
            </w:tcBorders>
            <w:shd w:val="clear" w:color="auto" w:fill="FFFFFF"/>
            <w:hideMark/>
          </w:tcPr>
          <w:p w14:paraId="4CFB1BD5" w14:textId="77777777" w:rsidR="00000000" w:rsidRDefault="0015578C">
            <w:pPr>
              <w:pStyle w:val="a3"/>
              <w:spacing w:before="0" w:beforeAutospacing="0" w:after="0" w:afterAutospacing="0"/>
              <w:jc w:val="center"/>
              <w:rPr>
                <w:sz w:val="20"/>
                <w:szCs w:val="20"/>
              </w:rPr>
            </w:pPr>
            <w:r>
              <w:rPr>
                <w:sz w:val="20"/>
                <w:szCs w:val="20"/>
              </w:rPr>
              <w:t>13.7</w:t>
            </w:r>
          </w:p>
        </w:tc>
      </w:tr>
      <w:tr w:rsidR="00000000" w14:paraId="2FC612C2"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18D91814" w14:textId="77777777" w:rsidR="00000000" w:rsidRDefault="0015578C">
            <w:pPr>
              <w:pStyle w:val="a3"/>
              <w:spacing w:before="0" w:beforeAutospacing="0" w:after="0" w:afterAutospacing="0"/>
              <w:jc w:val="center"/>
              <w:rPr>
                <w:sz w:val="20"/>
                <w:szCs w:val="20"/>
              </w:rPr>
            </w:pPr>
            <w:r>
              <w:rPr>
                <w:sz w:val="20"/>
                <w:szCs w:val="20"/>
              </w:rPr>
              <w:t>PEBGD-15</w:t>
            </w:r>
          </w:p>
        </w:tc>
        <w:tc>
          <w:tcPr>
            <w:tcW w:w="100" w:type="pct"/>
            <w:tcBorders>
              <w:top w:val="single" w:sz="6" w:space="0" w:color="000000"/>
              <w:left w:val="single" w:sz="6" w:space="0" w:color="000000"/>
            </w:tcBorders>
            <w:shd w:val="clear" w:color="auto" w:fill="CCEEFF"/>
            <w:vAlign w:val="center"/>
            <w:hideMark/>
          </w:tcPr>
          <w:p w14:paraId="5B7D7934"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779F93BB" w14:textId="77777777" w:rsidR="00000000" w:rsidRDefault="0015578C">
            <w:pPr>
              <w:pStyle w:val="a3"/>
              <w:spacing w:before="0" w:beforeAutospacing="0" w:after="0" w:afterAutospacing="0"/>
              <w:jc w:val="center"/>
              <w:rPr>
                <w:sz w:val="20"/>
                <w:szCs w:val="20"/>
              </w:rPr>
            </w:pPr>
            <w:r>
              <w:rPr>
                <w:sz w:val="20"/>
                <w:szCs w:val="20"/>
              </w:rPr>
              <w:t>12.4</w:t>
            </w:r>
          </w:p>
        </w:tc>
        <w:tc>
          <w:tcPr>
            <w:tcW w:w="650" w:type="pct"/>
            <w:tcBorders>
              <w:top w:val="single" w:sz="6" w:space="0" w:color="000000"/>
              <w:left w:val="single" w:sz="6" w:space="0" w:color="000000"/>
            </w:tcBorders>
            <w:shd w:val="clear" w:color="auto" w:fill="CCEEFF"/>
            <w:hideMark/>
          </w:tcPr>
          <w:p w14:paraId="3FF376F4" w14:textId="77777777" w:rsidR="00000000" w:rsidRDefault="0015578C">
            <w:pPr>
              <w:pStyle w:val="a3"/>
              <w:spacing w:before="0" w:beforeAutospacing="0" w:after="0" w:afterAutospacing="0"/>
              <w:jc w:val="center"/>
              <w:rPr>
                <w:sz w:val="20"/>
                <w:szCs w:val="20"/>
              </w:rPr>
            </w:pPr>
            <w:r>
              <w:rPr>
                <w:sz w:val="20"/>
                <w:szCs w:val="20"/>
              </w:rPr>
              <w:t>14.9</w:t>
            </w:r>
          </w:p>
        </w:tc>
        <w:tc>
          <w:tcPr>
            <w:tcW w:w="650" w:type="pct"/>
            <w:tcBorders>
              <w:top w:val="single" w:sz="6" w:space="0" w:color="000000"/>
              <w:left w:val="single" w:sz="6" w:space="0" w:color="000000"/>
            </w:tcBorders>
            <w:shd w:val="clear" w:color="auto" w:fill="CCEEFF"/>
            <w:hideMark/>
          </w:tcPr>
          <w:p w14:paraId="7A273897" w14:textId="77777777" w:rsidR="00000000" w:rsidRDefault="0015578C">
            <w:pPr>
              <w:pStyle w:val="a3"/>
              <w:spacing w:before="0" w:beforeAutospacing="0" w:after="0" w:afterAutospacing="0"/>
              <w:jc w:val="center"/>
              <w:rPr>
                <w:sz w:val="20"/>
                <w:szCs w:val="20"/>
              </w:rPr>
            </w:pPr>
            <w:r>
              <w:rPr>
                <w:sz w:val="20"/>
                <w:szCs w:val="20"/>
              </w:rPr>
              <w:t>0.0</w:t>
            </w:r>
          </w:p>
        </w:tc>
        <w:tc>
          <w:tcPr>
            <w:tcW w:w="700" w:type="pct"/>
            <w:tcBorders>
              <w:top w:val="single" w:sz="6" w:space="0" w:color="000000"/>
              <w:left w:val="single" w:sz="6" w:space="0" w:color="000000"/>
            </w:tcBorders>
            <w:shd w:val="clear" w:color="auto" w:fill="CCEEFF"/>
            <w:hideMark/>
          </w:tcPr>
          <w:p w14:paraId="4DB303C6" w14:textId="77777777" w:rsidR="00000000" w:rsidRDefault="0015578C">
            <w:pPr>
              <w:pStyle w:val="a3"/>
              <w:spacing w:before="0" w:beforeAutospacing="0" w:after="0" w:afterAutospacing="0"/>
              <w:jc w:val="center"/>
              <w:rPr>
                <w:sz w:val="20"/>
                <w:szCs w:val="20"/>
              </w:rPr>
            </w:pPr>
            <w:r>
              <w:rPr>
                <w:sz w:val="20"/>
                <w:szCs w:val="20"/>
              </w:rPr>
              <w:t>8.9</w:t>
            </w:r>
          </w:p>
        </w:tc>
        <w:tc>
          <w:tcPr>
            <w:tcW w:w="700" w:type="pct"/>
            <w:tcBorders>
              <w:top w:val="single" w:sz="6" w:space="0" w:color="000000"/>
              <w:left w:val="single" w:sz="6" w:space="0" w:color="000000"/>
            </w:tcBorders>
            <w:shd w:val="clear" w:color="auto" w:fill="CCEEFF"/>
            <w:hideMark/>
          </w:tcPr>
          <w:p w14:paraId="67A493C6" w14:textId="77777777" w:rsidR="00000000" w:rsidRDefault="0015578C">
            <w:pPr>
              <w:pStyle w:val="a3"/>
              <w:spacing w:before="0" w:beforeAutospacing="0" w:after="0" w:afterAutospacing="0"/>
              <w:jc w:val="center"/>
              <w:rPr>
                <w:sz w:val="20"/>
                <w:szCs w:val="20"/>
              </w:rPr>
            </w:pPr>
            <w:r>
              <w:rPr>
                <w:sz w:val="20"/>
                <w:szCs w:val="20"/>
              </w:rPr>
              <w:t>15.1</w:t>
            </w:r>
          </w:p>
        </w:tc>
      </w:tr>
      <w:tr w:rsidR="00000000" w14:paraId="64C2FFD1"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5CCA71AB" w14:textId="77777777" w:rsidR="00000000" w:rsidRDefault="0015578C">
            <w:pPr>
              <w:pStyle w:val="a3"/>
              <w:spacing w:before="0" w:beforeAutospacing="0" w:after="0" w:afterAutospacing="0"/>
              <w:jc w:val="center"/>
              <w:rPr>
                <w:sz w:val="20"/>
                <w:szCs w:val="20"/>
              </w:rPr>
            </w:pPr>
            <w:r>
              <w:rPr>
                <w:sz w:val="20"/>
                <w:szCs w:val="20"/>
              </w:rPr>
              <w:t>PEBGD-24</w:t>
            </w:r>
          </w:p>
        </w:tc>
        <w:tc>
          <w:tcPr>
            <w:tcW w:w="100" w:type="pct"/>
            <w:tcBorders>
              <w:top w:val="single" w:sz="6" w:space="0" w:color="000000"/>
              <w:left w:val="single" w:sz="6" w:space="0" w:color="000000"/>
            </w:tcBorders>
            <w:shd w:val="clear" w:color="auto" w:fill="FFFFFF"/>
            <w:vAlign w:val="center"/>
            <w:hideMark/>
          </w:tcPr>
          <w:p w14:paraId="5D779B1D"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50869A40" w14:textId="77777777" w:rsidR="00000000" w:rsidRDefault="0015578C">
            <w:pPr>
              <w:pStyle w:val="a3"/>
              <w:spacing w:before="0" w:beforeAutospacing="0" w:after="0" w:afterAutospacing="0"/>
              <w:jc w:val="center"/>
              <w:rPr>
                <w:sz w:val="20"/>
                <w:szCs w:val="20"/>
              </w:rPr>
            </w:pPr>
            <w:r>
              <w:rPr>
                <w:sz w:val="20"/>
                <w:szCs w:val="20"/>
              </w:rPr>
              <w:t>4.1</w:t>
            </w:r>
          </w:p>
        </w:tc>
        <w:tc>
          <w:tcPr>
            <w:tcW w:w="650" w:type="pct"/>
            <w:tcBorders>
              <w:top w:val="single" w:sz="6" w:space="0" w:color="000000"/>
              <w:left w:val="single" w:sz="6" w:space="0" w:color="000000"/>
            </w:tcBorders>
            <w:shd w:val="clear" w:color="auto" w:fill="FFFFFF"/>
            <w:hideMark/>
          </w:tcPr>
          <w:p w14:paraId="56D8669C" w14:textId="77777777" w:rsidR="00000000" w:rsidRDefault="0015578C">
            <w:pPr>
              <w:pStyle w:val="a3"/>
              <w:spacing w:before="0" w:beforeAutospacing="0" w:after="0" w:afterAutospacing="0"/>
              <w:jc w:val="center"/>
              <w:rPr>
                <w:sz w:val="20"/>
                <w:szCs w:val="20"/>
              </w:rPr>
            </w:pPr>
            <w:r>
              <w:rPr>
                <w:sz w:val="20"/>
                <w:szCs w:val="20"/>
              </w:rPr>
              <w:t>18.6</w:t>
            </w:r>
          </w:p>
        </w:tc>
        <w:tc>
          <w:tcPr>
            <w:tcW w:w="650" w:type="pct"/>
            <w:tcBorders>
              <w:top w:val="single" w:sz="6" w:space="0" w:color="000000"/>
              <w:left w:val="single" w:sz="6" w:space="0" w:color="000000"/>
            </w:tcBorders>
            <w:shd w:val="clear" w:color="auto" w:fill="FFFFFF"/>
            <w:hideMark/>
          </w:tcPr>
          <w:p w14:paraId="46E554F3" w14:textId="77777777" w:rsidR="00000000" w:rsidRDefault="0015578C">
            <w:pPr>
              <w:pStyle w:val="a3"/>
              <w:spacing w:before="0" w:beforeAutospacing="0" w:after="0" w:afterAutospacing="0"/>
              <w:jc w:val="center"/>
              <w:rPr>
                <w:sz w:val="20"/>
                <w:szCs w:val="20"/>
              </w:rPr>
            </w:pPr>
            <w:r>
              <w:rPr>
                <w:sz w:val="20"/>
                <w:szCs w:val="20"/>
              </w:rPr>
              <w:t>0.9</w:t>
            </w:r>
          </w:p>
        </w:tc>
        <w:tc>
          <w:tcPr>
            <w:tcW w:w="700" w:type="pct"/>
            <w:tcBorders>
              <w:top w:val="single" w:sz="6" w:space="0" w:color="000000"/>
              <w:left w:val="single" w:sz="6" w:space="0" w:color="000000"/>
            </w:tcBorders>
            <w:shd w:val="clear" w:color="auto" w:fill="FFFFFF"/>
            <w:hideMark/>
          </w:tcPr>
          <w:p w14:paraId="66F8C5CB" w14:textId="77777777" w:rsidR="00000000" w:rsidRDefault="0015578C">
            <w:pPr>
              <w:pStyle w:val="a3"/>
              <w:spacing w:before="0" w:beforeAutospacing="0" w:after="0" w:afterAutospacing="0"/>
              <w:jc w:val="center"/>
              <w:rPr>
                <w:sz w:val="20"/>
                <w:szCs w:val="20"/>
              </w:rPr>
            </w:pPr>
            <w:r>
              <w:rPr>
                <w:sz w:val="20"/>
                <w:szCs w:val="20"/>
              </w:rPr>
              <w:t>5.7</w:t>
            </w:r>
          </w:p>
        </w:tc>
        <w:tc>
          <w:tcPr>
            <w:tcW w:w="700" w:type="pct"/>
            <w:tcBorders>
              <w:top w:val="single" w:sz="6" w:space="0" w:color="000000"/>
              <w:left w:val="single" w:sz="6" w:space="0" w:color="000000"/>
            </w:tcBorders>
            <w:shd w:val="clear" w:color="auto" w:fill="FFFFFF"/>
            <w:hideMark/>
          </w:tcPr>
          <w:p w14:paraId="70C8DC94" w14:textId="77777777" w:rsidR="00000000" w:rsidRDefault="0015578C">
            <w:pPr>
              <w:pStyle w:val="a3"/>
              <w:spacing w:before="0" w:beforeAutospacing="0" w:after="0" w:afterAutospacing="0"/>
              <w:jc w:val="center"/>
              <w:rPr>
                <w:sz w:val="20"/>
                <w:szCs w:val="20"/>
              </w:rPr>
            </w:pPr>
            <w:r>
              <w:rPr>
                <w:sz w:val="20"/>
                <w:szCs w:val="20"/>
              </w:rPr>
              <w:t>19.5</w:t>
            </w:r>
          </w:p>
        </w:tc>
      </w:tr>
      <w:tr w:rsidR="00000000" w14:paraId="59596BDF"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27DCDE0D" w14:textId="77777777" w:rsidR="00000000" w:rsidRDefault="0015578C">
            <w:pPr>
              <w:pStyle w:val="a3"/>
              <w:spacing w:before="0" w:beforeAutospacing="0" w:after="0" w:afterAutospacing="0"/>
              <w:jc w:val="center"/>
              <w:rPr>
                <w:sz w:val="20"/>
                <w:szCs w:val="20"/>
              </w:rPr>
            </w:pPr>
            <w:r>
              <w:rPr>
                <w:sz w:val="20"/>
                <w:szCs w:val="20"/>
              </w:rPr>
              <w:t>PEBGD-25</w:t>
            </w:r>
          </w:p>
        </w:tc>
        <w:tc>
          <w:tcPr>
            <w:tcW w:w="100" w:type="pct"/>
            <w:tcBorders>
              <w:top w:val="single" w:sz="6" w:space="0" w:color="000000"/>
              <w:left w:val="single" w:sz="6" w:space="0" w:color="000000"/>
            </w:tcBorders>
            <w:shd w:val="clear" w:color="auto" w:fill="CCEEFF"/>
            <w:vAlign w:val="center"/>
            <w:hideMark/>
          </w:tcPr>
          <w:p w14:paraId="5F3F6C7E"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1F31FA76" w14:textId="77777777" w:rsidR="00000000" w:rsidRDefault="0015578C">
            <w:pPr>
              <w:pStyle w:val="a3"/>
              <w:spacing w:before="0" w:beforeAutospacing="0" w:after="0" w:afterAutospacing="0"/>
              <w:jc w:val="center"/>
              <w:rPr>
                <w:sz w:val="20"/>
                <w:szCs w:val="20"/>
              </w:rPr>
            </w:pPr>
            <w:r>
              <w:rPr>
                <w:sz w:val="20"/>
                <w:szCs w:val="20"/>
              </w:rPr>
              <w:t>6.3</w:t>
            </w:r>
          </w:p>
        </w:tc>
        <w:tc>
          <w:tcPr>
            <w:tcW w:w="650" w:type="pct"/>
            <w:tcBorders>
              <w:top w:val="single" w:sz="6" w:space="0" w:color="000000"/>
              <w:left w:val="single" w:sz="6" w:space="0" w:color="000000"/>
            </w:tcBorders>
            <w:shd w:val="clear" w:color="auto" w:fill="CCEEFF"/>
            <w:hideMark/>
          </w:tcPr>
          <w:p w14:paraId="5B624ECB" w14:textId="77777777" w:rsidR="00000000" w:rsidRDefault="0015578C">
            <w:pPr>
              <w:pStyle w:val="a3"/>
              <w:spacing w:before="0" w:beforeAutospacing="0" w:after="0" w:afterAutospacing="0"/>
              <w:jc w:val="center"/>
              <w:rPr>
                <w:sz w:val="20"/>
                <w:szCs w:val="20"/>
              </w:rPr>
            </w:pPr>
            <w:r>
              <w:rPr>
                <w:sz w:val="20"/>
                <w:szCs w:val="20"/>
              </w:rPr>
              <w:t>7.7</w:t>
            </w:r>
          </w:p>
        </w:tc>
        <w:tc>
          <w:tcPr>
            <w:tcW w:w="650" w:type="pct"/>
            <w:tcBorders>
              <w:top w:val="single" w:sz="6" w:space="0" w:color="000000"/>
              <w:left w:val="single" w:sz="6" w:space="0" w:color="000000"/>
            </w:tcBorders>
            <w:shd w:val="clear" w:color="auto" w:fill="CCEEFF"/>
            <w:hideMark/>
          </w:tcPr>
          <w:p w14:paraId="657597FD" w14:textId="77777777" w:rsidR="00000000" w:rsidRDefault="0015578C">
            <w:pPr>
              <w:pStyle w:val="a3"/>
              <w:spacing w:before="0" w:beforeAutospacing="0" w:after="0" w:afterAutospacing="0"/>
              <w:jc w:val="center"/>
              <w:rPr>
                <w:sz w:val="20"/>
                <w:szCs w:val="20"/>
              </w:rPr>
            </w:pPr>
            <w:r>
              <w:rPr>
                <w:sz w:val="20"/>
                <w:szCs w:val="20"/>
              </w:rPr>
              <w:t>0.5</w:t>
            </w:r>
          </w:p>
        </w:tc>
        <w:tc>
          <w:tcPr>
            <w:tcW w:w="700" w:type="pct"/>
            <w:tcBorders>
              <w:top w:val="single" w:sz="6" w:space="0" w:color="000000"/>
              <w:left w:val="single" w:sz="6" w:space="0" w:color="000000"/>
            </w:tcBorders>
            <w:shd w:val="clear" w:color="auto" w:fill="CCEEFF"/>
            <w:hideMark/>
          </w:tcPr>
          <w:p w14:paraId="6B54A15F" w14:textId="77777777" w:rsidR="00000000" w:rsidRDefault="0015578C">
            <w:pPr>
              <w:pStyle w:val="a3"/>
              <w:spacing w:before="0" w:beforeAutospacing="0" w:after="0" w:afterAutospacing="0"/>
              <w:jc w:val="center"/>
              <w:rPr>
                <w:sz w:val="20"/>
                <w:szCs w:val="20"/>
              </w:rPr>
            </w:pPr>
            <w:r>
              <w:rPr>
                <w:sz w:val="20"/>
                <w:szCs w:val="20"/>
              </w:rPr>
              <w:t>3.2</w:t>
            </w:r>
          </w:p>
        </w:tc>
        <w:tc>
          <w:tcPr>
            <w:tcW w:w="700" w:type="pct"/>
            <w:tcBorders>
              <w:top w:val="single" w:sz="6" w:space="0" w:color="000000"/>
              <w:left w:val="single" w:sz="6" w:space="0" w:color="000000"/>
            </w:tcBorders>
            <w:shd w:val="clear" w:color="auto" w:fill="CCEEFF"/>
            <w:hideMark/>
          </w:tcPr>
          <w:p w14:paraId="28BF98E6" w14:textId="77777777" w:rsidR="00000000" w:rsidRDefault="0015578C">
            <w:pPr>
              <w:pStyle w:val="a3"/>
              <w:spacing w:before="0" w:beforeAutospacing="0" w:after="0" w:afterAutospacing="0"/>
              <w:jc w:val="center"/>
              <w:rPr>
                <w:sz w:val="20"/>
                <w:szCs w:val="20"/>
              </w:rPr>
            </w:pPr>
            <w:r>
              <w:rPr>
                <w:sz w:val="20"/>
                <w:szCs w:val="20"/>
              </w:rPr>
              <w:t>8.2</w:t>
            </w:r>
          </w:p>
        </w:tc>
      </w:tr>
      <w:tr w:rsidR="00000000" w14:paraId="2EB708CE"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568C2C51" w14:textId="77777777" w:rsidR="00000000" w:rsidRDefault="0015578C">
            <w:pPr>
              <w:pStyle w:val="a3"/>
              <w:spacing w:before="0" w:beforeAutospacing="0" w:after="0" w:afterAutospacing="0"/>
              <w:jc w:val="center"/>
              <w:rPr>
                <w:sz w:val="20"/>
                <w:szCs w:val="20"/>
              </w:rPr>
            </w:pPr>
            <w:r>
              <w:rPr>
                <w:sz w:val="20"/>
                <w:szCs w:val="20"/>
              </w:rPr>
              <w:t>And</w:t>
            </w:r>
          </w:p>
        </w:tc>
        <w:tc>
          <w:tcPr>
            <w:tcW w:w="100" w:type="pct"/>
            <w:tcBorders>
              <w:top w:val="single" w:sz="6" w:space="0" w:color="000000"/>
              <w:left w:val="single" w:sz="6" w:space="0" w:color="000000"/>
            </w:tcBorders>
            <w:shd w:val="clear" w:color="auto" w:fill="FFFFFF"/>
            <w:vAlign w:val="center"/>
            <w:hideMark/>
          </w:tcPr>
          <w:p w14:paraId="5A8D0541"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6F0F62AE" w14:textId="77777777" w:rsidR="00000000" w:rsidRDefault="0015578C">
            <w:pPr>
              <w:pStyle w:val="a3"/>
              <w:spacing w:before="0" w:beforeAutospacing="0" w:after="0" w:afterAutospacing="0"/>
              <w:jc w:val="center"/>
              <w:rPr>
                <w:sz w:val="20"/>
                <w:szCs w:val="20"/>
              </w:rPr>
            </w:pPr>
            <w:r>
              <w:rPr>
                <w:sz w:val="20"/>
                <w:szCs w:val="20"/>
              </w:rPr>
              <w:t>8.8</w:t>
            </w:r>
          </w:p>
        </w:tc>
        <w:tc>
          <w:tcPr>
            <w:tcW w:w="650" w:type="pct"/>
            <w:tcBorders>
              <w:top w:val="single" w:sz="6" w:space="0" w:color="000000"/>
              <w:left w:val="single" w:sz="6" w:space="0" w:color="000000"/>
            </w:tcBorders>
            <w:shd w:val="clear" w:color="auto" w:fill="FFFFFF"/>
            <w:hideMark/>
          </w:tcPr>
          <w:p w14:paraId="3C49A5C5" w14:textId="77777777" w:rsidR="00000000" w:rsidRDefault="0015578C">
            <w:pPr>
              <w:pStyle w:val="a3"/>
              <w:spacing w:before="0" w:beforeAutospacing="0" w:after="0" w:afterAutospacing="0"/>
              <w:jc w:val="center"/>
              <w:rPr>
                <w:sz w:val="20"/>
                <w:szCs w:val="20"/>
              </w:rPr>
            </w:pPr>
            <w:r>
              <w:rPr>
                <w:sz w:val="20"/>
                <w:szCs w:val="20"/>
              </w:rPr>
              <w:t>5.2</w:t>
            </w:r>
          </w:p>
        </w:tc>
        <w:tc>
          <w:tcPr>
            <w:tcW w:w="650" w:type="pct"/>
            <w:tcBorders>
              <w:top w:val="single" w:sz="6" w:space="0" w:color="000000"/>
              <w:left w:val="single" w:sz="6" w:space="0" w:color="000000"/>
            </w:tcBorders>
            <w:shd w:val="clear" w:color="auto" w:fill="FFFFFF"/>
            <w:hideMark/>
          </w:tcPr>
          <w:p w14:paraId="70695A71" w14:textId="77777777" w:rsidR="00000000" w:rsidRDefault="0015578C">
            <w:pPr>
              <w:pStyle w:val="a3"/>
              <w:spacing w:before="0" w:beforeAutospacing="0" w:after="0" w:afterAutospacing="0"/>
              <w:jc w:val="center"/>
              <w:rPr>
                <w:sz w:val="20"/>
                <w:szCs w:val="20"/>
              </w:rPr>
            </w:pPr>
            <w:r>
              <w:rPr>
                <w:sz w:val="20"/>
                <w:szCs w:val="20"/>
              </w:rPr>
              <w:t>1.5</w:t>
            </w:r>
          </w:p>
        </w:tc>
        <w:tc>
          <w:tcPr>
            <w:tcW w:w="700" w:type="pct"/>
            <w:tcBorders>
              <w:top w:val="single" w:sz="6" w:space="0" w:color="000000"/>
              <w:left w:val="single" w:sz="6" w:space="0" w:color="000000"/>
            </w:tcBorders>
            <w:shd w:val="clear" w:color="auto" w:fill="FFFFFF"/>
            <w:hideMark/>
          </w:tcPr>
          <w:p w14:paraId="14BFA620" w14:textId="77777777" w:rsidR="00000000" w:rsidRDefault="0015578C">
            <w:pPr>
              <w:pStyle w:val="a3"/>
              <w:spacing w:before="0" w:beforeAutospacing="0" w:after="0" w:afterAutospacing="0"/>
              <w:jc w:val="center"/>
              <w:rPr>
                <w:sz w:val="20"/>
                <w:szCs w:val="20"/>
              </w:rPr>
            </w:pPr>
            <w:r>
              <w:rPr>
                <w:sz w:val="20"/>
                <w:szCs w:val="20"/>
              </w:rPr>
              <w:t>18.1</w:t>
            </w:r>
          </w:p>
        </w:tc>
        <w:tc>
          <w:tcPr>
            <w:tcW w:w="700" w:type="pct"/>
            <w:tcBorders>
              <w:top w:val="single" w:sz="6" w:space="0" w:color="000000"/>
              <w:left w:val="single" w:sz="6" w:space="0" w:color="000000"/>
            </w:tcBorders>
            <w:shd w:val="clear" w:color="auto" w:fill="FFFFFF"/>
            <w:hideMark/>
          </w:tcPr>
          <w:p w14:paraId="1754E3E2" w14:textId="77777777" w:rsidR="00000000" w:rsidRDefault="0015578C">
            <w:pPr>
              <w:pStyle w:val="a3"/>
              <w:spacing w:before="0" w:beforeAutospacing="0" w:after="0" w:afterAutospacing="0"/>
              <w:jc w:val="center"/>
              <w:rPr>
                <w:sz w:val="20"/>
                <w:szCs w:val="20"/>
              </w:rPr>
            </w:pPr>
            <w:r>
              <w:rPr>
                <w:sz w:val="20"/>
                <w:szCs w:val="20"/>
              </w:rPr>
              <w:t>6.9</w:t>
            </w:r>
          </w:p>
        </w:tc>
      </w:tr>
      <w:tr w:rsidR="00000000" w14:paraId="6EEEBAE5"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3ED9870D" w14:textId="77777777" w:rsidR="00000000" w:rsidRDefault="0015578C">
            <w:pPr>
              <w:pStyle w:val="a3"/>
              <w:spacing w:before="0" w:beforeAutospacing="0" w:after="0" w:afterAutospacing="0"/>
              <w:jc w:val="center"/>
              <w:rPr>
                <w:sz w:val="20"/>
                <w:szCs w:val="20"/>
              </w:rPr>
            </w:pPr>
            <w:r>
              <w:rPr>
                <w:sz w:val="20"/>
                <w:szCs w:val="20"/>
              </w:rPr>
              <w:t>PEBGD-30</w:t>
            </w:r>
          </w:p>
        </w:tc>
        <w:tc>
          <w:tcPr>
            <w:tcW w:w="100" w:type="pct"/>
            <w:tcBorders>
              <w:top w:val="single" w:sz="6" w:space="0" w:color="000000"/>
              <w:left w:val="single" w:sz="6" w:space="0" w:color="000000"/>
            </w:tcBorders>
            <w:shd w:val="clear" w:color="auto" w:fill="CCEEFF"/>
            <w:vAlign w:val="center"/>
            <w:hideMark/>
          </w:tcPr>
          <w:p w14:paraId="3A1ECAC0"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4A54F719" w14:textId="77777777" w:rsidR="00000000" w:rsidRDefault="0015578C">
            <w:pPr>
              <w:pStyle w:val="a3"/>
              <w:spacing w:before="0" w:beforeAutospacing="0" w:after="0" w:afterAutospacing="0"/>
              <w:jc w:val="center"/>
              <w:rPr>
                <w:sz w:val="20"/>
                <w:szCs w:val="20"/>
              </w:rPr>
            </w:pPr>
            <w:r>
              <w:rPr>
                <w:sz w:val="20"/>
                <w:szCs w:val="20"/>
              </w:rPr>
              <w:t>6.7</w:t>
            </w:r>
          </w:p>
        </w:tc>
        <w:tc>
          <w:tcPr>
            <w:tcW w:w="650" w:type="pct"/>
            <w:tcBorders>
              <w:top w:val="single" w:sz="6" w:space="0" w:color="000000"/>
              <w:left w:val="single" w:sz="6" w:space="0" w:color="000000"/>
            </w:tcBorders>
            <w:shd w:val="clear" w:color="auto" w:fill="CCEEFF"/>
            <w:hideMark/>
          </w:tcPr>
          <w:p w14:paraId="389861A2" w14:textId="77777777" w:rsidR="00000000" w:rsidRDefault="0015578C">
            <w:pPr>
              <w:pStyle w:val="a3"/>
              <w:spacing w:before="0" w:beforeAutospacing="0" w:after="0" w:afterAutospacing="0"/>
              <w:jc w:val="center"/>
              <w:rPr>
                <w:sz w:val="20"/>
                <w:szCs w:val="20"/>
              </w:rPr>
            </w:pPr>
            <w:r>
              <w:rPr>
                <w:sz w:val="20"/>
                <w:szCs w:val="20"/>
              </w:rPr>
              <w:t>18.4</w:t>
            </w:r>
          </w:p>
        </w:tc>
        <w:tc>
          <w:tcPr>
            <w:tcW w:w="650" w:type="pct"/>
            <w:tcBorders>
              <w:top w:val="single" w:sz="6" w:space="0" w:color="000000"/>
              <w:left w:val="single" w:sz="6" w:space="0" w:color="000000"/>
            </w:tcBorders>
            <w:shd w:val="clear" w:color="auto" w:fill="CCEEFF"/>
            <w:hideMark/>
          </w:tcPr>
          <w:p w14:paraId="48E65EBD" w14:textId="77777777" w:rsidR="00000000" w:rsidRDefault="0015578C">
            <w:pPr>
              <w:pStyle w:val="a3"/>
              <w:spacing w:before="0" w:beforeAutospacing="0" w:after="0" w:afterAutospacing="0"/>
              <w:jc w:val="center"/>
              <w:rPr>
                <w:sz w:val="20"/>
                <w:szCs w:val="20"/>
              </w:rPr>
            </w:pPr>
            <w:r>
              <w:rPr>
                <w:sz w:val="20"/>
                <w:szCs w:val="20"/>
              </w:rPr>
              <w:t>0.0</w:t>
            </w:r>
          </w:p>
        </w:tc>
        <w:tc>
          <w:tcPr>
            <w:tcW w:w="700" w:type="pct"/>
            <w:tcBorders>
              <w:top w:val="single" w:sz="6" w:space="0" w:color="000000"/>
              <w:left w:val="single" w:sz="6" w:space="0" w:color="000000"/>
            </w:tcBorders>
            <w:shd w:val="clear" w:color="auto" w:fill="CCEEFF"/>
            <w:hideMark/>
          </w:tcPr>
          <w:p w14:paraId="48CD5F29" w14:textId="77777777" w:rsidR="00000000" w:rsidRDefault="0015578C">
            <w:pPr>
              <w:pStyle w:val="a3"/>
              <w:spacing w:before="0" w:beforeAutospacing="0" w:after="0" w:afterAutospacing="0"/>
              <w:jc w:val="center"/>
              <w:rPr>
                <w:sz w:val="20"/>
                <w:szCs w:val="20"/>
              </w:rPr>
            </w:pPr>
            <w:r>
              <w:rPr>
                <w:sz w:val="20"/>
                <w:szCs w:val="20"/>
              </w:rPr>
              <w:t>10.6</w:t>
            </w:r>
          </w:p>
        </w:tc>
        <w:tc>
          <w:tcPr>
            <w:tcW w:w="700" w:type="pct"/>
            <w:tcBorders>
              <w:top w:val="single" w:sz="6" w:space="0" w:color="000000"/>
              <w:left w:val="single" w:sz="6" w:space="0" w:color="000000"/>
            </w:tcBorders>
            <w:shd w:val="clear" w:color="auto" w:fill="CCEEFF"/>
            <w:hideMark/>
          </w:tcPr>
          <w:p w14:paraId="09C89452" w14:textId="77777777" w:rsidR="00000000" w:rsidRDefault="0015578C">
            <w:pPr>
              <w:pStyle w:val="a3"/>
              <w:spacing w:before="0" w:beforeAutospacing="0" w:after="0" w:afterAutospacing="0"/>
              <w:jc w:val="center"/>
              <w:rPr>
                <w:sz w:val="20"/>
                <w:szCs w:val="20"/>
              </w:rPr>
            </w:pPr>
            <w:r>
              <w:rPr>
                <w:sz w:val="20"/>
                <w:szCs w:val="20"/>
              </w:rPr>
              <w:t>18.7</w:t>
            </w:r>
          </w:p>
        </w:tc>
      </w:tr>
      <w:tr w:rsidR="00000000" w14:paraId="76270366"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5784CA5E" w14:textId="77777777" w:rsidR="00000000" w:rsidRDefault="0015578C">
            <w:pPr>
              <w:pStyle w:val="a3"/>
              <w:spacing w:before="0" w:beforeAutospacing="0" w:after="0" w:afterAutospacing="0"/>
              <w:jc w:val="center"/>
              <w:rPr>
                <w:sz w:val="20"/>
                <w:szCs w:val="20"/>
              </w:rPr>
            </w:pPr>
            <w:r>
              <w:rPr>
                <w:sz w:val="20"/>
                <w:szCs w:val="20"/>
              </w:rPr>
              <w:t>PEBGD-31</w:t>
            </w:r>
          </w:p>
        </w:tc>
        <w:tc>
          <w:tcPr>
            <w:tcW w:w="100" w:type="pct"/>
            <w:tcBorders>
              <w:top w:val="single" w:sz="6" w:space="0" w:color="000000"/>
              <w:left w:val="single" w:sz="6" w:space="0" w:color="000000"/>
            </w:tcBorders>
            <w:shd w:val="clear" w:color="auto" w:fill="FFFFFF"/>
            <w:vAlign w:val="center"/>
            <w:hideMark/>
          </w:tcPr>
          <w:p w14:paraId="1C5456A3"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6A8C6090" w14:textId="77777777" w:rsidR="00000000" w:rsidRDefault="0015578C">
            <w:pPr>
              <w:pStyle w:val="a3"/>
              <w:spacing w:before="0" w:beforeAutospacing="0" w:after="0" w:afterAutospacing="0"/>
              <w:jc w:val="center"/>
              <w:rPr>
                <w:sz w:val="20"/>
                <w:szCs w:val="20"/>
              </w:rPr>
            </w:pPr>
            <w:r>
              <w:rPr>
                <w:sz w:val="20"/>
                <w:szCs w:val="20"/>
              </w:rPr>
              <w:t>7.4</w:t>
            </w:r>
          </w:p>
        </w:tc>
        <w:tc>
          <w:tcPr>
            <w:tcW w:w="650" w:type="pct"/>
            <w:tcBorders>
              <w:top w:val="single" w:sz="6" w:space="0" w:color="000000"/>
              <w:left w:val="single" w:sz="6" w:space="0" w:color="000000"/>
            </w:tcBorders>
            <w:shd w:val="clear" w:color="auto" w:fill="FFFFFF"/>
            <w:hideMark/>
          </w:tcPr>
          <w:p w14:paraId="26615ABE" w14:textId="77777777" w:rsidR="00000000" w:rsidRDefault="0015578C">
            <w:pPr>
              <w:pStyle w:val="a3"/>
              <w:spacing w:before="0" w:beforeAutospacing="0" w:after="0" w:afterAutospacing="0"/>
              <w:jc w:val="center"/>
              <w:rPr>
                <w:sz w:val="20"/>
                <w:szCs w:val="20"/>
              </w:rPr>
            </w:pPr>
            <w:r>
              <w:rPr>
                <w:sz w:val="20"/>
                <w:szCs w:val="20"/>
              </w:rPr>
              <w:t>11.3</w:t>
            </w:r>
          </w:p>
        </w:tc>
        <w:tc>
          <w:tcPr>
            <w:tcW w:w="650" w:type="pct"/>
            <w:tcBorders>
              <w:top w:val="single" w:sz="6" w:space="0" w:color="000000"/>
              <w:left w:val="single" w:sz="6" w:space="0" w:color="000000"/>
            </w:tcBorders>
            <w:shd w:val="clear" w:color="auto" w:fill="FFFFFF"/>
            <w:hideMark/>
          </w:tcPr>
          <w:p w14:paraId="7FE2EA1C" w14:textId="77777777" w:rsidR="00000000" w:rsidRDefault="0015578C">
            <w:pPr>
              <w:pStyle w:val="a3"/>
              <w:spacing w:before="0" w:beforeAutospacing="0" w:after="0" w:afterAutospacing="0"/>
              <w:jc w:val="center"/>
              <w:rPr>
                <w:sz w:val="20"/>
                <w:szCs w:val="20"/>
              </w:rPr>
            </w:pPr>
            <w:r>
              <w:rPr>
                <w:sz w:val="20"/>
                <w:szCs w:val="20"/>
              </w:rPr>
              <w:t>1.7</w:t>
            </w:r>
          </w:p>
        </w:tc>
        <w:tc>
          <w:tcPr>
            <w:tcW w:w="700" w:type="pct"/>
            <w:tcBorders>
              <w:top w:val="single" w:sz="6" w:space="0" w:color="000000"/>
              <w:left w:val="single" w:sz="6" w:space="0" w:color="000000"/>
            </w:tcBorders>
            <w:shd w:val="clear" w:color="auto" w:fill="FFFFFF"/>
            <w:hideMark/>
          </w:tcPr>
          <w:p w14:paraId="3F3C3220" w14:textId="77777777" w:rsidR="00000000" w:rsidRDefault="0015578C">
            <w:pPr>
              <w:pStyle w:val="a3"/>
              <w:spacing w:before="0" w:beforeAutospacing="0" w:after="0" w:afterAutospacing="0"/>
              <w:jc w:val="center"/>
              <w:rPr>
                <w:sz w:val="20"/>
                <w:szCs w:val="20"/>
              </w:rPr>
            </w:pPr>
            <w:r>
              <w:rPr>
                <w:sz w:val="20"/>
                <w:szCs w:val="20"/>
              </w:rPr>
              <w:t>14.5</w:t>
            </w:r>
          </w:p>
        </w:tc>
        <w:tc>
          <w:tcPr>
            <w:tcW w:w="700" w:type="pct"/>
            <w:tcBorders>
              <w:top w:val="single" w:sz="6" w:space="0" w:color="000000"/>
              <w:left w:val="single" w:sz="6" w:space="0" w:color="000000"/>
            </w:tcBorders>
            <w:shd w:val="clear" w:color="auto" w:fill="FFFFFF"/>
            <w:hideMark/>
          </w:tcPr>
          <w:p w14:paraId="035BDC81" w14:textId="77777777" w:rsidR="00000000" w:rsidRDefault="0015578C">
            <w:pPr>
              <w:pStyle w:val="a3"/>
              <w:spacing w:before="0" w:beforeAutospacing="0" w:after="0" w:afterAutospacing="0"/>
              <w:jc w:val="center"/>
              <w:rPr>
                <w:sz w:val="20"/>
                <w:szCs w:val="20"/>
              </w:rPr>
            </w:pPr>
            <w:r>
              <w:rPr>
                <w:sz w:val="20"/>
                <w:szCs w:val="20"/>
              </w:rPr>
              <w:t>13.1</w:t>
            </w:r>
          </w:p>
        </w:tc>
      </w:tr>
      <w:tr w:rsidR="00000000" w14:paraId="3F39B365"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51BA4548" w14:textId="77777777" w:rsidR="00000000" w:rsidRDefault="0015578C">
            <w:pPr>
              <w:pStyle w:val="a3"/>
              <w:spacing w:before="0" w:beforeAutospacing="0" w:after="0" w:afterAutospacing="0"/>
              <w:jc w:val="center"/>
              <w:rPr>
                <w:sz w:val="20"/>
                <w:szCs w:val="20"/>
              </w:rPr>
            </w:pPr>
            <w:r>
              <w:rPr>
                <w:sz w:val="20"/>
                <w:szCs w:val="20"/>
              </w:rPr>
              <w:t>PEBGD-32</w:t>
            </w:r>
          </w:p>
        </w:tc>
        <w:tc>
          <w:tcPr>
            <w:tcW w:w="100" w:type="pct"/>
            <w:tcBorders>
              <w:top w:val="single" w:sz="6" w:space="0" w:color="000000"/>
              <w:left w:val="single" w:sz="6" w:space="0" w:color="000000"/>
            </w:tcBorders>
            <w:shd w:val="clear" w:color="auto" w:fill="CCEEFF"/>
            <w:vAlign w:val="center"/>
            <w:hideMark/>
          </w:tcPr>
          <w:p w14:paraId="7200C447"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2276D1EE" w14:textId="77777777" w:rsidR="00000000" w:rsidRDefault="0015578C">
            <w:pPr>
              <w:pStyle w:val="a3"/>
              <w:spacing w:before="0" w:beforeAutospacing="0" w:after="0" w:afterAutospacing="0"/>
              <w:jc w:val="center"/>
              <w:rPr>
                <w:sz w:val="20"/>
                <w:szCs w:val="20"/>
              </w:rPr>
            </w:pPr>
            <w:r>
              <w:rPr>
                <w:sz w:val="20"/>
                <w:szCs w:val="20"/>
              </w:rPr>
              <w:t>9.3</w:t>
            </w:r>
          </w:p>
        </w:tc>
        <w:tc>
          <w:tcPr>
            <w:tcW w:w="650" w:type="pct"/>
            <w:tcBorders>
              <w:top w:val="single" w:sz="6" w:space="0" w:color="000000"/>
              <w:left w:val="single" w:sz="6" w:space="0" w:color="000000"/>
            </w:tcBorders>
            <w:shd w:val="clear" w:color="auto" w:fill="CCEEFF"/>
            <w:hideMark/>
          </w:tcPr>
          <w:p w14:paraId="43604DEF" w14:textId="77777777" w:rsidR="00000000" w:rsidRDefault="0015578C">
            <w:pPr>
              <w:pStyle w:val="a3"/>
              <w:spacing w:before="0" w:beforeAutospacing="0" w:after="0" w:afterAutospacing="0"/>
              <w:jc w:val="center"/>
              <w:rPr>
                <w:sz w:val="20"/>
                <w:szCs w:val="20"/>
              </w:rPr>
            </w:pPr>
            <w:r>
              <w:rPr>
                <w:sz w:val="20"/>
                <w:szCs w:val="20"/>
              </w:rPr>
              <w:t>23.5</w:t>
            </w:r>
          </w:p>
        </w:tc>
        <w:tc>
          <w:tcPr>
            <w:tcW w:w="650" w:type="pct"/>
            <w:tcBorders>
              <w:top w:val="single" w:sz="6" w:space="0" w:color="000000"/>
              <w:left w:val="single" w:sz="6" w:space="0" w:color="000000"/>
            </w:tcBorders>
            <w:shd w:val="clear" w:color="auto" w:fill="CCEEFF"/>
            <w:hideMark/>
          </w:tcPr>
          <w:p w14:paraId="609AA5AF" w14:textId="77777777" w:rsidR="00000000" w:rsidRDefault="0015578C">
            <w:pPr>
              <w:pStyle w:val="a3"/>
              <w:spacing w:before="0" w:beforeAutospacing="0" w:after="0" w:afterAutospacing="0"/>
              <w:jc w:val="center"/>
              <w:rPr>
                <w:sz w:val="20"/>
                <w:szCs w:val="20"/>
              </w:rPr>
            </w:pPr>
            <w:r>
              <w:rPr>
                <w:sz w:val="20"/>
                <w:szCs w:val="20"/>
              </w:rPr>
              <w:t>2.8</w:t>
            </w:r>
          </w:p>
        </w:tc>
        <w:tc>
          <w:tcPr>
            <w:tcW w:w="700" w:type="pct"/>
            <w:tcBorders>
              <w:top w:val="single" w:sz="6" w:space="0" w:color="000000"/>
              <w:left w:val="single" w:sz="6" w:space="0" w:color="000000"/>
            </w:tcBorders>
            <w:shd w:val="clear" w:color="auto" w:fill="CCEEFF"/>
            <w:hideMark/>
          </w:tcPr>
          <w:p w14:paraId="27D31EF1" w14:textId="77777777" w:rsidR="00000000" w:rsidRDefault="0015578C">
            <w:pPr>
              <w:pStyle w:val="a3"/>
              <w:spacing w:before="0" w:beforeAutospacing="0" w:after="0" w:afterAutospacing="0"/>
              <w:jc w:val="center"/>
              <w:rPr>
                <w:sz w:val="20"/>
                <w:szCs w:val="20"/>
              </w:rPr>
            </w:pPr>
            <w:r>
              <w:rPr>
                <w:sz w:val="20"/>
                <w:szCs w:val="20"/>
              </w:rPr>
              <w:t>18.1</w:t>
            </w:r>
          </w:p>
        </w:tc>
        <w:tc>
          <w:tcPr>
            <w:tcW w:w="700" w:type="pct"/>
            <w:tcBorders>
              <w:top w:val="single" w:sz="6" w:space="0" w:color="000000"/>
              <w:left w:val="single" w:sz="6" w:space="0" w:color="000000"/>
            </w:tcBorders>
            <w:shd w:val="clear" w:color="auto" w:fill="CCEEFF"/>
            <w:hideMark/>
          </w:tcPr>
          <w:p w14:paraId="6956BA65" w14:textId="77777777" w:rsidR="00000000" w:rsidRDefault="0015578C">
            <w:pPr>
              <w:pStyle w:val="a3"/>
              <w:spacing w:before="0" w:beforeAutospacing="0" w:after="0" w:afterAutospacing="0"/>
              <w:jc w:val="center"/>
              <w:rPr>
                <w:sz w:val="20"/>
                <w:szCs w:val="20"/>
              </w:rPr>
            </w:pPr>
            <w:r>
              <w:rPr>
                <w:sz w:val="20"/>
                <w:szCs w:val="20"/>
              </w:rPr>
              <w:t>26.5</w:t>
            </w:r>
          </w:p>
        </w:tc>
      </w:tr>
      <w:tr w:rsidR="00000000" w14:paraId="75DEA044"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23A40974" w14:textId="77777777" w:rsidR="00000000" w:rsidRDefault="0015578C">
            <w:pPr>
              <w:pStyle w:val="a3"/>
              <w:spacing w:before="0" w:beforeAutospacing="0" w:after="0" w:afterAutospacing="0"/>
              <w:jc w:val="center"/>
              <w:rPr>
                <w:sz w:val="20"/>
                <w:szCs w:val="20"/>
              </w:rPr>
            </w:pPr>
            <w:r>
              <w:rPr>
                <w:sz w:val="20"/>
                <w:szCs w:val="20"/>
              </w:rPr>
              <w:t>PEBGD-33</w:t>
            </w:r>
          </w:p>
        </w:tc>
        <w:tc>
          <w:tcPr>
            <w:tcW w:w="100" w:type="pct"/>
            <w:tcBorders>
              <w:top w:val="single" w:sz="6" w:space="0" w:color="000000"/>
              <w:left w:val="single" w:sz="6" w:space="0" w:color="000000"/>
            </w:tcBorders>
            <w:shd w:val="clear" w:color="auto" w:fill="FFFFFF"/>
            <w:vAlign w:val="center"/>
            <w:hideMark/>
          </w:tcPr>
          <w:p w14:paraId="670B5FDC"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3A696805" w14:textId="77777777" w:rsidR="00000000" w:rsidRDefault="0015578C">
            <w:pPr>
              <w:pStyle w:val="a3"/>
              <w:spacing w:before="0" w:beforeAutospacing="0" w:after="0" w:afterAutospacing="0"/>
              <w:jc w:val="center"/>
              <w:rPr>
                <w:sz w:val="20"/>
                <w:szCs w:val="20"/>
              </w:rPr>
            </w:pPr>
            <w:r>
              <w:rPr>
                <w:sz w:val="20"/>
                <w:szCs w:val="20"/>
              </w:rPr>
              <w:t>9.9</w:t>
            </w:r>
          </w:p>
        </w:tc>
        <w:tc>
          <w:tcPr>
            <w:tcW w:w="650" w:type="pct"/>
            <w:tcBorders>
              <w:top w:val="single" w:sz="6" w:space="0" w:color="000000"/>
              <w:left w:val="single" w:sz="6" w:space="0" w:color="000000"/>
            </w:tcBorders>
            <w:shd w:val="clear" w:color="auto" w:fill="FFFFFF"/>
            <w:hideMark/>
          </w:tcPr>
          <w:p w14:paraId="78C84D46" w14:textId="77777777" w:rsidR="00000000" w:rsidRDefault="0015578C">
            <w:pPr>
              <w:pStyle w:val="a3"/>
              <w:spacing w:before="0" w:beforeAutospacing="0" w:after="0" w:afterAutospacing="0"/>
              <w:jc w:val="center"/>
              <w:rPr>
                <w:sz w:val="20"/>
                <w:szCs w:val="20"/>
              </w:rPr>
            </w:pPr>
            <w:r>
              <w:rPr>
                <w:sz w:val="20"/>
                <w:szCs w:val="20"/>
              </w:rPr>
              <w:t>5.9</w:t>
            </w:r>
          </w:p>
        </w:tc>
        <w:tc>
          <w:tcPr>
            <w:tcW w:w="650" w:type="pct"/>
            <w:tcBorders>
              <w:top w:val="single" w:sz="6" w:space="0" w:color="000000"/>
              <w:left w:val="single" w:sz="6" w:space="0" w:color="000000"/>
            </w:tcBorders>
            <w:shd w:val="clear" w:color="auto" w:fill="FFFFFF"/>
            <w:hideMark/>
          </w:tcPr>
          <w:p w14:paraId="37495EE1" w14:textId="77777777" w:rsidR="00000000" w:rsidRDefault="0015578C">
            <w:pPr>
              <w:pStyle w:val="a3"/>
              <w:spacing w:before="0" w:beforeAutospacing="0" w:after="0" w:afterAutospacing="0"/>
              <w:jc w:val="center"/>
              <w:rPr>
                <w:sz w:val="20"/>
                <w:szCs w:val="20"/>
              </w:rPr>
            </w:pPr>
            <w:r>
              <w:rPr>
                <w:sz w:val="20"/>
                <w:szCs w:val="20"/>
              </w:rPr>
              <w:t>1.6</w:t>
            </w:r>
          </w:p>
        </w:tc>
        <w:tc>
          <w:tcPr>
            <w:tcW w:w="700" w:type="pct"/>
            <w:tcBorders>
              <w:top w:val="single" w:sz="6" w:space="0" w:color="000000"/>
              <w:left w:val="single" w:sz="6" w:space="0" w:color="000000"/>
            </w:tcBorders>
            <w:shd w:val="clear" w:color="auto" w:fill="FFFFFF"/>
            <w:hideMark/>
          </w:tcPr>
          <w:p w14:paraId="14C9BFAC" w14:textId="77777777" w:rsidR="00000000" w:rsidRDefault="0015578C">
            <w:pPr>
              <w:pStyle w:val="a3"/>
              <w:spacing w:before="0" w:beforeAutospacing="0" w:after="0" w:afterAutospacing="0"/>
              <w:jc w:val="center"/>
              <w:rPr>
                <w:sz w:val="20"/>
                <w:szCs w:val="20"/>
              </w:rPr>
            </w:pPr>
            <w:r>
              <w:rPr>
                <w:sz w:val="20"/>
                <w:szCs w:val="20"/>
              </w:rPr>
              <w:t>12.9</w:t>
            </w:r>
          </w:p>
        </w:tc>
        <w:tc>
          <w:tcPr>
            <w:tcW w:w="700" w:type="pct"/>
            <w:tcBorders>
              <w:top w:val="single" w:sz="6" w:space="0" w:color="000000"/>
              <w:left w:val="single" w:sz="6" w:space="0" w:color="000000"/>
            </w:tcBorders>
            <w:shd w:val="clear" w:color="auto" w:fill="FFFFFF"/>
            <w:hideMark/>
          </w:tcPr>
          <w:p w14:paraId="1ACAEC79" w14:textId="77777777" w:rsidR="00000000" w:rsidRDefault="0015578C">
            <w:pPr>
              <w:pStyle w:val="a3"/>
              <w:spacing w:before="0" w:beforeAutospacing="0" w:after="0" w:afterAutospacing="0"/>
              <w:jc w:val="center"/>
              <w:rPr>
                <w:sz w:val="20"/>
                <w:szCs w:val="20"/>
              </w:rPr>
            </w:pPr>
            <w:r>
              <w:rPr>
                <w:sz w:val="20"/>
                <w:szCs w:val="20"/>
              </w:rPr>
              <w:t>7.7</w:t>
            </w:r>
          </w:p>
        </w:tc>
      </w:tr>
      <w:tr w:rsidR="00000000" w14:paraId="7A90E21B"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78B74763" w14:textId="77777777" w:rsidR="00000000" w:rsidRDefault="0015578C">
            <w:pPr>
              <w:pStyle w:val="a3"/>
              <w:spacing w:before="0" w:beforeAutospacing="0" w:after="0" w:afterAutospacing="0"/>
              <w:jc w:val="center"/>
              <w:rPr>
                <w:sz w:val="20"/>
                <w:szCs w:val="20"/>
              </w:rPr>
            </w:pPr>
            <w:r>
              <w:rPr>
                <w:sz w:val="20"/>
                <w:szCs w:val="20"/>
              </w:rPr>
              <w:t>PEBGD-36</w:t>
            </w:r>
          </w:p>
        </w:tc>
        <w:tc>
          <w:tcPr>
            <w:tcW w:w="100" w:type="pct"/>
            <w:tcBorders>
              <w:top w:val="single" w:sz="6" w:space="0" w:color="000000"/>
              <w:left w:val="single" w:sz="6" w:space="0" w:color="000000"/>
            </w:tcBorders>
            <w:shd w:val="clear" w:color="auto" w:fill="CCEEFF"/>
            <w:vAlign w:val="center"/>
            <w:hideMark/>
          </w:tcPr>
          <w:p w14:paraId="2A3A9661"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24A7D2FE" w14:textId="77777777" w:rsidR="00000000" w:rsidRDefault="0015578C">
            <w:pPr>
              <w:pStyle w:val="a3"/>
              <w:spacing w:before="0" w:beforeAutospacing="0" w:after="0" w:afterAutospacing="0"/>
              <w:jc w:val="center"/>
              <w:rPr>
                <w:sz w:val="20"/>
                <w:szCs w:val="20"/>
              </w:rPr>
            </w:pPr>
            <w:r>
              <w:rPr>
                <w:sz w:val="20"/>
                <w:szCs w:val="20"/>
              </w:rPr>
              <w:t>6.1</w:t>
            </w:r>
          </w:p>
        </w:tc>
        <w:tc>
          <w:tcPr>
            <w:tcW w:w="650" w:type="pct"/>
            <w:tcBorders>
              <w:top w:val="single" w:sz="6" w:space="0" w:color="000000"/>
              <w:left w:val="single" w:sz="6" w:space="0" w:color="000000"/>
            </w:tcBorders>
            <w:shd w:val="clear" w:color="auto" w:fill="CCEEFF"/>
            <w:hideMark/>
          </w:tcPr>
          <w:p w14:paraId="55562640" w14:textId="77777777" w:rsidR="00000000" w:rsidRDefault="0015578C">
            <w:pPr>
              <w:pStyle w:val="a3"/>
              <w:spacing w:before="0" w:beforeAutospacing="0" w:after="0" w:afterAutospacing="0"/>
              <w:jc w:val="center"/>
              <w:rPr>
                <w:sz w:val="20"/>
                <w:szCs w:val="20"/>
              </w:rPr>
            </w:pPr>
            <w:r>
              <w:rPr>
                <w:sz w:val="20"/>
                <w:szCs w:val="20"/>
              </w:rPr>
              <w:t>20.1</w:t>
            </w:r>
          </w:p>
        </w:tc>
        <w:tc>
          <w:tcPr>
            <w:tcW w:w="650" w:type="pct"/>
            <w:tcBorders>
              <w:top w:val="single" w:sz="6" w:space="0" w:color="000000"/>
              <w:left w:val="single" w:sz="6" w:space="0" w:color="000000"/>
            </w:tcBorders>
            <w:shd w:val="clear" w:color="auto" w:fill="CCEEFF"/>
            <w:hideMark/>
          </w:tcPr>
          <w:p w14:paraId="65064621" w14:textId="77777777" w:rsidR="00000000" w:rsidRDefault="0015578C">
            <w:pPr>
              <w:pStyle w:val="a3"/>
              <w:spacing w:before="0" w:beforeAutospacing="0" w:after="0" w:afterAutospacing="0"/>
              <w:jc w:val="center"/>
              <w:rPr>
                <w:sz w:val="20"/>
                <w:szCs w:val="20"/>
              </w:rPr>
            </w:pPr>
            <w:r>
              <w:rPr>
                <w:sz w:val="20"/>
                <w:szCs w:val="20"/>
              </w:rPr>
              <w:t>5.6</w:t>
            </w:r>
          </w:p>
        </w:tc>
        <w:tc>
          <w:tcPr>
            <w:tcW w:w="700" w:type="pct"/>
            <w:tcBorders>
              <w:top w:val="single" w:sz="6" w:space="0" w:color="000000"/>
              <w:left w:val="single" w:sz="6" w:space="0" w:color="000000"/>
            </w:tcBorders>
            <w:shd w:val="clear" w:color="auto" w:fill="CCEEFF"/>
            <w:hideMark/>
          </w:tcPr>
          <w:p w14:paraId="3CBD5ADF" w14:textId="77777777" w:rsidR="00000000" w:rsidRDefault="0015578C">
            <w:pPr>
              <w:pStyle w:val="a3"/>
              <w:spacing w:before="0" w:beforeAutospacing="0" w:after="0" w:afterAutospacing="0"/>
              <w:jc w:val="center"/>
              <w:rPr>
                <w:sz w:val="20"/>
                <w:szCs w:val="20"/>
              </w:rPr>
            </w:pPr>
            <w:r>
              <w:rPr>
                <w:sz w:val="20"/>
                <w:szCs w:val="20"/>
              </w:rPr>
              <w:t>42.4</w:t>
            </w:r>
          </w:p>
        </w:tc>
        <w:tc>
          <w:tcPr>
            <w:tcW w:w="700" w:type="pct"/>
            <w:tcBorders>
              <w:top w:val="single" w:sz="6" w:space="0" w:color="000000"/>
              <w:left w:val="single" w:sz="6" w:space="0" w:color="000000"/>
            </w:tcBorders>
            <w:shd w:val="clear" w:color="auto" w:fill="CCEEFF"/>
            <w:hideMark/>
          </w:tcPr>
          <w:p w14:paraId="4753F2A8" w14:textId="77777777" w:rsidR="00000000" w:rsidRDefault="0015578C">
            <w:pPr>
              <w:pStyle w:val="a3"/>
              <w:spacing w:before="0" w:beforeAutospacing="0" w:after="0" w:afterAutospacing="0"/>
              <w:jc w:val="center"/>
              <w:rPr>
                <w:sz w:val="20"/>
                <w:szCs w:val="20"/>
              </w:rPr>
            </w:pPr>
            <w:r>
              <w:rPr>
                <w:sz w:val="20"/>
                <w:szCs w:val="20"/>
              </w:rPr>
              <w:t>25.6</w:t>
            </w:r>
          </w:p>
        </w:tc>
      </w:tr>
      <w:tr w:rsidR="00000000" w14:paraId="488D52A7"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233F262A" w14:textId="77777777" w:rsidR="00000000" w:rsidRDefault="0015578C">
            <w:pPr>
              <w:pStyle w:val="a3"/>
              <w:spacing w:before="0" w:beforeAutospacing="0" w:after="0" w:afterAutospacing="0"/>
              <w:jc w:val="center"/>
              <w:rPr>
                <w:sz w:val="20"/>
                <w:szCs w:val="20"/>
              </w:rPr>
            </w:pPr>
            <w:r>
              <w:rPr>
                <w:sz w:val="20"/>
                <w:szCs w:val="20"/>
              </w:rPr>
              <w:t>And</w:t>
            </w:r>
          </w:p>
        </w:tc>
        <w:tc>
          <w:tcPr>
            <w:tcW w:w="100" w:type="pct"/>
            <w:tcBorders>
              <w:top w:val="single" w:sz="6" w:space="0" w:color="000000"/>
              <w:left w:val="single" w:sz="6" w:space="0" w:color="000000"/>
            </w:tcBorders>
            <w:shd w:val="clear" w:color="auto" w:fill="FFFFFF"/>
            <w:vAlign w:val="center"/>
            <w:hideMark/>
          </w:tcPr>
          <w:p w14:paraId="48A7D294"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69464FE1" w14:textId="77777777" w:rsidR="00000000" w:rsidRDefault="0015578C">
            <w:pPr>
              <w:pStyle w:val="a3"/>
              <w:spacing w:before="0" w:beforeAutospacing="0" w:after="0" w:afterAutospacing="0"/>
              <w:jc w:val="center"/>
              <w:rPr>
                <w:sz w:val="20"/>
                <w:szCs w:val="20"/>
              </w:rPr>
            </w:pPr>
            <w:r>
              <w:rPr>
                <w:sz w:val="20"/>
                <w:szCs w:val="20"/>
              </w:rPr>
              <w:t>1.8</w:t>
            </w:r>
          </w:p>
        </w:tc>
        <w:tc>
          <w:tcPr>
            <w:tcW w:w="650" w:type="pct"/>
            <w:tcBorders>
              <w:top w:val="single" w:sz="6" w:space="0" w:color="000000"/>
              <w:left w:val="single" w:sz="6" w:space="0" w:color="000000"/>
            </w:tcBorders>
            <w:shd w:val="clear" w:color="auto" w:fill="FFFFFF"/>
            <w:hideMark/>
          </w:tcPr>
          <w:p w14:paraId="49735BF4" w14:textId="77777777" w:rsidR="00000000" w:rsidRDefault="0015578C">
            <w:pPr>
              <w:pStyle w:val="a3"/>
              <w:spacing w:before="0" w:beforeAutospacing="0" w:after="0" w:afterAutospacing="0"/>
              <w:jc w:val="center"/>
              <w:rPr>
                <w:sz w:val="20"/>
                <w:szCs w:val="20"/>
              </w:rPr>
            </w:pPr>
            <w:r>
              <w:rPr>
                <w:sz w:val="20"/>
                <w:szCs w:val="20"/>
              </w:rPr>
              <w:t>35.2</w:t>
            </w:r>
          </w:p>
        </w:tc>
        <w:tc>
          <w:tcPr>
            <w:tcW w:w="650" w:type="pct"/>
            <w:tcBorders>
              <w:top w:val="single" w:sz="6" w:space="0" w:color="000000"/>
              <w:left w:val="single" w:sz="6" w:space="0" w:color="000000"/>
            </w:tcBorders>
            <w:shd w:val="clear" w:color="auto" w:fill="FFFFFF"/>
            <w:hideMark/>
          </w:tcPr>
          <w:p w14:paraId="699B8B16" w14:textId="77777777" w:rsidR="00000000" w:rsidRDefault="0015578C">
            <w:pPr>
              <w:pStyle w:val="a3"/>
              <w:spacing w:before="0" w:beforeAutospacing="0" w:after="0" w:afterAutospacing="0"/>
              <w:jc w:val="center"/>
              <w:rPr>
                <w:sz w:val="20"/>
                <w:szCs w:val="20"/>
              </w:rPr>
            </w:pPr>
            <w:r>
              <w:rPr>
                <w:sz w:val="20"/>
                <w:szCs w:val="20"/>
              </w:rPr>
              <w:t>0.5</w:t>
            </w:r>
          </w:p>
        </w:tc>
        <w:tc>
          <w:tcPr>
            <w:tcW w:w="700" w:type="pct"/>
            <w:tcBorders>
              <w:top w:val="single" w:sz="6" w:space="0" w:color="000000"/>
              <w:left w:val="single" w:sz="6" w:space="0" w:color="000000"/>
            </w:tcBorders>
            <w:shd w:val="clear" w:color="auto" w:fill="FFFFFF"/>
            <w:hideMark/>
          </w:tcPr>
          <w:p w14:paraId="0F33B6F8" w14:textId="77777777" w:rsidR="00000000" w:rsidRDefault="0015578C">
            <w:pPr>
              <w:pStyle w:val="a3"/>
              <w:spacing w:before="0" w:beforeAutospacing="0" w:after="0" w:afterAutospacing="0"/>
              <w:jc w:val="center"/>
              <w:rPr>
                <w:sz w:val="20"/>
                <w:szCs w:val="20"/>
              </w:rPr>
            </w:pPr>
            <w:r>
              <w:rPr>
                <w:sz w:val="20"/>
                <w:szCs w:val="20"/>
              </w:rPr>
              <w:t>69.7</w:t>
            </w:r>
          </w:p>
        </w:tc>
        <w:tc>
          <w:tcPr>
            <w:tcW w:w="700" w:type="pct"/>
            <w:tcBorders>
              <w:top w:val="single" w:sz="6" w:space="0" w:color="000000"/>
              <w:left w:val="single" w:sz="6" w:space="0" w:color="000000"/>
            </w:tcBorders>
            <w:shd w:val="clear" w:color="auto" w:fill="FFFFFF"/>
            <w:hideMark/>
          </w:tcPr>
          <w:p w14:paraId="4DFEF1C1" w14:textId="77777777" w:rsidR="00000000" w:rsidRDefault="0015578C">
            <w:pPr>
              <w:pStyle w:val="a3"/>
              <w:spacing w:before="0" w:beforeAutospacing="0" w:after="0" w:afterAutospacing="0"/>
              <w:jc w:val="center"/>
              <w:rPr>
                <w:sz w:val="20"/>
                <w:szCs w:val="20"/>
              </w:rPr>
            </w:pPr>
            <w:r>
              <w:rPr>
                <w:sz w:val="20"/>
                <w:szCs w:val="20"/>
              </w:rPr>
              <w:t>37.1</w:t>
            </w:r>
          </w:p>
        </w:tc>
      </w:tr>
      <w:tr w:rsidR="00000000" w14:paraId="16B63B56" w14:textId="77777777">
        <w:trPr>
          <w:trHeight w:val="225"/>
          <w:tblCellSpacing w:w="15" w:type="dxa"/>
        </w:trPr>
        <w:tc>
          <w:tcPr>
            <w:tcW w:w="650" w:type="pct"/>
            <w:tcBorders>
              <w:top w:val="single" w:sz="6" w:space="0" w:color="000000"/>
              <w:left w:val="single" w:sz="6" w:space="0" w:color="000000"/>
            </w:tcBorders>
            <w:shd w:val="clear" w:color="auto" w:fill="CCEEFF"/>
            <w:hideMark/>
          </w:tcPr>
          <w:p w14:paraId="70A8ACD4" w14:textId="77777777" w:rsidR="00000000" w:rsidRDefault="0015578C">
            <w:pPr>
              <w:pStyle w:val="a3"/>
              <w:spacing w:before="0" w:beforeAutospacing="0" w:after="0" w:afterAutospacing="0"/>
              <w:jc w:val="center"/>
              <w:rPr>
                <w:sz w:val="20"/>
                <w:szCs w:val="20"/>
              </w:rPr>
            </w:pPr>
            <w:r>
              <w:rPr>
                <w:sz w:val="20"/>
                <w:szCs w:val="20"/>
              </w:rPr>
              <w:t>PEBGD-38</w:t>
            </w:r>
          </w:p>
        </w:tc>
        <w:tc>
          <w:tcPr>
            <w:tcW w:w="100" w:type="pct"/>
            <w:tcBorders>
              <w:top w:val="single" w:sz="6" w:space="0" w:color="000000"/>
              <w:left w:val="single" w:sz="6" w:space="0" w:color="000000"/>
            </w:tcBorders>
            <w:shd w:val="clear" w:color="auto" w:fill="CCEEFF"/>
            <w:vAlign w:val="center"/>
            <w:hideMark/>
          </w:tcPr>
          <w:p w14:paraId="11FB2AE4"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14:paraId="6BA939A1" w14:textId="77777777" w:rsidR="00000000" w:rsidRDefault="0015578C">
            <w:pPr>
              <w:pStyle w:val="a3"/>
              <w:spacing w:before="0" w:beforeAutospacing="0" w:after="0" w:afterAutospacing="0"/>
              <w:jc w:val="center"/>
              <w:rPr>
                <w:sz w:val="20"/>
                <w:szCs w:val="20"/>
              </w:rPr>
            </w:pPr>
            <w:r>
              <w:rPr>
                <w:sz w:val="20"/>
                <w:szCs w:val="20"/>
              </w:rPr>
              <w:t>9.7</w:t>
            </w:r>
          </w:p>
        </w:tc>
        <w:tc>
          <w:tcPr>
            <w:tcW w:w="650" w:type="pct"/>
            <w:tcBorders>
              <w:top w:val="single" w:sz="6" w:space="0" w:color="000000"/>
              <w:left w:val="single" w:sz="6" w:space="0" w:color="000000"/>
            </w:tcBorders>
            <w:shd w:val="clear" w:color="auto" w:fill="CCEEFF"/>
            <w:hideMark/>
          </w:tcPr>
          <w:p w14:paraId="5614B64B" w14:textId="77777777" w:rsidR="00000000" w:rsidRDefault="0015578C">
            <w:pPr>
              <w:pStyle w:val="a3"/>
              <w:spacing w:before="0" w:beforeAutospacing="0" w:after="0" w:afterAutospacing="0"/>
              <w:jc w:val="center"/>
              <w:rPr>
                <w:sz w:val="20"/>
                <w:szCs w:val="20"/>
              </w:rPr>
            </w:pPr>
            <w:r>
              <w:rPr>
                <w:sz w:val="20"/>
                <w:szCs w:val="20"/>
              </w:rPr>
              <w:t>22.8</w:t>
            </w:r>
          </w:p>
        </w:tc>
        <w:tc>
          <w:tcPr>
            <w:tcW w:w="650" w:type="pct"/>
            <w:tcBorders>
              <w:top w:val="single" w:sz="6" w:space="0" w:color="000000"/>
              <w:left w:val="single" w:sz="6" w:space="0" w:color="000000"/>
            </w:tcBorders>
            <w:shd w:val="clear" w:color="auto" w:fill="CCEEFF"/>
            <w:hideMark/>
          </w:tcPr>
          <w:p w14:paraId="73A24F28" w14:textId="77777777" w:rsidR="00000000" w:rsidRDefault="0015578C">
            <w:pPr>
              <w:pStyle w:val="a3"/>
              <w:spacing w:before="0" w:beforeAutospacing="0" w:after="0" w:afterAutospacing="0"/>
              <w:jc w:val="center"/>
              <w:rPr>
                <w:sz w:val="20"/>
                <w:szCs w:val="20"/>
              </w:rPr>
            </w:pPr>
            <w:r>
              <w:rPr>
                <w:sz w:val="20"/>
                <w:szCs w:val="20"/>
              </w:rPr>
              <w:t>0.2</w:t>
            </w:r>
          </w:p>
        </w:tc>
        <w:tc>
          <w:tcPr>
            <w:tcW w:w="700" w:type="pct"/>
            <w:tcBorders>
              <w:top w:val="single" w:sz="6" w:space="0" w:color="000000"/>
              <w:left w:val="single" w:sz="6" w:space="0" w:color="000000"/>
            </w:tcBorders>
            <w:shd w:val="clear" w:color="auto" w:fill="CCEEFF"/>
            <w:hideMark/>
          </w:tcPr>
          <w:p w14:paraId="34C3B1A9" w14:textId="77777777" w:rsidR="00000000" w:rsidRDefault="0015578C">
            <w:pPr>
              <w:pStyle w:val="a3"/>
              <w:spacing w:before="0" w:beforeAutospacing="0" w:after="0" w:afterAutospacing="0"/>
              <w:jc w:val="center"/>
              <w:rPr>
                <w:sz w:val="20"/>
                <w:szCs w:val="20"/>
              </w:rPr>
            </w:pPr>
            <w:r>
              <w:rPr>
                <w:sz w:val="20"/>
                <w:szCs w:val="20"/>
              </w:rPr>
              <w:t>11.8</w:t>
            </w:r>
          </w:p>
        </w:tc>
        <w:tc>
          <w:tcPr>
            <w:tcW w:w="700" w:type="pct"/>
            <w:tcBorders>
              <w:top w:val="single" w:sz="6" w:space="0" w:color="000000"/>
              <w:left w:val="single" w:sz="6" w:space="0" w:color="000000"/>
            </w:tcBorders>
            <w:shd w:val="clear" w:color="auto" w:fill="CCEEFF"/>
            <w:hideMark/>
          </w:tcPr>
          <w:p w14:paraId="52836B3F" w14:textId="77777777" w:rsidR="00000000" w:rsidRDefault="0015578C">
            <w:pPr>
              <w:pStyle w:val="a3"/>
              <w:spacing w:before="0" w:beforeAutospacing="0" w:after="0" w:afterAutospacing="0"/>
              <w:jc w:val="center"/>
              <w:rPr>
                <w:sz w:val="20"/>
                <w:szCs w:val="20"/>
              </w:rPr>
            </w:pPr>
            <w:r>
              <w:rPr>
                <w:sz w:val="20"/>
                <w:szCs w:val="20"/>
              </w:rPr>
              <w:t>23.2</w:t>
            </w:r>
          </w:p>
        </w:tc>
      </w:tr>
      <w:tr w:rsidR="00000000" w14:paraId="4EC0E4E4" w14:textId="77777777">
        <w:trPr>
          <w:trHeight w:val="225"/>
          <w:tblCellSpacing w:w="15" w:type="dxa"/>
        </w:trPr>
        <w:tc>
          <w:tcPr>
            <w:tcW w:w="650" w:type="pct"/>
            <w:tcBorders>
              <w:top w:val="single" w:sz="6" w:space="0" w:color="000000"/>
              <w:left w:val="single" w:sz="6" w:space="0" w:color="000000"/>
            </w:tcBorders>
            <w:shd w:val="clear" w:color="auto" w:fill="FFFFFF"/>
            <w:hideMark/>
          </w:tcPr>
          <w:p w14:paraId="680F17D9" w14:textId="77777777" w:rsidR="00000000" w:rsidRDefault="0015578C">
            <w:pPr>
              <w:pStyle w:val="a3"/>
              <w:spacing w:before="0" w:beforeAutospacing="0" w:after="0" w:afterAutospacing="0"/>
              <w:jc w:val="center"/>
              <w:rPr>
                <w:sz w:val="20"/>
                <w:szCs w:val="20"/>
              </w:rPr>
            </w:pPr>
            <w:r>
              <w:rPr>
                <w:sz w:val="20"/>
                <w:szCs w:val="20"/>
              </w:rPr>
              <w:t>PEBGD-39</w:t>
            </w:r>
          </w:p>
        </w:tc>
        <w:tc>
          <w:tcPr>
            <w:tcW w:w="100" w:type="pct"/>
            <w:tcBorders>
              <w:top w:val="single" w:sz="6" w:space="0" w:color="000000"/>
              <w:left w:val="single" w:sz="6" w:space="0" w:color="000000"/>
            </w:tcBorders>
            <w:shd w:val="clear" w:color="auto" w:fill="FFFFFF"/>
            <w:vAlign w:val="center"/>
            <w:hideMark/>
          </w:tcPr>
          <w:p w14:paraId="2612D638" w14:textId="77777777" w:rsidR="00000000" w:rsidRDefault="0015578C">
            <w:pPr>
              <w:pStyle w:val="a3"/>
              <w:spacing w:before="0" w:beforeAutospacing="0" w:after="0" w:afterAutospacing="0"/>
              <w:jc w:val="center"/>
              <w:rPr>
                <w:sz w:val="20"/>
                <w:szCs w:val="20"/>
              </w:rPr>
            </w:pPr>
            <w:r>
              <w:rPr>
                <w:sz w:val="20"/>
                <w:szCs w:val="20"/>
              </w:rPr>
              <w:t> </w:t>
            </w:r>
          </w:p>
        </w:tc>
        <w:tc>
          <w:tcPr>
            <w:tcW w:w="550" w:type="pct"/>
            <w:tcBorders>
              <w:top w:val="single" w:sz="6" w:space="0" w:color="000000"/>
              <w:left w:val="single" w:sz="6" w:space="0" w:color="000000"/>
            </w:tcBorders>
            <w:shd w:val="clear" w:color="auto" w:fill="FFFFFF"/>
            <w:hideMark/>
          </w:tcPr>
          <w:p w14:paraId="3BB0FBE2" w14:textId="77777777" w:rsidR="00000000" w:rsidRDefault="0015578C">
            <w:pPr>
              <w:pStyle w:val="a3"/>
              <w:spacing w:before="0" w:beforeAutospacing="0" w:after="0" w:afterAutospacing="0"/>
              <w:jc w:val="center"/>
              <w:rPr>
                <w:sz w:val="20"/>
                <w:szCs w:val="20"/>
              </w:rPr>
            </w:pPr>
            <w:r>
              <w:rPr>
                <w:sz w:val="20"/>
                <w:szCs w:val="20"/>
              </w:rPr>
              <w:t>3.3</w:t>
            </w:r>
          </w:p>
        </w:tc>
        <w:tc>
          <w:tcPr>
            <w:tcW w:w="650" w:type="pct"/>
            <w:tcBorders>
              <w:top w:val="single" w:sz="6" w:space="0" w:color="000000"/>
              <w:left w:val="single" w:sz="6" w:space="0" w:color="000000"/>
            </w:tcBorders>
            <w:shd w:val="clear" w:color="auto" w:fill="FFFFFF"/>
            <w:hideMark/>
          </w:tcPr>
          <w:p w14:paraId="0FBBE944" w14:textId="77777777" w:rsidR="00000000" w:rsidRDefault="0015578C">
            <w:pPr>
              <w:pStyle w:val="a3"/>
              <w:spacing w:before="0" w:beforeAutospacing="0" w:after="0" w:afterAutospacing="0"/>
              <w:jc w:val="center"/>
              <w:rPr>
                <w:sz w:val="20"/>
                <w:szCs w:val="20"/>
              </w:rPr>
            </w:pPr>
            <w:r>
              <w:rPr>
                <w:sz w:val="20"/>
                <w:szCs w:val="20"/>
              </w:rPr>
              <w:t>37.7</w:t>
            </w:r>
          </w:p>
        </w:tc>
        <w:tc>
          <w:tcPr>
            <w:tcW w:w="650" w:type="pct"/>
            <w:tcBorders>
              <w:top w:val="single" w:sz="6" w:space="0" w:color="000000"/>
              <w:left w:val="single" w:sz="6" w:space="0" w:color="000000"/>
            </w:tcBorders>
            <w:shd w:val="clear" w:color="auto" w:fill="FFFFFF"/>
            <w:hideMark/>
          </w:tcPr>
          <w:p w14:paraId="36F09937" w14:textId="77777777" w:rsidR="00000000" w:rsidRDefault="0015578C">
            <w:pPr>
              <w:pStyle w:val="a3"/>
              <w:spacing w:before="0" w:beforeAutospacing="0" w:after="0" w:afterAutospacing="0"/>
              <w:jc w:val="center"/>
              <w:rPr>
                <w:sz w:val="20"/>
                <w:szCs w:val="20"/>
              </w:rPr>
            </w:pPr>
            <w:r>
              <w:rPr>
                <w:sz w:val="20"/>
                <w:szCs w:val="20"/>
              </w:rPr>
              <w:t>9.6</w:t>
            </w:r>
          </w:p>
        </w:tc>
        <w:tc>
          <w:tcPr>
            <w:tcW w:w="700" w:type="pct"/>
            <w:tcBorders>
              <w:top w:val="single" w:sz="6" w:space="0" w:color="000000"/>
              <w:left w:val="single" w:sz="6" w:space="0" w:color="000000"/>
            </w:tcBorders>
            <w:shd w:val="clear" w:color="auto" w:fill="FFFFFF"/>
            <w:hideMark/>
          </w:tcPr>
          <w:p w14:paraId="47329FB5" w14:textId="77777777" w:rsidR="00000000" w:rsidRDefault="0015578C">
            <w:pPr>
              <w:pStyle w:val="a3"/>
              <w:spacing w:before="0" w:beforeAutospacing="0" w:after="0" w:afterAutospacing="0"/>
              <w:jc w:val="center"/>
              <w:rPr>
                <w:sz w:val="20"/>
                <w:szCs w:val="20"/>
              </w:rPr>
            </w:pPr>
            <w:r>
              <w:rPr>
                <w:sz w:val="20"/>
                <w:szCs w:val="20"/>
              </w:rPr>
              <w:t>65.5</w:t>
            </w:r>
          </w:p>
        </w:tc>
        <w:tc>
          <w:tcPr>
            <w:tcW w:w="700" w:type="pct"/>
            <w:tcBorders>
              <w:top w:val="single" w:sz="6" w:space="0" w:color="000000"/>
              <w:left w:val="single" w:sz="6" w:space="0" w:color="000000"/>
            </w:tcBorders>
            <w:shd w:val="clear" w:color="auto" w:fill="FFFFFF"/>
            <w:hideMark/>
          </w:tcPr>
          <w:p w14:paraId="7C25BC97" w14:textId="77777777" w:rsidR="00000000" w:rsidRDefault="0015578C">
            <w:pPr>
              <w:pStyle w:val="a3"/>
              <w:spacing w:before="0" w:beforeAutospacing="0" w:after="0" w:afterAutospacing="0"/>
              <w:jc w:val="center"/>
              <w:rPr>
                <w:sz w:val="20"/>
                <w:szCs w:val="20"/>
              </w:rPr>
            </w:pPr>
            <w:r>
              <w:rPr>
                <w:sz w:val="20"/>
                <w:szCs w:val="20"/>
              </w:rPr>
              <w:t>47.1</w:t>
            </w:r>
          </w:p>
        </w:tc>
      </w:tr>
    </w:tbl>
    <w:p w14:paraId="5919D85E" w14:textId="77777777" w:rsidR="00000000" w:rsidRDefault="0015578C">
      <w:pPr>
        <w:pStyle w:val="a3"/>
        <w:spacing w:before="0" w:beforeAutospacing="0" w:after="0" w:afterAutospacing="0"/>
        <w:ind w:firstLine="720"/>
        <w:jc w:val="both"/>
        <w:rPr>
          <w:sz w:val="20"/>
          <w:szCs w:val="20"/>
        </w:rPr>
      </w:pPr>
      <w:r>
        <w:rPr>
          <w:sz w:val="20"/>
          <w:szCs w:val="20"/>
        </w:rPr>
        <w:t xml:space="preserve">  </w:t>
      </w:r>
    </w:p>
    <w:p w14:paraId="4F8E6A4F" w14:textId="77777777" w:rsidR="00000000" w:rsidRDefault="0015578C">
      <w:pPr>
        <w:pStyle w:val="a3"/>
        <w:spacing w:before="0" w:beforeAutospacing="0" w:after="0" w:afterAutospacing="0"/>
        <w:ind w:firstLine="720"/>
        <w:jc w:val="both"/>
        <w:rPr>
          <w:sz w:val="20"/>
          <w:szCs w:val="20"/>
        </w:rPr>
      </w:pPr>
      <w:r>
        <w:rPr>
          <w:sz w:val="20"/>
          <w:szCs w:val="20"/>
        </w:rPr>
        <w:t>*Zn-Eq was calculated using the following price assumptions: Zn=$1.10/lb., Pb=$0.91lb., Ag=$16.50/oz.</w:t>
      </w:r>
    </w:p>
    <w:p w14:paraId="25914293" w14:textId="77777777" w:rsidR="00000000" w:rsidRDefault="0015578C">
      <w:pPr>
        <w:pStyle w:val="a3"/>
        <w:spacing w:before="0" w:beforeAutospacing="0" w:after="0" w:afterAutospacing="0"/>
        <w:ind w:firstLine="720"/>
        <w:jc w:val="both"/>
        <w:rPr>
          <w:sz w:val="20"/>
          <w:szCs w:val="20"/>
        </w:rPr>
      </w:pPr>
      <w:r>
        <w:rPr>
          <w:sz w:val="20"/>
          <w:szCs w:val="20"/>
        </w:rPr>
        <w:t>Reported intervals are estimated to be at least 80% of the true thickness</w:t>
      </w:r>
    </w:p>
    <w:p w14:paraId="50B3CE21" w14:textId="77777777" w:rsidR="00000000" w:rsidRDefault="0015578C">
      <w:pPr>
        <w:pStyle w:val="a3"/>
        <w:spacing w:before="0" w:beforeAutospacing="0" w:after="0" w:afterAutospacing="0"/>
        <w:ind w:firstLine="720"/>
        <w:jc w:val="both"/>
        <w:rPr>
          <w:sz w:val="20"/>
          <w:szCs w:val="20"/>
        </w:rPr>
      </w:pPr>
      <w:r>
        <w:rPr>
          <w:sz w:val="20"/>
          <w:szCs w:val="20"/>
        </w:rPr>
        <w:t>Numbers in this table may not add exactly as numbers have been rounded to the ne</w:t>
      </w:r>
      <w:r>
        <w:rPr>
          <w:sz w:val="20"/>
          <w:szCs w:val="20"/>
        </w:rPr>
        <w:t>arest decimal</w:t>
      </w:r>
    </w:p>
    <w:p w14:paraId="1CF7A1D4" w14:textId="77777777" w:rsidR="00000000" w:rsidRDefault="0015578C">
      <w:pPr>
        <w:pStyle w:val="a3"/>
        <w:spacing w:before="0" w:beforeAutospacing="0" w:after="0" w:afterAutospacing="0"/>
        <w:jc w:val="both"/>
        <w:rPr>
          <w:sz w:val="20"/>
          <w:szCs w:val="20"/>
        </w:rPr>
      </w:pPr>
      <w:r>
        <w:rPr>
          <w:sz w:val="20"/>
          <w:szCs w:val="20"/>
        </w:rPr>
        <w:t> </w:t>
      </w:r>
    </w:p>
    <w:p w14:paraId="630813B0" w14:textId="77777777" w:rsidR="00000000" w:rsidRDefault="0015578C">
      <w:pPr>
        <w:pStyle w:val="a3"/>
        <w:spacing w:before="0" w:beforeAutospacing="0" w:after="0" w:afterAutospacing="0"/>
        <w:jc w:val="both"/>
        <w:rPr>
          <w:sz w:val="20"/>
          <w:szCs w:val="20"/>
        </w:rPr>
      </w:pPr>
      <w:r>
        <w:rPr>
          <w:sz w:val="20"/>
          <w:szCs w:val="20"/>
        </w:rPr>
        <w:t xml:space="preserve">8. </w:t>
      </w:r>
      <w:r>
        <w:rPr>
          <w:sz w:val="20"/>
          <w:szCs w:val="20"/>
          <w:u w:val="single"/>
        </w:rPr>
        <w:t>Sampling, Analysis and Security of Samples</w:t>
      </w:r>
    </w:p>
    <w:p w14:paraId="47E82054" w14:textId="77777777" w:rsidR="00000000" w:rsidRDefault="0015578C">
      <w:pPr>
        <w:pStyle w:val="a3"/>
        <w:spacing w:before="0" w:beforeAutospacing="0" w:after="0" w:afterAutospacing="0"/>
        <w:jc w:val="both"/>
        <w:rPr>
          <w:sz w:val="20"/>
          <w:szCs w:val="20"/>
        </w:rPr>
      </w:pPr>
      <w:r>
        <w:rPr>
          <w:sz w:val="20"/>
          <w:szCs w:val="20"/>
        </w:rPr>
        <w:t> </w:t>
      </w:r>
    </w:p>
    <w:p w14:paraId="2F2D04BE" w14:textId="77777777" w:rsidR="00000000" w:rsidRDefault="0015578C">
      <w:pPr>
        <w:pStyle w:val="a3"/>
        <w:spacing w:before="0" w:beforeAutospacing="0" w:after="0" w:afterAutospacing="0"/>
        <w:ind w:firstLine="675"/>
        <w:jc w:val="both"/>
        <w:rPr>
          <w:sz w:val="20"/>
          <w:szCs w:val="20"/>
        </w:rPr>
      </w:pPr>
      <w:r>
        <w:rPr>
          <w:sz w:val="20"/>
          <w:szCs w:val="20"/>
        </w:rPr>
        <w:t>Core recoveries were typically high within mineralized zones, but occasionally karst caves were encountered, and no core was recovered for intervals generally less than two meters.  Core sampl</w:t>
      </w:r>
      <w:r>
        <w:rPr>
          <w:sz w:val="20"/>
          <w:szCs w:val="20"/>
        </w:rPr>
        <w:t>es were transported from the drill by helicopter in sealed boxes to the processing facility in Shipasbamba.  The entire core obtained from each drill hole, usually NQ and HQ size, was logged on site at a core storage facility.  All of the core containing s</w:t>
      </w:r>
      <w:r>
        <w:rPr>
          <w:sz w:val="20"/>
          <w:szCs w:val="20"/>
        </w:rPr>
        <w:t xml:space="preserve">ulfide mineralization was cut using diamond saws and half of the core was sent for assay.   Intervals of the half-core taken for assay were selected according to geologic criteria under the supervision of the geologist in charge and shipped in sealed bags </w:t>
      </w:r>
      <w:r>
        <w:rPr>
          <w:sz w:val="20"/>
          <w:szCs w:val="20"/>
        </w:rPr>
        <w:t>by land.  Cominco used SGS Laboratories (“SGS”) and Nexa used ALS-Chemex, both in Lima, Peru, where all samples were analyzed by ICP (inductively coupled plasma).  Any samples that contained greater than 1% zinc were then analyzed by wet chemistry assay fo</w:t>
      </w:r>
      <w:r>
        <w:rPr>
          <w:sz w:val="20"/>
          <w:szCs w:val="20"/>
        </w:rPr>
        <w:t xml:space="preserve">r zinc and lead to provide a more accurate analysis of grade. </w:t>
      </w:r>
    </w:p>
    <w:p w14:paraId="6D1BB8C6" w14:textId="77777777" w:rsidR="00000000" w:rsidRDefault="0015578C">
      <w:pPr>
        <w:pStyle w:val="a3"/>
        <w:spacing w:before="0" w:beforeAutospacing="0" w:after="0" w:afterAutospacing="0"/>
        <w:ind w:firstLine="675"/>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6A21619" w14:textId="77777777">
        <w:trPr>
          <w:trHeight w:val="225"/>
          <w:tblCellSpacing w:w="15" w:type="dxa"/>
        </w:trPr>
        <w:tc>
          <w:tcPr>
            <w:tcW w:w="0" w:type="auto"/>
            <w:vAlign w:val="center"/>
            <w:hideMark/>
          </w:tcPr>
          <w:p w14:paraId="5B8C7645" w14:textId="77777777" w:rsidR="00000000" w:rsidRDefault="0015578C">
            <w:pPr>
              <w:rPr>
                <w:rFonts w:eastAsia="Times New Roman"/>
                <w:sz w:val="20"/>
                <w:szCs w:val="20"/>
              </w:rPr>
            </w:pPr>
            <w:r>
              <w:rPr>
                <w:rFonts w:eastAsia="Times New Roman"/>
                <w:sz w:val="20"/>
                <w:szCs w:val="20"/>
              </w:rPr>
              <w:t> </w:t>
            </w:r>
          </w:p>
        </w:tc>
      </w:tr>
      <w:tr w:rsidR="00000000" w14:paraId="61933E88" w14:textId="77777777">
        <w:trPr>
          <w:trHeight w:val="225"/>
          <w:tblCellSpacing w:w="15" w:type="dxa"/>
        </w:trPr>
        <w:tc>
          <w:tcPr>
            <w:tcW w:w="0" w:type="auto"/>
            <w:tcBorders>
              <w:bottom w:val="single" w:sz="6" w:space="0" w:color="000000"/>
            </w:tcBorders>
            <w:vAlign w:val="center"/>
            <w:hideMark/>
          </w:tcPr>
          <w:p w14:paraId="03369F8B" w14:textId="77777777" w:rsidR="00000000" w:rsidRDefault="0015578C">
            <w:pPr>
              <w:jc w:val="center"/>
              <w:rPr>
                <w:rFonts w:eastAsia="Times New Roman"/>
                <w:sz w:val="20"/>
                <w:szCs w:val="20"/>
              </w:rPr>
            </w:pPr>
            <w:r>
              <w:rPr>
                <w:rFonts w:eastAsia="Times New Roman"/>
                <w:sz w:val="20"/>
                <w:szCs w:val="20"/>
              </w:rPr>
              <w:t>24</w:t>
            </w:r>
          </w:p>
        </w:tc>
      </w:tr>
      <w:tr w:rsidR="00000000" w14:paraId="7BF2AC87" w14:textId="77777777">
        <w:trPr>
          <w:trHeight w:val="225"/>
          <w:tblCellSpacing w:w="15" w:type="dxa"/>
        </w:trPr>
        <w:tc>
          <w:tcPr>
            <w:tcW w:w="0" w:type="auto"/>
            <w:vAlign w:val="center"/>
            <w:hideMark/>
          </w:tcPr>
          <w:p w14:paraId="68D2D999" w14:textId="77777777" w:rsidR="00000000" w:rsidRDefault="0015578C">
            <w:pPr>
              <w:rPr>
                <w:rFonts w:eastAsia="Times New Roman"/>
                <w:sz w:val="20"/>
                <w:szCs w:val="20"/>
              </w:rPr>
            </w:pPr>
          </w:p>
        </w:tc>
      </w:tr>
      <w:tr w:rsidR="00000000" w14:paraId="3284083D" w14:textId="77777777">
        <w:trPr>
          <w:trHeight w:val="225"/>
          <w:tblCellSpacing w:w="15" w:type="dxa"/>
        </w:trPr>
        <w:tc>
          <w:tcPr>
            <w:tcW w:w="0" w:type="auto"/>
            <w:vAlign w:val="center"/>
            <w:hideMark/>
          </w:tcPr>
          <w:p w14:paraId="27D1B11A"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E3CE52E" w14:textId="77777777" w:rsidR="00000000" w:rsidRDefault="0015578C">
      <w:pPr>
        <w:pStyle w:val="a3"/>
        <w:spacing w:before="0" w:beforeAutospacing="0" w:after="0" w:afterAutospacing="0"/>
        <w:jc w:val="both"/>
        <w:rPr>
          <w:sz w:val="20"/>
          <w:szCs w:val="20"/>
        </w:rPr>
      </w:pPr>
      <w:r>
        <w:rPr>
          <w:sz w:val="20"/>
          <w:szCs w:val="20"/>
        </w:rPr>
        <w:t> </w:t>
      </w:r>
    </w:p>
    <w:p w14:paraId="5130C118" w14:textId="77777777" w:rsidR="00000000" w:rsidRDefault="0015578C">
      <w:pPr>
        <w:pStyle w:val="a3"/>
        <w:spacing w:before="0" w:beforeAutospacing="0" w:after="0" w:afterAutospacing="0"/>
        <w:ind w:firstLine="675"/>
        <w:jc w:val="both"/>
        <w:rPr>
          <w:sz w:val="20"/>
          <w:szCs w:val="20"/>
        </w:rPr>
      </w:pPr>
      <w:r>
        <w:rPr>
          <w:sz w:val="20"/>
          <w:szCs w:val="20"/>
        </w:rPr>
        <w:t>Since 2006</w:t>
      </w:r>
      <w:r>
        <w:rPr>
          <w:sz w:val="20"/>
          <w:szCs w:val="20"/>
        </w:rPr>
        <w:t xml:space="preserve">, Nexa has been in control of all field activities on the project and is responsible for the security of samples.  Nexa has indicated that there have been no breaches in the security of the samples.  We have reviewed, and periodically been assisted by SRK </w:t>
      </w:r>
      <w:r>
        <w:rPr>
          <w:sz w:val="20"/>
          <w:szCs w:val="20"/>
        </w:rPr>
        <w:t xml:space="preserve">Consulting (USA) Inc. (“SRK) and Gustavson Associates, both independent international mining engineering firms, to review Nexa’s sampling procedures and believe that adequate procedures are in place to ensure the future security and integrity of samples.  </w:t>
      </w:r>
      <w:r>
        <w:rPr>
          <w:sz w:val="20"/>
          <w:szCs w:val="20"/>
        </w:rPr>
        <w:t>No breaches of security of samples are known to have occurred prior to Nexa’s work on the project.</w:t>
      </w:r>
    </w:p>
    <w:p w14:paraId="566C9613" w14:textId="77777777" w:rsidR="00000000" w:rsidRDefault="0015578C">
      <w:pPr>
        <w:pStyle w:val="a3"/>
        <w:spacing w:before="0" w:beforeAutospacing="0" w:after="0" w:afterAutospacing="0"/>
        <w:jc w:val="both"/>
        <w:rPr>
          <w:sz w:val="20"/>
          <w:szCs w:val="20"/>
        </w:rPr>
      </w:pPr>
      <w:r>
        <w:rPr>
          <w:sz w:val="20"/>
          <w:szCs w:val="20"/>
        </w:rPr>
        <w:t> </w:t>
      </w:r>
    </w:p>
    <w:p w14:paraId="1EC6475F" w14:textId="77777777" w:rsidR="00000000" w:rsidRDefault="0015578C">
      <w:pPr>
        <w:pStyle w:val="a3"/>
        <w:spacing w:before="0" w:beforeAutospacing="0" w:after="0" w:afterAutospacing="0"/>
        <w:jc w:val="both"/>
        <w:rPr>
          <w:sz w:val="20"/>
          <w:szCs w:val="20"/>
        </w:rPr>
      </w:pPr>
      <w:r>
        <w:rPr>
          <w:sz w:val="20"/>
          <w:szCs w:val="20"/>
        </w:rPr>
        <w:t xml:space="preserve">9. </w:t>
      </w:r>
      <w:r>
        <w:rPr>
          <w:sz w:val="20"/>
          <w:szCs w:val="20"/>
          <w:u w:val="single"/>
        </w:rPr>
        <w:t>Prefeasibility Studies</w:t>
      </w:r>
    </w:p>
    <w:p w14:paraId="37ACD3A4" w14:textId="77777777" w:rsidR="00000000" w:rsidRDefault="0015578C">
      <w:pPr>
        <w:pStyle w:val="a3"/>
        <w:spacing w:before="0" w:beforeAutospacing="0" w:after="0" w:afterAutospacing="0"/>
        <w:jc w:val="both"/>
        <w:rPr>
          <w:sz w:val="20"/>
          <w:szCs w:val="20"/>
        </w:rPr>
      </w:pPr>
      <w:r>
        <w:rPr>
          <w:sz w:val="20"/>
          <w:szCs w:val="20"/>
        </w:rPr>
        <w:t> </w:t>
      </w:r>
    </w:p>
    <w:p w14:paraId="7C400308" w14:textId="77777777" w:rsidR="00000000" w:rsidRDefault="0015578C">
      <w:pPr>
        <w:pStyle w:val="a3"/>
        <w:spacing w:before="0" w:beforeAutospacing="0" w:after="0" w:afterAutospacing="0"/>
        <w:ind w:firstLine="675"/>
        <w:jc w:val="both"/>
        <w:rPr>
          <w:sz w:val="20"/>
          <w:szCs w:val="20"/>
        </w:rPr>
      </w:pPr>
      <w:r>
        <w:rPr>
          <w:sz w:val="20"/>
          <w:szCs w:val="20"/>
        </w:rPr>
        <w:t>Nexa, either through its engineering staff or contracted independent mining engineering firms, has conducted prefeasibility-lev</w:t>
      </w:r>
      <w:r>
        <w:rPr>
          <w:sz w:val="20"/>
          <w:szCs w:val="20"/>
        </w:rPr>
        <w:t>el studies to provide estimates of deposit size and grade, mining and processing recoveries, sizing of appropriate scale of operations, infrastructure design, and capital and operating cost estimates at a level of detail varying from preliminary economic a</w:t>
      </w:r>
      <w:r>
        <w:rPr>
          <w:sz w:val="20"/>
          <w:szCs w:val="20"/>
        </w:rPr>
        <w:t xml:space="preserve">ssessment to prefeasibility levels.  </w:t>
      </w:r>
    </w:p>
    <w:p w14:paraId="3EC13C8C" w14:textId="77777777" w:rsidR="00000000" w:rsidRDefault="0015578C">
      <w:pPr>
        <w:pStyle w:val="a3"/>
        <w:spacing w:before="0" w:beforeAutospacing="0" w:after="0" w:afterAutospacing="0"/>
        <w:ind w:firstLine="675"/>
        <w:jc w:val="both"/>
        <w:rPr>
          <w:sz w:val="20"/>
          <w:szCs w:val="20"/>
        </w:rPr>
      </w:pPr>
      <w:r>
        <w:rPr>
          <w:sz w:val="20"/>
          <w:szCs w:val="20"/>
        </w:rPr>
        <w:t> </w:t>
      </w:r>
    </w:p>
    <w:p w14:paraId="163C9D68" w14:textId="77777777" w:rsidR="00000000" w:rsidRDefault="0015578C">
      <w:pPr>
        <w:pStyle w:val="a3"/>
        <w:spacing w:before="0" w:beforeAutospacing="0" w:after="0" w:afterAutospacing="0"/>
        <w:ind w:firstLine="675"/>
        <w:jc w:val="both"/>
        <w:rPr>
          <w:sz w:val="20"/>
          <w:szCs w:val="20"/>
        </w:rPr>
      </w:pPr>
      <w:r>
        <w:rPr>
          <w:sz w:val="20"/>
          <w:szCs w:val="20"/>
        </w:rPr>
        <w:t>Other prefeasibility work completed by Nexa included drilling 16 diamond core holes in 2013 to evaluate geotechnical and hydrological parameters of the mineralized areas for both engineering and environmental purpose</w:t>
      </w:r>
      <w:r>
        <w:rPr>
          <w:sz w:val="20"/>
          <w:szCs w:val="20"/>
        </w:rPr>
        <w:t>s.  In 2016, Nexa completed a geochemical/metallurgical study that more accurately defined the distribution of sulfide/oxide mineralization based on re-assaying of nearly all past drill-hole samples.  This information was critical in resource estimation an</w:t>
      </w:r>
      <w:r>
        <w:rPr>
          <w:sz w:val="20"/>
          <w:szCs w:val="20"/>
        </w:rPr>
        <w:t>d accurately estimating metal recoveries.  It was assumed that concentrates would be trucked to Nexa’s Cajamarquilla zinc smelter facility in Lima, Peru.</w:t>
      </w:r>
    </w:p>
    <w:p w14:paraId="2E6F4A64" w14:textId="77777777" w:rsidR="00000000" w:rsidRDefault="0015578C">
      <w:pPr>
        <w:pStyle w:val="a3"/>
        <w:spacing w:before="0" w:beforeAutospacing="0" w:after="0" w:afterAutospacing="0"/>
        <w:ind w:firstLine="675"/>
        <w:jc w:val="both"/>
        <w:rPr>
          <w:sz w:val="20"/>
          <w:szCs w:val="20"/>
        </w:rPr>
      </w:pPr>
      <w:r>
        <w:rPr>
          <w:sz w:val="20"/>
          <w:szCs w:val="20"/>
        </w:rPr>
        <w:t> </w:t>
      </w:r>
    </w:p>
    <w:p w14:paraId="7E85AD39" w14:textId="77777777" w:rsidR="00000000" w:rsidRDefault="0015578C">
      <w:pPr>
        <w:pStyle w:val="a3"/>
        <w:spacing w:before="0" w:beforeAutospacing="0" w:after="0" w:afterAutospacing="0"/>
        <w:ind w:firstLine="675"/>
        <w:jc w:val="both"/>
        <w:rPr>
          <w:sz w:val="20"/>
          <w:szCs w:val="20"/>
        </w:rPr>
      </w:pPr>
      <w:r>
        <w:rPr>
          <w:sz w:val="20"/>
          <w:szCs w:val="20"/>
        </w:rPr>
        <w:t>Metallurgical testing to evaluate metal recoveries and various processing options for mineralized ma</w:t>
      </w:r>
      <w:r>
        <w:rPr>
          <w:sz w:val="20"/>
          <w:szCs w:val="20"/>
        </w:rPr>
        <w:t>terial at Florida Canyon was conducted in 2010, 2011 and 2014.  These tests on composited samples indicate zinc recoveries above 90% and lead recoveries above 80% were generally achieved for sulfide dominant ores.  Increasingly lower recoveries of zinc and</w:t>
      </w:r>
      <w:r>
        <w:rPr>
          <w:sz w:val="20"/>
          <w:szCs w:val="20"/>
        </w:rPr>
        <w:t xml:space="preserve"> lead resulted in direct proportion to the percentage of oxides present in the ore tested.  In 2022, Nexa initiated a much more rigorous metallurgical testing program that mainly focused on sulfide mineralization, which is the dominant ore type (78%).  Thi</w:t>
      </w:r>
      <w:r>
        <w:rPr>
          <w:sz w:val="20"/>
          <w:szCs w:val="20"/>
        </w:rPr>
        <w:t xml:space="preserve">s work indicated higher Zn and Pb recoveries as well as higher concentrate grades than was estimated previously.  Zn recovery for sulfide mineralization was estimated at 91.7% with a concentrate grade of 56.6% and lead recovery of 88.5% with a concentrate </w:t>
      </w:r>
      <w:r>
        <w:rPr>
          <w:sz w:val="20"/>
          <w:szCs w:val="20"/>
        </w:rPr>
        <w:t>grade of 52.1%.</w:t>
      </w:r>
    </w:p>
    <w:p w14:paraId="69536E2C" w14:textId="77777777" w:rsidR="00000000" w:rsidRDefault="0015578C">
      <w:pPr>
        <w:pStyle w:val="a3"/>
        <w:spacing w:before="0" w:beforeAutospacing="0" w:after="0" w:afterAutospacing="0"/>
        <w:ind w:firstLine="675"/>
        <w:jc w:val="both"/>
        <w:rPr>
          <w:sz w:val="20"/>
          <w:szCs w:val="20"/>
        </w:rPr>
      </w:pPr>
      <w:r>
        <w:rPr>
          <w:sz w:val="20"/>
          <w:szCs w:val="20"/>
        </w:rPr>
        <w:t> </w:t>
      </w:r>
    </w:p>
    <w:p w14:paraId="40B68199" w14:textId="77777777" w:rsidR="00000000" w:rsidRDefault="0015578C">
      <w:pPr>
        <w:pStyle w:val="a3"/>
        <w:spacing w:before="0" w:beforeAutospacing="0" w:after="0" w:afterAutospacing="0"/>
        <w:ind w:firstLine="675"/>
        <w:jc w:val="both"/>
        <w:rPr>
          <w:sz w:val="20"/>
          <w:szCs w:val="20"/>
        </w:rPr>
      </w:pPr>
      <w:r>
        <w:rPr>
          <w:sz w:val="20"/>
          <w:szCs w:val="20"/>
        </w:rPr>
        <w:t>Solitario and Nexa jointly funded a PEA prepared by SRK for the entire project in 2017 that incorporated a variety of Nexa-generated studies into the analysis.  The PEA evaluation included resource estimation, mining and processing recovery estimates, a pr</w:t>
      </w:r>
      <w:r>
        <w:rPr>
          <w:sz w:val="20"/>
          <w:szCs w:val="20"/>
        </w:rPr>
        <w:t>eliminary mining and processing plan, infrastructure layout, environmental considerations and an economic analysis based on certain base case parameters.  The PEA envisioned an underground mining operation with a 2,500 tonne per day floatation mill for pro</w:t>
      </w:r>
      <w:r>
        <w:rPr>
          <w:sz w:val="20"/>
          <w:szCs w:val="20"/>
        </w:rPr>
        <w:t>cessing, resulting in a 12.5-year mine life.  It was assumed that concentrates would be trucked to Nexa’s Cajamarquilla zinc smelter facility in Lima, Peru.</w:t>
      </w:r>
    </w:p>
    <w:p w14:paraId="3496AED6" w14:textId="77777777" w:rsidR="00000000" w:rsidRDefault="0015578C">
      <w:pPr>
        <w:pStyle w:val="a3"/>
        <w:spacing w:before="0" w:beforeAutospacing="0" w:after="0" w:afterAutospacing="0"/>
        <w:ind w:firstLine="675"/>
        <w:jc w:val="both"/>
        <w:rPr>
          <w:sz w:val="20"/>
          <w:szCs w:val="20"/>
        </w:rPr>
      </w:pPr>
      <w:r>
        <w:rPr>
          <w:sz w:val="20"/>
          <w:szCs w:val="20"/>
        </w:rPr>
        <w:t> </w:t>
      </w:r>
    </w:p>
    <w:p w14:paraId="13BE22EF" w14:textId="77777777" w:rsidR="00000000" w:rsidRDefault="0015578C">
      <w:pPr>
        <w:pStyle w:val="a3"/>
        <w:spacing w:before="0" w:beforeAutospacing="0" w:after="0" w:afterAutospacing="0"/>
        <w:ind w:firstLine="675"/>
        <w:jc w:val="both"/>
        <w:rPr>
          <w:sz w:val="20"/>
          <w:szCs w:val="20"/>
        </w:rPr>
      </w:pPr>
      <w:r>
        <w:rPr>
          <w:sz w:val="20"/>
          <w:szCs w:val="20"/>
        </w:rPr>
        <w:t>Although sulfide recoveries reported in the 2017 PEA were very good, SRK suggested that optimizat</w:t>
      </w:r>
      <w:r>
        <w:rPr>
          <w:sz w:val="20"/>
          <w:szCs w:val="20"/>
        </w:rPr>
        <w:t>ion of processing and metallurgical parameters may result in improved recoveries and concentrate grade. In consideration of this recommendation, in 2022, Nexa initiated a much more rigorous metallurgical testing program that mainly focused on sulfide miner</w:t>
      </w:r>
      <w:r>
        <w:rPr>
          <w:sz w:val="20"/>
          <w:szCs w:val="20"/>
        </w:rPr>
        <w:t>alization, which is the dominant ore type (78%).  This work indicated higher Zn and Pb recoveries as well as higher concentrate grades than was estimated previously.  Zn recovery for sulfide mineralization was estimated at 91.7% with a concentrate grade of</w:t>
      </w:r>
      <w:r>
        <w:rPr>
          <w:sz w:val="20"/>
          <w:szCs w:val="20"/>
        </w:rPr>
        <w:t xml:space="preserve"> 56.6% and lead recovery of 88.5% with a concentrate grade of 52.1%. The impact of these recent metallurgical testing results combined with the increase in sulfide resources reported in 2021 is expected to have a positive impact on project economics. </w:t>
      </w:r>
    </w:p>
    <w:p w14:paraId="004EE07A" w14:textId="77777777" w:rsidR="00000000" w:rsidRDefault="0015578C">
      <w:pPr>
        <w:pStyle w:val="a3"/>
        <w:spacing w:before="0" w:beforeAutospacing="0" w:after="0" w:afterAutospacing="0"/>
        <w:ind w:firstLine="675"/>
        <w:jc w:val="both"/>
        <w:rPr>
          <w:sz w:val="20"/>
          <w:szCs w:val="20"/>
        </w:rPr>
      </w:pPr>
      <w:r>
        <w:rPr>
          <w:sz w:val="20"/>
          <w:szCs w:val="20"/>
        </w:rPr>
        <w:t> </w:t>
      </w:r>
    </w:p>
    <w:p w14:paraId="6D065DE4" w14:textId="77777777" w:rsidR="00000000" w:rsidRDefault="0015578C">
      <w:pPr>
        <w:pStyle w:val="a3"/>
        <w:spacing w:before="0" w:beforeAutospacing="0" w:after="0" w:afterAutospacing="0"/>
        <w:ind w:firstLine="675"/>
        <w:jc w:val="both"/>
        <w:rPr>
          <w:sz w:val="20"/>
          <w:szCs w:val="20"/>
        </w:rPr>
      </w:pPr>
      <w:r>
        <w:rPr>
          <w:sz w:val="20"/>
          <w:szCs w:val="20"/>
        </w:rPr>
        <w:t>Pr</w:t>
      </w:r>
      <w:r>
        <w:rPr>
          <w:sz w:val="20"/>
          <w:szCs w:val="20"/>
        </w:rPr>
        <w:t xml:space="preserve">ior to the 2022 S-K 1300 Florida Canyon TRS filing, Solitario filed on SEDAR in Canada a technical report entitled: </w:t>
      </w:r>
      <w:r>
        <w:rPr>
          <w:rStyle w:val="a7"/>
          <w:sz w:val="20"/>
          <w:szCs w:val="20"/>
        </w:rPr>
        <w:t>Amended NI 43-101 Technical Report on Resources, Florida Canyon Zinc Project</w:t>
      </w:r>
      <w:r>
        <w:rPr>
          <w:sz w:val="20"/>
          <w:szCs w:val="20"/>
        </w:rPr>
        <w:t>,</w:t>
      </w:r>
      <w:r>
        <w:rPr>
          <w:rStyle w:val="a7"/>
          <w:sz w:val="20"/>
          <w:szCs w:val="20"/>
        </w:rPr>
        <w:t xml:space="preserve"> </w:t>
      </w:r>
      <w:r>
        <w:rPr>
          <w:rStyle w:val="a7"/>
          <w:sz w:val="20"/>
          <w:szCs w:val="20"/>
        </w:rPr>
        <w:t xml:space="preserve">Amazonas Department, Peru; Effective Date: February 1, 2021; Report Date: April 5, 2021; and </w:t>
      </w:r>
      <w:r>
        <w:rPr>
          <w:sz w:val="20"/>
          <w:szCs w:val="20"/>
        </w:rPr>
        <w:t>Amended Date: May 27, 2021.</w:t>
      </w:r>
    </w:p>
    <w:p w14:paraId="284CEF2A" w14:textId="77777777" w:rsidR="00000000" w:rsidRDefault="0015578C">
      <w:pPr>
        <w:pStyle w:val="a3"/>
        <w:spacing w:before="0" w:beforeAutospacing="0" w:after="0" w:afterAutospacing="0"/>
        <w:jc w:val="both"/>
        <w:rPr>
          <w:sz w:val="20"/>
          <w:szCs w:val="20"/>
        </w:rPr>
      </w:pPr>
      <w:r>
        <w:rPr>
          <w:sz w:val="20"/>
          <w:szCs w:val="20"/>
        </w:rPr>
        <w:t> </w:t>
      </w:r>
    </w:p>
    <w:p w14:paraId="2A7FDF5F" w14:textId="77777777" w:rsidR="00000000" w:rsidRDefault="0015578C">
      <w:pPr>
        <w:pStyle w:val="a3"/>
        <w:spacing w:before="0" w:beforeAutospacing="0" w:after="0" w:afterAutospacing="0"/>
        <w:jc w:val="both"/>
        <w:rPr>
          <w:sz w:val="20"/>
          <w:szCs w:val="20"/>
        </w:rPr>
      </w:pPr>
      <w:r>
        <w:rPr>
          <w:sz w:val="20"/>
          <w:szCs w:val="20"/>
        </w:rPr>
        <w:t xml:space="preserve">10. </w:t>
      </w:r>
      <w:r>
        <w:rPr>
          <w:sz w:val="20"/>
          <w:szCs w:val="20"/>
          <w:u w:val="single"/>
        </w:rPr>
        <w:t>Reserves and Resources</w:t>
      </w:r>
    </w:p>
    <w:p w14:paraId="06A9136F" w14:textId="77777777" w:rsidR="00000000" w:rsidRDefault="0015578C">
      <w:pPr>
        <w:pStyle w:val="a3"/>
        <w:spacing w:before="0" w:beforeAutospacing="0" w:after="0" w:afterAutospacing="0"/>
        <w:jc w:val="both"/>
        <w:rPr>
          <w:sz w:val="20"/>
          <w:szCs w:val="20"/>
        </w:rPr>
      </w:pPr>
      <w:r>
        <w:rPr>
          <w:sz w:val="20"/>
          <w:szCs w:val="20"/>
        </w:rPr>
        <w:t> </w:t>
      </w:r>
    </w:p>
    <w:p w14:paraId="1F5B4D96" w14:textId="77777777" w:rsidR="00000000" w:rsidRDefault="0015578C">
      <w:pPr>
        <w:pStyle w:val="a3"/>
        <w:spacing w:before="0" w:beforeAutospacing="0" w:after="0" w:afterAutospacing="0"/>
        <w:ind w:firstLine="675"/>
        <w:jc w:val="both"/>
        <w:rPr>
          <w:sz w:val="20"/>
          <w:szCs w:val="20"/>
        </w:rPr>
      </w:pPr>
      <w:r>
        <w:rPr>
          <w:sz w:val="20"/>
          <w:szCs w:val="20"/>
        </w:rPr>
        <w:t>There are no reported mineral reserves at the Florida Canyon project.  Estimated Mineral Resources for t</w:t>
      </w:r>
      <w:r>
        <w:rPr>
          <w:sz w:val="20"/>
          <w:szCs w:val="20"/>
        </w:rPr>
        <w:t>he Florida Canyon deposit are shown in the table below (for greater detail, see “</w:t>
      </w:r>
      <w:r>
        <w:rPr>
          <w:rStyle w:val="a7"/>
          <w:sz w:val="20"/>
          <w:szCs w:val="20"/>
        </w:rPr>
        <w:t xml:space="preserve">S-K 1300 Technical Report Summary Florida Canyon Zinc Project, Amazonas Department, Peru; Effective Date: February 1, 2022, Report Date: March 15, 2021, which is Exhibit 96.1 </w:t>
      </w:r>
      <w:r>
        <w:rPr>
          <w:rStyle w:val="a7"/>
          <w:sz w:val="20"/>
          <w:szCs w:val="20"/>
        </w:rPr>
        <w:t xml:space="preserve">to this Annual Report on Form 10-K.  </w:t>
      </w:r>
      <w:r>
        <w:rPr>
          <w:sz w:val="20"/>
          <w:szCs w:val="20"/>
        </w:rPr>
        <w:t xml:space="preserve">Gustavson &amp; Associates, an international independent mining engineering firm, completed the S-K 1300 Florida Canyon TRS).  </w:t>
      </w:r>
    </w:p>
    <w:p w14:paraId="0CBC392E"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632C106" w14:textId="77777777">
        <w:trPr>
          <w:trHeight w:val="225"/>
          <w:tblCellSpacing w:w="15" w:type="dxa"/>
        </w:trPr>
        <w:tc>
          <w:tcPr>
            <w:tcW w:w="0" w:type="auto"/>
            <w:vAlign w:val="center"/>
            <w:hideMark/>
          </w:tcPr>
          <w:p w14:paraId="2BEA4A57" w14:textId="77777777" w:rsidR="00000000" w:rsidRDefault="0015578C">
            <w:pPr>
              <w:rPr>
                <w:rFonts w:eastAsia="Times New Roman"/>
                <w:sz w:val="20"/>
                <w:szCs w:val="20"/>
              </w:rPr>
            </w:pPr>
            <w:r>
              <w:rPr>
                <w:rFonts w:eastAsia="Times New Roman"/>
                <w:sz w:val="20"/>
                <w:szCs w:val="20"/>
              </w:rPr>
              <w:t> </w:t>
            </w:r>
          </w:p>
        </w:tc>
      </w:tr>
      <w:tr w:rsidR="00000000" w14:paraId="1F4A55D6" w14:textId="77777777">
        <w:trPr>
          <w:trHeight w:val="225"/>
          <w:tblCellSpacing w:w="15" w:type="dxa"/>
        </w:trPr>
        <w:tc>
          <w:tcPr>
            <w:tcW w:w="0" w:type="auto"/>
            <w:tcBorders>
              <w:bottom w:val="single" w:sz="6" w:space="0" w:color="000000"/>
            </w:tcBorders>
            <w:vAlign w:val="center"/>
            <w:hideMark/>
          </w:tcPr>
          <w:p w14:paraId="7423DFB7" w14:textId="77777777" w:rsidR="00000000" w:rsidRDefault="0015578C">
            <w:pPr>
              <w:jc w:val="center"/>
              <w:rPr>
                <w:rFonts w:eastAsia="Times New Roman"/>
                <w:sz w:val="20"/>
                <w:szCs w:val="20"/>
              </w:rPr>
            </w:pPr>
            <w:r>
              <w:rPr>
                <w:rFonts w:eastAsia="Times New Roman"/>
                <w:sz w:val="20"/>
                <w:szCs w:val="20"/>
              </w:rPr>
              <w:t>25</w:t>
            </w:r>
          </w:p>
        </w:tc>
      </w:tr>
      <w:tr w:rsidR="00000000" w14:paraId="7D6C7BBC" w14:textId="77777777">
        <w:trPr>
          <w:trHeight w:val="225"/>
          <w:tblCellSpacing w:w="15" w:type="dxa"/>
        </w:trPr>
        <w:tc>
          <w:tcPr>
            <w:tcW w:w="0" w:type="auto"/>
            <w:vAlign w:val="center"/>
            <w:hideMark/>
          </w:tcPr>
          <w:p w14:paraId="01CBAB04" w14:textId="77777777" w:rsidR="00000000" w:rsidRDefault="0015578C">
            <w:pPr>
              <w:rPr>
                <w:rFonts w:eastAsia="Times New Roman"/>
                <w:sz w:val="20"/>
                <w:szCs w:val="20"/>
              </w:rPr>
            </w:pPr>
          </w:p>
        </w:tc>
      </w:tr>
      <w:tr w:rsidR="00000000" w14:paraId="6C3F5EAC" w14:textId="77777777">
        <w:trPr>
          <w:trHeight w:val="225"/>
          <w:tblCellSpacing w:w="15" w:type="dxa"/>
        </w:trPr>
        <w:tc>
          <w:tcPr>
            <w:tcW w:w="0" w:type="auto"/>
            <w:vAlign w:val="center"/>
            <w:hideMark/>
          </w:tcPr>
          <w:p w14:paraId="45D3DFD9"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61FDA5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495BB98" w14:textId="77777777">
        <w:trPr>
          <w:trHeight w:val="225"/>
          <w:tblCellSpacing w:w="15" w:type="dxa"/>
        </w:trPr>
        <w:tc>
          <w:tcPr>
            <w:tcW w:w="3000" w:type="pct"/>
            <w:vAlign w:val="center"/>
            <w:hideMark/>
          </w:tcPr>
          <w:p w14:paraId="1F07AD72" w14:textId="77777777" w:rsidR="00000000" w:rsidRDefault="0015578C">
            <w:pPr>
              <w:pStyle w:val="a3"/>
              <w:spacing w:before="0" w:beforeAutospacing="0" w:after="0" w:afterAutospacing="0"/>
              <w:jc w:val="center"/>
              <w:rPr>
                <w:sz w:val="20"/>
                <w:szCs w:val="20"/>
              </w:rPr>
            </w:pPr>
            <w:r>
              <w:rPr>
                <w:rStyle w:val="a4"/>
                <w:sz w:val="20"/>
                <w:szCs w:val="20"/>
              </w:rPr>
              <w:t>Florida Canyon Total Mineral Resources (100% basis)</w:t>
            </w:r>
          </w:p>
        </w:tc>
      </w:tr>
    </w:tbl>
    <w:p w14:paraId="7F4A6D23" w14:textId="77777777" w:rsidR="00000000" w:rsidRDefault="0015578C">
      <w:pPr>
        <w:jc w:val="both"/>
        <w:rPr>
          <w:rFonts w:eastAsia="Times New Roman"/>
          <w:vanish/>
          <w:sz w:val="20"/>
          <w:szCs w:val="20"/>
        </w:rPr>
      </w:pP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2334"/>
        <w:gridCol w:w="1511"/>
        <w:gridCol w:w="1107"/>
        <w:gridCol w:w="1107"/>
        <w:gridCol w:w="1108"/>
        <w:gridCol w:w="1123"/>
      </w:tblGrid>
      <w:tr w:rsidR="00000000" w14:paraId="1CEF31A4" w14:textId="77777777">
        <w:trPr>
          <w:trHeight w:val="225"/>
          <w:tblCellSpacing w:w="15" w:type="dxa"/>
        </w:trPr>
        <w:tc>
          <w:tcPr>
            <w:tcW w:w="850" w:type="pct"/>
            <w:tcBorders>
              <w:top w:val="single" w:sz="6" w:space="0" w:color="000000"/>
              <w:left w:val="single" w:sz="6" w:space="0" w:color="000000"/>
            </w:tcBorders>
            <w:vAlign w:val="center"/>
            <w:hideMark/>
          </w:tcPr>
          <w:p w14:paraId="6549DD63" w14:textId="77777777" w:rsidR="00000000" w:rsidRDefault="0015578C">
            <w:pPr>
              <w:pStyle w:val="a3"/>
              <w:spacing w:before="0" w:beforeAutospacing="0" w:after="0" w:afterAutospacing="0"/>
              <w:jc w:val="center"/>
              <w:rPr>
                <w:sz w:val="20"/>
                <w:szCs w:val="20"/>
              </w:rPr>
            </w:pPr>
            <w:r>
              <w:rPr>
                <w:rStyle w:val="a4"/>
                <w:sz w:val="20"/>
                <w:szCs w:val="20"/>
              </w:rPr>
              <w:t>Classification</w:t>
            </w:r>
          </w:p>
        </w:tc>
        <w:tc>
          <w:tcPr>
            <w:tcW w:w="550" w:type="pct"/>
            <w:tcBorders>
              <w:top w:val="single" w:sz="6" w:space="0" w:color="000000"/>
              <w:left w:val="single" w:sz="6" w:space="0" w:color="000000"/>
            </w:tcBorders>
            <w:vAlign w:val="center"/>
            <w:hideMark/>
          </w:tcPr>
          <w:p w14:paraId="5DBEFA9A" w14:textId="77777777" w:rsidR="00000000" w:rsidRDefault="0015578C">
            <w:pPr>
              <w:pStyle w:val="a3"/>
              <w:spacing w:before="0" w:beforeAutospacing="0" w:after="0" w:afterAutospacing="0"/>
              <w:jc w:val="center"/>
              <w:rPr>
                <w:sz w:val="20"/>
                <w:szCs w:val="20"/>
              </w:rPr>
            </w:pPr>
            <w:r>
              <w:rPr>
                <w:rStyle w:val="a4"/>
                <w:sz w:val="20"/>
                <w:szCs w:val="20"/>
              </w:rPr>
              <w:t>Sum of Tonnes</w:t>
            </w:r>
          </w:p>
        </w:tc>
        <w:tc>
          <w:tcPr>
            <w:tcW w:w="400" w:type="pct"/>
            <w:tcBorders>
              <w:top w:val="single" w:sz="6" w:space="0" w:color="000000"/>
              <w:left w:val="single" w:sz="6" w:space="0" w:color="000000"/>
            </w:tcBorders>
            <w:vAlign w:val="center"/>
            <w:hideMark/>
          </w:tcPr>
          <w:p w14:paraId="02A0C568" w14:textId="77777777" w:rsidR="00000000" w:rsidRDefault="0015578C">
            <w:pPr>
              <w:pStyle w:val="a3"/>
              <w:spacing w:before="0" w:beforeAutospacing="0" w:after="0" w:afterAutospacing="0"/>
              <w:jc w:val="center"/>
              <w:rPr>
                <w:sz w:val="20"/>
                <w:szCs w:val="20"/>
              </w:rPr>
            </w:pPr>
            <w:r>
              <w:rPr>
                <w:rStyle w:val="a4"/>
                <w:sz w:val="20"/>
                <w:szCs w:val="20"/>
              </w:rPr>
              <w:t>Zn %</w:t>
            </w:r>
          </w:p>
        </w:tc>
        <w:tc>
          <w:tcPr>
            <w:tcW w:w="400" w:type="pct"/>
            <w:tcBorders>
              <w:top w:val="single" w:sz="6" w:space="0" w:color="000000"/>
              <w:left w:val="single" w:sz="6" w:space="0" w:color="000000"/>
            </w:tcBorders>
            <w:vAlign w:val="center"/>
            <w:hideMark/>
          </w:tcPr>
          <w:p w14:paraId="6CC1E9FD" w14:textId="77777777" w:rsidR="00000000" w:rsidRDefault="0015578C">
            <w:pPr>
              <w:pStyle w:val="a3"/>
              <w:spacing w:before="0" w:beforeAutospacing="0" w:after="0" w:afterAutospacing="0"/>
              <w:jc w:val="center"/>
              <w:rPr>
                <w:sz w:val="20"/>
                <w:szCs w:val="20"/>
              </w:rPr>
            </w:pPr>
            <w:r>
              <w:rPr>
                <w:rStyle w:val="a4"/>
                <w:sz w:val="20"/>
                <w:szCs w:val="20"/>
              </w:rPr>
              <w:t>Ag g/t</w:t>
            </w:r>
          </w:p>
        </w:tc>
        <w:tc>
          <w:tcPr>
            <w:tcW w:w="400" w:type="pct"/>
            <w:tcBorders>
              <w:top w:val="single" w:sz="6" w:space="0" w:color="000000"/>
              <w:left w:val="single" w:sz="6" w:space="0" w:color="000000"/>
            </w:tcBorders>
            <w:vAlign w:val="center"/>
            <w:hideMark/>
          </w:tcPr>
          <w:p w14:paraId="663A8C7E" w14:textId="77777777" w:rsidR="00000000" w:rsidRDefault="0015578C">
            <w:pPr>
              <w:pStyle w:val="a3"/>
              <w:spacing w:before="0" w:beforeAutospacing="0" w:after="0" w:afterAutospacing="0"/>
              <w:jc w:val="center"/>
              <w:rPr>
                <w:sz w:val="20"/>
                <w:szCs w:val="20"/>
              </w:rPr>
            </w:pPr>
            <w:r>
              <w:rPr>
                <w:rStyle w:val="a4"/>
                <w:sz w:val="20"/>
                <w:szCs w:val="20"/>
              </w:rPr>
              <w:t>Pb %</w:t>
            </w:r>
          </w:p>
        </w:tc>
        <w:tc>
          <w:tcPr>
            <w:tcW w:w="400" w:type="pct"/>
            <w:tcBorders>
              <w:top w:val="single" w:sz="6" w:space="0" w:color="000000"/>
              <w:left w:val="single" w:sz="6" w:space="0" w:color="000000"/>
            </w:tcBorders>
            <w:vAlign w:val="center"/>
            <w:hideMark/>
          </w:tcPr>
          <w:p w14:paraId="6F2C98CF" w14:textId="77777777" w:rsidR="00000000" w:rsidRDefault="0015578C">
            <w:pPr>
              <w:pStyle w:val="a3"/>
              <w:spacing w:before="0" w:beforeAutospacing="0" w:after="0" w:afterAutospacing="0"/>
              <w:jc w:val="center"/>
              <w:rPr>
                <w:sz w:val="20"/>
                <w:szCs w:val="20"/>
              </w:rPr>
            </w:pPr>
            <w:r>
              <w:rPr>
                <w:rStyle w:val="a4"/>
                <w:sz w:val="20"/>
                <w:szCs w:val="20"/>
              </w:rPr>
              <w:t>Fe %</w:t>
            </w:r>
          </w:p>
        </w:tc>
      </w:tr>
      <w:tr w:rsidR="00000000" w14:paraId="2D92531C" w14:textId="77777777">
        <w:trPr>
          <w:trHeight w:val="225"/>
          <w:tblCellSpacing w:w="15" w:type="dxa"/>
        </w:trPr>
        <w:tc>
          <w:tcPr>
            <w:tcW w:w="850" w:type="pct"/>
            <w:tcBorders>
              <w:top w:val="single" w:sz="6" w:space="0" w:color="000000"/>
              <w:left w:val="single" w:sz="6" w:space="0" w:color="000000"/>
            </w:tcBorders>
            <w:shd w:val="clear" w:color="auto" w:fill="CCEEFF"/>
            <w:vAlign w:val="center"/>
            <w:hideMark/>
          </w:tcPr>
          <w:p w14:paraId="1F501E8C" w14:textId="77777777" w:rsidR="00000000" w:rsidRDefault="0015578C">
            <w:pPr>
              <w:pStyle w:val="a3"/>
              <w:spacing w:before="0" w:beforeAutospacing="0" w:after="0" w:afterAutospacing="0"/>
              <w:jc w:val="center"/>
              <w:rPr>
                <w:sz w:val="20"/>
                <w:szCs w:val="20"/>
              </w:rPr>
            </w:pPr>
            <w:r>
              <w:rPr>
                <w:sz w:val="20"/>
                <w:szCs w:val="20"/>
              </w:rPr>
              <w:t>Measured</w:t>
            </w:r>
          </w:p>
        </w:tc>
        <w:tc>
          <w:tcPr>
            <w:tcW w:w="550" w:type="pct"/>
            <w:tcBorders>
              <w:top w:val="single" w:sz="6" w:space="0" w:color="000000"/>
              <w:left w:val="single" w:sz="6" w:space="0" w:color="000000"/>
            </w:tcBorders>
            <w:shd w:val="clear" w:color="auto" w:fill="CCEEFF"/>
            <w:vAlign w:val="center"/>
            <w:hideMark/>
          </w:tcPr>
          <w:p w14:paraId="5FB09CA7" w14:textId="77777777" w:rsidR="00000000" w:rsidRDefault="0015578C">
            <w:pPr>
              <w:pStyle w:val="a3"/>
              <w:spacing w:before="0" w:beforeAutospacing="0" w:after="0" w:afterAutospacing="0"/>
              <w:jc w:val="center"/>
              <w:rPr>
                <w:sz w:val="20"/>
                <w:szCs w:val="20"/>
              </w:rPr>
            </w:pPr>
            <w:r>
              <w:rPr>
                <w:sz w:val="20"/>
                <w:szCs w:val="20"/>
              </w:rPr>
              <w:t>806,945</w:t>
            </w:r>
          </w:p>
        </w:tc>
        <w:tc>
          <w:tcPr>
            <w:tcW w:w="400" w:type="pct"/>
            <w:tcBorders>
              <w:top w:val="single" w:sz="6" w:space="0" w:color="000000"/>
              <w:left w:val="single" w:sz="6" w:space="0" w:color="000000"/>
            </w:tcBorders>
            <w:shd w:val="clear" w:color="auto" w:fill="CCEEFF"/>
            <w:vAlign w:val="center"/>
            <w:hideMark/>
          </w:tcPr>
          <w:p w14:paraId="15768A90" w14:textId="77777777" w:rsidR="00000000" w:rsidRDefault="0015578C">
            <w:pPr>
              <w:pStyle w:val="a3"/>
              <w:spacing w:before="0" w:beforeAutospacing="0" w:after="0" w:afterAutospacing="0"/>
              <w:jc w:val="center"/>
              <w:rPr>
                <w:sz w:val="20"/>
                <w:szCs w:val="20"/>
              </w:rPr>
            </w:pPr>
            <w:r>
              <w:rPr>
                <w:sz w:val="20"/>
                <w:szCs w:val="20"/>
              </w:rPr>
              <w:t>11.32</w:t>
            </w:r>
          </w:p>
        </w:tc>
        <w:tc>
          <w:tcPr>
            <w:tcW w:w="400" w:type="pct"/>
            <w:tcBorders>
              <w:top w:val="single" w:sz="6" w:space="0" w:color="000000"/>
              <w:left w:val="single" w:sz="6" w:space="0" w:color="000000"/>
            </w:tcBorders>
            <w:shd w:val="clear" w:color="auto" w:fill="CCEEFF"/>
            <w:vAlign w:val="center"/>
            <w:hideMark/>
          </w:tcPr>
          <w:p w14:paraId="7FAE6C42" w14:textId="77777777" w:rsidR="00000000" w:rsidRDefault="0015578C">
            <w:pPr>
              <w:pStyle w:val="a3"/>
              <w:spacing w:before="0" w:beforeAutospacing="0" w:after="0" w:afterAutospacing="0"/>
              <w:jc w:val="center"/>
              <w:rPr>
                <w:sz w:val="20"/>
                <w:szCs w:val="20"/>
              </w:rPr>
            </w:pPr>
            <w:r>
              <w:rPr>
                <w:sz w:val="20"/>
                <w:szCs w:val="20"/>
              </w:rPr>
              <w:t>15.42</w:t>
            </w:r>
          </w:p>
        </w:tc>
        <w:tc>
          <w:tcPr>
            <w:tcW w:w="400" w:type="pct"/>
            <w:tcBorders>
              <w:top w:val="single" w:sz="6" w:space="0" w:color="000000"/>
              <w:left w:val="single" w:sz="6" w:space="0" w:color="000000"/>
            </w:tcBorders>
            <w:shd w:val="clear" w:color="auto" w:fill="CCEEFF"/>
            <w:vAlign w:val="center"/>
            <w:hideMark/>
          </w:tcPr>
          <w:p w14:paraId="617C17C9" w14:textId="77777777" w:rsidR="00000000" w:rsidRDefault="0015578C">
            <w:pPr>
              <w:pStyle w:val="a3"/>
              <w:spacing w:before="0" w:beforeAutospacing="0" w:after="0" w:afterAutospacing="0"/>
              <w:jc w:val="center"/>
              <w:rPr>
                <w:sz w:val="20"/>
                <w:szCs w:val="20"/>
              </w:rPr>
            </w:pPr>
            <w:r>
              <w:rPr>
                <w:sz w:val="20"/>
                <w:szCs w:val="20"/>
              </w:rPr>
              <w:t>1.39</w:t>
            </w:r>
          </w:p>
        </w:tc>
        <w:tc>
          <w:tcPr>
            <w:tcW w:w="400" w:type="pct"/>
            <w:tcBorders>
              <w:top w:val="single" w:sz="6" w:space="0" w:color="000000"/>
              <w:left w:val="single" w:sz="6" w:space="0" w:color="000000"/>
            </w:tcBorders>
            <w:shd w:val="clear" w:color="auto" w:fill="CCEEFF"/>
            <w:vAlign w:val="center"/>
            <w:hideMark/>
          </w:tcPr>
          <w:p w14:paraId="70A964F1" w14:textId="77777777" w:rsidR="00000000" w:rsidRDefault="0015578C">
            <w:pPr>
              <w:pStyle w:val="a3"/>
              <w:spacing w:before="0" w:beforeAutospacing="0" w:after="0" w:afterAutospacing="0"/>
              <w:jc w:val="center"/>
              <w:rPr>
                <w:sz w:val="20"/>
                <w:szCs w:val="20"/>
              </w:rPr>
            </w:pPr>
            <w:r>
              <w:rPr>
                <w:sz w:val="20"/>
                <w:szCs w:val="20"/>
              </w:rPr>
              <w:t>2.44</w:t>
            </w:r>
          </w:p>
        </w:tc>
      </w:tr>
      <w:tr w:rsidR="00000000" w14:paraId="1BAC4C00" w14:textId="77777777">
        <w:trPr>
          <w:trHeight w:val="225"/>
          <w:tblCellSpacing w:w="15" w:type="dxa"/>
        </w:trPr>
        <w:tc>
          <w:tcPr>
            <w:tcW w:w="850" w:type="pct"/>
            <w:tcBorders>
              <w:top w:val="single" w:sz="6" w:space="0" w:color="000000"/>
              <w:left w:val="single" w:sz="6" w:space="0" w:color="000000"/>
            </w:tcBorders>
            <w:shd w:val="clear" w:color="auto" w:fill="FFFFFF"/>
            <w:vAlign w:val="center"/>
            <w:hideMark/>
          </w:tcPr>
          <w:p w14:paraId="618B1FD4" w14:textId="77777777" w:rsidR="00000000" w:rsidRDefault="0015578C">
            <w:pPr>
              <w:pStyle w:val="a3"/>
              <w:spacing w:before="0" w:beforeAutospacing="0" w:after="0" w:afterAutospacing="0"/>
              <w:jc w:val="center"/>
              <w:rPr>
                <w:sz w:val="20"/>
                <w:szCs w:val="20"/>
              </w:rPr>
            </w:pPr>
            <w:r>
              <w:rPr>
                <w:sz w:val="20"/>
                <w:szCs w:val="20"/>
              </w:rPr>
              <w:t>Indicated</w:t>
            </w:r>
          </w:p>
        </w:tc>
        <w:tc>
          <w:tcPr>
            <w:tcW w:w="550" w:type="pct"/>
            <w:tcBorders>
              <w:top w:val="single" w:sz="6" w:space="0" w:color="000000"/>
              <w:left w:val="single" w:sz="6" w:space="0" w:color="000000"/>
            </w:tcBorders>
            <w:shd w:val="clear" w:color="auto" w:fill="FFFFFF"/>
            <w:vAlign w:val="center"/>
            <w:hideMark/>
          </w:tcPr>
          <w:p w14:paraId="3150ECDF" w14:textId="77777777" w:rsidR="00000000" w:rsidRDefault="0015578C">
            <w:pPr>
              <w:pStyle w:val="a3"/>
              <w:spacing w:before="0" w:beforeAutospacing="0" w:after="0" w:afterAutospacing="0"/>
              <w:jc w:val="center"/>
              <w:rPr>
                <w:sz w:val="20"/>
                <w:szCs w:val="20"/>
              </w:rPr>
            </w:pPr>
            <w:r>
              <w:rPr>
                <w:sz w:val="20"/>
                <w:szCs w:val="20"/>
              </w:rPr>
              <w:t>1,634,702</w:t>
            </w:r>
          </w:p>
        </w:tc>
        <w:tc>
          <w:tcPr>
            <w:tcW w:w="400" w:type="pct"/>
            <w:tcBorders>
              <w:top w:val="single" w:sz="6" w:space="0" w:color="000000"/>
              <w:left w:val="single" w:sz="6" w:space="0" w:color="000000"/>
            </w:tcBorders>
            <w:shd w:val="clear" w:color="auto" w:fill="FFFFFF"/>
            <w:vAlign w:val="center"/>
            <w:hideMark/>
          </w:tcPr>
          <w:p w14:paraId="089BED39" w14:textId="77777777" w:rsidR="00000000" w:rsidRDefault="0015578C">
            <w:pPr>
              <w:pStyle w:val="a3"/>
              <w:spacing w:before="0" w:beforeAutospacing="0" w:after="0" w:afterAutospacing="0"/>
              <w:jc w:val="center"/>
              <w:rPr>
                <w:sz w:val="20"/>
                <w:szCs w:val="20"/>
              </w:rPr>
            </w:pPr>
            <w:r>
              <w:rPr>
                <w:sz w:val="20"/>
                <w:szCs w:val="20"/>
              </w:rPr>
              <w:t>10.28</w:t>
            </w:r>
          </w:p>
        </w:tc>
        <w:tc>
          <w:tcPr>
            <w:tcW w:w="400" w:type="pct"/>
            <w:tcBorders>
              <w:top w:val="single" w:sz="6" w:space="0" w:color="000000"/>
              <w:left w:val="single" w:sz="6" w:space="0" w:color="000000"/>
            </w:tcBorders>
            <w:shd w:val="clear" w:color="auto" w:fill="FFFFFF"/>
            <w:vAlign w:val="center"/>
            <w:hideMark/>
          </w:tcPr>
          <w:p w14:paraId="60E85EC0" w14:textId="77777777" w:rsidR="00000000" w:rsidRDefault="0015578C">
            <w:pPr>
              <w:pStyle w:val="a3"/>
              <w:spacing w:before="0" w:beforeAutospacing="0" w:after="0" w:afterAutospacing="0"/>
              <w:jc w:val="center"/>
              <w:rPr>
                <w:sz w:val="20"/>
                <w:szCs w:val="20"/>
              </w:rPr>
            </w:pPr>
            <w:r>
              <w:rPr>
                <w:sz w:val="20"/>
                <w:szCs w:val="20"/>
              </w:rPr>
              <w:t>14.87</w:t>
            </w:r>
          </w:p>
        </w:tc>
        <w:tc>
          <w:tcPr>
            <w:tcW w:w="400" w:type="pct"/>
            <w:tcBorders>
              <w:top w:val="single" w:sz="6" w:space="0" w:color="000000"/>
              <w:left w:val="single" w:sz="6" w:space="0" w:color="000000"/>
            </w:tcBorders>
            <w:shd w:val="clear" w:color="auto" w:fill="FFFFFF"/>
            <w:vAlign w:val="center"/>
            <w:hideMark/>
          </w:tcPr>
          <w:p w14:paraId="4D87CAAF" w14:textId="77777777" w:rsidR="00000000" w:rsidRDefault="0015578C">
            <w:pPr>
              <w:pStyle w:val="a3"/>
              <w:spacing w:before="0" w:beforeAutospacing="0" w:after="0" w:afterAutospacing="0"/>
              <w:jc w:val="center"/>
              <w:rPr>
                <w:sz w:val="20"/>
                <w:szCs w:val="20"/>
              </w:rPr>
            </w:pPr>
            <w:r>
              <w:rPr>
                <w:sz w:val="20"/>
                <w:szCs w:val="20"/>
              </w:rPr>
              <w:t>1.31</w:t>
            </w:r>
          </w:p>
        </w:tc>
        <w:tc>
          <w:tcPr>
            <w:tcW w:w="400" w:type="pct"/>
            <w:tcBorders>
              <w:top w:val="single" w:sz="6" w:space="0" w:color="000000"/>
              <w:left w:val="single" w:sz="6" w:space="0" w:color="000000"/>
            </w:tcBorders>
            <w:shd w:val="clear" w:color="auto" w:fill="FFFFFF"/>
            <w:vAlign w:val="center"/>
            <w:hideMark/>
          </w:tcPr>
          <w:p w14:paraId="6D777ABB" w14:textId="77777777" w:rsidR="00000000" w:rsidRDefault="0015578C">
            <w:pPr>
              <w:pStyle w:val="a3"/>
              <w:spacing w:before="0" w:beforeAutospacing="0" w:after="0" w:afterAutospacing="0"/>
              <w:jc w:val="center"/>
              <w:rPr>
                <w:sz w:val="20"/>
                <w:szCs w:val="20"/>
              </w:rPr>
            </w:pPr>
            <w:r>
              <w:rPr>
                <w:sz w:val="20"/>
                <w:szCs w:val="20"/>
              </w:rPr>
              <w:t>2.23</w:t>
            </w:r>
          </w:p>
        </w:tc>
      </w:tr>
      <w:tr w:rsidR="00000000" w14:paraId="793BD817" w14:textId="77777777">
        <w:trPr>
          <w:trHeight w:val="225"/>
          <w:tblCellSpacing w:w="15" w:type="dxa"/>
        </w:trPr>
        <w:tc>
          <w:tcPr>
            <w:tcW w:w="850" w:type="pct"/>
            <w:tcBorders>
              <w:top w:val="single" w:sz="6" w:space="0" w:color="000000"/>
              <w:left w:val="single" w:sz="6" w:space="0" w:color="000000"/>
            </w:tcBorders>
            <w:shd w:val="clear" w:color="auto" w:fill="CCEEFF"/>
            <w:vAlign w:val="center"/>
            <w:hideMark/>
          </w:tcPr>
          <w:p w14:paraId="3BEC5D6A" w14:textId="77777777" w:rsidR="00000000" w:rsidRDefault="0015578C">
            <w:pPr>
              <w:pStyle w:val="a3"/>
              <w:spacing w:before="0" w:beforeAutospacing="0" w:after="0" w:afterAutospacing="0"/>
              <w:jc w:val="center"/>
              <w:rPr>
                <w:sz w:val="20"/>
                <w:szCs w:val="20"/>
              </w:rPr>
            </w:pPr>
            <w:r>
              <w:rPr>
                <w:sz w:val="20"/>
                <w:szCs w:val="20"/>
              </w:rPr>
              <w:t> Measured + Indicated</w:t>
            </w:r>
          </w:p>
        </w:tc>
        <w:tc>
          <w:tcPr>
            <w:tcW w:w="550" w:type="pct"/>
            <w:tcBorders>
              <w:top w:val="single" w:sz="6" w:space="0" w:color="000000"/>
              <w:left w:val="single" w:sz="6" w:space="0" w:color="000000"/>
            </w:tcBorders>
            <w:shd w:val="clear" w:color="auto" w:fill="CCEEFF"/>
            <w:vAlign w:val="center"/>
            <w:hideMark/>
          </w:tcPr>
          <w:p w14:paraId="75C874EF" w14:textId="77777777" w:rsidR="00000000" w:rsidRDefault="0015578C">
            <w:pPr>
              <w:pStyle w:val="a3"/>
              <w:spacing w:before="0" w:beforeAutospacing="0" w:after="0" w:afterAutospacing="0"/>
              <w:jc w:val="center"/>
              <w:rPr>
                <w:sz w:val="20"/>
                <w:szCs w:val="20"/>
              </w:rPr>
            </w:pPr>
            <w:r>
              <w:rPr>
                <w:sz w:val="20"/>
                <w:szCs w:val="20"/>
              </w:rPr>
              <w:t>2,441,647</w:t>
            </w:r>
          </w:p>
        </w:tc>
        <w:tc>
          <w:tcPr>
            <w:tcW w:w="400" w:type="pct"/>
            <w:tcBorders>
              <w:top w:val="single" w:sz="6" w:space="0" w:color="000000"/>
              <w:left w:val="single" w:sz="6" w:space="0" w:color="000000"/>
            </w:tcBorders>
            <w:shd w:val="clear" w:color="auto" w:fill="CCEEFF"/>
            <w:vAlign w:val="center"/>
            <w:hideMark/>
          </w:tcPr>
          <w:p w14:paraId="263AF554" w14:textId="77777777" w:rsidR="00000000" w:rsidRDefault="0015578C">
            <w:pPr>
              <w:pStyle w:val="a3"/>
              <w:spacing w:before="0" w:beforeAutospacing="0" w:after="0" w:afterAutospacing="0"/>
              <w:jc w:val="center"/>
              <w:rPr>
                <w:sz w:val="20"/>
                <w:szCs w:val="20"/>
              </w:rPr>
            </w:pPr>
            <w:r>
              <w:rPr>
                <w:sz w:val="20"/>
                <w:szCs w:val="20"/>
              </w:rPr>
              <w:t>10.62</w:t>
            </w:r>
          </w:p>
        </w:tc>
        <w:tc>
          <w:tcPr>
            <w:tcW w:w="400" w:type="pct"/>
            <w:tcBorders>
              <w:top w:val="single" w:sz="6" w:space="0" w:color="000000"/>
              <w:left w:val="single" w:sz="6" w:space="0" w:color="000000"/>
            </w:tcBorders>
            <w:shd w:val="clear" w:color="auto" w:fill="CCEEFF"/>
            <w:vAlign w:val="center"/>
            <w:hideMark/>
          </w:tcPr>
          <w:p w14:paraId="3EE25EC6" w14:textId="77777777" w:rsidR="00000000" w:rsidRDefault="0015578C">
            <w:pPr>
              <w:pStyle w:val="a3"/>
              <w:spacing w:before="0" w:beforeAutospacing="0" w:after="0" w:afterAutospacing="0"/>
              <w:jc w:val="center"/>
              <w:rPr>
                <w:sz w:val="20"/>
                <w:szCs w:val="20"/>
              </w:rPr>
            </w:pPr>
            <w:r>
              <w:rPr>
                <w:sz w:val="20"/>
                <w:szCs w:val="20"/>
              </w:rPr>
              <w:t>15.05</w:t>
            </w:r>
          </w:p>
        </w:tc>
        <w:tc>
          <w:tcPr>
            <w:tcW w:w="400" w:type="pct"/>
            <w:tcBorders>
              <w:top w:val="single" w:sz="6" w:space="0" w:color="000000"/>
              <w:left w:val="single" w:sz="6" w:space="0" w:color="000000"/>
            </w:tcBorders>
            <w:shd w:val="clear" w:color="auto" w:fill="CCEEFF"/>
            <w:vAlign w:val="center"/>
            <w:hideMark/>
          </w:tcPr>
          <w:p w14:paraId="0D5AA1CF" w14:textId="77777777" w:rsidR="00000000" w:rsidRDefault="0015578C">
            <w:pPr>
              <w:pStyle w:val="a3"/>
              <w:spacing w:before="0" w:beforeAutospacing="0" w:after="0" w:afterAutospacing="0"/>
              <w:jc w:val="center"/>
              <w:rPr>
                <w:sz w:val="20"/>
                <w:szCs w:val="20"/>
              </w:rPr>
            </w:pPr>
            <w:r>
              <w:rPr>
                <w:sz w:val="20"/>
                <w:szCs w:val="20"/>
              </w:rPr>
              <w:t>1.33</w:t>
            </w:r>
          </w:p>
        </w:tc>
        <w:tc>
          <w:tcPr>
            <w:tcW w:w="400" w:type="pct"/>
            <w:tcBorders>
              <w:top w:val="single" w:sz="6" w:space="0" w:color="000000"/>
              <w:left w:val="single" w:sz="6" w:space="0" w:color="000000"/>
            </w:tcBorders>
            <w:shd w:val="clear" w:color="auto" w:fill="CCEEFF"/>
            <w:vAlign w:val="center"/>
            <w:hideMark/>
          </w:tcPr>
          <w:p w14:paraId="68FE2770" w14:textId="77777777" w:rsidR="00000000" w:rsidRDefault="0015578C">
            <w:pPr>
              <w:pStyle w:val="a3"/>
              <w:spacing w:before="0" w:beforeAutospacing="0" w:after="0" w:afterAutospacing="0"/>
              <w:jc w:val="center"/>
              <w:rPr>
                <w:sz w:val="20"/>
                <w:szCs w:val="20"/>
              </w:rPr>
            </w:pPr>
            <w:r>
              <w:rPr>
                <w:sz w:val="20"/>
                <w:szCs w:val="20"/>
              </w:rPr>
              <w:t>2.3</w:t>
            </w:r>
          </w:p>
        </w:tc>
      </w:tr>
      <w:tr w:rsidR="00000000" w14:paraId="31139D70" w14:textId="77777777">
        <w:trPr>
          <w:trHeight w:val="225"/>
          <w:tblCellSpacing w:w="15" w:type="dxa"/>
        </w:trPr>
        <w:tc>
          <w:tcPr>
            <w:tcW w:w="850" w:type="pct"/>
            <w:tcBorders>
              <w:top w:val="single" w:sz="6" w:space="0" w:color="000000"/>
              <w:left w:val="single" w:sz="6" w:space="0" w:color="000000"/>
            </w:tcBorders>
            <w:shd w:val="clear" w:color="auto" w:fill="FFFFFF"/>
            <w:vAlign w:val="center"/>
            <w:hideMark/>
          </w:tcPr>
          <w:p w14:paraId="07DDD37C" w14:textId="77777777" w:rsidR="00000000" w:rsidRDefault="0015578C">
            <w:pPr>
              <w:pStyle w:val="a3"/>
              <w:spacing w:before="0" w:beforeAutospacing="0" w:after="0" w:afterAutospacing="0"/>
              <w:jc w:val="center"/>
              <w:rPr>
                <w:sz w:val="20"/>
                <w:szCs w:val="20"/>
              </w:rPr>
            </w:pPr>
            <w:r>
              <w:rPr>
                <w:sz w:val="20"/>
                <w:szCs w:val="20"/>
              </w:rPr>
              <w:t>Inferred</w:t>
            </w:r>
          </w:p>
        </w:tc>
        <w:tc>
          <w:tcPr>
            <w:tcW w:w="550" w:type="pct"/>
            <w:tcBorders>
              <w:top w:val="single" w:sz="6" w:space="0" w:color="000000"/>
              <w:left w:val="single" w:sz="6" w:space="0" w:color="000000"/>
            </w:tcBorders>
            <w:shd w:val="clear" w:color="auto" w:fill="FFFFFF"/>
            <w:vAlign w:val="center"/>
            <w:hideMark/>
          </w:tcPr>
          <w:p w14:paraId="6406E987" w14:textId="77777777" w:rsidR="00000000" w:rsidRDefault="0015578C">
            <w:pPr>
              <w:pStyle w:val="a3"/>
              <w:spacing w:before="0" w:beforeAutospacing="0" w:after="0" w:afterAutospacing="0"/>
              <w:jc w:val="center"/>
              <w:rPr>
                <w:sz w:val="20"/>
                <w:szCs w:val="20"/>
              </w:rPr>
            </w:pPr>
            <w:r>
              <w:rPr>
                <w:sz w:val="20"/>
                <w:szCs w:val="20"/>
              </w:rPr>
              <w:t>14,858,733</w:t>
            </w:r>
          </w:p>
        </w:tc>
        <w:tc>
          <w:tcPr>
            <w:tcW w:w="400" w:type="pct"/>
            <w:tcBorders>
              <w:top w:val="single" w:sz="6" w:space="0" w:color="000000"/>
              <w:left w:val="single" w:sz="6" w:space="0" w:color="000000"/>
            </w:tcBorders>
            <w:shd w:val="clear" w:color="auto" w:fill="FFFFFF"/>
            <w:vAlign w:val="center"/>
            <w:hideMark/>
          </w:tcPr>
          <w:p w14:paraId="7839C3B2" w14:textId="77777777" w:rsidR="00000000" w:rsidRDefault="0015578C">
            <w:pPr>
              <w:pStyle w:val="a3"/>
              <w:spacing w:before="0" w:beforeAutospacing="0" w:after="0" w:afterAutospacing="0"/>
              <w:jc w:val="center"/>
              <w:rPr>
                <w:sz w:val="20"/>
                <w:szCs w:val="20"/>
              </w:rPr>
            </w:pPr>
            <w:r>
              <w:rPr>
                <w:sz w:val="20"/>
                <w:szCs w:val="20"/>
              </w:rPr>
              <w:t>9.63</w:t>
            </w:r>
          </w:p>
        </w:tc>
        <w:tc>
          <w:tcPr>
            <w:tcW w:w="400" w:type="pct"/>
            <w:tcBorders>
              <w:top w:val="single" w:sz="6" w:space="0" w:color="000000"/>
              <w:left w:val="single" w:sz="6" w:space="0" w:color="000000"/>
            </w:tcBorders>
            <w:shd w:val="clear" w:color="auto" w:fill="FFFFFF"/>
            <w:vAlign w:val="center"/>
            <w:hideMark/>
          </w:tcPr>
          <w:p w14:paraId="5B1573D5" w14:textId="77777777" w:rsidR="00000000" w:rsidRDefault="0015578C">
            <w:pPr>
              <w:pStyle w:val="a3"/>
              <w:spacing w:before="0" w:beforeAutospacing="0" w:after="0" w:afterAutospacing="0"/>
              <w:jc w:val="center"/>
              <w:rPr>
                <w:sz w:val="20"/>
                <w:szCs w:val="20"/>
              </w:rPr>
            </w:pPr>
            <w:r>
              <w:rPr>
                <w:sz w:val="20"/>
                <w:szCs w:val="20"/>
              </w:rPr>
              <w:t>11.28</w:t>
            </w:r>
          </w:p>
        </w:tc>
        <w:tc>
          <w:tcPr>
            <w:tcW w:w="400" w:type="pct"/>
            <w:tcBorders>
              <w:top w:val="single" w:sz="6" w:space="0" w:color="000000"/>
              <w:left w:val="single" w:sz="6" w:space="0" w:color="000000"/>
            </w:tcBorders>
            <w:shd w:val="clear" w:color="auto" w:fill="FFFFFF"/>
            <w:vAlign w:val="center"/>
            <w:hideMark/>
          </w:tcPr>
          <w:p w14:paraId="61098912" w14:textId="77777777" w:rsidR="00000000" w:rsidRDefault="0015578C">
            <w:pPr>
              <w:pStyle w:val="a3"/>
              <w:spacing w:before="0" w:beforeAutospacing="0" w:after="0" w:afterAutospacing="0"/>
              <w:jc w:val="center"/>
              <w:rPr>
                <w:sz w:val="20"/>
                <w:szCs w:val="20"/>
              </w:rPr>
            </w:pPr>
            <w:r>
              <w:rPr>
                <w:sz w:val="20"/>
                <w:szCs w:val="20"/>
              </w:rPr>
              <w:t>1.26</w:t>
            </w:r>
          </w:p>
        </w:tc>
        <w:tc>
          <w:tcPr>
            <w:tcW w:w="400" w:type="pct"/>
            <w:tcBorders>
              <w:top w:val="single" w:sz="6" w:space="0" w:color="000000"/>
              <w:left w:val="single" w:sz="6" w:space="0" w:color="000000"/>
            </w:tcBorders>
            <w:shd w:val="clear" w:color="auto" w:fill="FFFFFF"/>
            <w:vAlign w:val="center"/>
            <w:hideMark/>
          </w:tcPr>
          <w:p w14:paraId="45DC5772" w14:textId="77777777" w:rsidR="00000000" w:rsidRDefault="0015578C">
            <w:pPr>
              <w:pStyle w:val="a3"/>
              <w:spacing w:before="0" w:beforeAutospacing="0" w:after="0" w:afterAutospacing="0"/>
              <w:jc w:val="center"/>
              <w:rPr>
                <w:sz w:val="20"/>
                <w:szCs w:val="20"/>
              </w:rPr>
            </w:pPr>
            <w:r>
              <w:rPr>
                <w:sz w:val="20"/>
                <w:szCs w:val="20"/>
              </w:rPr>
              <w:t>2</w:t>
            </w:r>
          </w:p>
        </w:tc>
      </w:tr>
    </w:tbl>
    <w:p w14:paraId="588B902D" w14:textId="77777777" w:rsidR="00000000" w:rsidRDefault="0015578C">
      <w:pPr>
        <w:pStyle w:val="a3"/>
        <w:spacing w:before="0" w:beforeAutospacing="0" w:after="0" w:afterAutospacing="0"/>
        <w:jc w:val="both"/>
        <w:rPr>
          <w:sz w:val="20"/>
          <w:szCs w:val="20"/>
        </w:rPr>
      </w:pPr>
      <w:r>
        <w:rPr>
          <w:sz w:val="20"/>
          <w:szCs w:val="20"/>
        </w:rPr>
        <w:t xml:space="preserve">     </w:t>
      </w:r>
    </w:p>
    <w:p w14:paraId="7D26FAEA" w14:textId="77777777" w:rsidR="00000000" w:rsidRDefault="0015578C">
      <w:pPr>
        <w:pStyle w:val="a3"/>
        <w:spacing w:before="0" w:beforeAutospacing="0" w:after="0" w:afterAutospacing="0"/>
        <w:jc w:val="both"/>
        <w:rPr>
          <w:sz w:val="20"/>
          <w:szCs w:val="20"/>
        </w:rPr>
      </w:pPr>
      <w:r>
        <w:rPr>
          <w:sz w:val="20"/>
          <w:szCs w:val="20"/>
        </w:rPr>
        <w:t>Mineral resources are not mineral reserves and have not been demonstrated to have economic viability. There is no certainty that the mineral resource will be converted to mineral reserves. The quantity and grade</w:t>
      </w:r>
      <w:r>
        <w:rPr>
          <w:sz w:val="20"/>
          <w:szCs w:val="20"/>
        </w:rPr>
        <w:t xml:space="preserve"> or quality is an estimate and is rounded to reflect the fact that it is an approximation. Quantities may not sum due to rounding.</w:t>
      </w:r>
    </w:p>
    <w:p w14:paraId="5B74EAC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14:paraId="0B958023" w14:textId="77777777">
        <w:trPr>
          <w:trHeight w:val="225"/>
          <w:tblCellSpacing w:w="15" w:type="dxa"/>
        </w:trPr>
        <w:tc>
          <w:tcPr>
            <w:tcW w:w="200" w:type="pct"/>
            <w:hideMark/>
          </w:tcPr>
          <w:p w14:paraId="2F5FB33A"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56B973C" w14:textId="77777777" w:rsidR="00000000" w:rsidRDefault="0015578C">
            <w:pPr>
              <w:pStyle w:val="a3"/>
              <w:spacing w:before="0" w:beforeAutospacing="0" w:after="0" w:afterAutospacing="0"/>
              <w:jc w:val="both"/>
              <w:rPr>
                <w:sz w:val="20"/>
                <w:szCs w:val="20"/>
              </w:rPr>
            </w:pPr>
            <w:r>
              <w:rPr>
                <w:sz w:val="20"/>
                <w:szCs w:val="20"/>
              </w:rPr>
              <w:t>CIM (2014) standards for mineral resources were followed.</w:t>
            </w:r>
          </w:p>
        </w:tc>
      </w:tr>
      <w:tr w:rsidR="00000000" w14:paraId="3516E81F" w14:textId="77777777">
        <w:trPr>
          <w:trHeight w:val="225"/>
          <w:tblCellSpacing w:w="15" w:type="dxa"/>
        </w:trPr>
        <w:tc>
          <w:tcPr>
            <w:tcW w:w="0" w:type="auto"/>
            <w:hideMark/>
          </w:tcPr>
          <w:p w14:paraId="0161800E"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147A5B8D" w14:textId="77777777" w:rsidR="00000000" w:rsidRDefault="0015578C">
            <w:pPr>
              <w:pStyle w:val="a3"/>
              <w:spacing w:before="0" w:beforeAutospacing="0" w:after="0" w:afterAutospacing="0"/>
              <w:jc w:val="both"/>
              <w:rPr>
                <w:sz w:val="20"/>
                <w:szCs w:val="20"/>
              </w:rPr>
            </w:pPr>
            <w:r>
              <w:rPr>
                <w:sz w:val="20"/>
                <w:szCs w:val="20"/>
              </w:rPr>
              <w:t>The effective date of the Mineral Resource Estimate is February 1</w:t>
            </w:r>
            <w:r>
              <w:rPr>
                <w:sz w:val="20"/>
                <w:szCs w:val="20"/>
                <w:vertAlign w:val="superscript"/>
              </w:rPr>
              <w:t>st</w:t>
            </w:r>
            <w:r>
              <w:rPr>
                <w:sz w:val="20"/>
                <w:szCs w:val="20"/>
              </w:rPr>
              <w:t>, 2021.</w:t>
            </w:r>
          </w:p>
        </w:tc>
      </w:tr>
      <w:tr w:rsidR="00000000" w14:paraId="06D382CC" w14:textId="77777777">
        <w:trPr>
          <w:trHeight w:val="225"/>
          <w:tblCellSpacing w:w="15" w:type="dxa"/>
        </w:trPr>
        <w:tc>
          <w:tcPr>
            <w:tcW w:w="0" w:type="auto"/>
            <w:hideMark/>
          </w:tcPr>
          <w:p w14:paraId="4AD3BF92"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8691F1D" w14:textId="77777777" w:rsidR="00000000" w:rsidRDefault="0015578C">
            <w:pPr>
              <w:pStyle w:val="a3"/>
              <w:spacing w:before="0" w:beforeAutospacing="0" w:after="0" w:afterAutospacing="0"/>
              <w:jc w:val="both"/>
              <w:rPr>
                <w:sz w:val="20"/>
                <w:szCs w:val="20"/>
              </w:rPr>
            </w:pPr>
            <w:r>
              <w:rPr>
                <w:sz w:val="20"/>
                <w:szCs w:val="20"/>
              </w:rPr>
              <w:t xml:space="preserve">The mineral resources are reported using a cutoff of US $41.40/t NSR for sub-level mining areas, US $42.93/t for cut and fill, </w:t>
            </w:r>
          </w:p>
          <w:p w14:paraId="33DB803D" w14:textId="77777777" w:rsidR="00000000" w:rsidRDefault="0015578C">
            <w:pPr>
              <w:pStyle w:val="a3"/>
              <w:spacing w:before="0" w:beforeAutospacing="0" w:after="0" w:afterAutospacing="0"/>
              <w:jc w:val="both"/>
              <w:rPr>
                <w:sz w:val="20"/>
                <w:szCs w:val="20"/>
              </w:rPr>
            </w:pPr>
            <w:r>
              <w:rPr>
                <w:sz w:val="20"/>
                <w:szCs w:val="20"/>
              </w:rPr>
              <w:t>and US $40.61/t for room and pillar areas of the m</w:t>
            </w:r>
            <w:r>
              <w:rPr>
                <w:sz w:val="20"/>
                <w:szCs w:val="20"/>
              </w:rPr>
              <w:t>ine.</w:t>
            </w:r>
          </w:p>
        </w:tc>
      </w:tr>
      <w:tr w:rsidR="00000000" w14:paraId="5FD2BEA7" w14:textId="77777777">
        <w:trPr>
          <w:trHeight w:val="225"/>
          <w:tblCellSpacing w:w="15" w:type="dxa"/>
        </w:trPr>
        <w:tc>
          <w:tcPr>
            <w:tcW w:w="0" w:type="auto"/>
            <w:hideMark/>
          </w:tcPr>
          <w:p w14:paraId="7B4D8F64"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982F3E0" w14:textId="77777777" w:rsidR="00000000" w:rsidRDefault="0015578C">
            <w:pPr>
              <w:pStyle w:val="a3"/>
              <w:spacing w:before="0" w:beforeAutospacing="0" w:after="0" w:afterAutospacing="0"/>
              <w:jc w:val="both"/>
              <w:rPr>
                <w:sz w:val="20"/>
                <w:szCs w:val="20"/>
              </w:rPr>
            </w:pPr>
            <w:r>
              <w:rPr>
                <w:sz w:val="20"/>
                <w:szCs w:val="20"/>
              </w:rPr>
              <w:t>The minimum mining thickness was 3 m for sub-levels in cut and fill, and 4 m for room and pillars method.</w:t>
            </w:r>
          </w:p>
        </w:tc>
      </w:tr>
      <w:tr w:rsidR="00000000" w14:paraId="6B56B055" w14:textId="77777777">
        <w:trPr>
          <w:trHeight w:val="225"/>
          <w:tblCellSpacing w:w="15" w:type="dxa"/>
        </w:trPr>
        <w:tc>
          <w:tcPr>
            <w:tcW w:w="0" w:type="auto"/>
            <w:hideMark/>
          </w:tcPr>
          <w:p w14:paraId="32E8E42F"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B86BEE9" w14:textId="77777777" w:rsidR="00000000" w:rsidRDefault="0015578C">
            <w:pPr>
              <w:pStyle w:val="a3"/>
              <w:spacing w:before="0" w:beforeAutospacing="0" w:after="0" w:afterAutospacing="0"/>
              <w:jc w:val="both"/>
              <w:rPr>
                <w:sz w:val="20"/>
                <w:szCs w:val="20"/>
              </w:rPr>
            </w:pPr>
            <w:r>
              <w:rPr>
                <w:sz w:val="20"/>
                <w:szCs w:val="20"/>
              </w:rPr>
              <w:t>Mineral resources are reported exclusive of mineral reserves.</w:t>
            </w:r>
          </w:p>
        </w:tc>
      </w:tr>
      <w:tr w:rsidR="00000000" w14:paraId="723D9933" w14:textId="77777777">
        <w:trPr>
          <w:trHeight w:val="225"/>
          <w:tblCellSpacing w:w="15" w:type="dxa"/>
        </w:trPr>
        <w:tc>
          <w:tcPr>
            <w:tcW w:w="0" w:type="auto"/>
            <w:hideMark/>
          </w:tcPr>
          <w:p w14:paraId="77B795DA"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8FCB877" w14:textId="77777777" w:rsidR="00000000" w:rsidRDefault="0015578C">
            <w:pPr>
              <w:pStyle w:val="a3"/>
              <w:spacing w:before="0" w:beforeAutospacing="0" w:after="0" w:afterAutospacing="0"/>
              <w:jc w:val="both"/>
              <w:rPr>
                <w:sz w:val="20"/>
                <w:szCs w:val="20"/>
              </w:rPr>
            </w:pPr>
            <w:r>
              <w:rPr>
                <w:sz w:val="20"/>
                <w:szCs w:val="20"/>
              </w:rPr>
              <w:t>Mineral resources are not mineral reserves and have not demonstrated econo</w:t>
            </w:r>
            <w:r>
              <w:rPr>
                <w:sz w:val="20"/>
                <w:szCs w:val="20"/>
              </w:rPr>
              <w:t>mic feasibility.</w:t>
            </w:r>
          </w:p>
        </w:tc>
      </w:tr>
      <w:tr w:rsidR="00000000" w14:paraId="6CE0C005" w14:textId="77777777">
        <w:trPr>
          <w:trHeight w:val="225"/>
          <w:tblCellSpacing w:w="15" w:type="dxa"/>
        </w:trPr>
        <w:tc>
          <w:tcPr>
            <w:tcW w:w="0" w:type="auto"/>
            <w:hideMark/>
          </w:tcPr>
          <w:p w14:paraId="402B2FEA"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3D9FD8C" w14:textId="77777777" w:rsidR="00000000" w:rsidRDefault="0015578C">
            <w:pPr>
              <w:pStyle w:val="a3"/>
              <w:spacing w:before="0" w:beforeAutospacing="0" w:after="0" w:afterAutospacing="0"/>
              <w:jc w:val="both"/>
              <w:rPr>
                <w:sz w:val="20"/>
                <w:szCs w:val="20"/>
              </w:rPr>
            </w:pPr>
            <w:r>
              <w:rPr>
                <w:sz w:val="20"/>
                <w:szCs w:val="20"/>
              </w:rPr>
              <w:t>Numbers may not sum correctly due to rounding.</w:t>
            </w:r>
          </w:p>
        </w:tc>
      </w:tr>
    </w:tbl>
    <w:p w14:paraId="053369B2" w14:textId="77777777" w:rsidR="00000000" w:rsidRDefault="0015578C">
      <w:pPr>
        <w:pStyle w:val="a3"/>
        <w:spacing w:before="0" w:beforeAutospacing="0" w:after="0" w:afterAutospacing="0"/>
        <w:jc w:val="both"/>
        <w:rPr>
          <w:sz w:val="20"/>
          <w:szCs w:val="20"/>
        </w:rPr>
      </w:pPr>
      <w:r>
        <w:rPr>
          <w:sz w:val="20"/>
          <w:szCs w:val="20"/>
        </w:rPr>
        <w:t> </w:t>
      </w:r>
    </w:p>
    <w:p w14:paraId="206A781B" w14:textId="77777777" w:rsidR="00000000" w:rsidRDefault="0015578C">
      <w:pPr>
        <w:pStyle w:val="a3"/>
        <w:spacing w:before="0" w:beforeAutospacing="0" w:after="0" w:afterAutospacing="0"/>
        <w:ind w:firstLine="675"/>
        <w:jc w:val="both"/>
        <w:rPr>
          <w:sz w:val="20"/>
          <w:szCs w:val="20"/>
        </w:rPr>
      </w:pPr>
      <w:r>
        <w:rPr>
          <w:sz w:val="20"/>
          <w:szCs w:val="20"/>
        </w:rPr>
        <w:t>Estimates for mineral resources are based on drill results received up to 30 October 2020, with 545 holes and a total length of 136,758.15 m stope shapes for support of economic potential were developed using the stope optimizer tool of Deswik (DSO).</w:t>
      </w:r>
    </w:p>
    <w:p w14:paraId="2F8E5E41" w14:textId="77777777" w:rsidR="00000000" w:rsidRDefault="0015578C">
      <w:pPr>
        <w:pStyle w:val="a3"/>
        <w:spacing w:before="0" w:beforeAutospacing="0" w:after="0" w:afterAutospacing="0"/>
        <w:jc w:val="both"/>
        <w:rPr>
          <w:sz w:val="20"/>
          <w:szCs w:val="20"/>
        </w:rPr>
      </w:pPr>
      <w:r>
        <w:rPr>
          <w:sz w:val="20"/>
          <w:szCs w:val="20"/>
        </w:rPr>
        <w:t> </w:t>
      </w:r>
    </w:p>
    <w:p w14:paraId="03C2B12B" w14:textId="77777777" w:rsidR="00000000" w:rsidRDefault="0015578C">
      <w:pPr>
        <w:pStyle w:val="a3"/>
        <w:spacing w:before="0" w:beforeAutospacing="0" w:after="0" w:afterAutospacing="0"/>
        <w:jc w:val="both"/>
        <w:rPr>
          <w:sz w:val="20"/>
          <w:szCs w:val="20"/>
        </w:rPr>
      </w:pPr>
      <w:r>
        <w:rPr>
          <w:sz w:val="20"/>
          <w:szCs w:val="20"/>
        </w:rPr>
        <w:t>11.</w:t>
      </w:r>
      <w:r>
        <w:rPr>
          <w:sz w:val="20"/>
          <w:szCs w:val="20"/>
          <w:u w:val="single"/>
        </w:rPr>
        <w:t xml:space="preserve"> Mining Operations</w:t>
      </w:r>
    </w:p>
    <w:p w14:paraId="5F137205" w14:textId="77777777" w:rsidR="00000000" w:rsidRDefault="0015578C">
      <w:pPr>
        <w:pStyle w:val="a3"/>
        <w:spacing w:before="0" w:beforeAutospacing="0" w:after="0" w:afterAutospacing="0"/>
        <w:jc w:val="both"/>
        <w:rPr>
          <w:sz w:val="20"/>
          <w:szCs w:val="20"/>
        </w:rPr>
      </w:pPr>
      <w:r>
        <w:rPr>
          <w:sz w:val="20"/>
          <w:szCs w:val="20"/>
        </w:rPr>
        <w:t> </w:t>
      </w:r>
    </w:p>
    <w:p w14:paraId="080A1AE3" w14:textId="77777777" w:rsidR="00000000" w:rsidRDefault="0015578C">
      <w:pPr>
        <w:pStyle w:val="a3"/>
        <w:spacing w:before="0" w:beforeAutospacing="0" w:after="0" w:afterAutospacing="0"/>
        <w:ind w:firstLine="675"/>
        <w:jc w:val="both"/>
        <w:rPr>
          <w:sz w:val="20"/>
          <w:szCs w:val="20"/>
        </w:rPr>
      </w:pPr>
      <w:r>
        <w:rPr>
          <w:sz w:val="20"/>
          <w:szCs w:val="20"/>
        </w:rPr>
        <w:t xml:space="preserve">No commercial mining operations to recover metals have occurred on the project.  </w:t>
      </w:r>
      <w:r>
        <w:rPr>
          <w:sz w:val="20"/>
          <w:szCs w:val="20"/>
        </w:rPr>
        <w:t xml:space="preserve">However, in September 2010 Nexa initiated an underground tunneling program to access mineralization and completed its underground work in 2013.  As of December 31, 2022, 700 meters of tunneling were completed. </w:t>
      </w:r>
    </w:p>
    <w:p w14:paraId="06B62D9E" w14:textId="77777777" w:rsidR="00000000" w:rsidRDefault="0015578C">
      <w:pPr>
        <w:pStyle w:val="a3"/>
        <w:spacing w:before="0" w:beforeAutospacing="0" w:after="0" w:afterAutospacing="0"/>
        <w:jc w:val="both"/>
        <w:rPr>
          <w:sz w:val="20"/>
          <w:szCs w:val="20"/>
        </w:rPr>
      </w:pPr>
      <w:r>
        <w:rPr>
          <w:sz w:val="20"/>
          <w:szCs w:val="20"/>
        </w:rPr>
        <w:t> </w:t>
      </w:r>
    </w:p>
    <w:p w14:paraId="1600ADE3" w14:textId="77777777" w:rsidR="00000000" w:rsidRDefault="0015578C">
      <w:pPr>
        <w:pStyle w:val="a3"/>
        <w:spacing w:before="0" w:beforeAutospacing="0" w:after="0" w:afterAutospacing="0"/>
        <w:jc w:val="both"/>
        <w:rPr>
          <w:sz w:val="20"/>
          <w:szCs w:val="20"/>
        </w:rPr>
      </w:pPr>
      <w:r>
        <w:rPr>
          <w:sz w:val="20"/>
          <w:szCs w:val="20"/>
        </w:rPr>
        <w:t xml:space="preserve">12. </w:t>
      </w:r>
      <w:r>
        <w:rPr>
          <w:sz w:val="20"/>
          <w:szCs w:val="20"/>
          <w:u w:val="single"/>
        </w:rPr>
        <w:t xml:space="preserve">Planned Exploration and Development </w:t>
      </w:r>
    </w:p>
    <w:p w14:paraId="331BACBD" w14:textId="77777777" w:rsidR="00000000" w:rsidRDefault="0015578C">
      <w:pPr>
        <w:pStyle w:val="a3"/>
        <w:spacing w:before="0" w:beforeAutospacing="0" w:after="0" w:afterAutospacing="0"/>
        <w:jc w:val="both"/>
        <w:rPr>
          <w:sz w:val="20"/>
          <w:szCs w:val="20"/>
        </w:rPr>
      </w:pPr>
      <w:r>
        <w:rPr>
          <w:sz w:val="20"/>
          <w:szCs w:val="20"/>
        </w:rPr>
        <w:t> </w:t>
      </w:r>
    </w:p>
    <w:p w14:paraId="47BEAF3E" w14:textId="77777777" w:rsidR="00000000" w:rsidRDefault="0015578C">
      <w:pPr>
        <w:pStyle w:val="a3"/>
        <w:spacing w:before="0" w:beforeAutospacing="0" w:after="0" w:afterAutospacing="0"/>
        <w:ind w:firstLine="675"/>
        <w:jc w:val="both"/>
        <w:rPr>
          <w:sz w:val="20"/>
          <w:szCs w:val="20"/>
        </w:rPr>
      </w:pPr>
      <w:r>
        <w:rPr>
          <w:sz w:val="20"/>
          <w:szCs w:val="20"/>
        </w:rPr>
        <w:t>Nexa plans to conduct a 4,000-to-5,000-meter core drilling program on the Florida Canyon project during 2023.  The program is focused on testing for southern extensions to the very well mineralized San Jorge and Sam structure and associated mantos bodies. </w:t>
      </w:r>
      <w:r>
        <w:rPr>
          <w:sz w:val="20"/>
          <w:szCs w:val="20"/>
        </w:rPr>
        <w:t xml:space="preserve"> Drilling is also being considered in the Karen-Milagros and Sam areas to the north of the current resources.  </w:t>
      </w:r>
    </w:p>
    <w:p w14:paraId="7955BC88" w14:textId="77777777" w:rsidR="00000000" w:rsidRDefault="0015578C">
      <w:pPr>
        <w:pStyle w:val="a3"/>
        <w:spacing w:before="0" w:beforeAutospacing="0" w:after="0" w:afterAutospacing="0"/>
        <w:jc w:val="both"/>
        <w:rPr>
          <w:sz w:val="20"/>
          <w:szCs w:val="20"/>
        </w:rPr>
      </w:pPr>
      <w:r>
        <w:rPr>
          <w:sz w:val="20"/>
          <w:szCs w:val="20"/>
        </w:rPr>
        <w:t> </w:t>
      </w:r>
    </w:p>
    <w:p w14:paraId="692E9388" w14:textId="77777777" w:rsidR="00000000" w:rsidRDefault="0015578C">
      <w:pPr>
        <w:pStyle w:val="a3"/>
        <w:spacing w:before="0" w:beforeAutospacing="0" w:after="0" w:afterAutospacing="0"/>
        <w:jc w:val="both"/>
        <w:rPr>
          <w:sz w:val="20"/>
          <w:szCs w:val="20"/>
        </w:rPr>
      </w:pPr>
      <w:r>
        <w:rPr>
          <w:rStyle w:val="a4"/>
          <w:sz w:val="20"/>
          <w:szCs w:val="20"/>
        </w:rPr>
        <w:t>Lik Zinc Project (Alaska)</w:t>
      </w:r>
    </w:p>
    <w:p w14:paraId="3ADEB86D" w14:textId="77777777" w:rsidR="00000000" w:rsidRDefault="0015578C">
      <w:pPr>
        <w:pStyle w:val="a3"/>
        <w:spacing w:before="0" w:beforeAutospacing="0" w:after="0" w:afterAutospacing="0"/>
        <w:jc w:val="both"/>
        <w:rPr>
          <w:sz w:val="20"/>
          <w:szCs w:val="20"/>
        </w:rPr>
      </w:pPr>
      <w:r>
        <w:rPr>
          <w:sz w:val="20"/>
          <w:szCs w:val="20"/>
        </w:rPr>
        <w:t> </w:t>
      </w:r>
    </w:p>
    <w:p w14:paraId="0D55F648" w14:textId="77777777" w:rsidR="00000000" w:rsidRDefault="0015578C">
      <w:pPr>
        <w:pStyle w:val="a3"/>
        <w:spacing w:before="0" w:beforeAutospacing="0" w:after="0" w:afterAutospacing="0"/>
        <w:ind w:firstLine="675"/>
        <w:jc w:val="both"/>
        <w:rPr>
          <w:sz w:val="20"/>
          <w:szCs w:val="20"/>
        </w:rPr>
      </w:pPr>
      <w:r>
        <w:rPr>
          <w:sz w:val="20"/>
          <w:szCs w:val="20"/>
        </w:rPr>
        <w:t xml:space="preserve">Gustavson &amp; Associates completed the S-K 1300 Lik TRS which is entitled </w:t>
      </w:r>
      <w:r>
        <w:rPr>
          <w:rStyle w:val="a7"/>
          <w:sz w:val="20"/>
          <w:szCs w:val="20"/>
        </w:rPr>
        <w:t>S-K 1300 Technical Report Summary Lik Zinc</w:t>
      </w:r>
      <w:r>
        <w:rPr>
          <w:rStyle w:val="a7"/>
          <w:sz w:val="20"/>
          <w:szCs w:val="20"/>
        </w:rPr>
        <w:t xml:space="preserve"> Project,</w:t>
      </w:r>
      <w:r>
        <w:rPr>
          <w:sz w:val="20"/>
          <w:szCs w:val="20"/>
        </w:rPr>
        <w:t xml:space="preserve"> </w:t>
      </w:r>
      <w:r>
        <w:rPr>
          <w:rStyle w:val="a7"/>
          <w:sz w:val="20"/>
          <w:szCs w:val="20"/>
        </w:rPr>
        <w:t xml:space="preserve">Northwest Arctic Borough, Alaska, USA: Effective Date: December 31, 2021, Report Date: March 11, 2022. </w:t>
      </w:r>
      <w:r>
        <w:rPr>
          <w:sz w:val="20"/>
          <w:szCs w:val="20"/>
        </w:rPr>
        <w:t> </w:t>
      </w:r>
    </w:p>
    <w:p w14:paraId="35D5E2FA" w14:textId="77777777" w:rsidR="00000000" w:rsidRDefault="0015578C">
      <w:pPr>
        <w:pStyle w:val="a3"/>
        <w:spacing w:before="0" w:beforeAutospacing="0" w:after="0" w:afterAutospacing="0"/>
        <w:ind w:firstLine="675"/>
        <w:jc w:val="both"/>
        <w:rPr>
          <w:sz w:val="20"/>
          <w:szCs w:val="20"/>
        </w:rPr>
      </w:pPr>
      <w:r>
        <w:rPr>
          <w:sz w:val="20"/>
          <w:szCs w:val="20"/>
        </w:rPr>
        <w:t> </w:t>
      </w:r>
    </w:p>
    <w:p w14:paraId="69715AD9" w14:textId="77777777" w:rsidR="00000000" w:rsidRDefault="0015578C">
      <w:pPr>
        <w:pStyle w:val="a3"/>
        <w:spacing w:before="0" w:beforeAutospacing="0" w:after="0" w:afterAutospacing="0"/>
        <w:ind w:firstLine="675"/>
        <w:jc w:val="both"/>
        <w:rPr>
          <w:sz w:val="20"/>
          <w:szCs w:val="20"/>
        </w:rPr>
      </w:pPr>
      <w:r>
        <w:rPr>
          <w:sz w:val="20"/>
          <w:szCs w:val="20"/>
        </w:rPr>
        <w:t>The following summary descriptions of the Lik Zinc project does not purport to be a complete description and is qualified in its entirety b</w:t>
      </w:r>
      <w:r>
        <w:rPr>
          <w:sz w:val="20"/>
          <w:szCs w:val="20"/>
        </w:rPr>
        <w:t>y reference to the full text of the S-K 1300 Lik TRS, which is Exhibit 96.2 to this Annual Report on Form 10-K and is incorporated by reference herein.  There has not been material change in the mineral reserves or mineral resources for the Lik project sin</w:t>
      </w:r>
      <w:r>
        <w:rPr>
          <w:sz w:val="20"/>
          <w:szCs w:val="20"/>
        </w:rPr>
        <w:t>ce the date of the last technical report summary for the property.</w:t>
      </w:r>
    </w:p>
    <w:p w14:paraId="3CB7225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E1D3E1F" w14:textId="77777777">
        <w:trPr>
          <w:trHeight w:val="225"/>
          <w:tblCellSpacing w:w="15" w:type="dxa"/>
        </w:trPr>
        <w:tc>
          <w:tcPr>
            <w:tcW w:w="0" w:type="auto"/>
            <w:vAlign w:val="center"/>
            <w:hideMark/>
          </w:tcPr>
          <w:p w14:paraId="58ADC9A2" w14:textId="77777777" w:rsidR="00000000" w:rsidRDefault="0015578C">
            <w:pPr>
              <w:rPr>
                <w:rFonts w:eastAsia="Times New Roman"/>
                <w:sz w:val="20"/>
                <w:szCs w:val="20"/>
              </w:rPr>
            </w:pPr>
            <w:r>
              <w:rPr>
                <w:rFonts w:eastAsia="Times New Roman"/>
                <w:sz w:val="20"/>
                <w:szCs w:val="20"/>
              </w:rPr>
              <w:t> </w:t>
            </w:r>
          </w:p>
        </w:tc>
      </w:tr>
      <w:tr w:rsidR="00000000" w14:paraId="0144AA35" w14:textId="77777777">
        <w:trPr>
          <w:trHeight w:val="225"/>
          <w:tblCellSpacing w:w="15" w:type="dxa"/>
        </w:trPr>
        <w:tc>
          <w:tcPr>
            <w:tcW w:w="0" w:type="auto"/>
            <w:tcBorders>
              <w:bottom w:val="single" w:sz="6" w:space="0" w:color="000000"/>
            </w:tcBorders>
            <w:vAlign w:val="center"/>
            <w:hideMark/>
          </w:tcPr>
          <w:p w14:paraId="62E4DED0" w14:textId="77777777" w:rsidR="00000000" w:rsidRDefault="0015578C">
            <w:pPr>
              <w:jc w:val="center"/>
              <w:rPr>
                <w:rFonts w:eastAsia="Times New Roman"/>
                <w:sz w:val="20"/>
                <w:szCs w:val="20"/>
              </w:rPr>
            </w:pPr>
            <w:r>
              <w:rPr>
                <w:rFonts w:eastAsia="Times New Roman"/>
                <w:sz w:val="20"/>
                <w:szCs w:val="20"/>
              </w:rPr>
              <w:t>26</w:t>
            </w:r>
          </w:p>
        </w:tc>
      </w:tr>
      <w:tr w:rsidR="00000000" w14:paraId="07BC8D80" w14:textId="77777777">
        <w:trPr>
          <w:trHeight w:val="225"/>
          <w:tblCellSpacing w:w="15" w:type="dxa"/>
        </w:trPr>
        <w:tc>
          <w:tcPr>
            <w:tcW w:w="0" w:type="auto"/>
            <w:vAlign w:val="center"/>
            <w:hideMark/>
          </w:tcPr>
          <w:p w14:paraId="42426229" w14:textId="77777777" w:rsidR="00000000" w:rsidRDefault="0015578C">
            <w:pPr>
              <w:rPr>
                <w:rFonts w:eastAsia="Times New Roman"/>
                <w:sz w:val="20"/>
                <w:szCs w:val="20"/>
              </w:rPr>
            </w:pPr>
          </w:p>
        </w:tc>
      </w:tr>
      <w:tr w:rsidR="00000000" w14:paraId="2A650519" w14:textId="77777777">
        <w:trPr>
          <w:trHeight w:val="225"/>
          <w:tblCellSpacing w:w="15" w:type="dxa"/>
        </w:trPr>
        <w:tc>
          <w:tcPr>
            <w:tcW w:w="0" w:type="auto"/>
            <w:vAlign w:val="center"/>
            <w:hideMark/>
          </w:tcPr>
          <w:p w14:paraId="678D14D4"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0816222" w14:textId="77777777" w:rsidR="00000000" w:rsidRDefault="0015578C">
      <w:pPr>
        <w:pStyle w:val="a3"/>
        <w:spacing w:before="0" w:beforeAutospacing="0" w:after="0" w:afterAutospacing="0"/>
        <w:jc w:val="both"/>
        <w:rPr>
          <w:sz w:val="20"/>
          <w:szCs w:val="20"/>
        </w:rPr>
      </w:pPr>
      <w:r>
        <w:rPr>
          <w:sz w:val="20"/>
          <w:szCs w:val="20"/>
        </w:rPr>
        <w:t> </w:t>
      </w:r>
    </w:p>
    <w:p w14:paraId="7E9E61DA" w14:textId="77777777" w:rsidR="00000000" w:rsidRDefault="0015578C">
      <w:pPr>
        <w:pStyle w:val="a3"/>
        <w:spacing w:before="0" w:beforeAutospacing="0" w:after="0" w:afterAutospacing="0"/>
        <w:jc w:val="both"/>
        <w:rPr>
          <w:sz w:val="20"/>
          <w:szCs w:val="20"/>
        </w:rPr>
      </w:pPr>
      <w:r>
        <w:rPr>
          <w:sz w:val="20"/>
          <w:szCs w:val="20"/>
        </w:rPr>
        <w:t xml:space="preserve">1.  </w:t>
      </w:r>
      <w:r>
        <w:rPr>
          <w:sz w:val="20"/>
          <w:szCs w:val="20"/>
          <w:u w:val="single"/>
        </w:rPr>
        <w:t>Property Description and Location</w:t>
      </w:r>
    </w:p>
    <w:p w14:paraId="1D1CEE8C" w14:textId="77777777" w:rsidR="00000000" w:rsidRDefault="0015578C">
      <w:pPr>
        <w:pStyle w:val="a3"/>
        <w:spacing w:before="0" w:beforeAutospacing="0" w:after="0" w:afterAutospacing="0"/>
        <w:jc w:val="both"/>
        <w:rPr>
          <w:sz w:val="20"/>
          <w:szCs w:val="20"/>
        </w:rPr>
      </w:pPr>
      <w:r>
        <w:rPr>
          <w:sz w:val="20"/>
          <w:szCs w:val="20"/>
        </w:rPr>
        <w:t> </w:t>
      </w:r>
    </w:p>
    <w:p w14:paraId="79F823BC" w14:textId="77777777" w:rsidR="00000000" w:rsidRDefault="0015578C">
      <w:pPr>
        <w:pStyle w:val="a3"/>
        <w:spacing w:before="0" w:beforeAutospacing="0" w:after="0" w:afterAutospacing="0"/>
        <w:jc w:val="both"/>
        <w:rPr>
          <w:sz w:val="20"/>
          <w:szCs w:val="20"/>
        </w:rPr>
      </w:pPr>
      <w:r>
        <w:rPr>
          <w:sz w:val="20"/>
          <w:szCs w:val="20"/>
        </w:rPr>
        <w:t>(Map of Lik property) Lik.jpg</w:t>
      </w:r>
    </w:p>
    <w:p w14:paraId="3F7FC9F3" w14:textId="77777777" w:rsidR="00000000" w:rsidRDefault="0015578C">
      <w:pPr>
        <w:pStyle w:val="a3"/>
        <w:spacing w:before="0" w:beforeAutospacing="0" w:after="0" w:afterAutospacing="0"/>
        <w:jc w:val="both"/>
        <w:rPr>
          <w:sz w:val="20"/>
          <w:szCs w:val="20"/>
        </w:rPr>
      </w:pPr>
      <w:r>
        <w:rPr>
          <w:sz w:val="20"/>
          <w:szCs w:val="20"/>
        </w:rPr>
        <w:t xml:space="preserve">   </w:t>
      </w:r>
    </w:p>
    <w:p w14:paraId="2473436C" w14:textId="77777777" w:rsidR="00000000" w:rsidRDefault="0015578C">
      <w:pPr>
        <w:pStyle w:val="a3"/>
        <w:spacing w:before="0" w:beforeAutospacing="0" w:after="0" w:afterAutospacing="0"/>
        <w:jc w:val="center"/>
        <w:rPr>
          <w:sz w:val="20"/>
          <w:szCs w:val="20"/>
        </w:rPr>
      </w:pPr>
      <w:r>
        <w:rPr>
          <w:noProof/>
          <w:sz w:val="20"/>
          <w:szCs w:val="20"/>
        </w:rPr>
        <w:drawing>
          <wp:inline distT="0" distB="0" distL="0" distR="0" wp14:anchorId="7AA6719E" wp14:editId="5E61B50E">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EE5F65" w14:textId="77777777" w:rsidR="00000000" w:rsidRDefault="0015578C">
      <w:pPr>
        <w:pStyle w:val="a3"/>
        <w:spacing w:before="0" w:beforeAutospacing="0" w:after="0" w:afterAutospacing="0"/>
        <w:jc w:val="both"/>
        <w:rPr>
          <w:sz w:val="20"/>
          <w:szCs w:val="20"/>
        </w:rPr>
      </w:pPr>
      <w:r>
        <w:rPr>
          <w:sz w:val="20"/>
          <w:szCs w:val="20"/>
        </w:rPr>
        <w:t>   </w:t>
      </w:r>
    </w:p>
    <w:p w14:paraId="77CEABBC" w14:textId="77777777" w:rsidR="00000000" w:rsidRDefault="0015578C">
      <w:pPr>
        <w:pStyle w:val="a3"/>
        <w:spacing w:before="0" w:beforeAutospacing="0" w:after="0" w:afterAutospacing="0"/>
        <w:ind w:firstLine="675"/>
        <w:jc w:val="both"/>
        <w:rPr>
          <w:sz w:val="20"/>
          <w:szCs w:val="20"/>
        </w:rPr>
      </w:pPr>
      <w:r>
        <w:rPr>
          <w:sz w:val="20"/>
          <w:szCs w:val="20"/>
        </w:rPr>
        <w:t>The Lik property consists of 47 contiguous Alaska state mining claims. The contiguous claims have been grouped together for the purpose of working and operating under a common plan of development for the</w:t>
      </w:r>
      <w:r>
        <w:rPr>
          <w:sz w:val="20"/>
          <w:szCs w:val="20"/>
        </w:rPr>
        <w:t xml:space="preserve"> benefit of all of the claims. The claims cover an area of approximately 6,075 acres (2,460 ha). The claims are located in the southwestern DeLong Mountains in the Wulik River drainage. </w:t>
      </w:r>
    </w:p>
    <w:p w14:paraId="4E9F49DA" w14:textId="77777777" w:rsidR="00000000" w:rsidRDefault="0015578C">
      <w:pPr>
        <w:pStyle w:val="a3"/>
        <w:spacing w:before="0" w:beforeAutospacing="0" w:after="0" w:afterAutospacing="0"/>
        <w:ind w:firstLine="675"/>
        <w:jc w:val="both"/>
        <w:rPr>
          <w:sz w:val="20"/>
          <w:szCs w:val="20"/>
        </w:rPr>
      </w:pPr>
      <w:r>
        <w:rPr>
          <w:sz w:val="20"/>
          <w:szCs w:val="20"/>
        </w:rPr>
        <w:t> </w:t>
      </w:r>
    </w:p>
    <w:p w14:paraId="4FE10217" w14:textId="77777777" w:rsidR="00000000" w:rsidRDefault="0015578C">
      <w:pPr>
        <w:pStyle w:val="a3"/>
        <w:spacing w:before="0" w:beforeAutospacing="0" w:after="0" w:afterAutospacing="0"/>
        <w:ind w:firstLine="675"/>
        <w:jc w:val="both"/>
        <w:rPr>
          <w:sz w:val="20"/>
          <w:szCs w:val="20"/>
        </w:rPr>
      </w:pPr>
      <w:r>
        <w:rPr>
          <w:sz w:val="20"/>
          <w:szCs w:val="20"/>
        </w:rPr>
        <w:t>To retain the state claims, the Company is required to make annual rental payments to the State of Alaska.  The estimated rental payments for 2022 are $9,000. Property holders are also required to perform assessment work with the amount dependent on the ar</w:t>
      </w:r>
      <w:r>
        <w:rPr>
          <w:sz w:val="20"/>
          <w:szCs w:val="20"/>
        </w:rPr>
        <w:t>ea of the State claims.  Excess assessment expenditure credits may be carried forward for a maximum of four years. If required, payments may be made in lieu of work to allow retention of the property for a period of five consecutive years.  The geographica</w:t>
      </w:r>
      <w:r>
        <w:rPr>
          <w:sz w:val="20"/>
          <w:szCs w:val="20"/>
        </w:rPr>
        <w:t>l coordinates of the Lik deposit are approximately 163</w:t>
      </w:r>
      <w:r>
        <w:rPr>
          <w:sz w:val="20"/>
          <w:szCs w:val="20"/>
          <w:vertAlign w:val="superscript"/>
        </w:rPr>
        <w:t>o</w:t>
      </w:r>
      <w:r>
        <w:rPr>
          <w:sz w:val="20"/>
          <w:szCs w:val="20"/>
        </w:rPr>
        <w:t xml:space="preserve"> 12’ W and 68</w:t>
      </w:r>
      <w:r>
        <w:rPr>
          <w:sz w:val="20"/>
          <w:szCs w:val="20"/>
          <w:vertAlign w:val="superscript"/>
        </w:rPr>
        <w:t>o</w:t>
      </w:r>
      <w:r>
        <w:rPr>
          <w:sz w:val="20"/>
          <w:szCs w:val="20"/>
        </w:rPr>
        <w:t xml:space="preserve"> 10’ N. The figure above illustrates the location of the Lik property.</w:t>
      </w:r>
    </w:p>
    <w:p w14:paraId="061A1AA7" w14:textId="77777777" w:rsidR="00000000" w:rsidRDefault="0015578C">
      <w:pPr>
        <w:pStyle w:val="a3"/>
        <w:spacing w:before="0" w:beforeAutospacing="0" w:after="0" w:afterAutospacing="0"/>
        <w:jc w:val="both"/>
        <w:rPr>
          <w:sz w:val="20"/>
          <w:szCs w:val="20"/>
        </w:rPr>
      </w:pPr>
      <w:r>
        <w:rPr>
          <w:sz w:val="20"/>
          <w:szCs w:val="20"/>
        </w:rPr>
        <w:t> </w:t>
      </w:r>
    </w:p>
    <w:p w14:paraId="327D3A88" w14:textId="77777777" w:rsidR="00000000" w:rsidRDefault="0015578C">
      <w:pPr>
        <w:pStyle w:val="a3"/>
        <w:spacing w:before="0" w:beforeAutospacing="0" w:after="0" w:afterAutospacing="0"/>
        <w:jc w:val="both"/>
        <w:rPr>
          <w:sz w:val="20"/>
          <w:szCs w:val="20"/>
        </w:rPr>
      </w:pPr>
      <w:r>
        <w:rPr>
          <w:sz w:val="20"/>
          <w:szCs w:val="20"/>
        </w:rPr>
        <w:t xml:space="preserve">2.  </w:t>
      </w:r>
      <w:r>
        <w:rPr>
          <w:sz w:val="20"/>
          <w:szCs w:val="20"/>
          <w:u w:val="single"/>
        </w:rPr>
        <w:t>Acquisition History and Joint Venture Arrangement</w:t>
      </w:r>
    </w:p>
    <w:p w14:paraId="093B4049" w14:textId="77777777" w:rsidR="00000000" w:rsidRDefault="0015578C">
      <w:pPr>
        <w:pStyle w:val="a3"/>
        <w:spacing w:before="0" w:beforeAutospacing="0" w:after="0" w:afterAutospacing="0"/>
        <w:jc w:val="both"/>
        <w:rPr>
          <w:sz w:val="20"/>
          <w:szCs w:val="20"/>
        </w:rPr>
      </w:pPr>
      <w:r>
        <w:rPr>
          <w:sz w:val="20"/>
          <w:szCs w:val="20"/>
        </w:rPr>
        <w:t> </w:t>
      </w:r>
    </w:p>
    <w:p w14:paraId="411DF1EF" w14:textId="77777777" w:rsidR="00000000" w:rsidRDefault="0015578C">
      <w:pPr>
        <w:pStyle w:val="a3"/>
        <w:spacing w:before="0" w:beforeAutospacing="0" w:after="0" w:afterAutospacing="0"/>
        <w:ind w:firstLine="675"/>
        <w:jc w:val="both"/>
        <w:rPr>
          <w:sz w:val="20"/>
          <w:szCs w:val="20"/>
        </w:rPr>
      </w:pPr>
      <w:r>
        <w:rPr>
          <w:sz w:val="20"/>
          <w:szCs w:val="20"/>
        </w:rPr>
        <w:t>Solitario acquired its 50% interest in the Lik property fr</w:t>
      </w:r>
      <w:r>
        <w:rPr>
          <w:sz w:val="20"/>
          <w:szCs w:val="20"/>
        </w:rPr>
        <w:t>om the acquisition of Zazu Metals Corp (“Zazu”) on July 12, 2017.  As a result of the acquisition, Zazu became a wholly owned subsidiary of Solitario.   Prior to that, Zazu acquired its 50% interest in the Lik property from GCO Minerals Company, a wholly o</w:t>
      </w:r>
      <w:r>
        <w:rPr>
          <w:sz w:val="20"/>
          <w:szCs w:val="20"/>
        </w:rPr>
        <w:t>wned subsidiary of the International Paper Company (“GCO”), on June 28, 2007 by making a cash payment to GCO of $20,000,000 and granting GCO a 2% net proceeds interest. GCO also owns an additional 1% net profits interest in the Lik property from a 1997 agr</w:t>
      </w:r>
      <w:r>
        <w:rPr>
          <w:sz w:val="20"/>
          <w:szCs w:val="20"/>
        </w:rPr>
        <w:t xml:space="preserve">eement.  </w:t>
      </w:r>
    </w:p>
    <w:p w14:paraId="34D72741" w14:textId="77777777" w:rsidR="00000000" w:rsidRDefault="0015578C">
      <w:pPr>
        <w:pStyle w:val="a3"/>
        <w:spacing w:before="0" w:beforeAutospacing="0" w:after="0" w:afterAutospacing="0"/>
        <w:ind w:firstLine="675"/>
        <w:jc w:val="both"/>
        <w:rPr>
          <w:sz w:val="20"/>
          <w:szCs w:val="20"/>
        </w:rPr>
      </w:pPr>
      <w:r>
        <w:rPr>
          <w:sz w:val="20"/>
          <w:szCs w:val="20"/>
        </w:rPr>
        <w:t> </w:t>
      </w:r>
    </w:p>
    <w:p w14:paraId="3D09C2C1" w14:textId="77777777" w:rsidR="00000000" w:rsidRDefault="0015578C">
      <w:pPr>
        <w:pStyle w:val="a3"/>
        <w:spacing w:before="0" w:beforeAutospacing="0" w:after="0" w:afterAutospacing="0"/>
        <w:ind w:firstLine="675"/>
        <w:jc w:val="both"/>
        <w:rPr>
          <w:sz w:val="20"/>
          <w:szCs w:val="20"/>
        </w:rPr>
      </w:pPr>
      <w:r>
        <w:rPr>
          <w:sz w:val="20"/>
          <w:szCs w:val="20"/>
        </w:rPr>
        <w:t>The Company is participating in the exploration and possible development of the Lik property through a joint venture with Teck.  The terms of the joint venture were governed by the Lik Block Agreement, made as of January 27, 1983, between Houst</w:t>
      </w:r>
      <w:r>
        <w:rPr>
          <w:sz w:val="20"/>
          <w:szCs w:val="20"/>
        </w:rPr>
        <w:t>on Oil &amp; Minerals Exploration Company (“HOMEX”) and GCO.  HOMEX assigned its interest in the Lik Block Agreement to Echo Bay Mines Ltd., which, in turn, assigned such interest to Teck.  The Lik Block Agreement terminated on January 27, 2018 and the joint v</w:t>
      </w:r>
      <w:r>
        <w:rPr>
          <w:sz w:val="20"/>
          <w:szCs w:val="20"/>
        </w:rPr>
        <w:t>enture is now governed under the Joint Operating Agreement (“JOA”) that was attached to the Lik Block Agreement.  Since 2018, Teck and Solitario have agreed to annual exploration funding to advance the Lik project.  The JOA requires unanimous approval by t</w:t>
      </w:r>
      <w:r>
        <w:rPr>
          <w:sz w:val="20"/>
          <w:szCs w:val="20"/>
        </w:rPr>
        <w:t>he parties for annual expenditures in excess of $1 million.  Solitario is the operator of the joint venture.  Solitario and Teck each retain a 50% interest in the Lik property.</w:t>
      </w:r>
    </w:p>
    <w:p w14:paraId="3A812D4C" w14:textId="77777777" w:rsidR="00000000" w:rsidRDefault="0015578C">
      <w:pPr>
        <w:pStyle w:val="a3"/>
        <w:spacing w:before="0" w:beforeAutospacing="0" w:after="0" w:afterAutospacing="0"/>
        <w:ind w:firstLine="675"/>
        <w:jc w:val="both"/>
        <w:rPr>
          <w:sz w:val="20"/>
          <w:szCs w:val="20"/>
        </w:rPr>
      </w:pPr>
      <w:r>
        <w:rPr>
          <w:sz w:val="20"/>
          <w:szCs w:val="20"/>
        </w:rPr>
        <w:t> </w:t>
      </w:r>
    </w:p>
    <w:p w14:paraId="08B38585" w14:textId="77777777" w:rsidR="00000000" w:rsidRDefault="0015578C">
      <w:pPr>
        <w:pStyle w:val="a3"/>
        <w:spacing w:before="0" w:beforeAutospacing="0" w:after="0" w:afterAutospacing="0"/>
        <w:ind w:firstLine="675"/>
        <w:jc w:val="both"/>
        <w:rPr>
          <w:sz w:val="20"/>
          <w:szCs w:val="20"/>
        </w:rPr>
      </w:pPr>
      <w:r>
        <w:rPr>
          <w:sz w:val="20"/>
          <w:szCs w:val="20"/>
        </w:rPr>
        <w:t>In July 2018, the Company and Teck signed a Joint Exploration Agreement (“JEA</w:t>
      </w:r>
      <w:r>
        <w:rPr>
          <w:sz w:val="20"/>
          <w:szCs w:val="20"/>
        </w:rPr>
        <w:t>”) whereby both parties agreed to fund a surface exploration program on a 50%/50% basis for 2018.  Addendums extending the JEA and providing funding for continued exploration were signed in 2019, 2020, 2021, 2022 and a fifth Addendum to the JEA is expected</w:t>
      </w:r>
      <w:r>
        <w:rPr>
          <w:sz w:val="20"/>
          <w:szCs w:val="20"/>
        </w:rPr>
        <w:t xml:space="preserve"> to be signed in 2023.  Teck has acted as manager of the exploration programs for the past four years.</w:t>
      </w:r>
    </w:p>
    <w:p w14:paraId="6A15E8A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AA33605" w14:textId="77777777">
        <w:trPr>
          <w:trHeight w:val="225"/>
          <w:tblCellSpacing w:w="15" w:type="dxa"/>
        </w:trPr>
        <w:tc>
          <w:tcPr>
            <w:tcW w:w="0" w:type="auto"/>
            <w:vAlign w:val="center"/>
            <w:hideMark/>
          </w:tcPr>
          <w:p w14:paraId="658C18E0" w14:textId="77777777" w:rsidR="00000000" w:rsidRDefault="0015578C">
            <w:pPr>
              <w:rPr>
                <w:rFonts w:eastAsia="Times New Roman"/>
                <w:sz w:val="20"/>
                <w:szCs w:val="20"/>
              </w:rPr>
            </w:pPr>
            <w:r>
              <w:rPr>
                <w:rFonts w:eastAsia="Times New Roman"/>
                <w:sz w:val="20"/>
                <w:szCs w:val="20"/>
              </w:rPr>
              <w:t> </w:t>
            </w:r>
          </w:p>
        </w:tc>
      </w:tr>
      <w:tr w:rsidR="00000000" w14:paraId="58FDA09D" w14:textId="77777777">
        <w:trPr>
          <w:trHeight w:val="225"/>
          <w:tblCellSpacing w:w="15" w:type="dxa"/>
        </w:trPr>
        <w:tc>
          <w:tcPr>
            <w:tcW w:w="0" w:type="auto"/>
            <w:tcBorders>
              <w:bottom w:val="single" w:sz="6" w:space="0" w:color="000000"/>
            </w:tcBorders>
            <w:vAlign w:val="center"/>
            <w:hideMark/>
          </w:tcPr>
          <w:p w14:paraId="725C4630" w14:textId="77777777" w:rsidR="00000000" w:rsidRDefault="0015578C">
            <w:pPr>
              <w:jc w:val="center"/>
              <w:rPr>
                <w:rFonts w:eastAsia="Times New Roman"/>
                <w:sz w:val="20"/>
                <w:szCs w:val="20"/>
              </w:rPr>
            </w:pPr>
            <w:r>
              <w:rPr>
                <w:rFonts w:eastAsia="Times New Roman"/>
                <w:sz w:val="20"/>
                <w:szCs w:val="20"/>
              </w:rPr>
              <w:t>27</w:t>
            </w:r>
          </w:p>
        </w:tc>
      </w:tr>
      <w:tr w:rsidR="00000000" w14:paraId="5CC25937" w14:textId="77777777">
        <w:trPr>
          <w:trHeight w:val="225"/>
          <w:tblCellSpacing w:w="15" w:type="dxa"/>
        </w:trPr>
        <w:tc>
          <w:tcPr>
            <w:tcW w:w="0" w:type="auto"/>
            <w:vAlign w:val="center"/>
            <w:hideMark/>
          </w:tcPr>
          <w:p w14:paraId="15078692" w14:textId="77777777" w:rsidR="00000000" w:rsidRDefault="0015578C">
            <w:pPr>
              <w:rPr>
                <w:rFonts w:eastAsia="Times New Roman"/>
                <w:sz w:val="20"/>
                <w:szCs w:val="20"/>
              </w:rPr>
            </w:pPr>
          </w:p>
        </w:tc>
      </w:tr>
      <w:tr w:rsidR="00000000" w14:paraId="4F498F63" w14:textId="77777777">
        <w:trPr>
          <w:trHeight w:val="225"/>
          <w:tblCellSpacing w:w="15" w:type="dxa"/>
        </w:trPr>
        <w:tc>
          <w:tcPr>
            <w:tcW w:w="0" w:type="auto"/>
            <w:vAlign w:val="center"/>
            <w:hideMark/>
          </w:tcPr>
          <w:p w14:paraId="26E58C71"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40E959E" w14:textId="77777777" w:rsidR="00000000" w:rsidRDefault="0015578C">
      <w:pPr>
        <w:pStyle w:val="a3"/>
        <w:spacing w:before="0" w:beforeAutospacing="0" w:after="0" w:afterAutospacing="0"/>
        <w:jc w:val="both"/>
        <w:rPr>
          <w:sz w:val="20"/>
          <w:szCs w:val="20"/>
        </w:rPr>
      </w:pPr>
      <w:r>
        <w:rPr>
          <w:sz w:val="20"/>
          <w:szCs w:val="20"/>
        </w:rPr>
        <w:t> </w:t>
      </w:r>
    </w:p>
    <w:p w14:paraId="4E8EA145" w14:textId="77777777" w:rsidR="00000000" w:rsidRDefault="0015578C">
      <w:pPr>
        <w:pStyle w:val="a3"/>
        <w:spacing w:before="0" w:beforeAutospacing="0" w:after="0" w:afterAutospacing="0"/>
        <w:jc w:val="both"/>
        <w:rPr>
          <w:sz w:val="20"/>
          <w:szCs w:val="20"/>
        </w:rPr>
      </w:pPr>
      <w:r>
        <w:rPr>
          <w:sz w:val="20"/>
          <w:szCs w:val="20"/>
        </w:rPr>
        <w:t xml:space="preserve">3.  </w:t>
      </w:r>
      <w:r>
        <w:rPr>
          <w:sz w:val="20"/>
          <w:szCs w:val="20"/>
          <w:u w:val="single"/>
        </w:rPr>
        <w:t>Accessibility, Climate, Local Resources, Infrastructure and Physiology</w:t>
      </w:r>
    </w:p>
    <w:p w14:paraId="50CDA9DC" w14:textId="77777777" w:rsidR="00000000" w:rsidRDefault="0015578C">
      <w:pPr>
        <w:pStyle w:val="a3"/>
        <w:spacing w:before="0" w:beforeAutospacing="0" w:after="0" w:afterAutospacing="0"/>
        <w:jc w:val="both"/>
        <w:rPr>
          <w:sz w:val="20"/>
          <w:szCs w:val="20"/>
        </w:rPr>
      </w:pPr>
      <w:r>
        <w:rPr>
          <w:sz w:val="20"/>
          <w:szCs w:val="20"/>
        </w:rPr>
        <w:t> </w:t>
      </w:r>
    </w:p>
    <w:p w14:paraId="7CFA35EF" w14:textId="77777777" w:rsidR="00000000" w:rsidRDefault="0015578C">
      <w:pPr>
        <w:pStyle w:val="a3"/>
        <w:spacing w:before="0" w:beforeAutospacing="0" w:after="0" w:afterAutospacing="0"/>
        <w:ind w:firstLine="675"/>
        <w:jc w:val="both"/>
        <w:rPr>
          <w:sz w:val="20"/>
          <w:szCs w:val="20"/>
        </w:rPr>
      </w:pPr>
      <w:r>
        <w:rPr>
          <w:sz w:val="20"/>
          <w:szCs w:val="20"/>
        </w:rPr>
        <w:t>Access to the Lik property is by air to a gravel surfaced airstrip located on the property. The airstrip is capable of handling multi-engine cargo planes. Charter flights may be arran</w:t>
      </w:r>
      <w:r>
        <w:rPr>
          <w:sz w:val="20"/>
          <w:szCs w:val="20"/>
        </w:rPr>
        <w:t>ged from a number of sites in northwestern Alaska. The town of Kotzebue, Alaska, which is located about 90 miles from the deposit, is a seaport with commercial air service from Anchorage, Alaska. Kotzebue is the center for access to the nearby Red Dog mine</w:t>
      </w:r>
      <w:r>
        <w:rPr>
          <w:sz w:val="20"/>
          <w:szCs w:val="20"/>
        </w:rPr>
        <w:t xml:space="preserve"> operated by Teck.</w:t>
      </w:r>
    </w:p>
    <w:p w14:paraId="25F409F0" w14:textId="77777777" w:rsidR="00000000" w:rsidRDefault="0015578C">
      <w:pPr>
        <w:pStyle w:val="a3"/>
        <w:spacing w:before="0" w:beforeAutospacing="0" w:after="0" w:afterAutospacing="0"/>
        <w:ind w:firstLine="675"/>
        <w:jc w:val="both"/>
        <w:rPr>
          <w:sz w:val="20"/>
          <w:szCs w:val="20"/>
        </w:rPr>
      </w:pPr>
      <w:r>
        <w:rPr>
          <w:sz w:val="20"/>
          <w:szCs w:val="20"/>
        </w:rPr>
        <w:t> </w:t>
      </w:r>
    </w:p>
    <w:p w14:paraId="1E2DF642" w14:textId="77777777" w:rsidR="00000000" w:rsidRDefault="0015578C">
      <w:pPr>
        <w:pStyle w:val="a3"/>
        <w:spacing w:before="0" w:beforeAutospacing="0" w:after="0" w:afterAutospacing="0"/>
        <w:ind w:firstLine="675"/>
        <w:jc w:val="both"/>
        <w:rPr>
          <w:sz w:val="20"/>
          <w:szCs w:val="20"/>
        </w:rPr>
      </w:pPr>
      <w:r>
        <w:rPr>
          <w:sz w:val="20"/>
          <w:szCs w:val="20"/>
        </w:rPr>
        <w:t>The nearest location for which climatic data is available is the town of Kotzebue. The average annual temperature at Kotzebue is 21.6</w:t>
      </w:r>
      <w:r>
        <w:rPr>
          <w:sz w:val="20"/>
          <w:szCs w:val="20"/>
          <w:vertAlign w:val="superscript"/>
        </w:rPr>
        <w:t>o</w:t>
      </w:r>
      <w:r>
        <w:rPr>
          <w:sz w:val="20"/>
          <w:szCs w:val="20"/>
        </w:rPr>
        <w:t>F, with seasonal extremes ranging between 77</w:t>
      </w:r>
      <w:r>
        <w:rPr>
          <w:sz w:val="20"/>
          <w:szCs w:val="20"/>
          <w:vertAlign w:val="superscript"/>
        </w:rPr>
        <w:t>o</w:t>
      </w:r>
      <w:r>
        <w:rPr>
          <w:sz w:val="20"/>
          <w:szCs w:val="20"/>
        </w:rPr>
        <w:t>F in summer to -58</w:t>
      </w:r>
      <w:r>
        <w:rPr>
          <w:sz w:val="20"/>
          <w:szCs w:val="20"/>
          <w:vertAlign w:val="superscript"/>
        </w:rPr>
        <w:t>o</w:t>
      </w:r>
      <w:r>
        <w:rPr>
          <w:sz w:val="20"/>
          <w:szCs w:val="20"/>
        </w:rPr>
        <w:t>F in winter. There is an average of nine inches of rain and 47 inches of snowfall per year. Snow falls are not extreme but blowing snow may form significant drifts. Strong winds are common in most parts of Alaska.  Diamond drilling is possible at the Lik p</w:t>
      </w:r>
      <w:r>
        <w:rPr>
          <w:sz w:val="20"/>
          <w:szCs w:val="20"/>
        </w:rPr>
        <w:t xml:space="preserve">roperty between June and October. </w:t>
      </w:r>
    </w:p>
    <w:p w14:paraId="644D130C" w14:textId="77777777" w:rsidR="00000000" w:rsidRDefault="0015578C">
      <w:pPr>
        <w:pStyle w:val="a3"/>
        <w:spacing w:before="0" w:beforeAutospacing="0" w:after="0" w:afterAutospacing="0"/>
        <w:ind w:firstLine="675"/>
        <w:jc w:val="both"/>
        <w:rPr>
          <w:sz w:val="20"/>
          <w:szCs w:val="20"/>
        </w:rPr>
      </w:pPr>
      <w:r>
        <w:rPr>
          <w:sz w:val="20"/>
          <w:szCs w:val="20"/>
        </w:rPr>
        <w:t> </w:t>
      </w:r>
    </w:p>
    <w:p w14:paraId="7BE0A1BA" w14:textId="77777777" w:rsidR="00000000" w:rsidRDefault="0015578C">
      <w:pPr>
        <w:pStyle w:val="a3"/>
        <w:spacing w:before="0" w:beforeAutospacing="0" w:after="0" w:afterAutospacing="0"/>
        <w:ind w:firstLine="675"/>
        <w:jc w:val="both"/>
        <w:rPr>
          <w:sz w:val="20"/>
          <w:szCs w:val="20"/>
        </w:rPr>
      </w:pPr>
      <w:r>
        <w:rPr>
          <w:sz w:val="20"/>
          <w:szCs w:val="20"/>
        </w:rPr>
        <w:t>The exposures of mineralization at the Lik property are located at about 800 feet above sea level. West of the deposit, the land rises steeply to peaks about 2,300 feet above sea level. To the southeast, the land slopes</w:t>
      </w:r>
      <w:r>
        <w:rPr>
          <w:sz w:val="20"/>
          <w:szCs w:val="20"/>
        </w:rPr>
        <w:t xml:space="preserve"> down to the Wulik River where the bottom of the valley is about 700 feet above sea level. There is sufficient space for tailings and waste rock disposal, and sufficient water is expected to be available for any proposed processing.  Locally, there is vege</w:t>
      </w:r>
      <w:r>
        <w:rPr>
          <w:sz w:val="20"/>
          <w:szCs w:val="20"/>
        </w:rPr>
        <w:t>tation on the property consisting of tundra grasses and low brush made up of willow, dwarf birch, and alder.</w:t>
      </w:r>
    </w:p>
    <w:p w14:paraId="73A94BC3" w14:textId="77777777" w:rsidR="00000000" w:rsidRDefault="0015578C">
      <w:pPr>
        <w:pStyle w:val="a3"/>
        <w:spacing w:before="0" w:beforeAutospacing="0" w:after="0" w:afterAutospacing="0"/>
        <w:ind w:firstLine="675"/>
        <w:jc w:val="both"/>
        <w:rPr>
          <w:sz w:val="20"/>
          <w:szCs w:val="20"/>
        </w:rPr>
      </w:pPr>
      <w:r>
        <w:rPr>
          <w:sz w:val="20"/>
          <w:szCs w:val="20"/>
        </w:rPr>
        <w:t> </w:t>
      </w:r>
    </w:p>
    <w:p w14:paraId="40CC66F5" w14:textId="77777777" w:rsidR="00000000" w:rsidRDefault="0015578C">
      <w:pPr>
        <w:pStyle w:val="a3"/>
        <w:spacing w:before="0" w:beforeAutospacing="0" w:after="0" w:afterAutospacing="0"/>
        <w:ind w:firstLine="675"/>
        <w:jc w:val="both"/>
        <w:rPr>
          <w:sz w:val="20"/>
          <w:szCs w:val="20"/>
        </w:rPr>
      </w:pPr>
      <w:r>
        <w:rPr>
          <w:sz w:val="20"/>
          <w:szCs w:val="20"/>
        </w:rPr>
        <w:t>There is a camp located on the Lik property. The camp has been used periodically over the last fifteen years. The supply of electric power and wo</w:t>
      </w:r>
      <w:r>
        <w:rPr>
          <w:sz w:val="20"/>
          <w:szCs w:val="20"/>
        </w:rPr>
        <w:t>rkforce accommodation will have to be developed.  There are no local resources adjacent to the Lik property. The Red Dog mine, operated by Teck, is located about 13.6 miles southeast of the deposit. Potentially, concentrates could be moved along the access</w:t>
      </w:r>
      <w:r>
        <w:rPr>
          <w:sz w:val="20"/>
          <w:szCs w:val="20"/>
        </w:rPr>
        <w:t xml:space="preserve"> road from the Red Dog mine to the port on the Chukchi Sea.  Construction of a road would be required to connect the Lik deposit to the haul road from Red Dog to the port. The port has a shipping season in excess of 100 days. </w:t>
      </w:r>
    </w:p>
    <w:p w14:paraId="7C96AD3A" w14:textId="77777777" w:rsidR="00000000" w:rsidRDefault="0015578C">
      <w:pPr>
        <w:pStyle w:val="a3"/>
        <w:spacing w:before="0" w:beforeAutospacing="0" w:after="0" w:afterAutospacing="0"/>
        <w:jc w:val="both"/>
        <w:rPr>
          <w:sz w:val="20"/>
          <w:szCs w:val="20"/>
        </w:rPr>
      </w:pPr>
      <w:r>
        <w:rPr>
          <w:sz w:val="20"/>
          <w:szCs w:val="20"/>
        </w:rPr>
        <w:t> </w:t>
      </w:r>
    </w:p>
    <w:p w14:paraId="3B807D50" w14:textId="77777777" w:rsidR="00000000" w:rsidRDefault="0015578C">
      <w:pPr>
        <w:pStyle w:val="a3"/>
        <w:spacing w:before="0" w:beforeAutospacing="0" w:after="0" w:afterAutospacing="0"/>
        <w:jc w:val="both"/>
        <w:rPr>
          <w:sz w:val="20"/>
          <w:szCs w:val="20"/>
        </w:rPr>
      </w:pPr>
      <w:r>
        <w:rPr>
          <w:sz w:val="20"/>
          <w:szCs w:val="20"/>
        </w:rPr>
        <w:t xml:space="preserve">4.  </w:t>
      </w:r>
      <w:r>
        <w:rPr>
          <w:sz w:val="20"/>
          <w:szCs w:val="20"/>
          <w:u w:val="single"/>
        </w:rPr>
        <w:t>History</w:t>
      </w:r>
    </w:p>
    <w:p w14:paraId="4B5427A0" w14:textId="77777777" w:rsidR="00000000" w:rsidRDefault="0015578C">
      <w:pPr>
        <w:pStyle w:val="a3"/>
        <w:spacing w:before="0" w:beforeAutospacing="0" w:after="0" w:afterAutospacing="0"/>
        <w:jc w:val="both"/>
        <w:rPr>
          <w:sz w:val="20"/>
          <w:szCs w:val="20"/>
        </w:rPr>
      </w:pPr>
      <w:r>
        <w:rPr>
          <w:sz w:val="20"/>
          <w:szCs w:val="20"/>
        </w:rPr>
        <w:t> </w:t>
      </w:r>
    </w:p>
    <w:p w14:paraId="7680FC7D" w14:textId="77777777" w:rsidR="00000000" w:rsidRDefault="0015578C">
      <w:pPr>
        <w:pStyle w:val="a3"/>
        <w:spacing w:before="0" w:beforeAutospacing="0" w:after="0" w:afterAutospacing="0"/>
        <w:ind w:firstLine="675"/>
        <w:jc w:val="both"/>
        <w:rPr>
          <w:sz w:val="20"/>
          <w:szCs w:val="20"/>
        </w:rPr>
      </w:pPr>
      <w:r>
        <w:rPr>
          <w:sz w:val="20"/>
          <w:szCs w:val="20"/>
        </w:rPr>
        <w:t>The Red Dog o</w:t>
      </w:r>
      <w:r>
        <w:rPr>
          <w:sz w:val="20"/>
          <w:szCs w:val="20"/>
        </w:rPr>
        <w:t>re deposit was originally discovered in 1970 by a geologist undertaking mapping in the De Long Mountains area on behalf of the United States Geological Survey.  GCO, in joint venture with New Jersey Zinc Company and WGM Inc. (“WGM”), carried out stream geo</w:t>
      </w:r>
      <w:r>
        <w:rPr>
          <w:sz w:val="20"/>
          <w:szCs w:val="20"/>
        </w:rPr>
        <w:t>chemical sampling and reconnaissance for color anomalies. Claims were staked in July 1976 to cover a stream geochemical anomaly on Lik Creek. HOMEX replaced New Jersey Zinc Company in the joint venture in 1976/1977.</w:t>
      </w:r>
    </w:p>
    <w:p w14:paraId="4D633FAB" w14:textId="77777777" w:rsidR="00000000" w:rsidRDefault="0015578C">
      <w:pPr>
        <w:pStyle w:val="a3"/>
        <w:spacing w:before="0" w:beforeAutospacing="0" w:after="0" w:afterAutospacing="0"/>
        <w:ind w:firstLine="675"/>
        <w:jc w:val="both"/>
        <w:rPr>
          <w:sz w:val="20"/>
          <w:szCs w:val="20"/>
        </w:rPr>
      </w:pPr>
      <w:r>
        <w:rPr>
          <w:sz w:val="20"/>
          <w:szCs w:val="20"/>
        </w:rPr>
        <w:t> </w:t>
      </w:r>
    </w:p>
    <w:p w14:paraId="738E717D" w14:textId="77777777" w:rsidR="00000000" w:rsidRDefault="0015578C">
      <w:pPr>
        <w:pStyle w:val="a3"/>
        <w:spacing w:before="0" w:beforeAutospacing="0" w:after="0" w:afterAutospacing="0"/>
        <w:ind w:firstLine="675"/>
        <w:jc w:val="both"/>
        <w:rPr>
          <w:sz w:val="20"/>
          <w:szCs w:val="20"/>
        </w:rPr>
      </w:pPr>
      <w:r>
        <w:rPr>
          <w:sz w:val="20"/>
          <w:szCs w:val="20"/>
        </w:rPr>
        <w:t>Diamond drilling on the Lik property c</w:t>
      </w:r>
      <w:r>
        <w:rPr>
          <w:sz w:val="20"/>
          <w:szCs w:val="20"/>
        </w:rPr>
        <w:t xml:space="preserve">ommenced in 1977 and targeted a gossan with a coincident soil and electromagnetic anomaly. The first hole encountered massive lead-zinc-silver-bearing sulfides. By the end of 1977, the joint venture had completed 25 line-miles of ground geophysics, a soil </w:t>
      </w:r>
      <w:r>
        <w:rPr>
          <w:sz w:val="20"/>
          <w:szCs w:val="20"/>
        </w:rPr>
        <w:t>sampling program, and ten diamond drill holes with an aggregate depth of 5,260 feet.  In 1978 and 1979, further geological, geochemical and geophysical surveys were carried out, together with the drilling of another 93 diamond drill holes aggregating 51,20</w:t>
      </w:r>
      <w:r>
        <w:rPr>
          <w:sz w:val="20"/>
          <w:szCs w:val="20"/>
        </w:rPr>
        <w:t>0 feet. A mineral resource was estimated.  The joint venture continued to work in the district in the period 1980 to 1983. However, only limited diamond drilling activity continued on the Lik property. The Lik Block Agreement was signed in 1984.</w:t>
      </w:r>
    </w:p>
    <w:p w14:paraId="3AA4B79B" w14:textId="77777777" w:rsidR="00000000" w:rsidRDefault="0015578C">
      <w:pPr>
        <w:pStyle w:val="a3"/>
        <w:spacing w:before="0" w:beforeAutospacing="0" w:after="0" w:afterAutospacing="0"/>
        <w:ind w:firstLine="675"/>
        <w:jc w:val="both"/>
        <w:rPr>
          <w:sz w:val="20"/>
          <w:szCs w:val="20"/>
        </w:rPr>
      </w:pPr>
      <w:r>
        <w:rPr>
          <w:sz w:val="20"/>
          <w:szCs w:val="20"/>
        </w:rPr>
        <w:t> </w:t>
      </w:r>
    </w:p>
    <w:p w14:paraId="5C247E10" w14:textId="77777777" w:rsidR="00000000" w:rsidRDefault="0015578C">
      <w:pPr>
        <w:pStyle w:val="a3"/>
        <w:spacing w:before="0" w:beforeAutospacing="0" w:after="0" w:afterAutospacing="0"/>
        <w:ind w:firstLine="675"/>
        <w:jc w:val="both"/>
        <w:rPr>
          <w:sz w:val="20"/>
          <w:szCs w:val="20"/>
        </w:rPr>
      </w:pPr>
      <w:r>
        <w:rPr>
          <w:sz w:val="20"/>
          <w:szCs w:val="20"/>
        </w:rPr>
        <w:t>In 1984,</w:t>
      </w:r>
      <w:r>
        <w:rPr>
          <w:sz w:val="20"/>
          <w:szCs w:val="20"/>
        </w:rPr>
        <w:t xml:space="preserve"> Noranda optioned the GCO holding of the Lik property.  Much of Noranda’s activity was concentrated in the Lik North Area where ten diamond drill holes with an aggregate depth of 13,710 feet were completed on four sections. Noranda also drilled holes in th</w:t>
      </w:r>
      <w:r>
        <w:rPr>
          <w:sz w:val="20"/>
          <w:szCs w:val="20"/>
        </w:rPr>
        <w:t xml:space="preserve">e Lik South deposit to better define the deposit.  Noranda released its interest in the Lik property after a re-organization of its holdings in the United States.  From 1985 through June of 2007, when Zazu acquired its interest in the Lik property, only a </w:t>
      </w:r>
      <w:r>
        <w:rPr>
          <w:sz w:val="20"/>
          <w:szCs w:val="20"/>
        </w:rPr>
        <w:t>limited amount of work was conducted at Lik.</w:t>
      </w:r>
    </w:p>
    <w:p w14:paraId="7F0513F6" w14:textId="77777777" w:rsidR="00000000" w:rsidRDefault="0015578C">
      <w:pPr>
        <w:pStyle w:val="a3"/>
        <w:spacing w:before="0" w:beforeAutospacing="0" w:after="0" w:afterAutospacing="0"/>
        <w:ind w:firstLine="675"/>
        <w:jc w:val="both"/>
        <w:rPr>
          <w:sz w:val="20"/>
          <w:szCs w:val="20"/>
        </w:rPr>
      </w:pPr>
      <w:r>
        <w:rPr>
          <w:sz w:val="20"/>
          <w:szCs w:val="20"/>
        </w:rPr>
        <w:t> </w:t>
      </w:r>
    </w:p>
    <w:p w14:paraId="00DBB0A5" w14:textId="77777777" w:rsidR="00000000" w:rsidRDefault="0015578C">
      <w:pPr>
        <w:pStyle w:val="a3"/>
        <w:spacing w:before="0" w:beforeAutospacing="0" w:after="0" w:afterAutospacing="0"/>
        <w:ind w:firstLine="675"/>
        <w:jc w:val="both"/>
        <w:rPr>
          <w:sz w:val="20"/>
          <w:szCs w:val="20"/>
        </w:rPr>
      </w:pPr>
      <w:r>
        <w:rPr>
          <w:sz w:val="20"/>
          <w:szCs w:val="20"/>
        </w:rPr>
        <w:t>Zazu completed diamond drilling programs during the 2007, 2008 and 2011 summer field seasons.  From 2009 through 2014, Zazu conducted a suite of economic, engineering, environmental and metallurgical studies o</w:t>
      </w:r>
      <w:r>
        <w:rPr>
          <w:sz w:val="20"/>
          <w:szCs w:val="20"/>
        </w:rPr>
        <w:t>n the Lik property, culminating with the completion of a PEA in 2014.</w:t>
      </w:r>
    </w:p>
    <w:p w14:paraId="07144931" w14:textId="77777777" w:rsidR="00000000" w:rsidRDefault="0015578C">
      <w:pPr>
        <w:pStyle w:val="a3"/>
        <w:spacing w:before="0" w:beforeAutospacing="0" w:after="0" w:afterAutospacing="0"/>
        <w:jc w:val="both"/>
        <w:rPr>
          <w:sz w:val="20"/>
          <w:szCs w:val="20"/>
        </w:rPr>
      </w:pPr>
      <w:r>
        <w:rPr>
          <w:sz w:val="20"/>
          <w:szCs w:val="20"/>
        </w:rPr>
        <w:t> </w:t>
      </w:r>
    </w:p>
    <w:p w14:paraId="30488677" w14:textId="77777777" w:rsidR="00000000" w:rsidRDefault="0015578C">
      <w:pPr>
        <w:pStyle w:val="a3"/>
        <w:spacing w:before="0" w:beforeAutospacing="0" w:after="0" w:afterAutospacing="0"/>
        <w:jc w:val="both"/>
        <w:rPr>
          <w:sz w:val="20"/>
          <w:szCs w:val="20"/>
        </w:rPr>
      </w:pPr>
      <w:r>
        <w:rPr>
          <w:sz w:val="20"/>
          <w:szCs w:val="20"/>
        </w:rPr>
        <w:t xml:space="preserve">5. </w:t>
      </w:r>
      <w:r>
        <w:rPr>
          <w:sz w:val="20"/>
          <w:szCs w:val="20"/>
          <w:u w:val="single"/>
        </w:rPr>
        <w:t>Geological Setting</w:t>
      </w:r>
    </w:p>
    <w:p w14:paraId="695B41E8" w14:textId="77777777" w:rsidR="00000000" w:rsidRDefault="0015578C">
      <w:pPr>
        <w:pStyle w:val="a3"/>
        <w:spacing w:before="0" w:beforeAutospacing="0" w:after="0" w:afterAutospacing="0"/>
        <w:jc w:val="both"/>
        <w:rPr>
          <w:sz w:val="20"/>
          <w:szCs w:val="20"/>
        </w:rPr>
      </w:pPr>
      <w:r>
        <w:rPr>
          <w:sz w:val="20"/>
          <w:szCs w:val="20"/>
        </w:rPr>
        <w:t> </w:t>
      </w:r>
    </w:p>
    <w:p w14:paraId="6CFC4C17" w14:textId="77777777" w:rsidR="00000000" w:rsidRDefault="0015578C">
      <w:pPr>
        <w:pStyle w:val="a3"/>
        <w:spacing w:before="0" w:beforeAutospacing="0" w:after="0" w:afterAutospacing="0"/>
        <w:ind w:firstLine="675"/>
        <w:jc w:val="both"/>
        <w:rPr>
          <w:sz w:val="20"/>
          <w:szCs w:val="20"/>
        </w:rPr>
      </w:pPr>
      <w:r>
        <w:rPr>
          <w:sz w:val="20"/>
          <w:szCs w:val="20"/>
        </w:rPr>
        <w:t xml:space="preserve">The regional geology of the Western Brooks Range area is structurally complex. The sedimentary rocks of the area have been significantly disrupted by thrust sheets.  The Lik property and the other zinc-lead deposits of the Brooks Range, including Red Dog, </w:t>
      </w:r>
      <w:r>
        <w:rPr>
          <w:sz w:val="20"/>
          <w:szCs w:val="20"/>
        </w:rPr>
        <w:t>are hosted in the Kuna Formation of the Lisburne Group. In the Western Brooks Range, the Lisburne Group includes both deep and shallow water sedimentary facies and local volcanic rocks. The deep-water facies of the Lisburne Group, the Kuna Formation, are e</w:t>
      </w:r>
      <w:r>
        <w:rPr>
          <w:sz w:val="20"/>
          <w:szCs w:val="20"/>
        </w:rPr>
        <w:t>xposed chiefly in the Endicott Mountains.</w:t>
      </w:r>
    </w:p>
    <w:p w14:paraId="25FFF89B" w14:textId="77777777" w:rsidR="00000000" w:rsidRDefault="0015578C">
      <w:pPr>
        <w:pStyle w:val="a3"/>
        <w:spacing w:before="0" w:beforeAutospacing="0" w:after="0" w:afterAutospacing="0"/>
        <w:ind w:firstLine="675"/>
        <w:jc w:val="both"/>
        <w:rPr>
          <w:sz w:val="20"/>
          <w:szCs w:val="20"/>
        </w:rPr>
      </w:pPr>
      <w:r>
        <w:rPr>
          <w:sz w:val="20"/>
          <w:szCs w:val="20"/>
        </w:rPr>
        <w:t> </w:t>
      </w:r>
    </w:p>
    <w:p w14:paraId="67F11BA9" w14:textId="77777777" w:rsidR="00000000" w:rsidRDefault="0015578C">
      <w:pPr>
        <w:pStyle w:val="a3"/>
        <w:spacing w:before="0" w:beforeAutospacing="0" w:after="0" w:afterAutospacing="0"/>
        <w:ind w:firstLine="675"/>
        <w:jc w:val="both"/>
        <w:rPr>
          <w:sz w:val="20"/>
          <w:szCs w:val="20"/>
        </w:rPr>
      </w:pPr>
      <w:r>
        <w:rPr>
          <w:sz w:val="20"/>
          <w:szCs w:val="20"/>
        </w:rPr>
        <w:t>On a district scale, the Lik property is hosted in the Red Dog plate of the Endicott Mountains thrust sheet. The stratigraphically lowest rocks within the Red Dog plate belong to the Kayak Shale. The top of the K</w:t>
      </w:r>
      <w:r>
        <w:rPr>
          <w:sz w:val="20"/>
          <w:szCs w:val="20"/>
        </w:rPr>
        <w:t>ayak Shale is interbedded with rocks of the Kuna Formation.  The Ikalukrok Unit has been divided into a lower laminated black shale sub-unit and an upper medium- to thick-bedded black chert sub-unit. The Ikalukrok Unit hosts all of the known massive sulfid</w:t>
      </w:r>
      <w:r>
        <w:rPr>
          <w:sz w:val="20"/>
          <w:szCs w:val="20"/>
        </w:rPr>
        <w:t xml:space="preserve">e deposits in the area.  </w:t>
      </w:r>
    </w:p>
    <w:p w14:paraId="27BF1BEE" w14:textId="77777777" w:rsidR="00000000" w:rsidRDefault="0015578C">
      <w:pPr>
        <w:pStyle w:val="a3"/>
        <w:spacing w:before="0" w:beforeAutospacing="0" w:after="0" w:afterAutospacing="0"/>
        <w:ind w:firstLine="675"/>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E1DDBBC" w14:textId="77777777">
        <w:trPr>
          <w:trHeight w:val="225"/>
          <w:tblCellSpacing w:w="15" w:type="dxa"/>
        </w:trPr>
        <w:tc>
          <w:tcPr>
            <w:tcW w:w="0" w:type="auto"/>
            <w:vAlign w:val="center"/>
            <w:hideMark/>
          </w:tcPr>
          <w:p w14:paraId="699F44C3" w14:textId="77777777" w:rsidR="00000000" w:rsidRDefault="0015578C">
            <w:pPr>
              <w:rPr>
                <w:rFonts w:eastAsia="Times New Roman"/>
                <w:sz w:val="20"/>
                <w:szCs w:val="20"/>
              </w:rPr>
            </w:pPr>
            <w:r>
              <w:rPr>
                <w:rFonts w:eastAsia="Times New Roman"/>
                <w:sz w:val="20"/>
                <w:szCs w:val="20"/>
              </w:rPr>
              <w:t> </w:t>
            </w:r>
          </w:p>
        </w:tc>
      </w:tr>
      <w:tr w:rsidR="00000000" w14:paraId="24003CC5" w14:textId="77777777">
        <w:trPr>
          <w:trHeight w:val="225"/>
          <w:tblCellSpacing w:w="15" w:type="dxa"/>
        </w:trPr>
        <w:tc>
          <w:tcPr>
            <w:tcW w:w="0" w:type="auto"/>
            <w:tcBorders>
              <w:bottom w:val="single" w:sz="6" w:space="0" w:color="000000"/>
            </w:tcBorders>
            <w:vAlign w:val="center"/>
            <w:hideMark/>
          </w:tcPr>
          <w:p w14:paraId="7A838E8A" w14:textId="77777777" w:rsidR="00000000" w:rsidRDefault="0015578C">
            <w:pPr>
              <w:jc w:val="center"/>
              <w:rPr>
                <w:rFonts w:eastAsia="Times New Roman"/>
                <w:sz w:val="20"/>
                <w:szCs w:val="20"/>
              </w:rPr>
            </w:pPr>
            <w:r>
              <w:rPr>
                <w:rFonts w:eastAsia="Times New Roman"/>
                <w:sz w:val="20"/>
                <w:szCs w:val="20"/>
              </w:rPr>
              <w:t>28</w:t>
            </w:r>
          </w:p>
        </w:tc>
      </w:tr>
      <w:tr w:rsidR="00000000" w14:paraId="74E5AB2E" w14:textId="77777777">
        <w:trPr>
          <w:trHeight w:val="225"/>
          <w:tblCellSpacing w:w="15" w:type="dxa"/>
        </w:trPr>
        <w:tc>
          <w:tcPr>
            <w:tcW w:w="0" w:type="auto"/>
            <w:vAlign w:val="center"/>
            <w:hideMark/>
          </w:tcPr>
          <w:p w14:paraId="38281620" w14:textId="77777777" w:rsidR="00000000" w:rsidRDefault="0015578C">
            <w:pPr>
              <w:rPr>
                <w:rFonts w:eastAsia="Times New Roman"/>
                <w:sz w:val="20"/>
                <w:szCs w:val="20"/>
              </w:rPr>
            </w:pPr>
          </w:p>
        </w:tc>
      </w:tr>
      <w:tr w:rsidR="00000000" w14:paraId="4EEE5B1F" w14:textId="77777777">
        <w:trPr>
          <w:trHeight w:val="225"/>
          <w:tblCellSpacing w:w="15" w:type="dxa"/>
        </w:trPr>
        <w:tc>
          <w:tcPr>
            <w:tcW w:w="0" w:type="auto"/>
            <w:vAlign w:val="center"/>
            <w:hideMark/>
          </w:tcPr>
          <w:p w14:paraId="29E4F095"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92A89AF" w14:textId="77777777" w:rsidR="00000000" w:rsidRDefault="0015578C">
      <w:pPr>
        <w:pStyle w:val="a3"/>
        <w:spacing w:before="0" w:beforeAutospacing="0" w:after="0" w:afterAutospacing="0"/>
        <w:jc w:val="both"/>
        <w:rPr>
          <w:sz w:val="20"/>
          <w:szCs w:val="20"/>
        </w:rPr>
      </w:pPr>
      <w:r>
        <w:rPr>
          <w:sz w:val="20"/>
          <w:szCs w:val="20"/>
        </w:rPr>
        <w:t> </w:t>
      </w:r>
    </w:p>
    <w:p w14:paraId="5FF0B4BF" w14:textId="77777777" w:rsidR="00000000" w:rsidRDefault="0015578C">
      <w:pPr>
        <w:pStyle w:val="a3"/>
        <w:spacing w:before="0" w:beforeAutospacing="0" w:after="0" w:afterAutospacing="0"/>
        <w:ind w:firstLine="675"/>
        <w:jc w:val="both"/>
        <w:rPr>
          <w:sz w:val="20"/>
          <w:szCs w:val="20"/>
        </w:rPr>
      </w:pPr>
      <w:r>
        <w:rPr>
          <w:sz w:val="20"/>
          <w:szCs w:val="20"/>
        </w:rPr>
        <w:t>Locally, the Lik property is hosted in the upper part of the Ikalukrok Unit of the Kuna Formation. The host rocks are carbonaceous and siliceous black shale, with subordin</w:t>
      </w:r>
      <w:r>
        <w:rPr>
          <w:sz w:val="20"/>
          <w:szCs w:val="20"/>
        </w:rPr>
        <w:t>ate black chert and fine-grained limestone. These rocks strike broadly north-south and dip at about 25</w:t>
      </w:r>
      <w:r>
        <w:rPr>
          <w:sz w:val="20"/>
          <w:szCs w:val="20"/>
          <w:vertAlign w:val="superscript"/>
        </w:rPr>
        <w:t>o</w:t>
      </w:r>
      <w:r>
        <w:rPr>
          <w:sz w:val="20"/>
          <w:szCs w:val="20"/>
        </w:rPr>
        <w:t xml:space="preserve"> to 40</w:t>
      </w:r>
      <w:r>
        <w:rPr>
          <w:sz w:val="20"/>
          <w:szCs w:val="20"/>
          <w:vertAlign w:val="superscript"/>
        </w:rPr>
        <w:t>o</w:t>
      </w:r>
      <w:r>
        <w:rPr>
          <w:sz w:val="20"/>
          <w:szCs w:val="20"/>
        </w:rPr>
        <w:t xml:space="preserve"> to the west. The massive sulfides are overlain conformably by rocks of the Siksikpuk Formation. The sequence is overridden by allochthonous rocks</w:t>
      </w:r>
      <w:r>
        <w:rPr>
          <w:sz w:val="20"/>
          <w:szCs w:val="20"/>
        </w:rPr>
        <w:t xml:space="preserve"> that form high hills north and west of the deposits.</w:t>
      </w:r>
    </w:p>
    <w:p w14:paraId="3052E9BD" w14:textId="77777777" w:rsidR="00000000" w:rsidRDefault="0015578C">
      <w:pPr>
        <w:pStyle w:val="a3"/>
        <w:spacing w:before="0" w:beforeAutospacing="0" w:after="0" w:afterAutospacing="0"/>
        <w:ind w:firstLine="675"/>
        <w:jc w:val="both"/>
        <w:rPr>
          <w:sz w:val="20"/>
          <w:szCs w:val="20"/>
        </w:rPr>
      </w:pPr>
      <w:r>
        <w:rPr>
          <w:sz w:val="20"/>
          <w:szCs w:val="20"/>
        </w:rPr>
        <w:t> </w:t>
      </w:r>
    </w:p>
    <w:p w14:paraId="77DDD624" w14:textId="77777777" w:rsidR="00000000" w:rsidRDefault="0015578C">
      <w:pPr>
        <w:pStyle w:val="a3"/>
        <w:spacing w:before="0" w:beforeAutospacing="0" w:after="0" w:afterAutospacing="0"/>
        <w:ind w:firstLine="675"/>
        <w:jc w:val="both"/>
        <w:rPr>
          <w:sz w:val="20"/>
          <w:szCs w:val="20"/>
        </w:rPr>
      </w:pPr>
      <w:r>
        <w:rPr>
          <w:sz w:val="20"/>
          <w:szCs w:val="20"/>
        </w:rPr>
        <w:t>The mineralized sequence is cut by a number of faults. The most significant disruption is the Main Break Fault, which drops the northern end of the Lik deposit down about 500 feet. It is unclear whether there is a change in strike north of the fault, or wh</w:t>
      </w:r>
      <w:r>
        <w:rPr>
          <w:sz w:val="20"/>
          <w:szCs w:val="20"/>
        </w:rPr>
        <w:t>ether the change is more apparent due to topography. The Main Break Fault strikes east-west and dips north at about 60</w:t>
      </w:r>
      <w:r>
        <w:rPr>
          <w:sz w:val="20"/>
          <w:szCs w:val="20"/>
          <w:vertAlign w:val="superscript"/>
        </w:rPr>
        <w:t>o</w:t>
      </w:r>
      <w:r>
        <w:rPr>
          <w:sz w:val="20"/>
          <w:szCs w:val="20"/>
        </w:rPr>
        <w:t xml:space="preserve">. There is another group of steeper faults that tend to strike northerly or northwesterly and which are interpreted as being both normal </w:t>
      </w:r>
      <w:r>
        <w:rPr>
          <w:sz w:val="20"/>
          <w:szCs w:val="20"/>
        </w:rPr>
        <w:t xml:space="preserve">and reverse with throws of up to 330 feet.  </w:t>
      </w:r>
    </w:p>
    <w:p w14:paraId="146D2528" w14:textId="77777777" w:rsidR="00000000" w:rsidRDefault="0015578C">
      <w:pPr>
        <w:pStyle w:val="a3"/>
        <w:spacing w:before="0" w:beforeAutospacing="0" w:after="0" w:afterAutospacing="0"/>
        <w:ind w:firstLine="675"/>
        <w:jc w:val="both"/>
        <w:rPr>
          <w:sz w:val="20"/>
          <w:szCs w:val="20"/>
        </w:rPr>
      </w:pPr>
      <w:r>
        <w:rPr>
          <w:sz w:val="20"/>
          <w:szCs w:val="20"/>
        </w:rPr>
        <w:t> </w:t>
      </w:r>
    </w:p>
    <w:p w14:paraId="3A372F98" w14:textId="77777777" w:rsidR="00000000" w:rsidRDefault="0015578C">
      <w:pPr>
        <w:pStyle w:val="a3"/>
        <w:spacing w:before="0" w:beforeAutospacing="0" w:after="0" w:afterAutospacing="0"/>
        <w:ind w:firstLine="675"/>
        <w:jc w:val="both"/>
        <w:rPr>
          <w:sz w:val="20"/>
          <w:szCs w:val="20"/>
        </w:rPr>
      </w:pPr>
      <w:r>
        <w:rPr>
          <w:sz w:val="20"/>
          <w:szCs w:val="20"/>
        </w:rPr>
        <w:t>Low angle thrust faults also cut the rocks at Lik and regionally.  These faults are known to cut and displace massive sulfide mineralization at the Red Dog deposits and others in the district.</w:t>
      </w:r>
    </w:p>
    <w:p w14:paraId="7229BFAB" w14:textId="77777777" w:rsidR="00000000" w:rsidRDefault="0015578C">
      <w:pPr>
        <w:pStyle w:val="a3"/>
        <w:spacing w:before="0" w:beforeAutospacing="0" w:after="0" w:afterAutospacing="0"/>
        <w:jc w:val="both"/>
        <w:rPr>
          <w:sz w:val="20"/>
          <w:szCs w:val="20"/>
        </w:rPr>
      </w:pPr>
      <w:r>
        <w:rPr>
          <w:sz w:val="20"/>
          <w:szCs w:val="20"/>
        </w:rPr>
        <w:t> </w:t>
      </w:r>
    </w:p>
    <w:p w14:paraId="46AB0113" w14:textId="77777777" w:rsidR="00000000" w:rsidRDefault="0015578C">
      <w:pPr>
        <w:pStyle w:val="a3"/>
        <w:spacing w:before="0" w:beforeAutospacing="0" w:after="0" w:afterAutospacing="0"/>
        <w:jc w:val="both"/>
        <w:rPr>
          <w:sz w:val="20"/>
          <w:szCs w:val="20"/>
        </w:rPr>
      </w:pPr>
      <w:r>
        <w:rPr>
          <w:sz w:val="20"/>
          <w:szCs w:val="20"/>
        </w:rPr>
        <w:t xml:space="preserve">6. </w:t>
      </w:r>
      <w:r>
        <w:rPr>
          <w:sz w:val="20"/>
          <w:szCs w:val="20"/>
          <w:u w:val="single"/>
        </w:rPr>
        <w:t>Prior Explo</w:t>
      </w:r>
      <w:r>
        <w:rPr>
          <w:sz w:val="20"/>
          <w:szCs w:val="20"/>
          <w:u w:val="single"/>
        </w:rPr>
        <w:t>ration and Recent Work</w:t>
      </w:r>
    </w:p>
    <w:p w14:paraId="29551CC8" w14:textId="77777777" w:rsidR="00000000" w:rsidRDefault="0015578C">
      <w:pPr>
        <w:pStyle w:val="a3"/>
        <w:spacing w:before="0" w:beforeAutospacing="0" w:after="0" w:afterAutospacing="0"/>
        <w:jc w:val="both"/>
        <w:rPr>
          <w:sz w:val="20"/>
          <w:szCs w:val="20"/>
        </w:rPr>
      </w:pPr>
      <w:r>
        <w:rPr>
          <w:sz w:val="20"/>
          <w:szCs w:val="20"/>
        </w:rPr>
        <w:t> </w:t>
      </w:r>
    </w:p>
    <w:p w14:paraId="413DE731" w14:textId="77777777" w:rsidR="00000000" w:rsidRDefault="0015578C">
      <w:pPr>
        <w:pStyle w:val="a3"/>
        <w:spacing w:before="0" w:beforeAutospacing="0" w:after="0" w:afterAutospacing="0"/>
        <w:ind w:firstLine="675"/>
        <w:jc w:val="both"/>
        <w:rPr>
          <w:sz w:val="20"/>
          <w:szCs w:val="20"/>
        </w:rPr>
      </w:pPr>
      <w:r>
        <w:rPr>
          <w:sz w:val="20"/>
          <w:szCs w:val="20"/>
        </w:rPr>
        <w:t>The Lik deposit was discovered by GCO in the mid-1970’s by following up on soil color and stream geochemical anomalies.  From the late 1970’s to 2011, various geochemical, geophysical, and geologic activities were intermittently co</w:t>
      </w:r>
      <w:r>
        <w:rPr>
          <w:sz w:val="20"/>
          <w:szCs w:val="20"/>
        </w:rPr>
        <w:t>nducted to define drill targets. The Lik property was drill tested from the late-1970’s to 2011 by seven different companies.  Details of these historical drilling campaigns are discussed above under the heading “History” and below under the heading “Drill</w:t>
      </w:r>
      <w:r>
        <w:rPr>
          <w:sz w:val="20"/>
          <w:szCs w:val="20"/>
        </w:rPr>
        <w:t xml:space="preserve">ing.”   </w:t>
      </w:r>
    </w:p>
    <w:p w14:paraId="7EDB2807" w14:textId="77777777" w:rsidR="00000000" w:rsidRDefault="0015578C">
      <w:pPr>
        <w:pStyle w:val="a3"/>
        <w:spacing w:before="0" w:beforeAutospacing="0" w:after="0" w:afterAutospacing="0"/>
        <w:ind w:firstLine="675"/>
        <w:jc w:val="both"/>
        <w:rPr>
          <w:sz w:val="20"/>
          <w:szCs w:val="20"/>
        </w:rPr>
      </w:pPr>
      <w:r>
        <w:rPr>
          <w:sz w:val="20"/>
          <w:szCs w:val="20"/>
        </w:rPr>
        <w:t> </w:t>
      </w:r>
    </w:p>
    <w:p w14:paraId="389B7D98" w14:textId="77777777" w:rsidR="00000000" w:rsidRDefault="0015578C">
      <w:pPr>
        <w:pStyle w:val="a3"/>
        <w:spacing w:before="0" w:beforeAutospacing="0" w:after="0" w:afterAutospacing="0"/>
        <w:ind w:firstLine="675"/>
        <w:jc w:val="both"/>
        <w:rPr>
          <w:sz w:val="20"/>
          <w:szCs w:val="20"/>
        </w:rPr>
      </w:pPr>
      <w:r>
        <w:rPr>
          <w:sz w:val="20"/>
          <w:szCs w:val="20"/>
        </w:rPr>
        <w:t>Teck conducted a soil sampling survey, an Induced Polarization (“IP”) geophysical survey and geologic mapping in 2021.  The majority of this work was conducted northeast of the Lik deposit exploring for indications of potential new zinc deposits</w:t>
      </w:r>
      <w:r>
        <w:rPr>
          <w:sz w:val="20"/>
          <w:szCs w:val="20"/>
        </w:rPr>
        <w:t xml:space="preserve"> on trend with the Lik deposit in favorable stratigraphy.  A total of 381 soil samples were collected.  The IP geophysical survey consisted of six survey lines totaling eight kilometers.  The results of the IP survey suggested that the rock formation that </w:t>
      </w:r>
      <w:r>
        <w:rPr>
          <w:sz w:val="20"/>
          <w:szCs w:val="20"/>
        </w:rPr>
        <w:t xml:space="preserve">hosts the Lik deposit may flatten out to the west and be at drillable depths, opening up a whole new area for potential drill testing.  </w:t>
      </w:r>
    </w:p>
    <w:p w14:paraId="402DFD2C" w14:textId="77777777" w:rsidR="00000000" w:rsidRDefault="0015578C">
      <w:pPr>
        <w:pStyle w:val="a3"/>
        <w:spacing w:before="0" w:beforeAutospacing="0" w:after="0" w:afterAutospacing="0"/>
        <w:ind w:firstLine="675"/>
        <w:jc w:val="both"/>
        <w:rPr>
          <w:sz w:val="20"/>
          <w:szCs w:val="20"/>
        </w:rPr>
      </w:pPr>
      <w:r>
        <w:rPr>
          <w:sz w:val="20"/>
          <w:szCs w:val="20"/>
        </w:rPr>
        <w:t> </w:t>
      </w:r>
    </w:p>
    <w:p w14:paraId="3F56495E" w14:textId="77777777" w:rsidR="00000000" w:rsidRDefault="0015578C">
      <w:pPr>
        <w:pStyle w:val="a3"/>
        <w:spacing w:before="0" w:beforeAutospacing="0" w:after="0" w:afterAutospacing="0"/>
        <w:ind w:firstLine="675"/>
        <w:jc w:val="both"/>
        <w:rPr>
          <w:sz w:val="20"/>
          <w:szCs w:val="20"/>
        </w:rPr>
      </w:pPr>
      <w:r>
        <w:rPr>
          <w:sz w:val="20"/>
          <w:szCs w:val="20"/>
        </w:rPr>
        <w:t>Teck completed a three-hole, 737-meter (2,415 feet) drilling program in 2022. This was the first drilling program con</w:t>
      </w:r>
      <w:r>
        <w:rPr>
          <w:sz w:val="20"/>
          <w:szCs w:val="20"/>
        </w:rPr>
        <w:t>ducted since 2011.  Drill hole Lik-231 intersected 3.5 meters (11.5 feet) grading 9% zinc and 3% lead.  Holes Lik-230 and 232 did not intersect significant mineralization.  In addition to the drilling, Teck also conducted traverse geologic mapping to the n</w:t>
      </w:r>
      <w:r>
        <w:rPr>
          <w:sz w:val="20"/>
          <w:szCs w:val="20"/>
        </w:rPr>
        <w:t>orthwest of the Lik deposit and a ground gravity geophysics with survey data points at 400-meter (1,300-foot) centers.  The geophysical survey was also conducted to the northwest of the Lik deposit and was successful in defining a low-amplitude gravity ano</w:t>
      </w:r>
      <w:r>
        <w:rPr>
          <w:sz w:val="20"/>
          <w:szCs w:val="20"/>
        </w:rPr>
        <w:t xml:space="preserve">maly that requires further follow-up work. </w:t>
      </w:r>
    </w:p>
    <w:p w14:paraId="6C496074" w14:textId="77777777" w:rsidR="00000000" w:rsidRDefault="0015578C">
      <w:pPr>
        <w:pStyle w:val="a3"/>
        <w:spacing w:before="0" w:beforeAutospacing="0" w:after="0" w:afterAutospacing="0"/>
        <w:ind w:firstLine="675"/>
        <w:jc w:val="both"/>
        <w:rPr>
          <w:sz w:val="20"/>
          <w:szCs w:val="20"/>
        </w:rPr>
      </w:pPr>
      <w:r>
        <w:rPr>
          <w:sz w:val="20"/>
          <w:szCs w:val="20"/>
        </w:rPr>
        <w:t> </w:t>
      </w:r>
    </w:p>
    <w:p w14:paraId="56064304" w14:textId="77777777" w:rsidR="00000000" w:rsidRDefault="0015578C">
      <w:pPr>
        <w:pStyle w:val="a3"/>
        <w:spacing w:before="0" w:beforeAutospacing="0" w:after="0" w:afterAutospacing="0"/>
        <w:ind w:firstLine="675"/>
        <w:jc w:val="both"/>
        <w:rPr>
          <w:sz w:val="20"/>
          <w:szCs w:val="20"/>
        </w:rPr>
      </w:pPr>
      <w:r>
        <w:rPr>
          <w:sz w:val="20"/>
          <w:szCs w:val="20"/>
        </w:rPr>
        <w:t>In December 2022, Teck submitted a drilling permit application to the Alaska Department of Natural Resources  for 70 core holes, including water sources for drilling.  Drill hole location includes step-out dril</w:t>
      </w:r>
      <w:r>
        <w:rPr>
          <w:sz w:val="20"/>
          <w:szCs w:val="20"/>
        </w:rPr>
        <w:t>ling surrounding the currently defined deposit as well as location along strike to the northeast and theoretical targets more distant to the deposit.  This robust permitting submission allows for significant flexibility in the choice of drill sites for the</w:t>
      </w:r>
      <w:r>
        <w:rPr>
          <w:sz w:val="20"/>
          <w:szCs w:val="20"/>
        </w:rPr>
        <w:t xml:space="preserve"> next five years.  </w:t>
      </w:r>
    </w:p>
    <w:p w14:paraId="4945DA7A" w14:textId="77777777" w:rsidR="00000000" w:rsidRDefault="0015578C">
      <w:pPr>
        <w:pStyle w:val="a3"/>
        <w:spacing w:before="0" w:beforeAutospacing="0" w:after="0" w:afterAutospacing="0"/>
        <w:jc w:val="both"/>
        <w:rPr>
          <w:sz w:val="20"/>
          <w:szCs w:val="20"/>
        </w:rPr>
      </w:pPr>
      <w:r>
        <w:rPr>
          <w:sz w:val="20"/>
          <w:szCs w:val="20"/>
        </w:rPr>
        <w:t> </w:t>
      </w:r>
    </w:p>
    <w:p w14:paraId="17DB54FC" w14:textId="77777777" w:rsidR="00000000" w:rsidRDefault="0015578C">
      <w:pPr>
        <w:pStyle w:val="a3"/>
        <w:spacing w:before="0" w:beforeAutospacing="0" w:after="0" w:afterAutospacing="0"/>
        <w:jc w:val="both"/>
        <w:rPr>
          <w:sz w:val="20"/>
          <w:szCs w:val="20"/>
        </w:rPr>
      </w:pPr>
      <w:r>
        <w:rPr>
          <w:sz w:val="20"/>
          <w:szCs w:val="20"/>
        </w:rPr>
        <w:t xml:space="preserve">7. </w:t>
      </w:r>
      <w:r>
        <w:rPr>
          <w:sz w:val="20"/>
          <w:szCs w:val="20"/>
          <w:u w:val="single"/>
        </w:rPr>
        <w:t xml:space="preserve">Mineralization </w:t>
      </w:r>
    </w:p>
    <w:p w14:paraId="54581925" w14:textId="77777777" w:rsidR="00000000" w:rsidRDefault="0015578C">
      <w:pPr>
        <w:pStyle w:val="a3"/>
        <w:spacing w:before="0" w:beforeAutospacing="0" w:after="0" w:afterAutospacing="0"/>
        <w:jc w:val="both"/>
        <w:rPr>
          <w:sz w:val="20"/>
          <w:szCs w:val="20"/>
        </w:rPr>
      </w:pPr>
      <w:r>
        <w:rPr>
          <w:sz w:val="20"/>
          <w:szCs w:val="20"/>
        </w:rPr>
        <w:t> </w:t>
      </w:r>
    </w:p>
    <w:p w14:paraId="52C972DD" w14:textId="77777777" w:rsidR="00000000" w:rsidRDefault="0015578C">
      <w:pPr>
        <w:pStyle w:val="a3"/>
        <w:spacing w:before="0" w:beforeAutospacing="0" w:after="0" w:afterAutospacing="0"/>
        <w:ind w:firstLine="675"/>
        <w:jc w:val="both"/>
        <w:rPr>
          <w:sz w:val="20"/>
          <w:szCs w:val="20"/>
        </w:rPr>
      </w:pPr>
      <w:r>
        <w:rPr>
          <w:sz w:val="20"/>
          <w:szCs w:val="20"/>
        </w:rPr>
        <w:t>The Lik deposit is a black shale-hosted stratiform zinc-lead-silver sedimentary-exhalative (SEDEX) deposit. Mineralization is syngenetic with respect to sediment deposition. Silicification occurs within and periph</w:t>
      </w:r>
      <w:r>
        <w:rPr>
          <w:sz w:val="20"/>
          <w:szCs w:val="20"/>
        </w:rPr>
        <w:t>eral to the main mass of sulfides.  Major sulfides in decreasing order of abundance are pyrite-marcasite, sphalerite and galena. The ore textures are massive, fragmental, chaotic, and veined; they rarely show typical sedimentary layering.  The portion of t</w:t>
      </w:r>
      <w:r>
        <w:rPr>
          <w:sz w:val="20"/>
          <w:szCs w:val="20"/>
        </w:rPr>
        <w:t>he ore body near the surface is oxidized.  The deposit is continuous outside the Lik property onto the adjacent 100%-owned Teck property to the south. The southern continuation of the Lik deposit is referred to as the Su deposit, lying on Teck’s Su propert</w:t>
      </w:r>
      <w:r>
        <w:rPr>
          <w:sz w:val="20"/>
          <w:szCs w:val="20"/>
        </w:rPr>
        <w:t xml:space="preserve">y.  </w:t>
      </w:r>
    </w:p>
    <w:p w14:paraId="15485AA2" w14:textId="77777777" w:rsidR="00000000" w:rsidRDefault="0015578C">
      <w:pPr>
        <w:pStyle w:val="a3"/>
        <w:spacing w:before="0" w:beforeAutospacing="0" w:after="0" w:afterAutospacing="0"/>
        <w:ind w:firstLine="675"/>
        <w:jc w:val="both"/>
        <w:rPr>
          <w:sz w:val="20"/>
          <w:szCs w:val="20"/>
        </w:rPr>
      </w:pPr>
      <w:r>
        <w:rPr>
          <w:sz w:val="20"/>
          <w:szCs w:val="20"/>
        </w:rPr>
        <w:t> </w:t>
      </w:r>
    </w:p>
    <w:p w14:paraId="13C9C43C" w14:textId="77777777" w:rsidR="00000000" w:rsidRDefault="0015578C">
      <w:pPr>
        <w:pStyle w:val="a3"/>
        <w:spacing w:before="0" w:beforeAutospacing="0" w:after="0" w:afterAutospacing="0"/>
        <w:ind w:firstLine="675"/>
        <w:jc w:val="both"/>
        <w:rPr>
          <w:sz w:val="20"/>
          <w:szCs w:val="20"/>
        </w:rPr>
      </w:pPr>
      <w:r>
        <w:rPr>
          <w:sz w:val="20"/>
          <w:szCs w:val="20"/>
        </w:rPr>
        <w:t>Within the Lik property, the deposit is divided into two parts by the Main Break Fault. The main part of the deposit within the existing claims is referred to as the Lik South deposit. As presently tested, the Lik South deposit has a surface footpri</w:t>
      </w:r>
      <w:r>
        <w:rPr>
          <w:sz w:val="20"/>
          <w:szCs w:val="20"/>
        </w:rPr>
        <w:t>nt of about 3,600 feet long and about 2,000 feet wide.  It has been tested down dip to a depth of about 650 feet.  The Lik South deposit remains open down dip.  North of the Main Break Fault, the Lik North deposit has a surface footprint of about 2,300 fee</w:t>
      </w:r>
      <w:r>
        <w:rPr>
          <w:sz w:val="20"/>
          <w:szCs w:val="20"/>
        </w:rPr>
        <w:t>t long and about 1,150 feet wide.  It has been tested down dip to a depth of about 1,000 feet.  The Lik North deposit remains strongly open down dip and to the north.</w:t>
      </w:r>
    </w:p>
    <w:p w14:paraId="3E79DAEF" w14:textId="77777777" w:rsidR="00000000" w:rsidRDefault="0015578C">
      <w:pPr>
        <w:pStyle w:val="a3"/>
        <w:spacing w:before="0" w:beforeAutospacing="0" w:after="0" w:afterAutospacing="0"/>
        <w:ind w:firstLine="675"/>
        <w:jc w:val="both"/>
        <w:rPr>
          <w:sz w:val="20"/>
          <w:szCs w:val="20"/>
        </w:rPr>
      </w:pPr>
      <w:r>
        <w:rPr>
          <w:sz w:val="20"/>
          <w:szCs w:val="20"/>
        </w:rPr>
        <w:t> </w:t>
      </w:r>
    </w:p>
    <w:p w14:paraId="63D0D1F2" w14:textId="77777777" w:rsidR="00000000" w:rsidRDefault="0015578C">
      <w:pPr>
        <w:pStyle w:val="a3"/>
        <w:spacing w:before="0" w:beforeAutospacing="0" w:after="0" w:afterAutospacing="0"/>
        <w:ind w:firstLine="675"/>
        <w:jc w:val="both"/>
        <w:rPr>
          <w:sz w:val="20"/>
          <w:szCs w:val="20"/>
        </w:rPr>
      </w:pPr>
      <w:r>
        <w:rPr>
          <w:sz w:val="20"/>
          <w:szCs w:val="20"/>
        </w:rPr>
        <w:t>The deposits strike northerly and dip westerly at about 25</w:t>
      </w:r>
      <w:r>
        <w:rPr>
          <w:sz w:val="20"/>
          <w:szCs w:val="20"/>
          <w:vertAlign w:val="superscript"/>
        </w:rPr>
        <w:t>o</w:t>
      </w:r>
      <w:r>
        <w:rPr>
          <w:sz w:val="20"/>
          <w:szCs w:val="20"/>
        </w:rPr>
        <w:t xml:space="preserve"> to 40</w:t>
      </w:r>
      <w:r>
        <w:rPr>
          <w:sz w:val="20"/>
          <w:szCs w:val="20"/>
          <w:vertAlign w:val="superscript"/>
        </w:rPr>
        <w:t>o</w:t>
      </w:r>
      <w:r>
        <w:rPr>
          <w:sz w:val="20"/>
          <w:szCs w:val="20"/>
        </w:rPr>
        <w:t xml:space="preserve">. The mineralization </w:t>
      </w:r>
      <w:r>
        <w:rPr>
          <w:sz w:val="20"/>
          <w:szCs w:val="20"/>
        </w:rPr>
        <w:t>comprises irregular, stratiform lenses. The mineralogy of the sulfides is simple and comprises pyrite, marcasite, sphalerite, and galena. Gangue minerals include quartz (as chert), clay minerals, carbonate and barite. Noranda recognized six different ore t</w:t>
      </w:r>
      <w:r>
        <w:rPr>
          <w:sz w:val="20"/>
          <w:szCs w:val="20"/>
        </w:rPr>
        <w:t>ypes in its logging of drill core. Typical grades of mineralized intersections within the Lik deposit are listed in the table below:</w:t>
      </w:r>
    </w:p>
    <w:p w14:paraId="5D1329E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6238DEC" w14:textId="77777777">
        <w:trPr>
          <w:trHeight w:val="225"/>
          <w:tblCellSpacing w:w="15" w:type="dxa"/>
        </w:trPr>
        <w:tc>
          <w:tcPr>
            <w:tcW w:w="0" w:type="auto"/>
            <w:vAlign w:val="center"/>
            <w:hideMark/>
          </w:tcPr>
          <w:p w14:paraId="433C29FC" w14:textId="77777777" w:rsidR="00000000" w:rsidRDefault="0015578C">
            <w:pPr>
              <w:rPr>
                <w:rFonts w:eastAsia="Times New Roman"/>
                <w:sz w:val="20"/>
                <w:szCs w:val="20"/>
              </w:rPr>
            </w:pPr>
            <w:r>
              <w:rPr>
                <w:rFonts w:eastAsia="Times New Roman"/>
                <w:sz w:val="20"/>
                <w:szCs w:val="20"/>
              </w:rPr>
              <w:t> </w:t>
            </w:r>
          </w:p>
        </w:tc>
      </w:tr>
      <w:tr w:rsidR="00000000" w14:paraId="5C31B6C4" w14:textId="77777777">
        <w:trPr>
          <w:trHeight w:val="225"/>
          <w:tblCellSpacing w:w="15" w:type="dxa"/>
        </w:trPr>
        <w:tc>
          <w:tcPr>
            <w:tcW w:w="0" w:type="auto"/>
            <w:tcBorders>
              <w:bottom w:val="single" w:sz="6" w:space="0" w:color="000000"/>
            </w:tcBorders>
            <w:vAlign w:val="center"/>
            <w:hideMark/>
          </w:tcPr>
          <w:p w14:paraId="4D088DB8" w14:textId="77777777" w:rsidR="00000000" w:rsidRDefault="0015578C">
            <w:pPr>
              <w:jc w:val="center"/>
              <w:rPr>
                <w:rFonts w:eastAsia="Times New Roman"/>
                <w:sz w:val="20"/>
                <w:szCs w:val="20"/>
              </w:rPr>
            </w:pPr>
            <w:r>
              <w:rPr>
                <w:rFonts w:eastAsia="Times New Roman"/>
                <w:sz w:val="20"/>
                <w:szCs w:val="20"/>
              </w:rPr>
              <w:t>29</w:t>
            </w:r>
          </w:p>
        </w:tc>
      </w:tr>
      <w:tr w:rsidR="00000000" w14:paraId="1F69255A" w14:textId="77777777">
        <w:trPr>
          <w:trHeight w:val="225"/>
          <w:tblCellSpacing w:w="15" w:type="dxa"/>
        </w:trPr>
        <w:tc>
          <w:tcPr>
            <w:tcW w:w="0" w:type="auto"/>
            <w:vAlign w:val="center"/>
            <w:hideMark/>
          </w:tcPr>
          <w:p w14:paraId="7A3D5EC2" w14:textId="77777777" w:rsidR="00000000" w:rsidRDefault="0015578C">
            <w:pPr>
              <w:rPr>
                <w:rFonts w:eastAsia="Times New Roman"/>
                <w:sz w:val="20"/>
                <w:szCs w:val="20"/>
              </w:rPr>
            </w:pPr>
          </w:p>
        </w:tc>
      </w:tr>
      <w:tr w:rsidR="00000000" w14:paraId="3B28AB92" w14:textId="77777777">
        <w:trPr>
          <w:trHeight w:val="225"/>
          <w:tblCellSpacing w:w="15" w:type="dxa"/>
        </w:trPr>
        <w:tc>
          <w:tcPr>
            <w:tcW w:w="0" w:type="auto"/>
            <w:vAlign w:val="center"/>
            <w:hideMark/>
          </w:tcPr>
          <w:p w14:paraId="1FCA9E53"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24ADC94"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1457"/>
        <w:gridCol w:w="1248"/>
        <w:gridCol w:w="1248"/>
        <w:gridCol w:w="1382"/>
        <w:gridCol w:w="1033"/>
        <w:gridCol w:w="890"/>
        <w:gridCol w:w="1048"/>
      </w:tblGrid>
      <w:tr w:rsidR="00000000" w14:paraId="13098C4C" w14:textId="77777777">
        <w:trPr>
          <w:trHeight w:val="225"/>
          <w:tblCellSpacing w:w="15" w:type="dxa"/>
        </w:trPr>
        <w:tc>
          <w:tcPr>
            <w:tcW w:w="0" w:type="auto"/>
            <w:gridSpan w:val="7"/>
            <w:tcBorders>
              <w:bottom w:val="single" w:sz="6" w:space="0" w:color="auto"/>
            </w:tcBorders>
            <w:vAlign w:val="bottom"/>
            <w:hideMark/>
          </w:tcPr>
          <w:p w14:paraId="2CFCD9C2" w14:textId="77777777" w:rsidR="00000000" w:rsidRDefault="0015578C">
            <w:pPr>
              <w:pStyle w:val="a3"/>
              <w:spacing w:before="0" w:beforeAutospacing="0" w:after="0" w:afterAutospacing="0"/>
              <w:jc w:val="center"/>
              <w:rPr>
                <w:sz w:val="20"/>
                <w:szCs w:val="20"/>
              </w:rPr>
            </w:pPr>
            <w:r>
              <w:rPr>
                <w:rStyle w:val="a4"/>
                <w:sz w:val="20"/>
                <w:szCs w:val="20"/>
              </w:rPr>
              <w:t>Typical Mineralized Intersections</w:t>
            </w:r>
          </w:p>
          <w:p w14:paraId="7B3A9F98" w14:textId="77777777" w:rsidR="00000000" w:rsidRDefault="0015578C">
            <w:pPr>
              <w:pStyle w:val="a3"/>
              <w:spacing w:before="0" w:beforeAutospacing="0" w:after="0" w:afterAutospacing="0"/>
              <w:jc w:val="center"/>
              <w:rPr>
                <w:sz w:val="20"/>
                <w:szCs w:val="20"/>
              </w:rPr>
            </w:pPr>
            <w:r>
              <w:rPr>
                <w:rStyle w:val="a4"/>
                <w:sz w:val="20"/>
                <w:szCs w:val="20"/>
              </w:rPr>
              <w:t> </w:t>
            </w:r>
          </w:p>
        </w:tc>
      </w:tr>
      <w:tr w:rsidR="00000000" w14:paraId="00245B0F" w14:textId="77777777">
        <w:trPr>
          <w:trHeight w:val="225"/>
          <w:tblCellSpacing w:w="15" w:type="dxa"/>
        </w:trPr>
        <w:tc>
          <w:tcPr>
            <w:tcW w:w="0" w:type="auto"/>
            <w:tcBorders>
              <w:left w:val="single" w:sz="6" w:space="0" w:color="auto"/>
              <w:bottom w:val="single" w:sz="6" w:space="0" w:color="auto"/>
              <w:right w:val="single" w:sz="6" w:space="0" w:color="auto"/>
            </w:tcBorders>
            <w:vAlign w:val="bottom"/>
            <w:hideMark/>
          </w:tcPr>
          <w:p w14:paraId="7057FFAC" w14:textId="77777777" w:rsidR="00000000" w:rsidRDefault="0015578C">
            <w:pPr>
              <w:pStyle w:val="a3"/>
              <w:spacing w:before="0" w:beforeAutospacing="0" w:after="0" w:afterAutospacing="0"/>
              <w:ind w:left="225"/>
              <w:rPr>
                <w:sz w:val="20"/>
                <w:szCs w:val="20"/>
              </w:rPr>
            </w:pPr>
            <w:r>
              <w:rPr>
                <w:rStyle w:val="a4"/>
                <w:sz w:val="20"/>
                <w:szCs w:val="20"/>
              </w:rPr>
              <w:t xml:space="preserve">Hole </w:t>
            </w:r>
          </w:p>
          <w:p w14:paraId="7AF84EEF" w14:textId="77777777" w:rsidR="00000000" w:rsidRDefault="0015578C">
            <w:pPr>
              <w:pStyle w:val="a3"/>
              <w:spacing w:before="0" w:beforeAutospacing="0" w:after="0" w:afterAutospacing="0"/>
              <w:ind w:left="225"/>
              <w:rPr>
                <w:sz w:val="20"/>
                <w:szCs w:val="20"/>
              </w:rPr>
            </w:pPr>
            <w:r>
              <w:rPr>
                <w:rStyle w:val="a4"/>
                <w:sz w:val="20"/>
                <w:szCs w:val="20"/>
              </w:rPr>
              <w:t>No.</w:t>
            </w:r>
          </w:p>
        </w:tc>
        <w:tc>
          <w:tcPr>
            <w:tcW w:w="0" w:type="auto"/>
            <w:tcBorders>
              <w:bottom w:val="single" w:sz="6" w:space="0" w:color="auto"/>
              <w:right w:val="single" w:sz="6" w:space="0" w:color="auto"/>
            </w:tcBorders>
            <w:vAlign w:val="bottom"/>
            <w:hideMark/>
          </w:tcPr>
          <w:p w14:paraId="22F924EE" w14:textId="77777777" w:rsidR="00000000" w:rsidRDefault="0015578C">
            <w:pPr>
              <w:pStyle w:val="a3"/>
              <w:spacing w:before="0" w:beforeAutospacing="0" w:after="0" w:afterAutospacing="0"/>
              <w:jc w:val="center"/>
              <w:rPr>
                <w:sz w:val="20"/>
                <w:szCs w:val="20"/>
              </w:rPr>
            </w:pPr>
            <w:r>
              <w:rPr>
                <w:rStyle w:val="a4"/>
                <w:sz w:val="20"/>
                <w:szCs w:val="20"/>
              </w:rPr>
              <w:t xml:space="preserve">From </w:t>
            </w:r>
          </w:p>
          <w:p w14:paraId="4B0A8CE9" w14:textId="77777777" w:rsidR="00000000" w:rsidRDefault="0015578C">
            <w:pPr>
              <w:pStyle w:val="a3"/>
              <w:spacing w:before="0" w:beforeAutospacing="0" w:after="0" w:afterAutospacing="0"/>
              <w:jc w:val="center"/>
              <w:rPr>
                <w:sz w:val="20"/>
                <w:szCs w:val="20"/>
              </w:rPr>
            </w:pPr>
            <w:r>
              <w:rPr>
                <w:rStyle w:val="a4"/>
                <w:sz w:val="20"/>
                <w:szCs w:val="20"/>
              </w:rPr>
              <w:t>(m)</w:t>
            </w:r>
          </w:p>
        </w:tc>
        <w:tc>
          <w:tcPr>
            <w:tcW w:w="0" w:type="auto"/>
            <w:tcBorders>
              <w:bottom w:val="single" w:sz="6" w:space="0" w:color="auto"/>
              <w:right w:val="single" w:sz="6" w:space="0" w:color="auto"/>
            </w:tcBorders>
            <w:vAlign w:val="bottom"/>
            <w:hideMark/>
          </w:tcPr>
          <w:p w14:paraId="6ECCA74D" w14:textId="77777777" w:rsidR="00000000" w:rsidRDefault="0015578C">
            <w:pPr>
              <w:pStyle w:val="a3"/>
              <w:spacing w:before="0" w:beforeAutospacing="0" w:after="0" w:afterAutospacing="0"/>
              <w:jc w:val="center"/>
              <w:rPr>
                <w:sz w:val="20"/>
                <w:szCs w:val="20"/>
              </w:rPr>
            </w:pPr>
            <w:r>
              <w:rPr>
                <w:rStyle w:val="a4"/>
                <w:sz w:val="20"/>
                <w:szCs w:val="20"/>
              </w:rPr>
              <w:t xml:space="preserve">To </w:t>
            </w:r>
          </w:p>
          <w:p w14:paraId="3C3B1AF3" w14:textId="77777777" w:rsidR="00000000" w:rsidRDefault="0015578C">
            <w:pPr>
              <w:pStyle w:val="a3"/>
              <w:spacing w:before="0" w:beforeAutospacing="0" w:after="0" w:afterAutospacing="0"/>
              <w:jc w:val="center"/>
              <w:rPr>
                <w:sz w:val="20"/>
                <w:szCs w:val="20"/>
              </w:rPr>
            </w:pPr>
            <w:r>
              <w:rPr>
                <w:rStyle w:val="a4"/>
                <w:sz w:val="20"/>
                <w:szCs w:val="20"/>
              </w:rPr>
              <w:t>(m) </w:t>
            </w:r>
          </w:p>
        </w:tc>
        <w:tc>
          <w:tcPr>
            <w:tcW w:w="0" w:type="auto"/>
            <w:tcBorders>
              <w:bottom w:val="single" w:sz="6" w:space="0" w:color="auto"/>
              <w:right w:val="single" w:sz="6" w:space="0" w:color="auto"/>
            </w:tcBorders>
            <w:vAlign w:val="bottom"/>
            <w:hideMark/>
          </w:tcPr>
          <w:p w14:paraId="4285BE5C" w14:textId="77777777" w:rsidR="00000000" w:rsidRDefault="0015578C">
            <w:pPr>
              <w:pStyle w:val="a3"/>
              <w:spacing w:before="0" w:beforeAutospacing="0" w:after="0" w:afterAutospacing="0"/>
              <w:jc w:val="center"/>
              <w:rPr>
                <w:sz w:val="20"/>
                <w:szCs w:val="20"/>
              </w:rPr>
            </w:pPr>
            <w:r>
              <w:rPr>
                <w:rStyle w:val="a4"/>
                <w:sz w:val="20"/>
                <w:szCs w:val="20"/>
              </w:rPr>
              <w:t xml:space="preserve">Length </w:t>
            </w:r>
          </w:p>
          <w:p w14:paraId="1FE4A059" w14:textId="77777777" w:rsidR="00000000" w:rsidRDefault="0015578C">
            <w:pPr>
              <w:pStyle w:val="a3"/>
              <w:spacing w:before="0" w:beforeAutospacing="0" w:after="0" w:afterAutospacing="0"/>
              <w:jc w:val="center"/>
              <w:rPr>
                <w:sz w:val="20"/>
                <w:szCs w:val="20"/>
              </w:rPr>
            </w:pPr>
            <w:r>
              <w:rPr>
                <w:rStyle w:val="a4"/>
                <w:sz w:val="20"/>
                <w:szCs w:val="20"/>
              </w:rPr>
              <w:t>(m) </w:t>
            </w:r>
          </w:p>
        </w:tc>
        <w:tc>
          <w:tcPr>
            <w:tcW w:w="0" w:type="auto"/>
            <w:tcBorders>
              <w:bottom w:val="single" w:sz="6" w:space="0" w:color="auto"/>
              <w:right w:val="single" w:sz="6" w:space="0" w:color="auto"/>
            </w:tcBorders>
            <w:vAlign w:val="bottom"/>
            <w:hideMark/>
          </w:tcPr>
          <w:p w14:paraId="20E83067" w14:textId="77777777" w:rsidR="00000000" w:rsidRDefault="0015578C">
            <w:pPr>
              <w:pStyle w:val="a3"/>
              <w:spacing w:before="0" w:beforeAutospacing="0" w:after="0" w:afterAutospacing="0"/>
              <w:jc w:val="center"/>
              <w:rPr>
                <w:sz w:val="20"/>
                <w:szCs w:val="20"/>
              </w:rPr>
            </w:pPr>
            <w:r>
              <w:rPr>
                <w:rStyle w:val="a4"/>
                <w:sz w:val="20"/>
                <w:szCs w:val="20"/>
              </w:rPr>
              <w:t xml:space="preserve">Zn </w:t>
            </w:r>
          </w:p>
          <w:p w14:paraId="0695B07F" w14:textId="77777777" w:rsidR="00000000" w:rsidRDefault="0015578C">
            <w:pPr>
              <w:pStyle w:val="a3"/>
              <w:spacing w:before="0" w:beforeAutospacing="0" w:after="0" w:afterAutospacing="0"/>
              <w:jc w:val="center"/>
              <w:rPr>
                <w:sz w:val="20"/>
                <w:szCs w:val="20"/>
              </w:rPr>
            </w:pPr>
            <w:r>
              <w:rPr>
                <w:rStyle w:val="a4"/>
                <w:sz w:val="20"/>
                <w:szCs w:val="20"/>
              </w:rPr>
              <w:t>(%)</w:t>
            </w:r>
          </w:p>
        </w:tc>
        <w:tc>
          <w:tcPr>
            <w:tcW w:w="0" w:type="auto"/>
            <w:tcBorders>
              <w:bottom w:val="single" w:sz="6" w:space="0" w:color="auto"/>
              <w:right w:val="single" w:sz="6" w:space="0" w:color="auto"/>
            </w:tcBorders>
            <w:vAlign w:val="bottom"/>
            <w:hideMark/>
          </w:tcPr>
          <w:p w14:paraId="37A099C8" w14:textId="77777777" w:rsidR="00000000" w:rsidRDefault="0015578C">
            <w:pPr>
              <w:pStyle w:val="a3"/>
              <w:spacing w:before="0" w:beforeAutospacing="0" w:after="0" w:afterAutospacing="0"/>
              <w:jc w:val="center"/>
              <w:rPr>
                <w:sz w:val="20"/>
                <w:szCs w:val="20"/>
              </w:rPr>
            </w:pPr>
            <w:r>
              <w:rPr>
                <w:rStyle w:val="a4"/>
                <w:sz w:val="20"/>
                <w:szCs w:val="20"/>
              </w:rPr>
              <w:t xml:space="preserve">Pb </w:t>
            </w:r>
          </w:p>
          <w:p w14:paraId="2738567D" w14:textId="77777777" w:rsidR="00000000" w:rsidRDefault="0015578C">
            <w:pPr>
              <w:pStyle w:val="a3"/>
              <w:spacing w:before="0" w:beforeAutospacing="0" w:after="0" w:afterAutospacing="0"/>
              <w:jc w:val="center"/>
              <w:rPr>
                <w:sz w:val="20"/>
                <w:szCs w:val="20"/>
              </w:rPr>
            </w:pPr>
            <w:r>
              <w:rPr>
                <w:rStyle w:val="a4"/>
                <w:sz w:val="20"/>
                <w:szCs w:val="20"/>
              </w:rPr>
              <w:t>(%) </w:t>
            </w:r>
          </w:p>
        </w:tc>
        <w:tc>
          <w:tcPr>
            <w:tcW w:w="0" w:type="auto"/>
            <w:tcBorders>
              <w:bottom w:val="single" w:sz="6" w:space="0" w:color="auto"/>
              <w:right w:val="single" w:sz="6" w:space="0" w:color="auto"/>
            </w:tcBorders>
            <w:vAlign w:val="bottom"/>
            <w:hideMark/>
          </w:tcPr>
          <w:p w14:paraId="375AC22B" w14:textId="77777777" w:rsidR="00000000" w:rsidRDefault="0015578C">
            <w:pPr>
              <w:pStyle w:val="a3"/>
              <w:spacing w:before="0" w:beforeAutospacing="0" w:after="0" w:afterAutospacing="0"/>
              <w:jc w:val="center"/>
              <w:rPr>
                <w:sz w:val="20"/>
                <w:szCs w:val="20"/>
              </w:rPr>
            </w:pPr>
            <w:r>
              <w:rPr>
                <w:rStyle w:val="a4"/>
                <w:sz w:val="20"/>
                <w:szCs w:val="20"/>
              </w:rPr>
              <w:t xml:space="preserve">Ag </w:t>
            </w:r>
          </w:p>
          <w:p w14:paraId="2FD7AD69" w14:textId="77777777" w:rsidR="00000000" w:rsidRDefault="0015578C">
            <w:pPr>
              <w:pStyle w:val="a3"/>
              <w:spacing w:before="0" w:beforeAutospacing="0" w:after="0" w:afterAutospacing="0"/>
              <w:jc w:val="center"/>
              <w:rPr>
                <w:sz w:val="20"/>
                <w:szCs w:val="20"/>
              </w:rPr>
            </w:pPr>
            <w:r>
              <w:rPr>
                <w:rStyle w:val="a4"/>
                <w:sz w:val="20"/>
                <w:szCs w:val="20"/>
              </w:rPr>
              <w:t>(g/t) </w:t>
            </w:r>
          </w:p>
        </w:tc>
      </w:tr>
      <w:tr w:rsidR="00000000" w14:paraId="5202317E"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0DC5ED9F" w14:textId="77777777" w:rsidR="00000000" w:rsidRDefault="0015578C">
            <w:pPr>
              <w:pStyle w:val="a3"/>
              <w:spacing w:before="0" w:beforeAutospacing="0" w:after="0" w:afterAutospacing="0"/>
              <w:ind w:left="225"/>
              <w:rPr>
                <w:sz w:val="20"/>
                <w:szCs w:val="20"/>
              </w:rPr>
            </w:pPr>
            <w:r>
              <w:rPr>
                <w:sz w:val="20"/>
                <w:szCs w:val="20"/>
              </w:rPr>
              <w:t>5</w:t>
            </w:r>
          </w:p>
        </w:tc>
        <w:tc>
          <w:tcPr>
            <w:tcW w:w="0" w:type="auto"/>
            <w:tcBorders>
              <w:bottom w:val="single" w:sz="6" w:space="0" w:color="auto"/>
              <w:right w:val="single" w:sz="6" w:space="0" w:color="auto"/>
            </w:tcBorders>
            <w:shd w:val="clear" w:color="auto" w:fill="CCEEFF"/>
            <w:vAlign w:val="bottom"/>
            <w:hideMark/>
          </w:tcPr>
          <w:p w14:paraId="7D39B5D1" w14:textId="77777777" w:rsidR="00000000" w:rsidRDefault="0015578C">
            <w:pPr>
              <w:pStyle w:val="a3"/>
              <w:spacing w:before="0" w:beforeAutospacing="0" w:after="0" w:afterAutospacing="0"/>
              <w:jc w:val="right"/>
              <w:rPr>
                <w:sz w:val="20"/>
                <w:szCs w:val="20"/>
              </w:rPr>
            </w:pPr>
            <w:r>
              <w:rPr>
                <w:sz w:val="20"/>
                <w:szCs w:val="20"/>
              </w:rPr>
              <w:t>54.56</w:t>
            </w:r>
          </w:p>
        </w:tc>
        <w:tc>
          <w:tcPr>
            <w:tcW w:w="0" w:type="auto"/>
            <w:tcBorders>
              <w:bottom w:val="single" w:sz="6" w:space="0" w:color="auto"/>
              <w:right w:val="single" w:sz="6" w:space="0" w:color="auto"/>
            </w:tcBorders>
            <w:shd w:val="clear" w:color="auto" w:fill="CCEEFF"/>
            <w:vAlign w:val="bottom"/>
            <w:hideMark/>
          </w:tcPr>
          <w:p w14:paraId="2A00FEF5" w14:textId="77777777" w:rsidR="00000000" w:rsidRDefault="0015578C">
            <w:pPr>
              <w:pStyle w:val="a3"/>
              <w:spacing w:before="0" w:beforeAutospacing="0" w:after="0" w:afterAutospacing="0"/>
              <w:jc w:val="right"/>
              <w:rPr>
                <w:sz w:val="20"/>
                <w:szCs w:val="20"/>
              </w:rPr>
            </w:pPr>
            <w:r>
              <w:rPr>
                <w:sz w:val="20"/>
                <w:szCs w:val="20"/>
              </w:rPr>
              <w:t>78.79</w:t>
            </w:r>
          </w:p>
        </w:tc>
        <w:tc>
          <w:tcPr>
            <w:tcW w:w="0" w:type="auto"/>
            <w:tcBorders>
              <w:bottom w:val="single" w:sz="6" w:space="0" w:color="auto"/>
              <w:right w:val="single" w:sz="6" w:space="0" w:color="auto"/>
            </w:tcBorders>
            <w:shd w:val="clear" w:color="auto" w:fill="CCEEFF"/>
            <w:vAlign w:val="bottom"/>
            <w:hideMark/>
          </w:tcPr>
          <w:p w14:paraId="0341B594" w14:textId="77777777" w:rsidR="00000000" w:rsidRDefault="0015578C">
            <w:pPr>
              <w:pStyle w:val="a3"/>
              <w:spacing w:before="0" w:beforeAutospacing="0" w:after="0" w:afterAutospacing="0"/>
              <w:jc w:val="right"/>
              <w:rPr>
                <w:sz w:val="20"/>
                <w:szCs w:val="20"/>
              </w:rPr>
            </w:pPr>
            <w:r>
              <w:rPr>
                <w:sz w:val="20"/>
                <w:szCs w:val="20"/>
              </w:rPr>
              <w:t>24.23</w:t>
            </w:r>
          </w:p>
        </w:tc>
        <w:tc>
          <w:tcPr>
            <w:tcW w:w="0" w:type="auto"/>
            <w:tcBorders>
              <w:bottom w:val="single" w:sz="6" w:space="0" w:color="auto"/>
              <w:right w:val="single" w:sz="6" w:space="0" w:color="auto"/>
            </w:tcBorders>
            <w:shd w:val="clear" w:color="auto" w:fill="CCEEFF"/>
            <w:vAlign w:val="bottom"/>
            <w:hideMark/>
          </w:tcPr>
          <w:p w14:paraId="0ADFA791" w14:textId="77777777" w:rsidR="00000000" w:rsidRDefault="0015578C">
            <w:pPr>
              <w:pStyle w:val="a3"/>
              <w:spacing w:before="0" w:beforeAutospacing="0" w:after="0" w:afterAutospacing="0"/>
              <w:jc w:val="right"/>
              <w:rPr>
                <w:sz w:val="20"/>
                <w:szCs w:val="20"/>
              </w:rPr>
            </w:pPr>
            <w:r>
              <w:rPr>
                <w:sz w:val="20"/>
                <w:szCs w:val="20"/>
              </w:rPr>
              <w:t>19.72</w:t>
            </w:r>
          </w:p>
        </w:tc>
        <w:tc>
          <w:tcPr>
            <w:tcW w:w="0" w:type="auto"/>
            <w:tcBorders>
              <w:bottom w:val="single" w:sz="6" w:space="0" w:color="auto"/>
              <w:right w:val="single" w:sz="6" w:space="0" w:color="auto"/>
            </w:tcBorders>
            <w:shd w:val="clear" w:color="auto" w:fill="CCEEFF"/>
            <w:vAlign w:val="bottom"/>
            <w:hideMark/>
          </w:tcPr>
          <w:p w14:paraId="412C0D04" w14:textId="77777777" w:rsidR="00000000" w:rsidRDefault="0015578C">
            <w:pPr>
              <w:pStyle w:val="a3"/>
              <w:spacing w:before="0" w:beforeAutospacing="0" w:after="0" w:afterAutospacing="0"/>
              <w:jc w:val="right"/>
              <w:rPr>
                <w:sz w:val="20"/>
                <w:szCs w:val="20"/>
              </w:rPr>
            </w:pPr>
            <w:r>
              <w:rPr>
                <w:sz w:val="20"/>
                <w:szCs w:val="20"/>
              </w:rPr>
              <w:t>6.27</w:t>
            </w:r>
          </w:p>
        </w:tc>
        <w:tc>
          <w:tcPr>
            <w:tcW w:w="0" w:type="auto"/>
            <w:tcBorders>
              <w:bottom w:val="single" w:sz="6" w:space="0" w:color="auto"/>
              <w:right w:val="single" w:sz="6" w:space="0" w:color="auto"/>
            </w:tcBorders>
            <w:shd w:val="clear" w:color="auto" w:fill="CCEEFF"/>
            <w:vAlign w:val="bottom"/>
            <w:hideMark/>
          </w:tcPr>
          <w:p w14:paraId="51FC2AC9" w14:textId="77777777" w:rsidR="00000000" w:rsidRDefault="0015578C">
            <w:pPr>
              <w:pStyle w:val="a3"/>
              <w:spacing w:before="0" w:beforeAutospacing="0" w:after="0" w:afterAutospacing="0"/>
              <w:jc w:val="right"/>
              <w:rPr>
                <w:sz w:val="20"/>
                <w:szCs w:val="20"/>
              </w:rPr>
            </w:pPr>
            <w:r>
              <w:rPr>
                <w:sz w:val="20"/>
                <w:szCs w:val="20"/>
              </w:rPr>
              <w:t>126.5</w:t>
            </w:r>
          </w:p>
        </w:tc>
      </w:tr>
      <w:tr w:rsidR="00000000" w14:paraId="183B340F"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39318BC3" w14:textId="77777777" w:rsidR="00000000" w:rsidRDefault="0015578C">
            <w:pPr>
              <w:pStyle w:val="a3"/>
              <w:spacing w:before="0" w:beforeAutospacing="0" w:after="0" w:afterAutospacing="0"/>
              <w:ind w:left="225"/>
              <w:rPr>
                <w:sz w:val="20"/>
                <w:szCs w:val="20"/>
              </w:rPr>
            </w:pPr>
            <w:r>
              <w:rPr>
                <w:sz w:val="20"/>
                <w:szCs w:val="20"/>
              </w:rPr>
              <w:t>16</w:t>
            </w:r>
          </w:p>
        </w:tc>
        <w:tc>
          <w:tcPr>
            <w:tcW w:w="0" w:type="auto"/>
            <w:tcBorders>
              <w:bottom w:val="single" w:sz="6" w:space="0" w:color="auto"/>
              <w:right w:val="single" w:sz="6" w:space="0" w:color="auto"/>
            </w:tcBorders>
            <w:shd w:val="clear" w:color="auto" w:fill="FFFFFF"/>
            <w:vAlign w:val="bottom"/>
            <w:hideMark/>
          </w:tcPr>
          <w:p w14:paraId="3CCB7B47" w14:textId="77777777" w:rsidR="00000000" w:rsidRDefault="0015578C">
            <w:pPr>
              <w:pStyle w:val="a3"/>
              <w:spacing w:before="0" w:beforeAutospacing="0" w:after="0" w:afterAutospacing="0"/>
              <w:jc w:val="right"/>
              <w:rPr>
                <w:sz w:val="20"/>
                <w:szCs w:val="20"/>
              </w:rPr>
            </w:pPr>
            <w:r>
              <w:rPr>
                <w:sz w:val="20"/>
                <w:szCs w:val="20"/>
              </w:rPr>
              <w:t>80.16</w:t>
            </w:r>
          </w:p>
        </w:tc>
        <w:tc>
          <w:tcPr>
            <w:tcW w:w="0" w:type="auto"/>
            <w:tcBorders>
              <w:bottom w:val="single" w:sz="6" w:space="0" w:color="auto"/>
              <w:right w:val="single" w:sz="6" w:space="0" w:color="auto"/>
            </w:tcBorders>
            <w:shd w:val="clear" w:color="auto" w:fill="FFFFFF"/>
            <w:vAlign w:val="bottom"/>
            <w:hideMark/>
          </w:tcPr>
          <w:p w14:paraId="6545188D" w14:textId="77777777" w:rsidR="00000000" w:rsidRDefault="0015578C">
            <w:pPr>
              <w:pStyle w:val="a3"/>
              <w:spacing w:before="0" w:beforeAutospacing="0" w:after="0" w:afterAutospacing="0"/>
              <w:jc w:val="right"/>
              <w:rPr>
                <w:sz w:val="20"/>
                <w:szCs w:val="20"/>
              </w:rPr>
            </w:pPr>
            <w:r>
              <w:rPr>
                <w:sz w:val="20"/>
                <w:szCs w:val="20"/>
              </w:rPr>
              <w:t>94.49</w:t>
            </w:r>
          </w:p>
        </w:tc>
        <w:tc>
          <w:tcPr>
            <w:tcW w:w="0" w:type="auto"/>
            <w:tcBorders>
              <w:bottom w:val="single" w:sz="6" w:space="0" w:color="auto"/>
              <w:right w:val="single" w:sz="6" w:space="0" w:color="auto"/>
            </w:tcBorders>
            <w:shd w:val="clear" w:color="auto" w:fill="FFFFFF"/>
            <w:vAlign w:val="bottom"/>
            <w:hideMark/>
          </w:tcPr>
          <w:p w14:paraId="26CBB72F" w14:textId="77777777" w:rsidR="00000000" w:rsidRDefault="0015578C">
            <w:pPr>
              <w:pStyle w:val="a3"/>
              <w:spacing w:before="0" w:beforeAutospacing="0" w:after="0" w:afterAutospacing="0"/>
              <w:jc w:val="right"/>
              <w:rPr>
                <w:sz w:val="20"/>
                <w:szCs w:val="20"/>
              </w:rPr>
            </w:pPr>
            <w:r>
              <w:rPr>
                <w:sz w:val="20"/>
                <w:szCs w:val="20"/>
              </w:rPr>
              <w:t>14.33</w:t>
            </w:r>
          </w:p>
        </w:tc>
        <w:tc>
          <w:tcPr>
            <w:tcW w:w="0" w:type="auto"/>
            <w:tcBorders>
              <w:bottom w:val="single" w:sz="6" w:space="0" w:color="auto"/>
              <w:right w:val="single" w:sz="6" w:space="0" w:color="auto"/>
            </w:tcBorders>
            <w:shd w:val="clear" w:color="auto" w:fill="FFFFFF"/>
            <w:vAlign w:val="bottom"/>
            <w:hideMark/>
          </w:tcPr>
          <w:p w14:paraId="703F575E" w14:textId="77777777" w:rsidR="00000000" w:rsidRDefault="0015578C">
            <w:pPr>
              <w:pStyle w:val="a3"/>
              <w:spacing w:before="0" w:beforeAutospacing="0" w:after="0" w:afterAutospacing="0"/>
              <w:jc w:val="right"/>
              <w:rPr>
                <w:sz w:val="20"/>
                <w:szCs w:val="20"/>
              </w:rPr>
            </w:pPr>
            <w:r>
              <w:rPr>
                <w:sz w:val="20"/>
                <w:szCs w:val="20"/>
              </w:rPr>
              <w:t>21.67</w:t>
            </w:r>
          </w:p>
        </w:tc>
        <w:tc>
          <w:tcPr>
            <w:tcW w:w="0" w:type="auto"/>
            <w:tcBorders>
              <w:bottom w:val="single" w:sz="6" w:space="0" w:color="auto"/>
              <w:right w:val="single" w:sz="6" w:space="0" w:color="auto"/>
            </w:tcBorders>
            <w:shd w:val="clear" w:color="auto" w:fill="FFFFFF"/>
            <w:vAlign w:val="bottom"/>
            <w:hideMark/>
          </w:tcPr>
          <w:p w14:paraId="4907B46C" w14:textId="77777777" w:rsidR="00000000" w:rsidRDefault="0015578C">
            <w:pPr>
              <w:pStyle w:val="a3"/>
              <w:spacing w:before="0" w:beforeAutospacing="0" w:after="0" w:afterAutospacing="0"/>
              <w:jc w:val="right"/>
              <w:rPr>
                <w:sz w:val="20"/>
                <w:szCs w:val="20"/>
              </w:rPr>
            </w:pPr>
            <w:r>
              <w:rPr>
                <w:sz w:val="20"/>
                <w:szCs w:val="20"/>
              </w:rPr>
              <w:t>7.01</w:t>
            </w:r>
          </w:p>
        </w:tc>
        <w:tc>
          <w:tcPr>
            <w:tcW w:w="0" w:type="auto"/>
            <w:tcBorders>
              <w:bottom w:val="single" w:sz="6" w:space="0" w:color="auto"/>
              <w:right w:val="single" w:sz="6" w:space="0" w:color="auto"/>
            </w:tcBorders>
            <w:shd w:val="clear" w:color="auto" w:fill="FFFFFF"/>
            <w:vAlign w:val="bottom"/>
            <w:hideMark/>
          </w:tcPr>
          <w:p w14:paraId="47A17611" w14:textId="77777777" w:rsidR="00000000" w:rsidRDefault="0015578C">
            <w:pPr>
              <w:pStyle w:val="a3"/>
              <w:spacing w:before="0" w:beforeAutospacing="0" w:after="0" w:afterAutospacing="0"/>
              <w:jc w:val="right"/>
              <w:rPr>
                <w:sz w:val="20"/>
                <w:szCs w:val="20"/>
              </w:rPr>
            </w:pPr>
            <w:r>
              <w:rPr>
                <w:sz w:val="20"/>
                <w:szCs w:val="20"/>
              </w:rPr>
              <w:t>230.4</w:t>
            </w:r>
          </w:p>
        </w:tc>
      </w:tr>
      <w:tr w:rsidR="00000000" w14:paraId="08CCB802"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3248DAAC" w14:textId="77777777" w:rsidR="00000000" w:rsidRDefault="0015578C">
            <w:pPr>
              <w:pStyle w:val="a3"/>
              <w:spacing w:before="0" w:beforeAutospacing="0" w:after="0" w:afterAutospacing="0"/>
              <w:ind w:left="225"/>
              <w:rPr>
                <w:sz w:val="20"/>
                <w:szCs w:val="20"/>
              </w:rPr>
            </w:pPr>
            <w:r>
              <w:rPr>
                <w:sz w:val="20"/>
                <w:szCs w:val="20"/>
              </w:rPr>
              <w:t>21</w:t>
            </w:r>
          </w:p>
        </w:tc>
        <w:tc>
          <w:tcPr>
            <w:tcW w:w="0" w:type="auto"/>
            <w:tcBorders>
              <w:bottom w:val="single" w:sz="6" w:space="0" w:color="auto"/>
              <w:right w:val="single" w:sz="6" w:space="0" w:color="auto"/>
            </w:tcBorders>
            <w:shd w:val="clear" w:color="auto" w:fill="CCEEFF"/>
            <w:vAlign w:val="bottom"/>
            <w:hideMark/>
          </w:tcPr>
          <w:p w14:paraId="2FF9CD4E" w14:textId="77777777" w:rsidR="00000000" w:rsidRDefault="0015578C">
            <w:pPr>
              <w:pStyle w:val="a3"/>
              <w:spacing w:before="0" w:beforeAutospacing="0" w:after="0" w:afterAutospacing="0"/>
              <w:jc w:val="right"/>
              <w:rPr>
                <w:sz w:val="20"/>
                <w:szCs w:val="20"/>
              </w:rPr>
            </w:pPr>
            <w:r>
              <w:rPr>
                <w:sz w:val="20"/>
                <w:szCs w:val="20"/>
              </w:rPr>
              <w:t>129.54</w:t>
            </w:r>
          </w:p>
        </w:tc>
        <w:tc>
          <w:tcPr>
            <w:tcW w:w="0" w:type="auto"/>
            <w:tcBorders>
              <w:bottom w:val="single" w:sz="6" w:space="0" w:color="auto"/>
              <w:right w:val="single" w:sz="6" w:space="0" w:color="auto"/>
            </w:tcBorders>
            <w:shd w:val="clear" w:color="auto" w:fill="CCEEFF"/>
            <w:vAlign w:val="bottom"/>
            <w:hideMark/>
          </w:tcPr>
          <w:p w14:paraId="1D45F47E" w14:textId="77777777" w:rsidR="00000000" w:rsidRDefault="0015578C">
            <w:pPr>
              <w:pStyle w:val="a3"/>
              <w:spacing w:before="0" w:beforeAutospacing="0" w:after="0" w:afterAutospacing="0"/>
              <w:jc w:val="right"/>
              <w:rPr>
                <w:sz w:val="20"/>
                <w:szCs w:val="20"/>
              </w:rPr>
            </w:pPr>
            <w:r>
              <w:rPr>
                <w:sz w:val="20"/>
                <w:szCs w:val="20"/>
              </w:rPr>
              <w:t>135.33</w:t>
            </w:r>
          </w:p>
        </w:tc>
        <w:tc>
          <w:tcPr>
            <w:tcW w:w="0" w:type="auto"/>
            <w:tcBorders>
              <w:bottom w:val="single" w:sz="6" w:space="0" w:color="auto"/>
              <w:right w:val="single" w:sz="6" w:space="0" w:color="auto"/>
            </w:tcBorders>
            <w:shd w:val="clear" w:color="auto" w:fill="CCEEFF"/>
            <w:vAlign w:val="bottom"/>
            <w:hideMark/>
          </w:tcPr>
          <w:p w14:paraId="1FC1405F" w14:textId="77777777" w:rsidR="00000000" w:rsidRDefault="0015578C">
            <w:pPr>
              <w:pStyle w:val="a3"/>
              <w:spacing w:before="0" w:beforeAutospacing="0" w:after="0" w:afterAutospacing="0"/>
              <w:jc w:val="right"/>
              <w:rPr>
                <w:sz w:val="20"/>
                <w:szCs w:val="20"/>
              </w:rPr>
            </w:pPr>
            <w:r>
              <w:rPr>
                <w:sz w:val="20"/>
                <w:szCs w:val="20"/>
              </w:rPr>
              <w:t>5.79</w:t>
            </w:r>
          </w:p>
        </w:tc>
        <w:tc>
          <w:tcPr>
            <w:tcW w:w="0" w:type="auto"/>
            <w:tcBorders>
              <w:bottom w:val="single" w:sz="6" w:space="0" w:color="auto"/>
              <w:right w:val="single" w:sz="6" w:space="0" w:color="auto"/>
            </w:tcBorders>
            <w:shd w:val="clear" w:color="auto" w:fill="CCEEFF"/>
            <w:vAlign w:val="bottom"/>
            <w:hideMark/>
          </w:tcPr>
          <w:p w14:paraId="53CF31A3" w14:textId="77777777" w:rsidR="00000000" w:rsidRDefault="0015578C">
            <w:pPr>
              <w:pStyle w:val="a3"/>
              <w:spacing w:before="0" w:beforeAutospacing="0" w:after="0" w:afterAutospacing="0"/>
              <w:jc w:val="right"/>
              <w:rPr>
                <w:sz w:val="20"/>
                <w:szCs w:val="20"/>
              </w:rPr>
            </w:pPr>
            <w:r>
              <w:rPr>
                <w:sz w:val="20"/>
                <w:szCs w:val="20"/>
              </w:rPr>
              <w:t>7.07</w:t>
            </w:r>
          </w:p>
        </w:tc>
        <w:tc>
          <w:tcPr>
            <w:tcW w:w="0" w:type="auto"/>
            <w:tcBorders>
              <w:bottom w:val="single" w:sz="6" w:space="0" w:color="auto"/>
              <w:right w:val="single" w:sz="6" w:space="0" w:color="auto"/>
            </w:tcBorders>
            <w:shd w:val="clear" w:color="auto" w:fill="CCEEFF"/>
            <w:vAlign w:val="bottom"/>
            <w:hideMark/>
          </w:tcPr>
          <w:p w14:paraId="4EB00BBC" w14:textId="77777777" w:rsidR="00000000" w:rsidRDefault="0015578C">
            <w:pPr>
              <w:pStyle w:val="a3"/>
              <w:spacing w:before="0" w:beforeAutospacing="0" w:after="0" w:afterAutospacing="0"/>
              <w:jc w:val="right"/>
              <w:rPr>
                <w:sz w:val="20"/>
                <w:szCs w:val="20"/>
              </w:rPr>
            </w:pPr>
            <w:r>
              <w:rPr>
                <w:sz w:val="20"/>
                <w:szCs w:val="20"/>
              </w:rPr>
              <w:t>1.88</w:t>
            </w:r>
          </w:p>
        </w:tc>
        <w:tc>
          <w:tcPr>
            <w:tcW w:w="0" w:type="auto"/>
            <w:tcBorders>
              <w:bottom w:val="single" w:sz="6" w:space="0" w:color="auto"/>
              <w:right w:val="single" w:sz="6" w:space="0" w:color="auto"/>
            </w:tcBorders>
            <w:shd w:val="clear" w:color="auto" w:fill="CCEEFF"/>
            <w:vAlign w:val="bottom"/>
            <w:hideMark/>
          </w:tcPr>
          <w:p w14:paraId="52BF1D1D" w14:textId="77777777" w:rsidR="00000000" w:rsidRDefault="0015578C">
            <w:pPr>
              <w:pStyle w:val="a3"/>
              <w:spacing w:before="0" w:beforeAutospacing="0" w:after="0" w:afterAutospacing="0"/>
              <w:jc w:val="right"/>
              <w:rPr>
                <w:sz w:val="20"/>
                <w:szCs w:val="20"/>
              </w:rPr>
            </w:pPr>
            <w:r>
              <w:rPr>
                <w:sz w:val="20"/>
                <w:szCs w:val="20"/>
              </w:rPr>
              <w:t>8.6</w:t>
            </w:r>
          </w:p>
        </w:tc>
      </w:tr>
      <w:tr w:rsidR="00000000" w14:paraId="30F136E6"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30BBC95E" w14:textId="77777777" w:rsidR="00000000" w:rsidRDefault="0015578C">
            <w:pPr>
              <w:pStyle w:val="a3"/>
              <w:spacing w:before="0" w:beforeAutospacing="0" w:after="0" w:afterAutospacing="0"/>
              <w:ind w:left="225"/>
              <w:rPr>
                <w:sz w:val="20"/>
                <w:szCs w:val="20"/>
              </w:rPr>
            </w:pPr>
            <w:r>
              <w:rPr>
                <w:sz w:val="20"/>
                <w:szCs w:val="20"/>
              </w:rPr>
              <w:t>24</w:t>
            </w:r>
          </w:p>
        </w:tc>
        <w:tc>
          <w:tcPr>
            <w:tcW w:w="0" w:type="auto"/>
            <w:tcBorders>
              <w:bottom w:val="single" w:sz="6" w:space="0" w:color="auto"/>
              <w:right w:val="single" w:sz="6" w:space="0" w:color="auto"/>
            </w:tcBorders>
            <w:shd w:val="clear" w:color="auto" w:fill="FFFFFF"/>
            <w:vAlign w:val="bottom"/>
            <w:hideMark/>
          </w:tcPr>
          <w:p w14:paraId="2F28EE2C" w14:textId="77777777" w:rsidR="00000000" w:rsidRDefault="0015578C">
            <w:pPr>
              <w:pStyle w:val="a3"/>
              <w:spacing w:before="0" w:beforeAutospacing="0" w:after="0" w:afterAutospacing="0"/>
              <w:jc w:val="right"/>
              <w:rPr>
                <w:sz w:val="20"/>
                <w:szCs w:val="20"/>
              </w:rPr>
            </w:pPr>
            <w:r>
              <w:rPr>
                <w:sz w:val="20"/>
                <w:szCs w:val="20"/>
              </w:rPr>
              <w:t>40.87</w:t>
            </w:r>
          </w:p>
        </w:tc>
        <w:tc>
          <w:tcPr>
            <w:tcW w:w="0" w:type="auto"/>
            <w:tcBorders>
              <w:bottom w:val="single" w:sz="6" w:space="0" w:color="auto"/>
              <w:right w:val="single" w:sz="6" w:space="0" w:color="auto"/>
            </w:tcBorders>
            <w:shd w:val="clear" w:color="auto" w:fill="FFFFFF"/>
            <w:vAlign w:val="bottom"/>
            <w:hideMark/>
          </w:tcPr>
          <w:p w14:paraId="5045CB5A" w14:textId="77777777" w:rsidR="00000000" w:rsidRDefault="0015578C">
            <w:pPr>
              <w:pStyle w:val="a3"/>
              <w:spacing w:before="0" w:beforeAutospacing="0" w:after="0" w:afterAutospacing="0"/>
              <w:jc w:val="right"/>
              <w:rPr>
                <w:sz w:val="20"/>
                <w:szCs w:val="20"/>
              </w:rPr>
            </w:pPr>
            <w:r>
              <w:rPr>
                <w:sz w:val="20"/>
                <w:szCs w:val="20"/>
              </w:rPr>
              <w:t>50.14</w:t>
            </w:r>
          </w:p>
        </w:tc>
        <w:tc>
          <w:tcPr>
            <w:tcW w:w="0" w:type="auto"/>
            <w:tcBorders>
              <w:bottom w:val="single" w:sz="6" w:space="0" w:color="auto"/>
              <w:right w:val="single" w:sz="6" w:space="0" w:color="auto"/>
            </w:tcBorders>
            <w:shd w:val="clear" w:color="auto" w:fill="FFFFFF"/>
            <w:vAlign w:val="bottom"/>
            <w:hideMark/>
          </w:tcPr>
          <w:p w14:paraId="20970C78" w14:textId="77777777" w:rsidR="00000000" w:rsidRDefault="0015578C">
            <w:pPr>
              <w:pStyle w:val="a3"/>
              <w:spacing w:before="0" w:beforeAutospacing="0" w:after="0" w:afterAutospacing="0"/>
              <w:jc w:val="right"/>
              <w:rPr>
                <w:sz w:val="20"/>
                <w:szCs w:val="20"/>
              </w:rPr>
            </w:pPr>
            <w:r>
              <w:rPr>
                <w:sz w:val="20"/>
                <w:szCs w:val="20"/>
              </w:rPr>
              <w:t>9.27</w:t>
            </w:r>
          </w:p>
        </w:tc>
        <w:tc>
          <w:tcPr>
            <w:tcW w:w="0" w:type="auto"/>
            <w:tcBorders>
              <w:bottom w:val="single" w:sz="6" w:space="0" w:color="auto"/>
              <w:right w:val="single" w:sz="6" w:space="0" w:color="auto"/>
            </w:tcBorders>
            <w:shd w:val="clear" w:color="auto" w:fill="FFFFFF"/>
            <w:vAlign w:val="bottom"/>
            <w:hideMark/>
          </w:tcPr>
          <w:p w14:paraId="5DC62A17" w14:textId="77777777" w:rsidR="00000000" w:rsidRDefault="0015578C">
            <w:pPr>
              <w:pStyle w:val="a3"/>
              <w:spacing w:before="0" w:beforeAutospacing="0" w:after="0" w:afterAutospacing="0"/>
              <w:jc w:val="right"/>
              <w:rPr>
                <w:sz w:val="20"/>
                <w:szCs w:val="20"/>
              </w:rPr>
            </w:pPr>
            <w:r>
              <w:rPr>
                <w:sz w:val="20"/>
                <w:szCs w:val="20"/>
              </w:rPr>
              <w:t>11.09</w:t>
            </w:r>
          </w:p>
        </w:tc>
        <w:tc>
          <w:tcPr>
            <w:tcW w:w="0" w:type="auto"/>
            <w:tcBorders>
              <w:bottom w:val="single" w:sz="6" w:space="0" w:color="auto"/>
              <w:right w:val="single" w:sz="6" w:space="0" w:color="auto"/>
            </w:tcBorders>
            <w:shd w:val="clear" w:color="auto" w:fill="FFFFFF"/>
            <w:vAlign w:val="bottom"/>
            <w:hideMark/>
          </w:tcPr>
          <w:p w14:paraId="16498DAC" w14:textId="77777777" w:rsidR="00000000" w:rsidRDefault="0015578C">
            <w:pPr>
              <w:pStyle w:val="a3"/>
              <w:spacing w:before="0" w:beforeAutospacing="0" w:after="0" w:afterAutospacing="0"/>
              <w:jc w:val="right"/>
              <w:rPr>
                <w:sz w:val="20"/>
                <w:szCs w:val="20"/>
              </w:rPr>
            </w:pPr>
            <w:r>
              <w:rPr>
                <w:sz w:val="20"/>
                <w:szCs w:val="20"/>
              </w:rPr>
              <w:t>1.44</w:t>
            </w:r>
          </w:p>
        </w:tc>
        <w:tc>
          <w:tcPr>
            <w:tcW w:w="0" w:type="auto"/>
            <w:tcBorders>
              <w:bottom w:val="single" w:sz="6" w:space="0" w:color="auto"/>
              <w:right w:val="single" w:sz="6" w:space="0" w:color="auto"/>
            </w:tcBorders>
            <w:shd w:val="clear" w:color="auto" w:fill="FFFFFF"/>
            <w:vAlign w:val="bottom"/>
            <w:hideMark/>
          </w:tcPr>
          <w:p w14:paraId="1ECCC6BE" w14:textId="77777777" w:rsidR="00000000" w:rsidRDefault="0015578C">
            <w:pPr>
              <w:pStyle w:val="a3"/>
              <w:spacing w:before="0" w:beforeAutospacing="0" w:after="0" w:afterAutospacing="0"/>
              <w:jc w:val="right"/>
              <w:rPr>
                <w:sz w:val="20"/>
                <w:szCs w:val="20"/>
              </w:rPr>
            </w:pPr>
            <w:r>
              <w:rPr>
                <w:sz w:val="20"/>
                <w:szCs w:val="20"/>
              </w:rPr>
              <w:t>51.1</w:t>
            </w:r>
          </w:p>
        </w:tc>
      </w:tr>
      <w:tr w:rsidR="00000000" w14:paraId="5A59EE10"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30D3E129" w14:textId="77777777" w:rsidR="00000000" w:rsidRDefault="0015578C">
            <w:pPr>
              <w:pStyle w:val="a3"/>
              <w:spacing w:before="0" w:beforeAutospacing="0" w:after="0" w:afterAutospacing="0"/>
              <w:ind w:left="225"/>
              <w:rPr>
                <w:sz w:val="20"/>
                <w:szCs w:val="20"/>
              </w:rPr>
            </w:pPr>
            <w:r>
              <w:rPr>
                <w:sz w:val="20"/>
                <w:szCs w:val="20"/>
              </w:rPr>
              <w:t>38</w:t>
            </w:r>
          </w:p>
        </w:tc>
        <w:tc>
          <w:tcPr>
            <w:tcW w:w="0" w:type="auto"/>
            <w:tcBorders>
              <w:bottom w:val="single" w:sz="6" w:space="0" w:color="auto"/>
              <w:right w:val="single" w:sz="6" w:space="0" w:color="auto"/>
            </w:tcBorders>
            <w:shd w:val="clear" w:color="auto" w:fill="CCEEFF"/>
            <w:vAlign w:val="bottom"/>
            <w:hideMark/>
          </w:tcPr>
          <w:p w14:paraId="4B719FEF" w14:textId="77777777" w:rsidR="00000000" w:rsidRDefault="0015578C">
            <w:pPr>
              <w:pStyle w:val="a3"/>
              <w:spacing w:before="0" w:beforeAutospacing="0" w:after="0" w:afterAutospacing="0"/>
              <w:jc w:val="right"/>
              <w:rPr>
                <w:sz w:val="20"/>
                <w:szCs w:val="20"/>
              </w:rPr>
            </w:pPr>
            <w:r>
              <w:rPr>
                <w:sz w:val="20"/>
                <w:szCs w:val="20"/>
              </w:rPr>
              <w:t>45.90</w:t>
            </w:r>
          </w:p>
        </w:tc>
        <w:tc>
          <w:tcPr>
            <w:tcW w:w="0" w:type="auto"/>
            <w:tcBorders>
              <w:bottom w:val="single" w:sz="6" w:space="0" w:color="auto"/>
              <w:right w:val="single" w:sz="6" w:space="0" w:color="auto"/>
            </w:tcBorders>
            <w:shd w:val="clear" w:color="auto" w:fill="CCEEFF"/>
            <w:vAlign w:val="bottom"/>
            <w:hideMark/>
          </w:tcPr>
          <w:p w14:paraId="61117CF2" w14:textId="77777777" w:rsidR="00000000" w:rsidRDefault="0015578C">
            <w:pPr>
              <w:pStyle w:val="a3"/>
              <w:spacing w:before="0" w:beforeAutospacing="0" w:after="0" w:afterAutospacing="0"/>
              <w:jc w:val="right"/>
              <w:rPr>
                <w:sz w:val="20"/>
                <w:szCs w:val="20"/>
              </w:rPr>
            </w:pPr>
            <w:r>
              <w:rPr>
                <w:sz w:val="20"/>
                <w:szCs w:val="20"/>
              </w:rPr>
              <w:t>63.76</w:t>
            </w:r>
          </w:p>
        </w:tc>
        <w:tc>
          <w:tcPr>
            <w:tcW w:w="0" w:type="auto"/>
            <w:tcBorders>
              <w:bottom w:val="single" w:sz="6" w:space="0" w:color="auto"/>
              <w:right w:val="single" w:sz="6" w:space="0" w:color="auto"/>
            </w:tcBorders>
            <w:shd w:val="clear" w:color="auto" w:fill="CCEEFF"/>
            <w:vAlign w:val="bottom"/>
            <w:hideMark/>
          </w:tcPr>
          <w:p w14:paraId="76F34A0B" w14:textId="77777777" w:rsidR="00000000" w:rsidRDefault="0015578C">
            <w:pPr>
              <w:pStyle w:val="a3"/>
              <w:spacing w:before="0" w:beforeAutospacing="0" w:after="0" w:afterAutospacing="0"/>
              <w:jc w:val="right"/>
              <w:rPr>
                <w:sz w:val="20"/>
                <w:szCs w:val="20"/>
              </w:rPr>
            </w:pPr>
            <w:r>
              <w:rPr>
                <w:sz w:val="20"/>
                <w:szCs w:val="20"/>
              </w:rPr>
              <w:t>17.86</w:t>
            </w:r>
          </w:p>
        </w:tc>
        <w:tc>
          <w:tcPr>
            <w:tcW w:w="0" w:type="auto"/>
            <w:tcBorders>
              <w:bottom w:val="single" w:sz="6" w:space="0" w:color="auto"/>
              <w:right w:val="single" w:sz="6" w:space="0" w:color="auto"/>
            </w:tcBorders>
            <w:shd w:val="clear" w:color="auto" w:fill="CCEEFF"/>
            <w:vAlign w:val="bottom"/>
            <w:hideMark/>
          </w:tcPr>
          <w:p w14:paraId="6E6C8B0B" w14:textId="77777777" w:rsidR="00000000" w:rsidRDefault="0015578C">
            <w:pPr>
              <w:pStyle w:val="a3"/>
              <w:spacing w:before="0" w:beforeAutospacing="0" w:after="0" w:afterAutospacing="0"/>
              <w:jc w:val="right"/>
              <w:rPr>
                <w:sz w:val="20"/>
                <w:szCs w:val="20"/>
              </w:rPr>
            </w:pPr>
            <w:r>
              <w:rPr>
                <w:sz w:val="20"/>
                <w:szCs w:val="20"/>
              </w:rPr>
              <w:t>8.13</w:t>
            </w:r>
          </w:p>
        </w:tc>
        <w:tc>
          <w:tcPr>
            <w:tcW w:w="0" w:type="auto"/>
            <w:tcBorders>
              <w:bottom w:val="single" w:sz="6" w:space="0" w:color="auto"/>
              <w:right w:val="single" w:sz="6" w:space="0" w:color="auto"/>
            </w:tcBorders>
            <w:shd w:val="clear" w:color="auto" w:fill="CCEEFF"/>
            <w:vAlign w:val="bottom"/>
            <w:hideMark/>
          </w:tcPr>
          <w:p w14:paraId="551F195C" w14:textId="77777777" w:rsidR="00000000" w:rsidRDefault="0015578C">
            <w:pPr>
              <w:pStyle w:val="a3"/>
              <w:spacing w:before="0" w:beforeAutospacing="0" w:after="0" w:afterAutospacing="0"/>
              <w:jc w:val="right"/>
              <w:rPr>
                <w:sz w:val="20"/>
                <w:szCs w:val="20"/>
              </w:rPr>
            </w:pPr>
            <w:r>
              <w:rPr>
                <w:sz w:val="20"/>
                <w:szCs w:val="20"/>
              </w:rPr>
              <w:t>1.80</w:t>
            </w:r>
          </w:p>
        </w:tc>
        <w:tc>
          <w:tcPr>
            <w:tcW w:w="0" w:type="auto"/>
            <w:tcBorders>
              <w:bottom w:val="single" w:sz="6" w:space="0" w:color="auto"/>
              <w:right w:val="single" w:sz="6" w:space="0" w:color="auto"/>
            </w:tcBorders>
            <w:shd w:val="clear" w:color="auto" w:fill="CCEEFF"/>
            <w:vAlign w:val="bottom"/>
            <w:hideMark/>
          </w:tcPr>
          <w:p w14:paraId="251CBBB6" w14:textId="77777777" w:rsidR="00000000" w:rsidRDefault="0015578C">
            <w:pPr>
              <w:pStyle w:val="a3"/>
              <w:spacing w:before="0" w:beforeAutospacing="0" w:after="0" w:afterAutospacing="0"/>
              <w:jc w:val="right"/>
              <w:rPr>
                <w:sz w:val="20"/>
                <w:szCs w:val="20"/>
              </w:rPr>
            </w:pPr>
            <w:r>
              <w:rPr>
                <w:sz w:val="20"/>
                <w:szCs w:val="20"/>
              </w:rPr>
              <w:t>48.0</w:t>
            </w:r>
          </w:p>
        </w:tc>
      </w:tr>
      <w:tr w:rsidR="00000000" w14:paraId="542BD342"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470EB773" w14:textId="77777777" w:rsidR="00000000" w:rsidRDefault="0015578C">
            <w:pPr>
              <w:pStyle w:val="a3"/>
              <w:spacing w:before="0" w:beforeAutospacing="0" w:after="0" w:afterAutospacing="0"/>
              <w:ind w:left="225"/>
              <w:rPr>
                <w:sz w:val="20"/>
                <w:szCs w:val="20"/>
              </w:rPr>
            </w:pPr>
            <w:r>
              <w:rPr>
                <w:sz w:val="20"/>
                <w:szCs w:val="20"/>
              </w:rPr>
              <w:t>38</w:t>
            </w:r>
          </w:p>
        </w:tc>
        <w:tc>
          <w:tcPr>
            <w:tcW w:w="0" w:type="auto"/>
            <w:tcBorders>
              <w:bottom w:val="single" w:sz="6" w:space="0" w:color="auto"/>
              <w:right w:val="single" w:sz="6" w:space="0" w:color="auto"/>
            </w:tcBorders>
            <w:shd w:val="clear" w:color="auto" w:fill="FFFFFF"/>
            <w:vAlign w:val="bottom"/>
            <w:hideMark/>
          </w:tcPr>
          <w:p w14:paraId="1AA0963D" w14:textId="77777777" w:rsidR="00000000" w:rsidRDefault="0015578C">
            <w:pPr>
              <w:pStyle w:val="a3"/>
              <w:spacing w:before="0" w:beforeAutospacing="0" w:after="0" w:afterAutospacing="0"/>
              <w:jc w:val="right"/>
              <w:rPr>
                <w:sz w:val="20"/>
                <w:szCs w:val="20"/>
              </w:rPr>
            </w:pPr>
            <w:r>
              <w:rPr>
                <w:sz w:val="20"/>
                <w:szCs w:val="20"/>
              </w:rPr>
              <w:t>70.53</w:t>
            </w:r>
          </w:p>
        </w:tc>
        <w:tc>
          <w:tcPr>
            <w:tcW w:w="0" w:type="auto"/>
            <w:tcBorders>
              <w:bottom w:val="single" w:sz="6" w:space="0" w:color="auto"/>
              <w:right w:val="single" w:sz="6" w:space="0" w:color="auto"/>
            </w:tcBorders>
            <w:shd w:val="clear" w:color="auto" w:fill="FFFFFF"/>
            <w:vAlign w:val="bottom"/>
            <w:hideMark/>
          </w:tcPr>
          <w:p w14:paraId="1DB06560" w14:textId="77777777" w:rsidR="00000000" w:rsidRDefault="0015578C">
            <w:pPr>
              <w:pStyle w:val="a3"/>
              <w:spacing w:before="0" w:beforeAutospacing="0" w:after="0" w:afterAutospacing="0"/>
              <w:jc w:val="right"/>
              <w:rPr>
                <w:sz w:val="20"/>
                <w:szCs w:val="20"/>
              </w:rPr>
            </w:pPr>
            <w:r>
              <w:rPr>
                <w:sz w:val="20"/>
                <w:szCs w:val="20"/>
              </w:rPr>
              <w:t>87.75</w:t>
            </w:r>
          </w:p>
        </w:tc>
        <w:tc>
          <w:tcPr>
            <w:tcW w:w="0" w:type="auto"/>
            <w:tcBorders>
              <w:bottom w:val="single" w:sz="6" w:space="0" w:color="auto"/>
              <w:right w:val="single" w:sz="6" w:space="0" w:color="auto"/>
            </w:tcBorders>
            <w:shd w:val="clear" w:color="auto" w:fill="FFFFFF"/>
            <w:vAlign w:val="bottom"/>
            <w:hideMark/>
          </w:tcPr>
          <w:p w14:paraId="132DC4BB" w14:textId="77777777" w:rsidR="00000000" w:rsidRDefault="0015578C">
            <w:pPr>
              <w:pStyle w:val="a3"/>
              <w:spacing w:before="0" w:beforeAutospacing="0" w:after="0" w:afterAutospacing="0"/>
              <w:jc w:val="right"/>
              <w:rPr>
                <w:sz w:val="20"/>
                <w:szCs w:val="20"/>
              </w:rPr>
            </w:pPr>
            <w:r>
              <w:rPr>
                <w:sz w:val="20"/>
                <w:szCs w:val="20"/>
              </w:rPr>
              <w:t>17.22</w:t>
            </w:r>
          </w:p>
        </w:tc>
        <w:tc>
          <w:tcPr>
            <w:tcW w:w="0" w:type="auto"/>
            <w:tcBorders>
              <w:bottom w:val="single" w:sz="6" w:space="0" w:color="auto"/>
              <w:right w:val="single" w:sz="6" w:space="0" w:color="auto"/>
            </w:tcBorders>
            <w:shd w:val="clear" w:color="auto" w:fill="FFFFFF"/>
            <w:vAlign w:val="bottom"/>
            <w:hideMark/>
          </w:tcPr>
          <w:p w14:paraId="5DE0FDE4" w14:textId="77777777" w:rsidR="00000000" w:rsidRDefault="0015578C">
            <w:pPr>
              <w:pStyle w:val="a3"/>
              <w:spacing w:before="0" w:beforeAutospacing="0" w:after="0" w:afterAutospacing="0"/>
              <w:jc w:val="right"/>
              <w:rPr>
                <w:sz w:val="20"/>
                <w:szCs w:val="20"/>
              </w:rPr>
            </w:pPr>
            <w:r>
              <w:rPr>
                <w:sz w:val="20"/>
                <w:szCs w:val="20"/>
              </w:rPr>
              <w:t>8.92</w:t>
            </w:r>
          </w:p>
        </w:tc>
        <w:tc>
          <w:tcPr>
            <w:tcW w:w="0" w:type="auto"/>
            <w:tcBorders>
              <w:bottom w:val="single" w:sz="6" w:space="0" w:color="auto"/>
              <w:right w:val="single" w:sz="6" w:space="0" w:color="auto"/>
            </w:tcBorders>
            <w:shd w:val="clear" w:color="auto" w:fill="FFFFFF"/>
            <w:vAlign w:val="bottom"/>
            <w:hideMark/>
          </w:tcPr>
          <w:p w14:paraId="1B790A5E" w14:textId="77777777" w:rsidR="00000000" w:rsidRDefault="0015578C">
            <w:pPr>
              <w:pStyle w:val="a3"/>
              <w:spacing w:before="0" w:beforeAutospacing="0" w:after="0" w:afterAutospacing="0"/>
              <w:jc w:val="right"/>
              <w:rPr>
                <w:sz w:val="20"/>
                <w:szCs w:val="20"/>
              </w:rPr>
            </w:pPr>
            <w:r>
              <w:rPr>
                <w:sz w:val="20"/>
                <w:szCs w:val="20"/>
              </w:rPr>
              <w:t>2.08</w:t>
            </w:r>
          </w:p>
        </w:tc>
        <w:tc>
          <w:tcPr>
            <w:tcW w:w="0" w:type="auto"/>
            <w:tcBorders>
              <w:bottom w:val="single" w:sz="6" w:space="0" w:color="auto"/>
              <w:right w:val="single" w:sz="6" w:space="0" w:color="auto"/>
            </w:tcBorders>
            <w:shd w:val="clear" w:color="auto" w:fill="FFFFFF"/>
            <w:vAlign w:val="bottom"/>
            <w:hideMark/>
          </w:tcPr>
          <w:p w14:paraId="0D8F7944" w14:textId="77777777" w:rsidR="00000000" w:rsidRDefault="0015578C">
            <w:pPr>
              <w:pStyle w:val="a3"/>
              <w:spacing w:before="0" w:beforeAutospacing="0" w:after="0" w:afterAutospacing="0"/>
              <w:jc w:val="right"/>
              <w:rPr>
                <w:sz w:val="20"/>
                <w:szCs w:val="20"/>
              </w:rPr>
            </w:pPr>
            <w:r>
              <w:rPr>
                <w:sz w:val="20"/>
                <w:szCs w:val="20"/>
              </w:rPr>
              <w:t>28.8</w:t>
            </w:r>
          </w:p>
        </w:tc>
      </w:tr>
      <w:tr w:rsidR="00000000" w14:paraId="59798A16"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3054759A" w14:textId="77777777" w:rsidR="00000000" w:rsidRDefault="0015578C">
            <w:pPr>
              <w:pStyle w:val="a3"/>
              <w:spacing w:before="0" w:beforeAutospacing="0" w:after="0" w:afterAutospacing="0"/>
              <w:ind w:left="225"/>
              <w:rPr>
                <w:sz w:val="20"/>
                <w:szCs w:val="20"/>
              </w:rPr>
            </w:pPr>
            <w:r>
              <w:rPr>
                <w:sz w:val="20"/>
                <w:szCs w:val="20"/>
              </w:rPr>
              <w:t>43</w:t>
            </w:r>
          </w:p>
        </w:tc>
        <w:tc>
          <w:tcPr>
            <w:tcW w:w="0" w:type="auto"/>
            <w:tcBorders>
              <w:bottom w:val="single" w:sz="6" w:space="0" w:color="auto"/>
              <w:right w:val="single" w:sz="6" w:space="0" w:color="auto"/>
            </w:tcBorders>
            <w:shd w:val="clear" w:color="auto" w:fill="CCEEFF"/>
            <w:vAlign w:val="bottom"/>
            <w:hideMark/>
          </w:tcPr>
          <w:p w14:paraId="33305AA1" w14:textId="77777777" w:rsidR="00000000" w:rsidRDefault="0015578C">
            <w:pPr>
              <w:pStyle w:val="a3"/>
              <w:spacing w:before="0" w:beforeAutospacing="0" w:after="0" w:afterAutospacing="0"/>
              <w:jc w:val="right"/>
              <w:rPr>
                <w:sz w:val="20"/>
                <w:szCs w:val="20"/>
              </w:rPr>
            </w:pPr>
            <w:r>
              <w:rPr>
                <w:sz w:val="20"/>
                <w:szCs w:val="20"/>
              </w:rPr>
              <w:t>35.66</w:t>
            </w:r>
          </w:p>
        </w:tc>
        <w:tc>
          <w:tcPr>
            <w:tcW w:w="0" w:type="auto"/>
            <w:tcBorders>
              <w:bottom w:val="single" w:sz="6" w:space="0" w:color="auto"/>
              <w:right w:val="single" w:sz="6" w:space="0" w:color="auto"/>
            </w:tcBorders>
            <w:shd w:val="clear" w:color="auto" w:fill="CCEEFF"/>
            <w:vAlign w:val="bottom"/>
            <w:hideMark/>
          </w:tcPr>
          <w:p w14:paraId="6111A97A" w14:textId="77777777" w:rsidR="00000000" w:rsidRDefault="0015578C">
            <w:pPr>
              <w:pStyle w:val="a3"/>
              <w:spacing w:before="0" w:beforeAutospacing="0" w:after="0" w:afterAutospacing="0"/>
              <w:jc w:val="right"/>
              <w:rPr>
                <w:sz w:val="20"/>
                <w:szCs w:val="20"/>
              </w:rPr>
            </w:pPr>
            <w:r>
              <w:rPr>
                <w:sz w:val="20"/>
                <w:szCs w:val="20"/>
              </w:rPr>
              <w:t>40.69</w:t>
            </w:r>
          </w:p>
        </w:tc>
        <w:tc>
          <w:tcPr>
            <w:tcW w:w="0" w:type="auto"/>
            <w:tcBorders>
              <w:bottom w:val="single" w:sz="6" w:space="0" w:color="auto"/>
              <w:right w:val="single" w:sz="6" w:space="0" w:color="auto"/>
            </w:tcBorders>
            <w:shd w:val="clear" w:color="auto" w:fill="CCEEFF"/>
            <w:vAlign w:val="bottom"/>
            <w:hideMark/>
          </w:tcPr>
          <w:p w14:paraId="7D9FA919" w14:textId="77777777" w:rsidR="00000000" w:rsidRDefault="0015578C">
            <w:pPr>
              <w:pStyle w:val="a3"/>
              <w:spacing w:before="0" w:beforeAutospacing="0" w:after="0" w:afterAutospacing="0"/>
              <w:jc w:val="right"/>
              <w:rPr>
                <w:sz w:val="20"/>
                <w:szCs w:val="20"/>
              </w:rPr>
            </w:pPr>
            <w:r>
              <w:rPr>
                <w:sz w:val="20"/>
                <w:szCs w:val="20"/>
              </w:rPr>
              <w:t>5.03</w:t>
            </w:r>
          </w:p>
        </w:tc>
        <w:tc>
          <w:tcPr>
            <w:tcW w:w="0" w:type="auto"/>
            <w:tcBorders>
              <w:bottom w:val="single" w:sz="6" w:space="0" w:color="auto"/>
              <w:right w:val="single" w:sz="6" w:space="0" w:color="auto"/>
            </w:tcBorders>
            <w:shd w:val="clear" w:color="auto" w:fill="CCEEFF"/>
            <w:vAlign w:val="bottom"/>
            <w:hideMark/>
          </w:tcPr>
          <w:p w14:paraId="712726FB" w14:textId="77777777" w:rsidR="00000000" w:rsidRDefault="0015578C">
            <w:pPr>
              <w:pStyle w:val="a3"/>
              <w:spacing w:before="0" w:beforeAutospacing="0" w:after="0" w:afterAutospacing="0"/>
              <w:jc w:val="right"/>
              <w:rPr>
                <w:sz w:val="20"/>
                <w:szCs w:val="20"/>
              </w:rPr>
            </w:pPr>
            <w:r>
              <w:rPr>
                <w:sz w:val="20"/>
                <w:szCs w:val="20"/>
              </w:rPr>
              <w:t>17.66</w:t>
            </w:r>
          </w:p>
        </w:tc>
        <w:tc>
          <w:tcPr>
            <w:tcW w:w="0" w:type="auto"/>
            <w:tcBorders>
              <w:bottom w:val="single" w:sz="6" w:space="0" w:color="auto"/>
              <w:right w:val="single" w:sz="6" w:space="0" w:color="auto"/>
            </w:tcBorders>
            <w:shd w:val="clear" w:color="auto" w:fill="CCEEFF"/>
            <w:vAlign w:val="bottom"/>
            <w:hideMark/>
          </w:tcPr>
          <w:p w14:paraId="060F519D" w14:textId="77777777" w:rsidR="00000000" w:rsidRDefault="0015578C">
            <w:pPr>
              <w:pStyle w:val="a3"/>
              <w:spacing w:before="0" w:beforeAutospacing="0" w:after="0" w:afterAutospacing="0"/>
              <w:jc w:val="right"/>
              <w:rPr>
                <w:sz w:val="20"/>
                <w:szCs w:val="20"/>
              </w:rPr>
            </w:pPr>
            <w:r>
              <w:rPr>
                <w:sz w:val="20"/>
                <w:szCs w:val="20"/>
              </w:rPr>
              <w:t>3.62</w:t>
            </w:r>
          </w:p>
        </w:tc>
        <w:tc>
          <w:tcPr>
            <w:tcW w:w="0" w:type="auto"/>
            <w:tcBorders>
              <w:bottom w:val="single" w:sz="6" w:space="0" w:color="auto"/>
              <w:right w:val="single" w:sz="6" w:space="0" w:color="auto"/>
            </w:tcBorders>
            <w:shd w:val="clear" w:color="auto" w:fill="CCEEFF"/>
            <w:vAlign w:val="bottom"/>
            <w:hideMark/>
          </w:tcPr>
          <w:p w14:paraId="14BAB334" w14:textId="77777777" w:rsidR="00000000" w:rsidRDefault="0015578C">
            <w:pPr>
              <w:pStyle w:val="a3"/>
              <w:spacing w:before="0" w:beforeAutospacing="0" w:after="0" w:afterAutospacing="0"/>
              <w:jc w:val="right"/>
              <w:rPr>
                <w:sz w:val="20"/>
                <w:szCs w:val="20"/>
              </w:rPr>
            </w:pPr>
            <w:r>
              <w:rPr>
                <w:sz w:val="20"/>
                <w:szCs w:val="20"/>
              </w:rPr>
              <w:t>8.6</w:t>
            </w:r>
          </w:p>
        </w:tc>
      </w:tr>
      <w:tr w:rsidR="00000000" w14:paraId="7A8981CD"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26B350AD" w14:textId="77777777" w:rsidR="00000000" w:rsidRDefault="0015578C">
            <w:pPr>
              <w:pStyle w:val="a3"/>
              <w:spacing w:before="0" w:beforeAutospacing="0" w:after="0" w:afterAutospacing="0"/>
              <w:ind w:left="225"/>
              <w:rPr>
                <w:sz w:val="20"/>
                <w:szCs w:val="20"/>
              </w:rPr>
            </w:pPr>
            <w:r>
              <w:rPr>
                <w:sz w:val="20"/>
                <w:szCs w:val="20"/>
              </w:rPr>
              <w:t>43</w:t>
            </w:r>
          </w:p>
        </w:tc>
        <w:tc>
          <w:tcPr>
            <w:tcW w:w="0" w:type="auto"/>
            <w:tcBorders>
              <w:bottom w:val="single" w:sz="6" w:space="0" w:color="auto"/>
              <w:right w:val="single" w:sz="6" w:space="0" w:color="auto"/>
            </w:tcBorders>
            <w:shd w:val="clear" w:color="auto" w:fill="FFFFFF"/>
            <w:vAlign w:val="bottom"/>
            <w:hideMark/>
          </w:tcPr>
          <w:p w14:paraId="482AB8CA" w14:textId="77777777" w:rsidR="00000000" w:rsidRDefault="0015578C">
            <w:pPr>
              <w:pStyle w:val="a3"/>
              <w:spacing w:before="0" w:beforeAutospacing="0" w:after="0" w:afterAutospacing="0"/>
              <w:jc w:val="right"/>
              <w:rPr>
                <w:sz w:val="20"/>
                <w:szCs w:val="20"/>
              </w:rPr>
            </w:pPr>
            <w:r>
              <w:rPr>
                <w:sz w:val="20"/>
                <w:szCs w:val="20"/>
              </w:rPr>
              <w:t>60.96</w:t>
            </w:r>
          </w:p>
        </w:tc>
        <w:tc>
          <w:tcPr>
            <w:tcW w:w="0" w:type="auto"/>
            <w:tcBorders>
              <w:bottom w:val="single" w:sz="6" w:space="0" w:color="auto"/>
              <w:right w:val="single" w:sz="6" w:space="0" w:color="auto"/>
            </w:tcBorders>
            <w:shd w:val="clear" w:color="auto" w:fill="FFFFFF"/>
            <w:vAlign w:val="bottom"/>
            <w:hideMark/>
          </w:tcPr>
          <w:p w14:paraId="2A000336" w14:textId="77777777" w:rsidR="00000000" w:rsidRDefault="0015578C">
            <w:pPr>
              <w:pStyle w:val="a3"/>
              <w:spacing w:before="0" w:beforeAutospacing="0" w:after="0" w:afterAutospacing="0"/>
              <w:jc w:val="right"/>
              <w:rPr>
                <w:sz w:val="20"/>
                <w:szCs w:val="20"/>
              </w:rPr>
            </w:pPr>
            <w:r>
              <w:rPr>
                <w:sz w:val="20"/>
                <w:szCs w:val="20"/>
              </w:rPr>
              <w:t>80.28</w:t>
            </w:r>
          </w:p>
        </w:tc>
        <w:tc>
          <w:tcPr>
            <w:tcW w:w="0" w:type="auto"/>
            <w:tcBorders>
              <w:bottom w:val="single" w:sz="6" w:space="0" w:color="auto"/>
              <w:right w:val="single" w:sz="6" w:space="0" w:color="auto"/>
            </w:tcBorders>
            <w:shd w:val="clear" w:color="auto" w:fill="FFFFFF"/>
            <w:vAlign w:val="bottom"/>
            <w:hideMark/>
          </w:tcPr>
          <w:p w14:paraId="5D8802AF" w14:textId="77777777" w:rsidR="00000000" w:rsidRDefault="0015578C">
            <w:pPr>
              <w:pStyle w:val="a3"/>
              <w:spacing w:before="0" w:beforeAutospacing="0" w:after="0" w:afterAutospacing="0"/>
              <w:jc w:val="right"/>
              <w:rPr>
                <w:sz w:val="20"/>
                <w:szCs w:val="20"/>
              </w:rPr>
            </w:pPr>
            <w:r>
              <w:rPr>
                <w:sz w:val="20"/>
                <w:szCs w:val="20"/>
              </w:rPr>
              <w:t>19.32</w:t>
            </w:r>
          </w:p>
        </w:tc>
        <w:tc>
          <w:tcPr>
            <w:tcW w:w="0" w:type="auto"/>
            <w:tcBorders>
              <w:bottom w:val="single" w:sz="6" w:space="0" w:color="auto"/>
              <w:right w:val="single" w:sz="6" w:space="0" w:color="auto"/>
            </w:tcBorders>
            <w:shd w:val="clear" w:color="auto" w:fill="FFFFFF"/>
            <w:vAlign w:val="bottom"/>
            <w:hideMark/>
          </w:tcPr>
          <w:p w14:paraId="45DBEC22" w14:textId="77777777" w:rsidR="00000000" w:rsidRDefault="0015578C">
            <w:pPr>
              <w:pStyle w:val="a3"/>
              <w:spacing w:before="0" w:beforeAutospacing="0" w:after="0" w:afterAutospacing="0"/>
              <w:jc w:val="right"/>
              <w:rPr>
                <w:sz w:val="20"/>
                <w:szCs w:val="20"/>
              </w:rPr>
            </w:pPr>
            <w:r>
              <w:rPr>
                <w:sz w:val="20"/>
                <w:szCs w:val="20"/>
              </w:rPr>
              <w:t>9.07</w:t>
            </w:r>
          </w:p>
        </w:tc>
        <w:tc>
          <w:tcPr>
            <w:tcW w:w="0" w:type="auto"/>
            <w:tcBorders>
              <w:bottom w:val="single" w:sz="6" w:space="0" w:color="auto"/>
              <w:right w:val="single" w:sz="6" w:space="0" w:color="auto"/>
            </w:tcBorders>
            <w:shd w:val="clear" w:color="auto" w:fill="FFFFFF"/>
            <w:vAlign w:val="bottom"/>
            <w:hideMark/>
          </w:tcPr>
          <w:p w14:paraId="20FEB829" w14:textId="77777777" w:rsidR="00000000" w:rsidRDefault="0015578C">
            <w:pPr>
              <w:pStyle w:val="a3"/>
              <w:spacing w:before="0" w:beforeAutospacing="0" w:after="0" w:afterAutospacing="0"/>
              <w:jc w:val="right"/>
              <w:rPr>
                <w:sz w:val="20"/>
                <w:szCs w:val="20"/>
              </w:rPr>
            </w:pPr>
            <w:r>
              <w:rPr>
                <w:sz w:val="20"/>
                <w:szCs w:val="20"/>
              </w:rPr>
              <w:t>2.49</w:t>
            </w:r>
          </w:p>
        </w:tc>
        <w:tc>
          <w:tcPr>
            <w:tcW w:w="0" w:type="auto"/>
            <w:tcBorders>
              <w:bottom w:val="single" w:sz="6" w:space="0" w:color="auto"/>
              <w:right w:val="single" w:sz="6" w:space="0" w:color="auto"/>
            </w:tcBorders>
            <w:shd w:val="clear" w:color="auto" w:fill="FFFFFF"/>
            <w:vAlign w:val="bottom"/>
            <w:hideMark/>
          </w:tcPr>
          <w:p w14:paraId="66EBAE45" w14:textId="77777777" w:rsidR="00000000" w:rsidRDefault="0015578C">
            <w:pPr>
              <w:pStyle w:val="a3"/>
              <w:spacing w:before="0" w:beforeAutospacing="0" w:after="0" w:afterAutospacing="0"/>
              <w:jc w:val="right"/>
              <w:rPr>
                <w:sz w:val="20"/>
                <w:szCs w:val="20"/>
              </w:rPr>
            </w:pPr>
            <w:r>
              <w:rPr>
                <w:sz w:val="20"/>
                <w:szCs w:val="20"/>
              </w:rPr>
              <w:t>47.7</w:t>
            </w:r>
          </w:p>
        </w:tc>
      </w:tr>
      <w:tr w:rsidR="00000000" w14:paraId="714B3DE7"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08459587" w14:textId="77777777" w:rsidR="00000000" w:rsidRDefault="0015578C">
            <w:pPr>
              <w:pStyle w:val="a3"/>
              <w:spacing w:before="0" w:beforeAutospacing="0" w:after="0" w:afterAutospacing="0"/>
              <w:ind w:left="225"/>
              <w:rPr>
                <w:sz w:val="20"/>
                <w:szCs w:val="20"/>
              </w:rPr>
            </w:pPr>
            <w:r>
              <w:rPr>
                <w:sz w:val="20"/>
                <w:szCs w:val="20"/>
              </w:rPr>
              <w:t>43</w:t>
            </w:r>
          </w:p>
        </w:tc>
        <w:tc>
          <w:tcPr>
            <w:tcW w:w="0" w:type="auto"/>
            <w:tcBorders>
              <w:bottom w:val="single" w:sz="6" w:space="0" w:color="auto"/>
              <w:right w:val="single" w:sz="6" w:space="0" w:color="auto"/>
            </w:tcBorders>
            <w:shd w:val="clear" w:color="auto" w:fill="CCEEFF"/>
            <w:vAlign w:val="bottom"/>
            <w:hideMark/>
          </w:tcPr>
          <w:p w14:paraId="70861FDA" w14:textId="77777777" w:rsidR="00000000" w:rsidRDefault="0015578C">
            <w:pPr>
              <w:pStyle w:val="a3"/>
              <w:spacing w:before="0" w:beforeAutospacing="0" w:after="0" w:afterAutospacing="0"/>
              <w:jc w:val="right"/>
              <w:rPr>
                <w:sz w:val="20"/>
                <w:szCs w:val="20"/>
              </w:rPr>
            </w:pPr>
            <w:r>
              <w:rPr>
                <w:sz w:val="20"/>
                <w:szCs w:val="20"/>
              </w:rPr>
              <w:t>84.73</w:t>
            </w:r>
          </w:p>
        </w:tc>
        <w:tc>
          <w:tcPr>
            <w:tcW w:w="0" w:type="auto"/>
            <w:tcBorders>
              <w:bottom w:val="single" w:sz="6" w:space="0" w:color="auto"/>
              <w:right w:val="single" w:sz="6" w:space="0" w:color="auto"/>
            </w:tcBorders>
            <w:shd w:val="clear" w:color="auto" w:fill="CCEEFF"/>
            <w:vAlign w:val="bottom"/>
            <w:hideMark/>
          </w:tcPr>
          <w:p w14:paraId="6480D6CB" w14:textId="77777777" w:rsidR="00000000" w:rsidRDefault="0015578C">
            <w:pPr>
              <w:pStyle w:val="a3"/>
              <w:spacing w:before="0" w:beforeAutospacing="0" w:after="0" w:afterAutospacing="0"/>
              <w:jc w:val="right"/>
              <w:rPr>
                <w:sz w:val="20"/>
                <w:szCs w:val="20"/>
              </w:rPr>
            </w:pPr>
            <w:r>
              <w:rPr>
                <w:sz w:val="20"/>
                <w:szCs w:val="20"/>
              </w:rPr>
              <w:t>91.04</w:t>
            </w:r>
          </w:p>
        </w:tc>
        <w:tc>
          <w:tcPr>
            <w:tcW w:w="0" w:type="auto"/>
            <w:tcBorders>
              <w:bottom w:val="single" w:sz="6" w:space="0" w:color="auto"/>
              <w:right w:val="single" w:sz="6" w:space="0" w:color="auto"/>
            </w:tcBorders>
            <w:shd w:val="clear" w:color="auto" w:fill="CCEEFF"/>
            <w:vAlign w:val="bottom"/>
            <w:hideMark/>
          </w:tcPr>
          <w:p w14:paraId="3DBD1977" w14:textId="77777777" w:rsidR="00000000" w:rsidRDefault="0015578C">
            <w:pPr>
              <w:pStyle w:val="a3"/>
              <w:spacing w:before="0" w:beforeAutospacing="0" w:after="0" w:afterAutospacing="0"/>
              <w:jc w:val="right"/>
              <w:rPr>
                <w:sz w:val="20"/>
                <w:szCs w:val="20"/>
              </w:rPr>
            </w:pPr>
            <w:r>
              <w:rPr>
                <w:sz w:val="20"/>
                <w:szCs w:val="20"/>
              </w:rPr>
              <w:t>6.31</w:t>
            </w:r>
          </w:p>
        </w:tc>
        <w:tc>
          <w:tcPr>
            <w:tcW w:w="0" w:type="auto"/>
            <w:tcBorders>
              <w:bottom w:val="single" w:sz="6" w:space="0" w:color="auto"/>
              <w:right w:val="single" w:sz="6" w:space="0" w:color="auto"/>
            </w:tcBorders>
            <w:shd w:val="clear" w:color="auto" w:fill="CCEEFF"/>
            <w:vAlign w:val="bottom"/>
            <w:hideMark/>
          </w:tcPr>
          <w:p w14:paraId="1A86BD67" w14:textId="77777777" w:rsidR="00000000" w:rsidRDefault="0015578C">
            <w:pPr>
              <w:pStyle w:val="a3"/>
              <w:spacing w:before="0" w:beforeAutospacing="0" w:after="0" w:afterAutospacing="0"/>
              <w:jc w:val="right"/>
              <w:rPr>
                <w:sz w:val="20"/>
                <w:szCs w:val="20"/>
              </w:rPr>
            </w:pPr>
            <w:r>
              <w:rPr>
                <w:sz w:val="20"/>
                <w:szCs w:val="20"/>
              </w:rPr>
              <w:t>21.07</w:t>
            </w:r>
          </w:p>
        </w:tc>
        <w:tc>
          <w:tcPr>
            <w:tcW w:w="0" w:type="auto"/>
            <w:tcBorders>
              <w:bottom w:val="single" w:sz="6" w:space="0" w:color="auto"/>
              <w:right w:val="single" w:sz="6" w:space="0" w:color="auto"/>
            </w:tcBorders>
            <w:shd w:val="clear" w:color="auto" w:fill="CCEEFF"/>
            <w:vAlign w:val="bottom"/>
            <w:hideMark/>
          </w:tcPr>
          <w:p w14:paraId="3E1CE3B9" w14:textId="77777777" w:rsidR="00000000" w:rsidRDefault="0015578C">
            <w:pPr>
              <w:pStyle w:val="a3"/>
              <w:spacing w:before="0" w:beforeAutospacing="0" w:after="0" w:afterAutospacing="0"/>
              <w:jc w:val="right"/>
              <w:rPr>
                <w:sz w:val="20"/>
                <w:szCs w:val="20"/>
              </w:rPr>
            </w:pPr>
            <w:r>
              <w:rPr>
                <w:sz w:val="20"/>
                <w:szCs w:val="20"/>
              </w:rPr>
              <w:t>5.95</w:t>
            </w:r>
          </w:p>
        </w:tc>
        <w:tc>
          <w:tcPr>
            <w:tcW w:w="0" w:type="auto"/>
            <w:tcBorders>
              <w:bottom w:val="single" w:sz="6" w:space="0" w:color="auto"/>
              <w:right w:val="single" w:sz="6" w:space="0" w:color="auto"/>
            </w:tcBorders>
            <w:shd w:val="clear" w:color="auto" w:fill="CCEEFF"/>
            <w:vAlign w:val="bottom"/>
            <w:hideMark/>
          </w:tcPr>
          <w:p w14:paraId="7558F8BC" w14:textId="77777777" w:rsidR="00000000" w:rsidRDefault="0015578C">
            <w:pPr>
              <w:pStyle w:val="a3"/>
              <w:spacing w:before="0" w:beforeAutospacing="0" w:after="0" w:afterAutospacing="0"/>
              <w:jc w:val="right"/>
              <w:rPr>
                <w:sz w:val="20"/>
                <w:szCs w:val="20"/>
              </w:rPr>
            </w:pPr>
            <w:r>
              <w:rPr>
                <w:sz w:val="20"/>
                <w:szCs w:val="20"/>
              </w:rPr>
              <w:t>111.4</w:t>
            </w:r>
          </w:p>
        </w:tc>
      </w:tr>
      <w:tr w:rsidR="00000000" w14:paraId="2F488AC7"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6E92BFA0" w14:textId="77777777" w:rsidR="00000000" w:rsidRDefault="0015578C">
            <w:pPr>
              <w:pStyle w:val="a3"/>
              <w:spacing w:before="0" w:beforeAutospacing="0" w:after="0" w:afterAutospacing="0"/>
              <w:ind w:left="225"/>
              <w:rPr>
                <w:sz w:val="20"/>
                <w:szCs w:val="20"/>
              </w:rPr>
            </w:pPr>
            <w:r>
              <w:rPr>
                <w:sz w:val="20"/>
                <w:szCs w:val="20"/>
              </w:rPr>
              <w:t>68</w:t>
            </w:r>
          </w:p>
        </w:tc>
        <w:tc>
          <w:tcPr>
            <w:tcW w:w="0" w:type="auto"/>
            <w:tcBorders>
              <w:bottom w:val="single" w:sz="6" w:space="0" w:color="auto"/>
              <w:right w:val="single" w:sz="6" w:space="0" w:color="auto"/>
            </w:tcBorders>
            <w:shd w:val="clear" w:color="auto" w:fill="FFFFFF"/>
            <w:vAlign w:val="bottom"/>
            <w:hideMark/>
          </w:tcPr>
          <w:p w14:paraId="0ECE4EF2" w14:textId="77777777" w:rsidR="00000000" w:rsidRDefault="0015578C">
            <w:pPr>
              <w:pStyle w:val="a3"/>
              <w:spacing w:before="0" w:beforeAutospacing="0" w:after="0" w:afterAutospacing="0"/>
              <w:jc w:val="right"/>
              <w:rPr>
                <w:sz w:val="20"/>
                <w:szCs w:val="20"/>
              </w:rPr>
            </w:pPr>
            <w:r>
              <w:rPr>
                <w:sz w:val="20"/>
                <w:szCs w:val="20"/>
              </w:rPr>
              <w:t>32.31</w:t>
            </w:r>
          </w:p>
        </w:tc>
        <w:tc>
          <w:tcPr>
            <w:tcW w:w="0" w:type="auto"/>
            <w:tcBorders>
              <w:bottom w:val="single" w:sz="6" w:space="0" w:color="auto"/>
              <w:right w:val="single" w:sz="6" w:space="0" w:color="auto"/>
            </w:tcBorders>
            <w:shd w:val="clear" w:color="auto" w:fill="FFFFFF"/>
            <w:vAlign w:val="bottom"/>
            <w:hideMark/>
          </w:tcPr>
          <w:p w14:paraId="1BB74A18" w14:textId="77777777" w:rsidR="00000000" w:rsidRDefault="0015578C">
            <w:pPr>
              <w:pStyle w:val="a3"/>
              <w:spacing w:before="0" w:beforeAutospacing="0" w:after="0" w:afterAutospacing="0"/>
              <w:jc w:val="right"/>
              <w:rPr>
                <w:sz w:val="20"/>
                <w:szCs w:val="20"/>
              </w:rPr>
            </w:pPr>
            <w:r>
              <w:rPr>
                <w:sz w:val="20"/>
                <w:szCs w:val="20"/>
              </w:rPr>
              <w:t>53.43</w:t>
            </w:r>
          </w:p>
        </w:tc>
        <w:tc>
          <w:tcPr>
            <w:tcW w:w="0" w:type="auto"/>
            <w:tcBorders>
              <w:bottom w:val="single" w:sz="6" w:space="0" w:color="auto"/>
              <w:right w:val="single" w:sz="6" w:space="0" w:color="auto"/>
            </w:tcBorders>
            <w:shd w:val="clear" w:color="auto" w:fill="FFFFFF"/>
            <w:vAlign w:val="bottom"/>
            <w:hideMark/>
          </w:tcPr>
          <w:p w14:paraId="61A24CB0" w14:textId="77777777" w:rsidR="00000000" w:rsidRDefault="0015578C">
            <w:pPr>
              <w:pStyle w:val="a3"/>
              <w:spacing w:before="0" w:beforeAutospacing="0" w:after="0" w:afterAutospacing="0"/>
              <w:jc w:val="right"/>
              <w:rPr>
                <w:sz w:val="20"/>
                <w:szCs w:val="20"/>
              </w:rPr>
            </w:pPr>
            <w:r>
              <w:rPr>
                <w:sz w:val="20"/>
                <w:szCs w:val="20"/>
              </w:rPr>
              <w:t>21.12</w:t>
            </w:r>
          </w:p>
        </w:tc>
        <w:tc>
          <w:tcPr>
            <w:tcW w:w="0" w:type="auto"/>
            <w:tcBorders>
              <w:bottom w:val="single" w:sz="6" w:space="0" w:color="auto"/>
              <w:right w:val="single" w:sz="6" w:space="0" w:color="auto"/>
            </w:tcBorders>
            <w:shd w:val="clear" w:color="auto" w:fill="FFFFFF"/>
            <w:vAlign w:val="bottom"/>
            <w:hideMark/>
          </w:tcPr>
          <w:p w14:paraId="2A64F134" w14:textId="77777777" w:rsidR="00000000" w:rsidRDefault="0015578C">
            <w:pPr>
              <w:pStyle w:val="a3"/>
              <w:spacing w:before="0" w:beforeAutospacing="0" w:after="0" w:afterAutospacing="0"/>
              <w:jc w:val="right"/>
              <w:rPr>
                <w:sz w:val="20"/>
                <w:szCs w:val="20"/>
              </w:rPr>
            </w:pPr>
            <w:r>
              <w:rPr>
                <w:sz w:val="20"/>
                <w:szCs w:val="20"/>
              </w:rPr>
              <w:t>13.34</w:t>
            </w:r>
          </w:p>
        </w:tc>
        <w:tc>
          <w:tcPr>
            <w:tcW w:w="0" w:type="auto"/>
            <w:tcBorders>
              <w:bottom w:val="single" w:sz="6" w:space="0" w:color="auto"/>
              <w:right w:val="single" w:sz="6" w:space="0" w:color="auto"/>
            </w:tcBorders>
            <w:shd w:val="clear" w:color="auto" w:fill="FFFFFF"/>
            <w:vAlign w:val="bottom"/>
            <w:hideMark/>
          </w:tcPr>
          <w:p w14:paraId="7D8615A1" w14:textId="77777777" w:rsidR="00000000" w:rsidRDefault="0015578C">
            <w:pPr>
              <w:pStyle w:val="a3"/>
              <w:spacing w:before="0" w:beforeAutospacing="0" w:after="0" w:afterAutospacing="0"/>
              <w:jc w:val="right"/>
              <w:rPr>
                <w:sz w:val="20"/>
                <w:szCs w:val="20"/>
              </w:rPr>
            </w:pPr>
            <w:r>
              <w:rPr>
                <w:sz w:val="20"/>
                <w:szCs w:val="20"/>
              </w:rPr>
              <w:t>2.85</w:t>
            </w:r>
          </w:p>
        </w:tc>
        <w:tc>
          <w:tcPr>
            <w:tcW w:w="0" w:type="auto"/>
            <w:tcBorders>
              <w:bottom w:val="single" w:sz="6" w:space="0" w:color="auto"/>
              <w:right w:val="single" w:sz="6" w:space="0" w:color="auto"/>
            </w:tcBorders>
            <w:shd w:val="clear" w:color="auto" w:fill="FFFFFF"/>
            <w:vAlign w:val="bottom"/>
            <w:hideMark/>
          </w:tcPr>
          <w:p w14:paraId="1BF8B51B" w14:textId="77777777" w:rsidR="00000000" w:rsidRDefault="0015578C">
            <w:pPr>
              <w:pStyle w:val="a3"/>
              <w:spacing w:before="0" w:beforeAutospacing="0" w:after="0" w:afterAutospacing="0"/>
              <w:jc w:val="right"/>
              <w:rPr>
                <w:sz w:val="20"/>
                <w:szCs w:val="20"/>
              </w:rPr>
            </w:pPr>
            <w:r>
              <w:rPr>
                <w:sz w:val="20"/>
                <w:szCs w:val="20"/>
              </w:rPr>
              <w:t>56.9</w:t>
            </w:r>
          </w:p>
        </w:tc>
      </w:tr>
    </w:tbl>
    <w:p w14:paraId="0D00B017" w14:textId="77777777" w:rsidR="00000000" w:rsidRDefault="0015578C">
      <w:pPr>
        <w:pStyle w:val="a3"/>
        <w:spacing w:before="0" w:beforeAutospacing="0" w:after="0" w:afterAutospacing="0"/>
        <w:jc w:val="both"/>
        <w:rPr>
          <w:sz w:val="20"/>
          <w:szCs w:val="20"/>
        </w:rPr>
      </w:pPr>
      <w:r>
        <w:rPr>
          <w:sz w:val="20"/>
          <w:szCs w:val="20"/>
        </w:rPr>
        <w:t> </w:t>
      </w:r>
    </w:p>
    <w:p w14:paraId="6E7013E1" w14:textId="77777777" w:rsidR="00000000" w:rsidRDefault="0015578C">
      <w:pPr>
        <w:pStyle w:val="a3"/>
        <w:spacing w:before="0" w:beforeAutospacing="0" w:after="0" w:afterAutospacing="0"/>
        <w:ind w:firstLine="675"/>
        <w:jc w:val="both"/>
        <w:rPr>
          <w:sz w:val="20"/>
          <w:szCs w:val="20"/>
        </w:rPr>
      </w:pPr>
      <w:r>
        <w:rPr>
          <w:sz w:val="20"/>
          <w:szCs w:val="20"/>
        </w:rPr>
        <w:t xml:space="preserve">Previous work by GCO determined that sulfides were deposited in four distinct cycles.  Individual cycles may be quite thin near the margins of the deposit and the thickest accumulation in a single cycle noted to date is about 45 feet thick.  The base of a </w:t>
      </w:r>
      <w:r>
        <w:rPr>
          <w:sz w:val="20"/>
          <w:szCs w:val="20"/>
        </w:rPr>
        <w:t>sulfide cycle begins abruptly with the deposition of sphalerite, galena and pyrite. Typically, the highest grades are found at or within 5-10 feet of the base of a sulfide cycle. In the central portion of the deposit several cycles are stacked and comprise</w:t>
      </w:r>
      <w:r>
        <w:rPr>
          <w:sz w:val="20"/>
          <w:szCs w:val="20"/>
        </w:rPr>
        <w:t xml:space="preserve"> a cumulative thickness of up to 100 feet of mineralization.</w:t>
      </w:r>
    </w:p>
    <w:p w14:paraId="5CB7A169" w14:textId="77777777" w:rsidR="00000000" w:rsidRDefault="0015578C">
      <w:pPr>
        <w:pStyle w:val="a3"/>
        <w:spacing w:before="0" w:beforeAutospacing="0" w:after="0" w:afterAutospacing="0"/>
        <w:jc w:val="both"/>
        <w:rPr>
          <w:sz w:val="20"/>
          <w:szCs w:val="20"/>
        </w:rPr>
      </w:pPr>
      <w:r>
        <w:rPr>
          <w:sz w:val="20"/>
          <w:szCs w:val="20"/>
        </w:rPr>
        <w:t> </w:t>
      </w:r>
    </w:p>
    <w:p w14:paraId="0BB830F5" w14:textId="77777777" w:rsidR="00000000" w:rsidRDefault="0015578C">
      <w:pPr>
        <w:pStyle w:val="a3"/>
        <w:spacing w:before="0" w:beforeAutospacing="0" w:after="0" w:afterAutospacing="0"/>
        <w:jc w:val="both"/>
        <w:rPr>
          <w:sz w:val="20"/>
          <w:szCs w:val="20"/>
        </w:rPr>
      </w:pPr>
      <w:r>
        <w:rPr>
          <w:sz w:val="20"/>
          <w:szCs w:val="20"/>
        </w:rPr>
        <w:t xml:space="preserve">8. </w:t>
      </w:r>
      <w:r>
        <w:rPr>
          <w:sz w:val="20"/>
          <w:szCs w:val="20"/>
          <w:u w:val="single"/>
        </w:rPr>
        <w:t>Drilling</w:t>
      </w:r>
    </w:p>
    <w:p w14:paraId="343AEB7D" w14:textId="77777777" w:rsidR="00000000" w:rsidRDefault="0015578C">
      <w:pPr>
        <w:pStyle w:val="a3"/>
        <w:spacing w:before="0" w:beforeAutospacing="0" w:after="0" w:afterAutospacing="0"/>
        <w:jc w:val="both"/>
        <w:rPr>
          <w:sz w:val="20"/>
          <w:szCs w:val="20"/>
        </w:rPr>
      </w:pPr>
      <w:r>
        <w:rPr>
          <w:sz w:val="20"/>
          <w:szCs w:val="20"/>
        </w:rPr>
        <w:t> </w:t>
      </w:r>
    </w:p>
    <w:p w14:paraId="5368F4FF" w14:textId="77777777" w:rsidR="00000000" w:rsidRDefault="0015578C">
      <w:pPr>
        <w:pStyle w:val="a3"/>
        <w:spacing w:before="0" w:beforeAutospacing="0" w:after="0" w:afterAutospacing="0"/>
        <w:ind w:firstLine="675"/>
        <w:jc w:val="both"/>
        <w:rPr>
          <w:sz w:val="20"/>
          <w:szCs w:val="20"/>
        </w:rPr>
      </w:pPr>
      <w:r>
        <w:rPr>
          <w:sz w:val="20"/>
          <w:szCs w:val="20"/>
        </w:rPr>
        <w:t>All diamond drill programs are summarized in the following table.</w:t>
      </w:r>
    </w:p>
    <w:p w14:paraId="7C8BCBA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461"/>
        <w:gridCol w:w="1394"/>
        <w:gridCol w:w="1705"/>
        <w:gridCol w:w="3746"/>
      </w:tblGrid>
      <w:tr w:rsidR="00000000" w14:paraId="5D94C082" w14:textId="77777777">
        <w:trPr>
          <w:trHeight w:val="225"/>
          <w:tblCellSpacing w:w="15" w:type="dxa"/>
        </w:trPr>
        <w:tc>
          <w:tcPr>
            <w:tcW w:w="0" w:type="auto"/>
            <w:gridSpan w:val="4"/>
            <w:tcBorders>
              <w:bottom w:val="single" w:sz="6" w:space="0" w:color="auto"/>
            </w:tcBorders>
            <w:vAlign w:val="bottom"/>
            <w:hideMark/>
          </w:tcPr>
          <w:p w14:paraId="1A0FB608" w14:textId="77777777" w:rsidR="00000000" w:rsidRDefault="0015578C">
            <w:pPr>
              <w:pStyle w:val="a3"/>
              <w:spacing w:before="0" w:beforeAutospacing="0" w:after="0" w:afterAutospacing="0"/>
              <w:jc w:val="center"/>
              <w:rPr>
                <w:sz w:val="20"/>
                <w:szCs w:val="20"/>
              </w:rPr>
            </w:pPr>
            <w:r>
              <w:rPr>
                <w:rStyle w:val="a4"/>
                <w:sz w:val="20"/>
                <w:szCs w:val="20"/>
              </w:rPr>
              <w:t>Historical Diamond Drilling Campaigns</w:t>
            </w:r>
          </w:p>
          <w:p w14:paraId="67C722F3" w14:textId="77777777" w:rsidR="00000000" w:rsidRDefault="0015578C">
            <w:pPr>
              <w:pStyle w:val="a3"/>
              <w:spacing w:before="0" w:beforeAutospacing="0" w:after="0" w:afterAutospacing="0"/>
              <w:jc w:val="center"/>
              <w:rPr>
                <w:sz w:val="20"/>
                <w:szCs w:val="20"/>
              </w:rPr>
            </w:pPr>
            <w:r>
              <w:rPr>
                <w:rStyle w:val="a4"/>
                <w:sz w:val="20"/>
                <w:szCs w:val="20"/>
              </w:rPr>
              <w:t> </w:t>
            </w:r>
          </w:p>
        </w:tc>
      </w:tr>
      <w:tr w:rsidR="00000000" w14:paraId="56077392" w14:textId="77777777">
        <w:trPr>
          <w:trHeight w:val="225"/>
          <w:tblCellSpacing w:w="15" w:type="dxa"/>
        </w:trPr>
        <w:tc>
          <w:tcPr>
            <w:tcW w:w="0" w:type="auto"/>
            <w:tcBorders>
              <w:left w:val="single" w:sz="6" w:space="0" w:color="auto"/>
              <w:bottom w:val="single" w:sz="6" w:space="0" w:color="auto"/>
              <w:right w:val="single" w:sz="6" w:space="0" w:color="auto"/>
            </w:tcBorders>
            <w:vAlign w:val="bottom"/>
            <w:hideMark/>
          </w:tcPr>
          <w:p w14:paraId="2EAA1B36" w14:textId="77777777" w:rsidR="00000000" w:rsidRDefault="0015578C">
            <w:pPr>
              <w:pStyle w:val="a3"/>
              <w:spacing w:before="0" w:beforeAutospacing="0" w:after="0" w:afterAutospacing="0"/>
              <w:rPr>
                <w:sz w:val="20"/>
                <w:szCs w:val="20"/>
              </w:rPr>
            </w:pPr>
            <w:r>
              <w:rPr>
                <w:rStyle w:val="a4"/>
                <w:sz w:val="20"/>
                <w:szCs w:val="20"/>
              </w:rPr>
              <w:t>Year</w:t>
            </w:r>
          </w:p>
        </w:tc>
        <w:tc>
          <w:tcPr>
            <w:tcW w:w="0" w:type="auto"/>
            <w:tcBorders>
              <w:bottom w:val="single" w:sz="6" w:space="0" w:color="auto"/>
              <w:right w:val="single" w:sz="6" w:space="0" w:color="auto"/>
            </w:tcBorders>
            <w:vAlign w:val="bottom"/>
            <w:hideMark/>
          </w:tcPr>
          <w:p w14:paraId="4EE2B43E" w14:textId="77777777" w:rsidR="00000000" w:rsidRDefault="0015578C">
            <w:pPr>
              <w:pStyle w:val="a3"/>
              <w:spacing w:before="0" w:beforeAutospacing="0" w:after="0" w:afterAutospacing="0"/>
              <w:jc w:val="center"/>
              <w:rPr>
                <w:sz w:val="20"/>
                <w:szCs w:val="20"/>
              </w:rPr>
            </w:pPr>
            <w:r>
              <w:rPr>
                <w:rStyle w:val="a4"/>
                <w:sz w:val="20"/>
                <w:szCs w:val="20"/>
              </w:rPr>
              <w:t>Number</w:t>
            </w:r>
          </w:p>
          <w:p w14:paraId="6A298F41" w14:textId="77777777" w:rsidR="00000000" w:rsidRDefault="0015578C">
            <w:pPr>
              <w:pStyle w:val="a3"/>
              <w:spacing w:before="0" w:beforeAutospacing="0" w:after="0" w:afterAutospacing="0"/>
              <w:jc w:val="center"/>
              <w:rPr>
                <w:sz w:val="20"/>
                <w:szCs w:val="20"/>
              </w:rPr>
            </w:pPr>
            <w:r>
              <w:rPr>
                <w:rStyle w:val="a4"/>
                <w:sz w:val="20"/>
                <w:szCs w:val="20"/>
              </w:rPr>
              <w:t>of Holes</w:t>
            </w:r>
          </w:p>
        </w:tc>
        <w:tc>
          <w:tcPr>
            <w:tcW w:w="0" w:type="auto"/>
            <w:tcBorders>
              <w:bottom w:val="single" w:sz="6" w:space="0" w:color="auto"/>
              <w:right w:val="single" w:sz="6" w:space="0" w:color="auto"/>
            </w:tcBorders>
            <w:vAlign w:val="bottom"/>
            <w:hideMark/>
          </w:tcPr>
          <w:p w14:paraId="57699D8F" w14:textId="77777777" w:rsidR="00000000" w:rsidRDefault="0015578C">
            <w:pPr>
              <w:pStyle w:val="a3"/>
              <w:spacing w:before="0" w:beforeAutospacing="0" w:after="0" w:afterAutospacing="0"/>
              <w:jc w:val="center"/>
              <w:rPr>
                <w:sz w:val="20"/>
                <w:szCs w:val="20"/>
              </w:rPr>
            </w:pPr>
            <w:r>
              <w:rPr>
                <w:rStyle w:val="a4"/>
                <w:sz w:val="20"/>
                <w:szCs w:val="20"/>
              </w:rPr>
              <w:t>Aggregate</w:t>
            </w:r>
          </w:p>
          <w:p w14:paraId="09CE54D7" w14:textId="77777777" w:rsidR="00000000" w:rsidRDefault="0015578C">
            <w:pPr>
              <w:pStyle w:val="a3"/>
              <w:spacing w:before="0" w:beforeAutospacing="0" w:after="0" w:afterAutospacing="0"/>
              <w:jc w:val="center"/>
              <w:rPr>
                <w:sz w:val="20"/>
                <w:szCs w:val="20"/>
              </w:rPr>
            </w:pPr>
            <w:r>
              <w:rPr>
                <w:rStyle w:val="a4"/>
                <w:sz w:val="20"/>
                <w:szCs w:val="20"/>
              </w:rPr>
              <w:t>Depth (m)</w:t>
            </w:r>
          </w:p>
        </w:tc>
        <w:tc>
          <w:tcPr>
            <w:tcW w:w="0" w:type="auto"/>
            <w:tcBorders>
              <w:bottom w:val="single" w:sz="6" w:space="0" w:color="auto"/>
              <w:right w:val="single" w:sz="6" w:space="0" w:color="auto"/>
            </w:tcBorders>
            <w:vAlign w:val="bottom"/>
            <w:hideMark/>
          </w:tcPr>
          <w:p w14:paraId="4B996012" w14:textId="77777777" w:rsidR="00000000" w:rsidRDefault="0015578C">
            <w:pPr>
              <w:pStyle w:val="a3"/>
              <w:spacing w:before="0" w:beforeAutospacing="0" w:after="0" w:afterAutospacing="0"/>
              <w:jc w:val="center"/>
              <w:rPr>
                <w:sz w:val="20"/>
                <w:szCs w:val="20"/>
              </w:rPr>
            </w:pPr>
            <w:r>
              <w:rPr>
                <w:rStyle w:val="a4"/>
                <w:sz w:val="20"/>
                <w:szCs w:val="20"/>
              </w:rPr>
              <w:t>Company</w:t>
            </w:r>
          </w:p>
        </w:tc>
      </w:tr>
      <w:tr w:rsidR="00000000" w14:paraId="5562E7A9"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76E98A7E" w14:textId="77777777" w:rsidR="00000000" w:rsidRDefault="0015578C">
            <w:pPr>
              <w:pStyle w:val="a3"/>
              <w:spacing w:before="0" w:beforeAutospacing="0" w:after="0" w:afterAutospacing="0"/>
              <w:ind w:left="225"/>
              <w:rPr>
                <w:sz w:val="20"/>
                <w:szCs w:val="20"/>
              </w:rPr>
            </w:pPr>
            <w:r>
              <w:rPr>
                <w:sz w:val="20"/>
                <w:szCs w:val="20"/>
              </w:rPr>
              <w:t>1977</w:t>
            </w:r>
          </w:p>
        </w:tc>
        <w:tc>
          <w:tcPr>
            <w:tcW w:w="0" w:type="auto"/>
            <w:tcBorders>
              <w:bottom w:val="single" w:sz="6" w:space="0" w:color="auto"/>
              <w:right w:val="single" w:sz="6" w:space="0" w:color="auto"/>
            </w:tcBorders>
            <w:shd w:val="clear" w:color="auto" w:fill="CCEEFF"/>
            <w:vAlign w:val="bottom"/>
            <w:hideMark/>
          </w:tcPr>
          <w:p w14:paraId="7872F789" w14:textId="77777777" w:rsidR="00000000" w:rsidRDefault="0015578C">
            <w:pPr>
              <w:pStyle w:val="a3"/>
              <w:spacing w:before="0" w:beforeAutospacing="0" w:after="0" w:afterAutospacing="0"/>
              <w:jc w:val="right"/>
              <w:rPr>
                <w:sz w:val="20"/>
                <w:szCs w:val="20"/>
              </w:rPr>
            </w:pPr>
            <w:r>
              <w:rPr>
                <w:sz w:val="20"/>
                <w:szCs w:val="20"/>
              </w:rPr>
              <w:t>10</w:t>
            </w:r>
          </w:p>
        </w:tc>
        <w:tc>
          <w:tcPr>
            <w:tcW w:w="0" w:type="auto"/>
            <w:tcBorders>
              <w:bottom w:val="single" w:sz="6" w:space="0" w:color="auto"/>
              <w:right w:val="single" w:sz="6" w:space="0" w:color="auto"/>
            </w:tcBorders>
            <w:shd w:val="clear" w:color="auto" w:fill="CCEEFF"/>
            <w:vAlign w:val="bottom"/>
            <w:hideMark/>
          </w:tcPr>
          <w:p w14:paraId="6D8F3508" w14:textId="77777777" w:rsidR="00000000" w:rsidRDefault="0015578C">
            <w:pPr>
              <w:pStyle w:val="a3"/>
              <w:spacing w:before="0" w:beforeAutospacing="0" w:after="0" w:afterAutospacing="0"/>
              <w:jc w:val="right"/>
              <w:rPr>
                <w:sz w:val="20"/>
                <w:szCs w:val="20"/>
              </w:rPr>
            </w:pPr>
            <w:r>
              <w:rPr>
                <w:sz w:val="20"/>
                <w:szCs w:val="20"/>
              </w:rPr>
              <w:t>1,603.3</w:t>
            </w:r>
          </w:p>
        </w:tc>
        <w:tc>
          <w:tcPr>
            <w:tcW w:w="0" w:type="auto"/>
            <w:tcBorders>
              <w:bottom w:val="single" w:sz="6" w:space="0" w:color="auto"/>
              <w:right w:val="single" w:sz="6" w:space="0" w:color="auto"/>
            </w:tcBorders>
            <w:shd w:val="clear" w:color="auto" w:fill="CCEEFF"/>
            <w:vAlign w:val="bottom"/>
            <w:hideMark/>
          </w:tcPr>
          <w:p w14:paraId="29F27443" w14:textId="77777777" w:rsidR="00000000" w:rsidRDefault="0015578C">
            <w:pPr>
              <w:pStyle w:val="a3"/>
              <w:spacing w:before="0" w:beforeAutospacing="0" w:after="0" w:afterAutospacing="0"/>
              <w:ind w:left="225"/>
              <w:rPr>
                <w:sz w:val="20"/>
                <w:szCs w:val="20"/>
              </w:rPr>
            </w:pPr>
            <w:r>
              <w:rPr>
                <w:sz w:val="20"/>
                <w:szCs w:val="20"/>
              </w:rPr>
              <w:t>Managed by WGM</w:t>
            </w:r>
          </w:p>
        </w:tc>
      </w:tr>
      <w:tr w:rsidR="00000000" w14:paraId="23F2E233"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4E5E1682" w14:textId="77777777" w:rsidR="00000000" w:rsidRDefault="0015578C">
            <w:pPr>
              <w:pStyle w:val="a3"/>
              <w:spacing w:before="0" w:beforeAutospacing="0" w:after="0" w:afterAutospacing="0"/>
              <w:ind w:left="225"/>
              <w:rPr>
                <w:sz w:val="20"/>
                <w:szCs w:val="20"/>
              </w:rPr>
            </w:pPr>
            <w:r>
              <w:rPr>
                <w:sz w:val="20"/>
                <w:szCs w:val="20"/>
              </w:rPr>
              <w:t>1978</w:t>
            </w:r>
          </w:p>
        </w:tc>
        <w:tc>
          <w:tcPr>
            <w:tcW w:w="0" w:type="auto"/>
            <w:tcBorders>
              <w:bottom w:val="single" w:sz="6" w:space="0" w:color="auto"/>
              <w:right w:val="single" w:sz="6" w:space="0" w:color="auto"/>
            </w:tcBorders>
            <w:shd w:val="clear" w:color="auto" w:fill="FFFFFF"/>
            <w:vAlign w:val="bottom"/>
            <w:hideMark/>
          </w:tcPr>
          <w:p w14:paraId="0A926A72" w14:textId="77777777" w:rsidR="00000000" w:rsidRDefault="0015578C">
            <w:pPr>
              <w:pStyle w:val="a3"/>
              <w:spacing w:before="0" w:beforeAutospacing="0" w:after="0" w:afterAutospacing="0"/>
              <w:jc w:val="right"/>
              <w:rPr>
                <w:sz w:val="20"/>
                <w:szCs w:val="20"/>
              </w:rPr>
            </w:pPr>
            <w:r>
              <w:rPr>
                <w:sz w:val="20"/>
                <w:szCs w:val="20"/>
              </w:rPr>
              <w:t>79</w:t>
            </w:r>
          </w:p>
        </w:tc>
        <w:tc>
          <w:tcPr>
            <w:tcW w:w="0" w:type="auto"/>
            <w:tcBorders>
              <w:bottom w:val="single" w:sz="6" w:space="0" w:color="auto"/>
              <w:right w:val="single" w:sz="6" w:space="0" w:color="auto"/>
            </w:tcBorders>
            <w:shd w:val="clear" w:color="auto" w:fill="FFFFFF"/>
            <w:vAlign w:val="bottom"/>
            <w:hideMark/>
          </w:tcPr>
          <w:p w14:paraId="2E0A5C80" w14:textId="77777777" w:rsidR="00000000" w:rsidRDefault="0015578C">
            <w:pPr>
              <w:pStyle w:val="a3"/>
              <w:spacing w:before="0" w:beforeAutospacing="0" w:after="0" w:afterAutospacing="0"/>
              <w:jc w:val="right"/>
              <w:rPr>
                <w:sz w:val="20"/>
                <w:szCs w:val="20"/>
              </w:rPr>
            </w:pPr>
            <w:r>
              <w:rPr>
                <w:sz w:val="20"/>
                <w:szCs w:val="20"/>
              </w:rPr>
              <w:t>10,680.2</w:t>
            </w:r>
          </w:p>
        </w:tc>
        <w:tc>
          <w:tcPr>
            <w:tcW w:w="0" w:type="auto"/>
            <w:tcBorders>
              <w:bottom w:val="single" w:sz="6" w:space="0" w:color="auto"/>
              <w:right w:val="single" w:sz="6" w:space="0" w:color="auto"/>
            </w:tcBorders>
            <w:shd w:val="clear" w:color="auto" w:fill="FFFFFF"/>
            <w:vAlign w:val="bottom"/>
            <w:hideMark/>
          </w:tcPr>
          <w:p w14:paraId="5E8B601B" w14:textId="77777777" w:rsidR="00000000" w:rsidRDefault="0015578C">
            <w:pPr>
              <w:pStyle w:val="a3"/>
              <w:spacing w:before="0" w:beforeAutospacing="0" w:after="0" w:afterAutospacing="0"/>
              <w:ind w:left="225"/>
              <w:rPr>
                <w:sz w:val="20"/>
                <w:szCs w:val="20"/>
              </w:rPr>
            </w:pPr>
            <w:r>
              <w:rPr>
                <w:sz w:val="20"/>
                <w:szCs w:val="20"/>
              </w:rPr>
              <w:t>Managed by WGM</w:t>
            </w:r>
          </w:p>
        </w:tc>
      </w:tr>
      <w:tr w:rsidR="00000000" w14:paraId="2B486B0A"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37DC71B4" w14:textId="77777777" w:rsidR="00000000" w:rsidRDefault="0015578C">
            <w:pPr>
              <w:pStyle w:val="a3"/>
              <w:spacing w:before="0" w:beforeAutospacing="0" w:after="0" w:afterAutospacing="0"/>
              <w:ind w:left="225"/>
              <w:rPr>
                <w:sz w:val="20"/>
                <w:szCs w:val="20"/>
              </w:rPr>
            </w:pPr>
            <w:r>
              <w:rPr>
                <w:sz w:val="20"/>
                <w:szCs w:val="20"/>
              </w:rPr>
              <w:t>1979</w:t>
            </w:r>
          </w:p>
        </w:tc>
        <w:tc>
          <w:tcPr>
            <w:tcW w:w="0" w:type="auto"/>
            <w:tcBorders>
              <w:bottom w:val="single" w:sz="6" w:space="0" w:color="auto"/>
              <w:right w:val="single" w:sz="6" w:space="0" w:color="auto"/>
            </w:tcBorders>
            <w:shd w:val="clear" w:color="auto" w:fill="CCEEFF"/>
            <w:vAlign w:val="bottom"/>
            <w:hideMark/>
          </w:tcPr>
          <w:p w14:paraId="1F02E28E" w14:textId="77777777" w:rsidR="00000000" w:rsidRDefault="0015578C">
            <w:pPr>
              <w:pStyle w:val="a3"/>
              <w:spacing w:before="0" w:beforeAutospacing="0" w:after="0" w:afterAutospacing="0"/>
              <w:jc w:val="right"/>
              <w:rPr>
                <w:sz w:val="20"/>
                <w:szCs w:val="20"/>
              </w:rPr>
            </w:pPr>
            <w:r>
              <w:rPr>
                <w:sz w:val="20"/>
                <w:szCs w:val="20"/>
              </w:rPr>
              <w:t>14</w:t>
            </w:r>
          </w:p>
        </w:tc>
        <w:tc>
          <w:tcPr>
            <w:tcW w:w="0" w:type="auto"/>
            <w:tcBorders>
              <w:bottom w:val="single" w:sz="6" w:space="0" w:color="auto"/>
              <w:right w:val="single" w:sz="6" w:space="0" w:color="auto"/>
            </w:tcBorders>
            <w:shd w:val="clear" w:color="auto" w:fill="CCEEFF"/>
            <w:vAlign w:val="bottom"/>
            <w:hideMark/>
          </w:tcPr>
          <w:p w14:paraId="4CBA2519" w14:textId="77777777" w:rsidR="00000000" w:rsidRDefault="0015578C">
            <w:pPr>
              <w:pStyle w:val="a3"/>
              <w:spacing w:before="0" w:beforeAutospacing="0" w:after="0" w:afterAutospacing="0"/>
              <w:jc w:val="right"/>
              <w:rPr>
                <w:sz w:val="20"/>
                <w:szCs w:val="20"/>
              </w:rPr>
            </w:pPr>
            <w:r>
              <w:rPr>
                <w:sz w:val="20"/>
                <w:szCs w:val="20"/>
              </w:rPr>
              <w:t>4,931.1</w:t>
            </w:r>
          </w:p>
        </w:tc>
        <w:tc>
          <w:tcPr>
            <w:tcW w:w="0" w:type="auto"/>
            <w:tcBorders>
              <w:bottom w:val="single" w:sz="6" w:space="0" w:color="auto"/>
              <w:right w:val="single" w:sz="6" w:space="0" w:color="auto"/>
            </w:tcBorders>
            <w:shd w:val="clear" w:color="auto" w:fill="CCEEFF"/>
            <w:vAlign w:val="bottom"/>
            <w:hideMark/>
          </w:tcPr>
          <w:p w14:paraId="1C2DFCD0"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68CE6556"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143F304F" w14:textId="77777777" w:rsidR="00000000" w:rsidRDefault="0015578C">
            <w:pPr>
              <w:pStyle w:val="a3"/>
              <w:spacing w:before="0" w:beforeAutospacing="0" w:after="0" w:afterAutospacing="0"/>
              <w:ind w:left="225"/>
              <w:rPr>
                <w:sz w:val="20"/>
                <w:szCs w:val="20"/>
              </w:rPr>
            </w:pPr>
            <w:r>
              <w:rPr>
                <w:sz w:val="20"/>
                <w:szCs w:val="20"/>
              </w:rPr>
              <w:t>1980</w:t>
            </w:r>
          </w:p>
        </w:tc>
        <w:tc>
          <w:tcPr>
            <w:tcW w:w="0" w:type="auto"/>
            <w:tcBorders>
              <w:bottom w:val="single" w:sz="6" w:space="0" w:color="auto"/>
              <w:right w:val="single" w:sz="6" w:space="0" w:color="auto"/>
            </w:tcBorders>
            <w:shd w:val="clear" w:color="auto" w:fill="FFFFFF"/>
            <w:vAlign w:val="bottom"/>
            <w:hideMark/>
          </w:tcPr>
          <w:p w14:paraId="572CF9B9" w14:textId="77777777" w:rsidR="00000000" w:rsidRDefault="0015578C">
            <w:pPr>
              <w:pStyle w:val="a3"/>
              <w:spacing w:before="0" w:beforeAutospacing="0" w:after="0" w:afterAutospacing="0"/>
              <w:jc w:val="right"/>
              <w:rPr>
                <w:sz w:val="20"/>
                <w:szCs w:val="20"/>
              </w:rPr>
            </w:pPr>
            <w:r>
              <w:rPr>
                <w:sz w:val="20"/>
                <w:szCs w:val="20"/>
              </w:rPr>
              <w:t>3</w:t>
            </w:r>
          </w:p>
        </w:tc>
        <w:tc>
          <w:tcPr>
            <w:tcW w:w="0" w:type="auto"/>
            <w:tcBorders>
              <w:bottom w:val="single" w:sz="6" w:space="0" w:color="auto"/>
              <w:right w:val="single" w:sz="6" w:space="0" w:color="auto"/>
            </w:tcBorders>
            <w:shd w:val="clear" w:color="auto" w:fill="FFFFFF"/>
            <w:vAlign w:val="bottom"/>
            <w:hideMark/>
          </w:tcPr>
          <w:p w14:paraId="737522CB" w14:textId="77777777" w:rsidR="00000000" w:rsidRDefault="0015578C">
            <w:pPr>
              <w:pStyle w:val="a3"/>
              <w:spacing w:before="0" w:beforeAutospacing="0" w:after="0" w:afterAutospacing="0"/>
              <w:jc w:val="right"/>
              <w:rPr>
                <w:sz w:val="20"/>
                <w:szCs w:val="20"/>
              </w:rPr>
            </w:pPr>
            <w:r>
              <w:rPr>
                <w:sz w:val="20"/>
                <w:szCs w:val="20"/>
              </w:rPr>
              <w:t>202.1</w:t>
            </w:r>
          </w:p>
        </w:tc>
        <w:tc>
          <w:tcPr>
            <w:tcW w:w="0" w:type="auto"/>
            <w:tcBorders>
              <w:bottom w:val="single" w:sz="6" w:space="0" w:color="auto"/>
              <w:right w:val="single" w:sz="6" w:space="0" w:color="auto"/>
            </w:tcBorders>
            <w:shd w:val="clear" w:color="auto" w:fill="FFFFFF"/>
            <w:vAlign w:val="bottom"/>
            <w:hideMark/>
          </w:tcPr>
          <w:p w14:paraId="6FC4B7DC"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5DE8CA36"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51127C2B" w14:textId="77777777" w:rsidR="00000000" w:rsidRDefault="0015578C">
            <w:pPr>
              <w:pStyle w:val="a3"/>
              <w:spacing w:before="0" w:beforeAutospacing="0" w:after="0" w:afterAutospacing="0"/>
              <w:ind w:left="225"/>
              <w:rPr>
                <w:sz w:val="20"/>
                <w:szCs w:val="20"/>
              </w:rPr>
            </w:pPr>
            <w:r>
              <w:rPr>
                <w:sz w:val="20"/>
                <w:szCs w:val="20"/>
              </w:rPr>
              <w:t>1983</w:t>
            </w:r>
          </w:p>
        </w:tc>
        <w:tc>
          <w:tcPr>
            <w:tcW w:w="0" w:type="auto"/>
            <w:tcBorders>
              <w:bottom w:val="single" w:sz="6" w:space="0" w:color="auto"/>
              <w:right w:val="single" w:sz="6" w:space="0" w:color="auto"/>
            </w:tcBorders>
            <w:shd w:val="clear" w:color="auto" w:fill="CCEEFF"/>
            <w:vAlign w:val="bottom"/>
            <w:hideMark/>
          </w:tcPr>
          <w:p w14:paraId="4D3254FD" w14:textId="77777777" w:rsidR="00000000" w:rsidRDefault="0015578C">
            <w:pPr>
              <w:pStyle w:val="a3"/>
              <w:spacing w:before="0" w:beforeAutospacing="0" w:after="0" w:afterAutospacing="0"/>
              <w:jc w:val="right"/>
              <w:rPr>
                <w:sz w:val="20"/>
                <w:szCs w:val="20"/>
              </w:rPr>
            </w:pPr>
            <w:r>
              <w:rPr>
                <w:sz w:val="20"/>
                <w:szCs w:val="20"/>
              </w:rPr>
              <w:t>1</w:t>
            </w:r>
          </w:p>
        </w:tc>
        <w:tc>
          <w:tcPr>
            <w:tcW w:w="0" w:type="auto"/>
            <w:tcBorders>
              <w:bottom w:val="single" w:sz="6" w:space="0" w:color="auto"/>
              <w:right w:val="single" w:sz="6" w:space="0" w:color="auto"/>
            </w:tcBorders>
            <w:shd w:val="clear" w:color="auto" w:fill="CCEEFF"/>
            <w:vAlign w:val="bottom"/>
            <w:hideMark/>
          </w:tcPr>
          <w:p w14:paraId="1EF33FCF" w14:textId="77777777" w:rsidR="00000000" w:rsidRDefault="0015578C">
            <w:pPr>
              <w:pStyle w:val="a3"/>
              <w:spacing w:before="0" w:beforeAutospacing="0" w:after="0" w:afterAutospacing="0"/>
              <w:jc w:val="right"/>
              <w:rPr>
                <w:sz w:val="20"/>
                <w:szCs w:val="20"/>
              </w:rPr>
            </w:pPr>
            <w:r>
              <w:rPr>
                <w:sz w:val="20"/>
                <w:szCs w:val="20"/>
              </w:rPr>
              <w:t>835.2</w:t>
            </w:r>
          </w:p>
        </w:tc>
        <w:tc>
          <w:tcPr>
            <w:tcW w:w="0" w:type="auto"/>
            <w:tcBorders>
              <w:bottom w:val="single" w:sz="6" w:space="0" w:color="auto"/>
              <w:right w:val="single" w:sz="6" w:space="0" w:color="auto"/>
            </w:tcBorders>
            <w:shd w:val="clear" w:color="auto" w:fill="CCEEFF"/>
            <w:vAlign w:val="bottom"/>
            <w:hideMark/>
          </w:tcPr>
          <w:p w14:paraId="74E3B021"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092C8DAE"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46A26CEF" w14:textId="77777777" w:rsidR="00000000" w:rsidRDefault="0015578C">
            <w:pPr>
              <w:pStyle w:val="a3"/>
              <w:spacing w:before="0" w:beforeAutospacing="0" w:after="0" w:afterAutospacing="0"/>
              <w:ind w:left="225"/>
              <w:rPr>
                <w:sz w:val="20"/>
                <w:szCs w:val="20"/>
              </w:rPr>
            </w:pPr>
            <w:r>
              <w:rPr>
                <w:sz w:val="20"/>
                <w:szCs w:val="20"/>
              </w:rPr>
              <w:t>1984</w:t>
            </w:r>
          </w:p>
        </w:tc>
        <w:tc>
          <w:tcPr>
            <w:tcW w:w="0" w:type="auto"/>
            <w:tcBorders>
              <w:bottom w:val="single" w:sz="6" w:space="0" w:color="auto"/>
              <w:right w:val="single" w:sz="6" w:space="0" w:color="auto"/>
            </w:tcBorders>
            <w:shd w:val="clear" w:color="auto" w:fill="FFFFFF"/>
            <w:vAlign w:val="bottom"/>
            <w:hideMark/>
          </w:tcPr>
          <w:p w14:paraId="6039D534" w14:textId="77777777" w:rsidR="00000000" w:rsidRDefault="0015578C">
            <w:pPr>
              <w:pStyle w:val="a3"/>
              <w:spacing w:before="0" w:beforeAutospacing="0" w:after="0" w:afterAutospacing="0"/>
              <w:jc w:val="right"/>
              <w:rPr>
                <w:sz w:val="20"/>
                <w:szCs w:val="20"/>
              </w:rPr>
            </w:pPr>
            <w:r>
              <w:rPr>
                <w:sz w:val="20"/>
                <w:szCs w:val="20"/>
              </w:rPr>
              <w:t>6</w:t>
            </w:r>
          </w:p>
        </w:tc>
        <w:tc>
          <w:tcPr>
            <w:tcW w:w="0" w:type="auto"/>
            <w:tcBorders>
              <w:bottom w:val="single" w:sz="6" w:space="0" w:color="auto"/>
              <w:right w:val="single" w:sz="6" w:space="0" w:color="auto"/>
            </w:tcBorders>
            <w:shd w:val="clear" w:color="auto" w:fill="FFFFFF"/>
            <w:vAlign w:val="bottom"/>
            <w:hideMark/>
          </w:tcPr>
          <w:p w14:paraId="25B51791" w14:textId="77777777" w:rsidR="00000000" w:rsidRDefault="0015578C">
            <w:pPr>
              <w:pStyle w:val="a3"/>
              <w:spacing w:before="0" w:beforeAutospacing="0" w:after="0" w:afterAutospacing="0"/>
              <w:jc w:val="right"/>
              <w:rPr>
                <w:sz w:val="20"/>
                <w:szCs w:val="20"/>
              </w:rPr>
            </w:pPr>
            <w:r>
              <w:rPr>
                <w:sz w:val="20"/>
                <w:szCs w:val="20"/>
              </w:rPr>
              <w:t>1,643.5</w:t>
            </w:r>
          </w:p>
        </w:tc>
        <w:tc>
          <w:tcPr>
            <w:tcW w:w="0" w:type="auto"/>
            <w:tcBorders>
              <w:bottom w:val="single" w:sz="6" w:space="0" w:color="auto"/>
              <w:right w:val="single" w:sz="6" w:space="0" w:color="auto"/>
            </w:tcBorders>
            <w:shd w:val="clear" w:color="auto" w:fill="FFFFFF"/>
            <w:vAlign w:val="bottom"/>
            <w:hideMark/>
          </w:tcPr>
          <w:p w14:paraId="2F55C9D4"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67A11E71"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0D440084" w14:textId="77777777" w:rsidR="00000000" w:rsidRDefault="0015578C">
            <w:pPr>
              <w:pStyle w:val="a3"/>
              <w:spacing w:before="0" w:beforeAutospacing="0" w:after="0" w:afterAutospacing="0"/>
              <w:ind w:left="225"/>
              <w:rPr>
                <w:sz w:val="20"/>
                <w:szCs w:val="20"/>
              </w:rPr>
            </w:pPr>
            <w:r>
              <w:rPr>
                <w:sz w:val="20"/>
                <w:szCs w:val="20"/>
              </w:rPr>
              <w:t>1985</w:t>
            </w:r>
          </w:p>
        </w:tc>
        <w:tc>
          <w:tcPr>
            <w:tcW w:w="0" w:type="auto"/>
            <w:tcBorders>
              <w:bottom w:val="single" w:sz="6" w:space="0" w:color="auto"/>
              <w:right w:val="single" w:sz="6" w:space="0" w:color="auto"/>
            </w:tcBorders>
            <w:shd w:val="clear" w:color="auto" w:fill="CCEEFF"/>
            <w:vAlign w:val="bottom"/>
            <w:hideMark/>
          </w:tcPr>
          <w:p w14:paraId="04D47331" w14:textId="77777777" w:rsidR="00000000" w:rsidRDefault="0015578C">
            <w:pPr>
              <w:pStyle w:val="a3"/>
              <w:spacing w:before="0" w:beforeAutospacing="0" w:after="0" w:afterAutospacing="0"/>
              <w:jc w:val="right"/>
              <w:rPr>
                <w:sz w:val="20"/>
                <w:szCs w:val="20"/>
              </w:rPr>
            </w:pPr>
            <w:r>
              <w:rPr>
                <w:sz w:val="20"/>
                <w:szCs w:val="20"/>
              </w:rPr>
              <w:t>16</w:t>
            </w:r>
          </w:p>
        </w:tc>
        <w:tc>
          <w:tcPr>
            <w:tcW w:w="0" w:type="auto"/>
            <w:tcBorders>
              <w:bottom w:val="single" w:sz="6" w:space="0" w:color="auto"/>
              <w:right w:val="single" w:sz="6" w:space="0" w:color="auto"/>
            </w:tcBorders>
            <w:shd w:val="clear" w:color="auto" w:fill="CCEEFF"/>
            <w:vAlign w:val="bottom"/>
            <w:hideMark/>
          </w:tcPr>
          <w:p w14:paraId="6553CADB" w14:textId="77777777" w:rsidR="00000000" w:rsidRDefault="0015578C">
            <w:pPr>
              <w:pStyle w:val="a3"/>
              <w:spacing w:before="0" w:beforeAutospacing="0" w:after="0" w:afterAutospacing="0"/>
              <w:jc w:val="right"/>
              <w:rPr>
                <w:sz w:val="20"/>
                <w:szCs w:val="20"/>
              </w:rPr>
            </w:pPr>
            <w:r>
              <w:rPr>
                <w:sz w:val="20"/>
                <w:szCs w:val="20"/>
              </w:rPr>
              <w:t>4,883.1</w:t>
            </w:r>
          </w:p>
        </w:tc>
        <w:tc>
          <w:tcPr>
            <w:tcW w:w="0" w:type="auto"/>
            <w:tcBorders>
              <w:bottom w:val="single" w:sz="6" w:space="0" w:color="auto"/>
              <w:right w:val="single" w:sz="6" w:space="0" w:color="auto"/>
            </w:tcBorders>
            <w:shd w:val="clear" w:color="auto" w:fill="CCEEFF"/>
            <w:vAlign w:val="bottom"/>
            <w:hideMark/>
          </w:tcPr>
          <w:p w14:paraId="5A9A2C44" w14:textId="77777777" w:rsidR="00000000" w:rsidRDefault="0015578C">
            <w:pPr>
              <w:pStyle w:val="a3"/>
              <w:spacing w:before="0" w:beforeAutospacing="0" w:after="0" w:afterAutospacing="0"/>
              <w:ind w:left="225"/>
              <w:rPr>
                <w:sz w:val="20"/>
                <w:szCs w:val="20"/>
              </w:rPr>
            </w:pPr>
            <w:r>
              <w:rPr>
                <w:sz w:val="20"/>
                <w:szCs w:val="20"/>
              </w:rPr>
              <w:t>Managed by Noranda</w:t>
            </w:r>
          </w:p>
        </w:tc>
      </w:tr>
      <w:tr w:rsidR="00000000" w14:paraId="032476D9"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2B19CAEA" w14:textId="77777777" w:rsidR="00000000" w:rsidRDefault="0015578C">
            <w:pPr>
              <w:pStyle w:val="a3"/>
              <w:spacing w:before="0" w:beforeAutospacing="0" w:after="0" w:afterAutospacing="0"/>
              <w:ind w:left="225"/>
              <w:rPr>
                <w:sz w:val="20"/>
                <w:szCs w:val="20"/>
              </w:rPr>
            </w:pPr>
            <w:r>
              <w:rPr>
                <w:sz w:val="20"/>
                <w:szCs w:val="20"/>
              </w:rPr>
              <w:t>1987</w:t>
            </w:r>
          </w:p>
        </w:tc>
        <w:tc>
          <w:tcPr>
            <w:tcW w:w="0" w:type="auto"/>
            <w:tcBorders>
              <w:bottom w:val="single" w:sz="6" w:space="0" w:color="auto"/>
              <w:right w:val="single" w:sz="6" w:space="0" w:color="auto"/>
            </w:tcBorders>
            <w:shd w:val="clear" w:color="auto" w:fill="FFFFFF"/>
            <w:vAlign w:val="bottom"/>
            <w:hideMark/>
          </w:tcPr>
          <w:p w14:paraId="178A4223" w14:textId="77777777" w:rsidR="00000000" w:rsidRDefault="0015578C">
            <w:pPr>
              <w:pStyle w:val="a3"/>
              <w:spacing w:before="0" w:beforeAutospacing="0" w:after="0" w:afterAutospacing="0"/>
              <w:jc w:val="right"/>
              <w:rPr>
                <w:sz w:val="20"/>
                <w:szCs w:val="20"/>
              </w:rPr>
            </w:pPr>
            <w:r>
              <w:rPr>
                <w:sz w:val="20"/>
                <w:szCs w:val="20"/>
              </w:rPr>
              <w:t>1</w:t>
            </w:r>
          </w:p>
        </w:tc>
        <w:tc>
          <w:tcPr>
            <w:tcW w:w="0" w:type="auto"/>
            <w:tcBorders>
              <w:bottom w:val="single" w:sz="6" w:space="0" w:color="auto"/>
              <w:right w:val="single" w:sz="6" w:space="0" w:color="auto"/>
            </w:tcBorders>
            <w:shd w:val="clear" w:color="auto" w:fill="FFFFFF"/>
            <w:vAlign w:val="bottom"/>
            <w:hideMark/>
          </w:tcPr>
          <w:p w14:paraId="2E17E500" w14:textId="77777777" w:rsidR="00000000" w:rsidRDefault="0015578C">
            <w:pPr>
              <w:pStyle w:val="a3"/>
              <w:spacing w:before="0" w:beforeAutospacing="0" w:after="0" w:afterAutospacing="0"/>
              <w:jc w:val="right"/>
              <w:rPr>
                <w:sz w:val="20"/>
                <w:szCs w:val="20"/>
              </w:rPr>
            </w:pPr>
            <w:r>
              <w:rPr>
                <w:sz w:val="20"/>
                <w:szCs w:val="20"/>
              </w:rPr>
              <w:t>696.5</w:t>
            </w:r>
          </w:p>
        </w:tc>
        <w:tc>
          <w:tcPr>
            <w:tcW w:w="0" w:type="auto"/>
            <w:tcBorders>
              <w:bottom w:val="single" w:sz="6" w:space="0" w:color="auto"/>
              <w:right w:val="single" w:sz="6" w:space="0" w:color="auto"/>
            </w:tcBorders>
            <w:shd w:val="clear" w:color="auto" w:fill="FFFFFF"/>
            <w:vAlign w:val="bottom"/>
            <w:hideMark/>
          </w:tcPr>
          <w:p w14:paraId="65B8F1E3"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0DD9D03F"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28F00D18" w14:textId="77777777" w:rsidR="00000000" w:rsidRDefault="0015578C">
            <w:pPr>
              <w:pStyle w:val="a3"/>
              <w:spacing w:before="0" w:beforeAutospacing="0" w:after="0" w:afterAutospacing="0"/>
              <w:ind w:left="225"/>
              <w:rPr>
                <w:sz w:val="20"/>
                <w:szCs w:val="20"/>
              </w:rPr>
            </w:pPr>
            <w:r>
              <w:rPr>
                <w:sz w:val="20"/>
                <w:szCs w:val="20"/>
              </w:rPr>
              <w:t>1990</w:t>
            </w:r>
          </w:p>
        </w:tc>
        <w:tc>
          <w:tcPr>
            <w:tcW w:w="0" w:type="auto"/>
            <w:tcBorders>
              <w:bottom w:val="single" w:sz="6" w:space="0" w:color="auto"/>
              <w:right w:val="single" w:sz="6" w:space="0" w:color="auto"/>
            </w:tcBorders>
            <w:shd w:val="clear" w:color="auto" w:fill="CCEEFF"/>
            <w:vAlign w:val="bottom"/>
            <w:hideMark/>
          </w:tcPr>
          <w:p w14:paraId="1C331648" w14:textId="77777777" w:rsidR="00000000" w:rsidRDefault="0015578C">
            <w:pPr>
              <w:pStyle w:val="a3"/>
              <w:spacing w:before="0" w:beforeAutospacing="0" w:after="0" w:afterAutospacing="0"/>
              <w:jc w:val="right"/>
              <w:rPr>
                <w:sz w:val="20"/>
                <w:szCs w:val="20"/>
              </w:rPr>
            </w:pPr>
            <w:r>
              <w:rPr>
                <w:sz w:val="20"/>
                <w:szCs w:val="20"/>
              </w:rPr>
              <w:t>3</w:t>
            </w:r>
          </w:p>
        </w:tc>
        <w:tc>
          <w:tcPr>
            <w:tcW w:w="0" w:type="auto"/>
            <w:tcBorders>
              <w:bottom w:val="single" w:sz="6" w:space="0" w:color="auto"/>
              <w:right w:val="single" w:sz="6" w:space="0" w:color="auto"/>
            </w:tcBorders>
            <w:shd w:val="clear" w:color="auto" w:fill="CCEEFF"/>
            <w:vAlign w:val="bottom"/>
            <w:hideMark/>
          </w:tcPr>
          <w:p w14:paraId="6EEA9A5A" w14:textId="77777777" w:rsidR="00000000" w:rsidRDefault="0015578C">
            <w:pPr>
              <w:pStyle w:val="a3"/>
              <w:spacing w:before="0" w:beforeAutospacing="0" w:after="0" w:afterAutospacing="0"/>
              <w:jc w:val="right"/>
              <w:rPr>
                <w:sz w:val="20"/>
                <w:szCs w:val="20"/>
              </w:rPr>
            </w:pPr>
            <w:r>
              <w:rPr>
                <w:sz w:val="20"/>
                <w:szCs w:val="20"/>
              </w:rPr>
              <w:t>263.4</w:t>
            </w:r>
          </w:p>
        </w:tc>
        <w:tc>
          <w:tcPr>
            <w:tcW w:w="0" w:type="auto"/>
            <w:tcBorders>
              <w:bottom w:val="single" w:sz="6" w:space="0" w:color="auto"/>
              <w:right w:val="single" w:sz="6" w:space="0" w:color="auto"/>
            </w:tcBorders>
            <w:shd w:val="clear" w:color="auto" w:fill="CCEEFF"/>
            <w:vAlign w:val="bottom"/>
            <w:hideMark/>
          </w:tcPr>
          <w:p w14:paraId="39305280" w14:textId="77777777" w:rsidR="00000000" w:rsidRDefault="0015578C">
            <w:pPr>
              <w:pStyle w:val="a3"/>
              <w:spacing w:before="0" w:beforeAutospacing="0" w:after="0" w:afterAutospacing="0"/>
              <w:ind w:left="225"/>
              <w:rPr>
                <w:sz w:val="20"/>
                <w:szCs w:val="20"/>
              </w:rPr>
            </w:pPr>
            <w:r>
              <w:rPr>
                <w:sz w:val="20"/>
                <w:szCs w:val="20"/>
              </w:rPr>
              <w:t>Managed by Moneta</w:t>
            </w:r>
          </w:p>
        </w:tc>
      </w:tr>
      <w:tr w:rsidR="00000000" w14:paraId="37B4AC0F"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7816A8E5" w14:textId="77777777" w:rsidR="00000000" w:rsidRDefault="0015578C">
            <w:pPr>
              <w:pStyle w:val="a3"/>
              <w:spacing w:before="0" w:beforeAutospacing="0" w:after="0" w:afterAutospacing="0"/>
              <w:ind w:left="225"/>
              <w:rPr>
                <w:sz w:val="20"/>
                <w:szCs w:val="20"/>
              </w:rPr>
            </w:pPr>
            <w:r>
              <w:rPr>
                <w:sz w:val="20"/>
                <w:szCs w:val="20"/>
              </w:rPr>
              <w:t>1992</w:t>
            </w:r>
          </w:p>
        </w:tc>
        <w:tc>
          <w:tcPr>
            <w:tcW w:w="0" w:type="auto"/>
            <w:tcBorders>
              <w:bottom w:val="single" w:sz="6" w:space="0" w:color="auto"/>
              <w:right w:val="single" w:sz="6" w:space="0" w:color="auto"/>
            </w:tcBorders>
            <w:shd w:val="clear" w:color="auto" w:fill="FFFFFF"/>
            <w:vAlign w:val="bottom"/>
            <w:hideMark/>
          </w:tcPr>
          <w:p w14:paraId="185A593F" w14:textId="77777777" w:rsidR="00000000" w:rsidRDefault="0015578C">
            <w:pPr>
              <w:pStyle w:val="a3"/>
              <w:spacing w:before="0" w:beforeAutospacing="0" w:after="0" w:afterAutospacing="0"/>
              <w:jc w:val="right"/>
              <w:rPr>
                <w:sz w:val="20"/>
                <w:szCs w:val="20"/>
              </w:rPr>
            </w:pPr>
            <w:r>
              <w:rPr>
                <w:sz w:val="20"/>
                <w:szCs w:val="20"/>
              </w:rPr>
              <w:t>2</w:t>
            </w:r>
          </w:p>
        </w:tc>
        <w:tc>
          <w:tcPr>
            <w:tcW w:w="0" w:type="auto"/>
            <w:tcBorders>
              <w:bottom w:val="single" w:sz="6" w:space="0" w:color="auto"/>
              <w:right w:val="single" w:sz="6" w:space="0" w:color="auto"/>
            </w:tcBorders>
            <w:shd w:val="clear" w:color="auto" w:fill="FFFFFF"/>
            <w:vAlign w:val="bottom"/>
            <w:hideMark/>
          </w:tcPr>
          <w:p w14:paraId="5D1E89B2" w14:textId="77777777" w:rsidR="00000000" w:rsidRDefault="0015578C">
            <w:pPr>
              <w:pStyle w:val="a3"/>
              <w:spacing w:before="0" w:beforeAutospacing="0" w:after="0" w:afterAutospacing="0"/>
              <w:jc w:val="right"/>
              <w:rPr>
                <w:sz w:val="20"/>
                <w:szCs w:val="20"/>
              </w:rPr>
            </w:pPr>
            <w:r>
              <w:rPr>
                <w:sz w:val="20"/>
                <w:szCs w:val="20"/>
              </w:rPr>
              <w:t>283.5</w:t>
            </w:r>
          </w:p>
        </w:tc>
        <w:tc>
          <w:tcPr>
            <w:tcW w:w="0" w:type="auto"/>
            <w:tcBorders>
              <w:bottom w:val="single" w:sz="6" w:space="0" w:color="auto"/>
              <w:right w:val="single" w:sz="6" w:space="0" w:color="auto"/>
            </w:tcBorders>
            <w:shd w:val="clear" w:color="auto" w:fill="FFFFFF"/>
            <w:vAlign w:val="bottom"/>
            <w:hideMark/>
          </w:tcPr>
          <w:p w14:paraId="77955A43" w14:textId="77777777" w:rsidR="00000000" w:rsidRDefault="0015578C">
            <w:pPr>
              <w:pStyle w:val="a3"/>
              <w:spacing w:before="0" w:beforeAutospacing="0" w:after="0" w:afterAutospacing="0"/>
              <w:ind w:left="225"/>
              <w:rPr>
                <w:sz w:val="20"/>
                <w:szCs w:val="20"/>
              </w:rPr>
            </w:pPr>
            <w:r>
              <w:rPr>
                <w:sz w:val="20"/>
                <w:szCs w:val="20"/>
              </w:rPr>
              <w:t>Managed by GCO</w:t>
            </w:r>
          </w:p>
        </w:tc>
      </w:tr>
      <w:tr w:rsidR="00000000" w14:paraId="6A5DEDA3"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29398EB2" w14:textId="77777777" w:rsidR="00000000" w:rsidRDefault="0015578C">
            <w:pPr>
              <w:pStyle w:val="a3"/>
              <w:spacing w:before="0" w:beforeAutospacing="0" w:after="0" w:afterAutospacing="0"/>
              <w:ind w:left="225"/>
              <w:rPr>
                <w:sz w:val="20"/>
                <w:szCs w:val="20"/>
              </w:rPr>
            </w:pPr>
            <w:r>
              <w:rPr>
                <w:sz w:val="20"/>
                <w:szCs w:val="20"/>
              </w:rPr>
              <w:t>2007</w:t>
            </w:r>
          </w:p>
        </w:tc>
        <w:tc>
          <w:tcPr>
            <w:tcW w:w="0" w:type="auto"/>
            <w:tcBorders>
              <w:bottom w:val="single" w:sz="6" w:space="0" w:color="auto"/>
              <w:right w:val="single" w:sz="6" w:space="0" w:color="auto"/>
            </w:tcBorders>
            <w:shd w:val="clear" w:color="auto" w:fill="CCEEFF"/>
            <w:vAlign w:val="bottom"/>
            <w:hideMark/>
          </w:tcPr>
          <w:p w14:paraId="202414F0" w14:textId="77777777" w:rsidR="00000000" w:rsidRDefault="0015578C">
            <w:pPr>
              <w:pStyle w:val="a3"/>
              <w:spacing w:before="0" w:beforeAutospacing="0" w:after="0" w:afterAutospacing="0"/>
              <w:jc w:val="right"/>
              <w:rPr>
                <w:sz w:val="20"/>
                <w:szCs w:val="20"/>
              </w:rPr>
            </w:pPr>
            <w:r>
              <w:rPr>
                <w:sz w:val="20"/>
                <w:szCs w:val="20"/>
              </w:rPr>
              <w:t>11</w:t>
            </w:r>
          </w:p>
        </w:tc>
        <w:tc>
          <w:tcPr>
            <w:tcW w:w="0" w:type="auto"/>
            <w:tcBorders>
              <w:bottom w:val="single" w:sz="6" w:space="0" w:color="auto"/>
              <w:right w:val="single" w:sz="6" w:space="0" w:color="auto"/>
            </w:tcBorders>
            <w:shd w:val="clear" w:color="auto" w:fill="CCEEFF"/>
            <w:vAlign w:val="bottom"/>
            <w:hideMark/>
          </w:tcPr>
          <w:p w14:paraId="2343FF99" w14:textId="77777777" w:rsidR="00000000" w:rsidRDefault="0015578C">
            <w:pPr>
              <w:pStyle w:val="a3"/>
              <w:spacing w:before="0" w:beforeAutospacing="0" w:after="0" w:afterAutospacing="0"/>
              <w:jc w:val="right"/>
              <w:rPr>
                <w:sz w:val="20"/>
                <w:szCs w:val="20"/>
              </w:rPr>
            </w:pPr>
            <w:r>
              <w:rPr>
                <w:sz w:val="20"/>
                <w:szCs w:val="20"/>
              </w:rPr>
              <w:t>1,393.5</w:t>
            </w:r>
          </w:p>
        </w:tc>
        <w:tc>
          <w:tcPr>
            <w:tcW w:w="0" w:type="auto"/>
            <w:tcBorders>
              <w:bottom w:val="single" w:sz="6" w:space="0" w:color="auto"/>
              <w:right w:val="single" w:sz="6" w:space="0" w:color="auto"/>
            </w:tcBorders>
            <w:shd w:val="clear" w:color="auto" w:fill="CCEEFF"/>
            <w:vAlign w:val="bottom"/>
            <w:hideMark/>
          </w:tcPr>
          <w:p w14:paraId="02B16435" w14:textId="77777777" w:rsidR="00000000" w:rsidRDefault="0015578C">
            <w:pPr>
              <w:pStyle w:val="a3"/>
              <w:spacing w:before="0" w:beforeAutospacing="0" w:after="0" w:afterAutospacing="0"/>
              <w:ind w:left="225"/>
              <w:rPr>
                <w:sz w:val="20"/>
                <w:szCs w:val="20"/>
              </w:rPr>
            </w:pPr>
            <w:r>
              <w:rPr>
                <w:sz w:val="20"/>
                <w:szCs w:val="20"/>
              </w:rPr>
              <w:t>Managed by Zazu</w:t>
            </w:r>
          </w:p>
        </w:tc>
      </w:tr>
      <w:tr w:rsidR="00000000" w14:paraId="7C840E38"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307282C0" w14:textId="77777777" w:rsidR="00000000" w:rsidRDefault="0015578C">
            <w:pPr>
              <w:pStyle w:val="a3"/>
              <w:spacing w:before="0" w:beforeAutospacing="0" w:after="0" w:afterAutospacing="0"/>
              <w:ind w:left="225"/>
              <w:rPr>
                <w:sz w:val="20"/>
                <w:szCs w:val="20"/>
              </w:rPr>
            </w:pPr>
            <w:r>
              <w:rPr>
                <w:sz w:val="20"/>
                <w:szCs w:val="20"/>
              </w:rPr>
              <w:t>2008</w:t>
            </w:r>
          </w:p>
        </w:tc>
        <w:tc>
          <w:tcPr>
            <w:tcW w:w="0" w:type="auto"/>
            <w:tcBorders>
              <w:bottom w:val="single" w:sz="6" w:space="0" w:color="auto"/>
              <w:right w:val="single" w:sz="6" w:space="0" w:color="auto"/>
            </w:tcBorders>
            <w:shd w:val="clear" w:color="auto" w:fill="FFFFFF"/>
            <w:vAlign w:val="bottom"/>
            <w:hideMark/>
          </w:tcPr>
          <w:p w14:paraId="340EC5E2" w14:textId="77777777" w:rsidR="00000000" w:rsidRDefault="0015578C">
            <w:pPr>
              <w:pStyle w:val="a3"/>
              <w:spacing w:before="0" w:beforeAutospacing="0" w:after="0" w:afterAutospacing="0"/>
              <w:jc w:val="right"/>
              <w:rPr>
                <w:sz w:val="20"/>
                <w:szCs w:val="20"/>
              </w:rPr>
            </w:pPr>
            <w:r>
              <w:rPr>
                <w:sz w:val="20"/>
                <w:szCs w:val="20"/>
              </w:rPr>
              <w:t>58</w:t>
            </w:r>
          </w:p>
        </w:tc>
        <w:tc>
          <w:tcPr>
            <w:tcW w:w="0" w:type="auto"/>
            <w:tcBorders>
              <w:bottom w:val="single" w:sz="6" w:space="0" w:color="auto"/>
              <w:right w:val="single" w:sz="6" w:space="0" w:color="auto"/>
            </w:tcBorders>
            <w:shd w:val="clear" w:color="auto" w:fill="FFFFFF"/>
            <w:vAlign w:val="bottom"/>
            <w:hideMark/>
          </w:tcPr>
          <w:p w14:paraId="35CA498A" w14:textId="77777777" w:rsidR="00000000" w:rsidRDefault="0015578C">
            <w:pPr>
              <w:pStyle w:val="a3"/>
              <w:spacing w:before="0" w:beforeAutospacing="0" w:after="0" w:afterAutospacing="0"/>
              <w:jc w:val="right"/>
              <w:rPr>
                <w:sz w:val="20"/>
                <w:szCs w:val="20"/>
              </w:rPr>
            </w:pPr>
            <w:r>
              <w:rPr>
                <w:sz w:val="20"/>
                <w:szCs w:val="20"/>
              </w:rPr>
              <w:t>6,827.5</w:t>
            </w:r>
          </w:p>
        </w:tc>
        <w:tc>
          <w:tcPr>
            <w:tcW w:w="0" w:type="auto"/>
            <w:tcBorders>
              <w:bottom w:val="single" w:sz="6" w:space="0" w:color="auto"/>
              <w:right w:val="single" w:sz="6" w:space="0" w:color="auto"/>
            </w:tcBorders>
            <w:shd w:val="clear" w:color="auto" w:fill="FFFFFF"/>
            <w:vAlign w:val="bottom"/>
            <w:hideMark/>
          </w:tcPr>
          <w:p w14:paraId="2C741631" w14:textId="77777777" w:rsidR="00000000" w:rsidRDefault="0015578C">
            <w:pPr>
              <w:pStyle w:val="a3"/>
              <w:spacing w:before="0" w:beforeAutospacing="0" w:after="0" w:afterAutospacing="0"/>
              <w:ind w:left="225"/>
              <w:rPr>
                <w:sz w:val="20"/>
                <w:szCs w:val="20"/>
              </w:rPr>
            </w:pPr>
            <w:r>
              <w:rPr>
                <w:sz w:val="20"/>
                <w:szCs w:val="20"/>
              </w:rPr>
              <w:t>Managed by Zazu</w:t>
            </w:r>
          </w:p>
        </w:tc>
      </w:tr>
      <w:tr w:rsidR="00000000" w14:paraId="084E5974"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712271ED" w14:textId="77777777" w:rsidR="00000000" w:rsidRDefault="0015578C">
            <w:pPr>
              <w:pStyle w:val="a3"/>
              <w:spacing w:before="0" w:beforeAutospacing="0" w:after="0" w:afterAutospacing="0"/>
              <w:ind w:left="225"/>
              <w:rPr>
                <w:sz w:val="20"/>
                <w:szCs w:val="20"/>
              </w:rPr>
            </w:pPr>
            <w:r>
              <w:rPr>
                <w:sz w:val="20"/>
                <w:szCs w:val="20"/>
              </w:rPr>
              <w:t>2011</w:t>
            </w:r>
          </w:p>
        </w:tc>
        <w:tc>
          <w:tcPr>
            <w:tcW w:w="0" w:type="auto"/>
            <w:tcBorders>
              <w:bottom w:val="single" w:sz="6" w:space="0" w:color="auto"/>
              <w:right w:val="single" w:sz="6" w:space="0" w:color="auto"/>
            </w:tcBorders>
            <w:shd w:val="clear" w:color="auto" w:fill="CCEEFF"/>
            <w:vAlign w:val="bottom"/>
            <w:hideMark/>
          </w:tcPr>
          <w:p w14:paraId="51798D67" w14:textId="77777777" w:rsidR="00000000" w:rsidRDefault="0015578C">
            <w:pPr>
              <w:pStyle w:val="a3"/>
              <w:spacing w:before="0" w:beforeAutospacing="0" w:after="0" w:afterAutospacing="0"/>
              <w:jc w:val="right"/>
              <w:rPr>
                <w:sz w:val="20"/>
                <w:szCs w:val="20"/>
              </w:rPr>
            </w:pPr>
            <w:r>
              <w:rPr>
                <w:sz w:val="20"/>
                <w:szCs w:val="20"/>
              </w:rPr>
              <w:t>25</w:t>
            </w:r>
          </w:p>
        </w:tc>
        <w:tc>
          <w:tcPr>
            <w:tcW w:w="0" w:type="auto"/>
            <w:tcBorders>
              <w:bottom w:val="single" w:sz="6" w:space="0" w:color="auto"/>
              <w:right w:val="single" w:sz="6" w:space="0" w:color="auto"/>
            </w:tcBorders>
            <w:shd w:val="clear" w:color="auto" w:fill="CCEEFF"/>
            <w:vAlign w:val="bottom"/>
            <w:hideMark/>
          </w:tcPr>
          <w:p w14:paraId="3F328F72" w14:textId="77777777" w:rsidR="00000000" w:rsidRDefault="0015578C">
            <w:pPr>
              <w:pStyle w:val="a3"/>
              <w:spacing w:before="0" w:beforeAutospacing="0" w:after="0" w:afterAutospacing="0"/>
              <w:jc w:val="right"/>
              <w:rPr>
                <w:sz w:val="20"/>
                <w:szCs w:val="20"/>
              </w:rPr>
            </w:pPr>
            <w:r>
              <w:rPr>
                <w:sz w:val="20"/>
                <w:szCs w:val="20"/>
              </w:rPr>
              <w:t>3,871.0</w:t>
            </w:r>
          </w:p>
        </w:tc>
        <w:tc>
          <w:tcPr>
            <w:tcW w:w="0" w:type="auto"/>
            <w:tcBorders>
              <w:bottom w:val="single" w:sz="6" w:space="0" w:color="auto"/>
              <w:right w:val="single" w:sz="6" w:space="0" w:color="auto"/>
            </w:tcBorders>
            <w:shd w:val="clear" w:color="auto" w:fill="CCEEFF"/>
            <w:vAlign w:val="bottom"/>
            <w:hideMark/>
          </w:tcPr>
          <w:p w14:paraId="11B5D8E4" w14:textId="77777777" w:rsidR="00000000" w:rsidRDefault="0015578C">
            <w:pPr>
              <w:pStyle w:val="a3"/>
              <w:spacing w:before="0" w:beforeAutospacing="0" w:after="0" w:afterAutospacing="0"/>
              <w:ind w:left="225"/>
              <w:rPr>
                <w:sz w:val="20"/>
                <w:szCs w:val="20"/>
              </w:rPr>
            </w:pPr>
            <w:r>
              <w:rPr>
                <w:sz w:val="20"/>
                <w:szCs w:val="20"/>
              </w:rPr>
              <w:t>Managed by Zazu</w:t>
            </w:r>
          </w:p>
        </w:tc>
      </w:tr>
      <w:tr w:rsidR="00000000" w14:paraId="6D0E1D49"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FFFFFF"/>
            <w:vAlign w:val="bottom"/>
            <w:hideMark/>
          </w:tcPr>
          <w:p w14:paraId="40CA7A94" w14:textId="77777777" w:rsidR="00000000" w:rsidRDefault="0015578C">
            <w:pPr>
              <w:pStyle w:val="a3"/>
              <w:spacing w:before="0" w:beforeAutospacing="0" w:after="0" w:afterAutospacing="0"/>
              <w:ind w:left="225"/>
              <w:rPr>
                <w:sz w:val="20"/>
                <w:szCs w:val="20"/>
              </w:rPr>
            </w:pPr>
            <w:r>
              <w:rPr>
                <w:sz w:val="20"/>
                <w:szCs w:val="20"/>
              </w:rPr>
              <w:t>2022</w:t>
            </w:r>
          </w:p>
        </w:tc>
        <w:tc>
          <w:tcPr>
            <w:tcW w:w="0" w:type="auto"/>
            <w:tcBorders>
              <w:bottom w:val="single" w:sz="6" w:space="0" w:color="auto"/>
              <w:right w:val="single" w:sz="6" w:space="0" w:color="auto"/>
            </w:tcBorders>
            <w:shd w:val="clear" w:color="auto" w:fill="FFFFFF"/>
            <w:vAlign w:val="bottom"/>
            <w:hideMark/>
          </w:tcPr>
          <w:p w14:paraId="32CD4586" w14:textId="77777777" w:rsidR="00000000" w:rsidRDefault="0015578C">
            <w:pPr>
              <w:pStyle w:val="a3"/>
              <w:spacing w:before="0" w:beforeAutospacing="0" w:after="0" w:afterAutospacing="0"/>
              <w:jc w:val="right"/>
              <w:rPr>
                <w:sz w:val="20"/>
                <w:szCs w:val="20"/>
              </w:rPr>
            </w:pPr>
            <w:r>
              <w:rPr>
                <w:sz w:val="20"/>
                <w:szCs w:val="20"/>
              </w:rPr>
              <w:t>3</w:t>
            </w:r>
          </w:p>
        </w:tc>
        <w:tc>
          <w:tcPr>
            <w:tcW w:w="0" w:type="auto"/>
            <w:tcBorders>
              <w:bottom w:val="single" w:sz="6" w:space="0" w:color="auto"/>
              <w:right w:val="single" w:sz="6" w:space="0" w:color="auto"/>
            </w:tcBorders>
            <w:shd w:val="clear" w:color="auto" w:fill="FFFFFF"/>
            <w:vAlign w:val="bottom"/>
            <w:hideMark/>
          </w:tcPr>
          <w:p w14:paraId="07F103A5" w14:textId="77777777" w:rsidR="00000000" w:rsidRDefault="0015578C">
            <w:pPr>
              <w:pStyle w:val="a3"/>
              <w:spacing w:before="0" w:beforeAutospacing="0" w:after="0" w:afterAutospacing="0"/>
              <w:jc w:val="right"/>
              <w:rPr>
                <w:sz w:val="20"/>
                <w:szCs w:val="20"/>
              </w:rPr>
            </w:pPr>
            <w:r>
              <w:rPr>
                <w:sz w:val="20"/>
                <w:szCs w:val="20"/>
              </w:rPr>
              <w:t>737.0</w:t>
            </w:r>
          </w:p>
        </w:tc>
        <w:tc>
          <w:tcPr>
            <w:tcW w:w="0" w:type="auto"/>
            <w:tcBorders>
              <w:bottom w:val="single" w:sz="6" w:space="0" w:color="auto"/>
              <w:right w:val="single" w:sz="6" w:space="0" w:color="auto"/>
            </w:tcBorders>
            <w:shd w:val="clear" w:color="auto" w:fill="FFFFFF"/>
            <w:vAlign w:val="bottom"/>
            <w:hideMark/>
          </w:tcPr>
          <w:p w14:paraId="44257BE0" w14:textId="77777777" w:rsidR="00000000" w:rsidRDefault="0015578C">
            <w:pPr>
              <w:pStyle w:val="a3"/>
              <w:spacing w:before="0" w:beforeAutospacing="0" w:after="0" w:afterAutospacing="0"/>
              <w:ind w:left="225"/>
              <w:rPr>
                <w:sz w:val="20"/>
                <w:szCs w:val="20"/>
              </w:rPr>
            </w:pPr>
            <w:r>
              <w:rPr>
                <w:sz w:val="20"/>
                <w:szCs w:val="20"/>
              </w:rPr>
              <w:t>Managed by Teck</w:t>
            </w:r>
          </w:p>
        </w:tc>
      </w:tr>
      <w:tr w:rsidR="00000000" w14:paraId="12B9A54B" w14:textId="77777777">
        <w:trPr>
          <w:trHeight w:val="225"/>
          <w:tblCellSpacing w:w="15" w:type="dxa"/>
        </w:trPr>
        <w:tc>
          <w:tcPr>
            <w:tcW w:w="0" w:type="auto"/>
            <w:tcBorders>
              <w:left w:val="single" w:sz="6" w:space="0" w:color="auto"/>
              <w:bottom w:val="single" w:sz="6" w:space="0" w:color="auto"/>
              <w:right w:val="single" w:sz="6" w:space="0" w:color="auto"/>
            </w:tcBorders>
            <w:shd w:val="clear" w:color="auto" w:fill="CCEEFF"/>
            <w:vAlign w:val="bottom"/>
            <w:hideMark/>
          </w:tcPr>
          <w:p w14:paraId="51865C59" w14:textId="77777777" w:rsidR="00000000" w:rsidRDefault="0015578C">
            <w:pPr>
              <w:pStyle w:val="a3"/>
              <w:spacing w:before="0" w:beforeAutospacing="0" w:after="0" w:afterAutospacing="0"/>
              <w:ind w:left="225"/>
              <w:rPr>
                <w:sz w:val="20"/>
                <w:szCs w:val="20"/>
              </w:rPr>
            </w:pPr>
            <w:r>
              <w:rPr>
                <w:sz w:val="20"/>
                <w:szCs w:val="20"/>
              </w:rPr>
              <w:t>Totals</w:t>
            </w:r>
          </w:p>
        </w:tc>
        <w:tc>
          <w:tcPr>
            <w:tcW w:w="0" w:type="auto"/>
            <w:tcBorders>
              <w:bottom w:val="single" w:sz="6" w:space="0" w:color="auto"/>
              <w:right w:val="single" w:sz="6" w:space="0" w:color="auto"/>
            </w:tcBorders>
            <w:shd w:val="clear" w:color="auto" w:fill="CCEEFF"/>
            <w:vAlign w:val="bottom"/>
            <w:hideMark/>
          </w:tcPr>
          <w:p w14:paraId="2A91B2A7" w14:textId="77777777" w:rsidR="00000000" w:rsidRDefault="0015578C">
            <w:pPr>
              <w:pStyle w:val="a3"/>
              <w:spacing w:before="0" w:beforeAutospacing="0" w:after="0" w:afterAutospacing="0"/>
              <w:jc w:val="right"/>
              <w:rPr>
                <w:sz w:val="20"/>
                <w:szCs w:val="20"/>
              </w:rPr>
            </w:pPr>
            <w:r>
              <w:rPr>
                <w:sz w:val="20"/>
                <w:szCs w:val="20"/>
              </w:rPr>
              <w:t>232</w:t>
            </w:r>
          </w:p>
        </w:tc>
        <w:tc>
          <w:tcPr>
            <w:tcW w:w="0" w:type="auto"/>
            <w:tcBorders>
              <w:bottom w:val="single" w:sz="6" w:space="0" w:color="auto"/>
              <w:right w:val="single" w:sz="6" w:space="0" w:color="auto"/>
            </w:tcBorders>
            <w:shd w:val="clear" w:color="auto" w:fill="CCEEFF"/>
            <w:vAlign w:val="bottom"/>
            <w:hideMark/>
          </w:tcPr>
          <w:p w14:paraId="327F6EDC" w14:textId="77777777" w:rsidR="00000000" w:rsidRDefault="0015578C">
            <w:pPr>
              <w:pStyle w:val="a3"/>
              <w:spacing w:before="0" w:beforeAutospacing="0" w:after="0" w:afterAutospacing="0"/>
              <w:jc w:val="right"/>
              <w:rPr>
                <w:sz w:val="20"/>
                <w:szCs w:val="20"/>
              </w:rPr>
            </w:pPr>
            <w:r>
              <w:rPr>
                <w:sz w:val="20"/>
                <w:szCs w:val="20"/>
              </w:rPr>
              <w:t>39,065.6</w:t>
            </w:r>
          </w:p>
        </w:tc>
        <w:tc>
          <w:tcPr>
            <w:tcW w:w="0" w:type="auto"/>
            <w:tcBorders>
              <w:bottom w:val="single" w:sz="6" w:space="0" w:color="auto"/>
              <w:right w:val="single" w:sz="6" w:space="0" w:color="auto"/>
            </w:tcBorders>
            <w:shd w:val="clear" w:color="auto" w:fill="CCEEFF"/>
            <w:vAlign w:val="center"/>
            <w:hideMark/>
          </w:tcPr>
          <w:p w14:paraId="5DCCBE9E" w14:textId="77777777" w:rsidR="00000000" w:rsidRDefault="0015578C">
            <w:pPr>
              <w:pStyle w:val="a3"/>
              <w:spacing w:before="0" w:beforeAutospacing="0" w:after="0" w:afterAutospacing="0"/>
              <w:jc w:val="right"/>
              <w:rPr>
                <w:sz w:val="20"/>
                <w:szCs w:val="20"/>
              </w:rPr>
            </w:pPr>
            <w:r>
              <w:rPr>
                <w:sz w:val="20"/>
                <w:szCs w:val="20"/>
              </w:rPr>
              <w:t> </w:t>
            </w:r>
          </w:p>
        </w:tc>
      </w:tr>
    </w:tbl>
    <w:p w14:paraId="7706E551" w14:textId="77777777" w:rsidR="00000000" w:rsidRDefault="0015578C">
      <w:pPr>
        <w:pStyle w:val="a3"/>
        <w:spacing w:before="0" w:beforeAutospacing="0" w:after="0" w:afterAutospacing="0"/>
        <w:jc w:val="right"/>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21C3708" w14:textId="77777777">
        <w:trPr>
          <w:trHeight w:val="225"/>
          <w:tblCellSpacing w:w="15" w:type="dxa"/>
        </w:trPr>
        <w:tc>
          <w:tcPr>
            <w:tcW w:w="0" w:type="auto"/>
            <w:vAlign w:val="center"/>
            <w:hideMark/>
          </w:tcPr>
          <w:p w14:paraId="5E9841AB" w14:textId="77777777" w:rsidR="00000000" w:rsidRDefault="0015578C">
            <w:pPr>
              <w:rPr>
                <w:rFonts w:eastAsia="Times New Roman"/>
                <w:sz w:val="20"/>
                <w:szCs w:val="20"/>
              </w:rPr>
            </w:pPr>
            <w:r>
              <w:rPr>
                <w:rFonts w:eastAsia="Times New Roman"/>
                <w:sz w:val="20"/>
                <w:szCs w:val="20"/>
              </w:rPr>
              <w:t> </w:t>
            </w:r>
          </w:p>
        </w:tc>
      </w:tr>
      <w:tr w:rsidR="00000000" w14:paraId="18193B3B" w14:textId="77777777">
        <w:trPr>
          <w:trHeight w:val="225"/>
          <w:tblCellSpacing w:w="15" w:type="dxa"/>
        </w:trPr>
        <w:tc>
          <w:tcPr>
            <w:tcW w:w="0" w:type="auto"/>
            <w:tcBorders>
              <w:bottom w:val="single" w:sz="6" w:space="0" w:color="000000"/>
            </w:tcBorders>
            <w:vAlign w:val="center"/>
            <w:hideMark/>
          </w:tcPr>
          <w:p w14:paraId="5F77F5B0" w14:textId="77777777" w:rsidR="00000000" w:rsidRDefault="0015578C">
            <w:pPr>
              <w:jc w:val="center"/>
              <w:rPr>
                <w:rFonts w:eastAsia="Times New Roman"/>
                <w:sz w:val="20"/>
                <w:szCs w:val="20"/>
              </w:rPr>
            </w:pPr>
            <w:r>
              <w:rPr>
                <w:rFonts w:eastAsia="Times New Roman"/>
                <w:sz w:val="20"/>
                <w:szCs w:val="20"/>
              </w:rPr>
              <w:t>30</w:t>
            </w:r>
          </w:p>
        </w:tc>
      </w:tr>
      <w:tr w:rsidR="00000000" w14:paraId="35281977" w14:textId="77777777">
        <w:trPr>
          <w:trHeight w:val="225"/>
          <w:tblCellSpacing w:w="15" w:type="dxa"/>
        </w:trPr>
        <w:tc>
          <w:tcPr>
            <w:tcW w:w="0" w:type="auto"/>
            <w:vAlign w:val="center"/>
            <w:hideMark/>
          </w:tcPr>
          <w:p w14:paraId="1B01F531" w14:textId="77777777" w:rsidR="00000000" w:rsidRDefault="0015578C">
            <w:pPr>
              <w:rPr>
                <w:rFonts w:eastAsia="Times New Roman"/>
                <w:sz w:val="20"/>
                <w:szCs w:val="20"/>
              </w:rPr>
            </w:pPr>
          </w:p>
        </w:tc>
      </w:tr>
      <w:tr w:rsidR="00000000" w14:paraId="7FB86860" w14:textId="77777777">
        <w:trPr>
          <w:trHeight w:val="225"/>
          <w:tblCellSpacing w:w="15" w:type="dxa"/>
        </w:trPr>
        <w:tc>
          <w:tcPr>
            <w:tcW w:w="0" w:type="auto"/>
            <w:vAlign w:val="center"/>
            <w:hideMark/>
          </w:tcPr>
          <w:p w14:paraId="5E65BAB4"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08914AC" w14:textId="77777777" w:rsidR="00000000" w:rsidRDefault="0015578C">
      <w:pPr>
        <w:pStyle w:val="a3"/>
        <w:spacing w:before="0" w:beforeAutospacing="0" w:after="0" w:afterAutospacing="0"/>
        <w:jc w:val="both"/>
        <w:rPr>
          <w:sz w:val="20"/>
          <w:szCs w:val="20"/>
        </w:rPr>
      </w:pPr>
      <w:r>
        <w:rPr>
          <w:sz w:val="20"/>
          <w:szCs w:val="20"/>
        </w:rPr>
        <w:t>     </w:t>
      </w:r>
    </w:p>
    <w:p w14:paraId="05EAF69C" w14:textId="77777777" w:rsidR="00000000" w:rsidRDefault="0015578C">
      <w:pPr>
        <w:pStyle w:val="a3"/>
        <w:spacing w:before="0" w:beforeAutospacing="0" w:after="0" w:afterAutospacing="0"/>
        <w:ind w:firstLine="675"/>
        <w:jc w:val="both"/>
        <w:rPr>
          <w:sz w:val="20"/>
          <w:szCs w:val="20"/>
        </w:rPr>
      </w:pPr>
      <w:r>
        <w:rPr>
          <w:sz w:val="20"/>
          <w:szCs w:val="20"/>
        </w:rPr>
        <w:t>Zazu completed two diamond drilling programs during 2007 and 2008 to further test the Lik South deposit and to obtain samples for metallurgical testing.  At the end of 2008, most of the Lik South deposit had been tested on lines spaced at 200 ft. with hole</w:t>
      </w:r>
      <w:r>
        <w:rPr>
          <w:sz w:val="20"/>
          <w:szCs w:val="20"/>
        </w:rPr>
        <w:t>s spaced at about 100 ft.</w:t>
      </w:r>
    </w:p>
    <w:p w14:paraId="22037645" w14:textId="77777777" w:rsidR="00000000" w:rsidRDefault="0015578C">
      <w:pPr>
        <w:pStyle w:val="a3"/>
        <w:spacing w:before="0" w:beforeAutospacing="0" w:after="0" w:afterAutospacing="0"/>
        <w:ind w:firstLine="675"/>
        <w:jc w:val="both"/>
        <w:rPr>
          <w:sz w:val="20"/>
          <w:szCs w:val="20"/>
        </w:rPr>
      </w:pPr>
      <w:r>
        <w:rPr>
          <w:sz w:val="20"/>
          <w:szCs w:val="20"/>
        </w:rPr>
        <w:t> </w:t>
      </w:r>
    </w:p>
    <w:p w14:paraId="79DD065C" w14:textId="77777777" w:rsidR="00000000" w:rsidRDefault="0015578C">
      <w:pPr>
        <w:pStyle w:val="a3"/>
        <w:spacing w:before="0" w:beforeAutospacing="0" w:after="0" w:afterAutospacing="0"/>
        <w:ind w:firstLine="675"/>
        <w:jc w:val="both"/>
        <w:rPr>
          <w:sz w:val="20"/>
          <w:szCs w:val="20"/>
        </w:rPr>
      </w:pPr>
      <w:r>
        <w:rPr>
          <w:sz w:val="20"/>
          <w:szCs w:val="20"/>
        </w:rPr>
        <w:t xml:space="preserve">The 2011 drilling program at Lik combined exploration and development drilling.  The exploration drilling focused on improving resource definition, in particular near the transition zone between Lik South and Lik North and also </w:t>
      </w:r>
      <w:r>
        <w:rPr>
          <w:sz w:val="20"/>
          <w:szCs w:val="20"/>
        </w:rPr>
        <w:t>Lik North.  The development drilling focused on obtaining additional metallurgical samples and geotechnical drilling for the open pit design and foundation information to assist in infrastructure design.  By the end of 2011, a total of approximately 38,328</w:t>
      </w:r>
      <w:r>
        <w:rPr>
          <w:sz w:val="20"/>
          <w:szCs w:val="20"/>
        </w:rPr>
        <w:t xml:space="preserve"> meters (125,700 feet) of drilling in 229 holes had been completed on the Lik property by the Company (Zazu) and the previous owners.  </w:t>
      </w:r>
    </w:p>
    <w:p w14:paraId="2F49FAB3" w14:textId="77777777" w:rsidR="00000000" w:rsidRDefault="0015578C">
      <w:pPr>
        <w:pStyle w:val="a3"/>
        <w:spacing w:before="0" w:beforeAutospacing="0" w:after="0" w:afterAutospacing="0"/>
        <w:jc w:val="both"/>
        <w:rPr>
          <w:sz w:val="20"/>
          <w:szCs w:val="20"/>
        </w:rPr>
      </w:pPr>
      <w:r>
        <w:rPr>
          <w:sz w:val="20"/>
          <w:szCs w:val="20"/>
        </w:rPr>
        <w:t> </w:t>
      </w:r>
    </w:p>
    <w:p w14:paraId="4423617F" w14:textId="77777777" w:rsidR="00000000" w:rsidRDefault="0015578C">
      <w:pPr>
        <w:pStyle w:val="a3"/>
        <w:spacing w:before="0" w:beforeAutospacing="0" w:after="0" w:afterAutospacing="0"/>
        <w:jc w:val="both"/>
        <w:rPr>
          <w:sz w:val="20"/>
          <w:szCs w:val="20"/>
        </w:rPr>
      </w:pPr>
      <w:r>
        <w:rPr>
          <w:sz w:val="20"/>
          <w:szCs w:val="20"/>
        </w:rPr>
        <w:t xml:space="preserve">9. </w:t>
      </w:r>
      <w:r>
        <w:rPr>
          <w:sz w:val="20"/>
          <w:szCs w:val="20"/>
          <w:u w:val="single"/>
        </w:rPr>
        <w:t>Sampling, Analysis and Security of Samples</w:t>
      </w:r>
    </w:p>
    <w:p w14:paraId="1C600F05" w14:textId="77777777" w:rsidR="00000000" w:rsidRDefault="0015578C">
      <w:pPr>
        <w:pStyle w:val="a3"/>
        <w:spacing w:before="0" w:beforeAutospacing="0" w:after="0" w:afterAutospacing="0"/>
        <w:jc w:val="both"/>
        <w:rPr>
          <w:sz w:val="20"/>
          <w:szCs w:val="20"/>
        </w:rPr>
      </w:pPr>
      <w:r>
        <w:rPr>
          <w:sz w:val="20"/>
          <w:szCs w:val="20"/>
        </w:rPr>
        <w:t> </w:t>
      </w:r>
    </w:p>
    <w:p w14:paraId="2C2CEA0A" w14:textId="77777777" w:rsidR="00000000" w:rsidRDefault="0015578C">
      <w:pPr>
        <w:pStyle w:val="a3"/>
        <w:spacing w:before="0" w:beforeAutospacing="0" w:after="0" w:afterAutospacing="0"/>
        <w:jc w:val="both"/>
        <w:rPr>
          <w:sz w:val="20"/>
          <w:szCs w:val="20"/>
        </w:rPr>
      </w:pPr>
      <w:r>
        <w:rPr>
          <w:sz w:val="20"/>
          <w:szCs w:val="20"/>
        </w:rPr>
        <w:t xml:space="preserve">Pre-Zazu Drilling  </w:t>
      </w:r>
    </w:p>
    <w:p w14:paraId="521B5673" w14:textId="77777777" w:rsidR="00000000" w:rsidRDefault="0015578C">
      <w:pPr>
        <w:pStyle w:val="a3"/>
        <w:spacing w:before="0" w:beforeAutospacing="0" w:after="0" w:afterAutospacing="0"/>
        <w:jc w:val="both"/>
        <w:rPr>
          <w:sz w:val="20"/>
          <w:szCs w:val="20"/>
        </w:rPr>
      </w:pPr>
      <w:r>
        <w:rPr>
          <w:sz w:val="20"/>
          <w:szCs w:val="20"/>
        </w:rPr>
        <w:t> </w:t>
      </w:r>
    </w:p>
    <w:p w14:paraId="7DD06B4A" w14:textId="77777777" w:rsidR="00000000" w:rsidRDefault="0015578C">
      <w:pPr>
        <w:pStyle w:val="a3"/>
        <w:spacing w:before="0" w:beforeAutospacing="0" w:after="0" w:afterAutospacing="0"/>
        <w:ind w:firstLine="675"/>
        <w:jc w:val="both"/>
        <w:rPr>
          <w:sz w:val="20"/>
          <w:szCs w:val="20"/>
        </w:rPr>
      </w:pPr>
      <w:r>
        <w:rPr>
          <w:sz w:val="20"/>
          <w:szCs w:val="20"/>
        </w:rPr>
        <w:t>Core recoveries were typically high within the m</w:t>
      </w:r>
      <w:r>
        <w:rPr>
          <w:sz w:val="20"/>
          <w:szCs w:val="20"/>
        </w:rPr>
        <w:t>assive sulfides, but lower, more variable recoveries were obtained in the unmineralized and weakly mineralized sections.  The entire core obtained from the Lik deposit, usually NQ-size, was logged on site.  All of the core containing sulfide mineralization</w:t>
      </w:r>
      <w:r>
        <w:rPr>
          <w:sz w:val="20"/>
          <w:szCs w:val="20"/>
        </w:rPr>
        <w:t xml:space="preserve"> was cut using diamond saws and half of the core was sent for assay. Reference samples were not included in the sample stream. Sample lengths in massive sulfides were typically from two to three feet, but occasionally up to nine feet. Sample lengths were c</w:t>
      </w:r>
      <w:r>
        <w:rPr>
          <w:sz w:val="20"/>
          <w:szCs w:val="20"/>
        </w:rPr>
        <w:t xml:space="preserve">ontrolled by geology and the location of depth markers in the core boxes. </w:t>
      </w:r>
    </w:p>
    <w:p w14:paraId="3FB0FD34" w14:textId="77777777" w:rsidR="00000000" w:rsidRDefault="0015578C">
      <w:pPr>
        <w:pStyle w:val="a3"/>
        <w:spacing w:before="0" w:beforeAutospacing="0" w:after="0" w:afterAutospacing="0"/>
        <w:ind w:firstLine="675"/>
        <w:jc w:val="both"/>
        <w:rPr>
          <w:sz w:val="20"/>
          <w:szCs w:val="20"/>
        </w:rPr>
      </w:pPr>
      <w:r>
        <w:rPr>
          <w:sz w:val="20"/>
          <w:szCs w:val="20"/>
        </w:rPr>
        <w:t> </w:t>
      </w:r>
    </w:p>
    <w:p w14:paraId="03EE8F88" w14:textId="77777777" w:rsidR="00000000" w:rsidRDefault="0015578C">
      <w:pPr>
        <w:pStyle w:val="a3"/>
        <w:spacing w:before="0" w:beforeAutospacing="0" w:after="0" w:afterAutospacing="0"/>
        <w:ind w:firstLine="675"/>
        <w:jc w:val="both"/>
        <w:rPr>
          <w:sz w:val="20"/>
          <w:szCs w:val="20"/>
        </w:rPr>
      </w:pPr>
      <w:r>
        <w:rPr>
          <w:sz w:val="20"/>
          <w:szCs w:val="20"/>
        </w:rPr>
        <w:t>Most of the samples were assayed by Bondar Clegg Laboratory Group (“Bondar Clegg”) of Vancouver British Columbia. At various times, the laboratory-maintained preparation facilitie</w:t>
      </w:r>
      <w:r>
        <w:rPr>
          <w:sz w:val="20"/>
          <w:szCs w:val="20"/>
        </w:rPr>
        <w:t>s in Anchorage and Fairbanks Alaska. In the initial years, when the bulk of the drilling was completed, it is believed that sample preparation and analysis were carried out in Vancouver. Bondar Clegg was not a registered laboratory at that time. However, B</w:t>
      </w:r>
      <w:r>
        <w:rPr>
          <w:sz w:val="20"/>
          <w:szCs w:val="20"/>
        </w:rPr>
        <w:t>ondar Clegg was a recognized, reputable laboratory and was experienced in the use of atomic absorption spectrophotometry.</w:t>
      </w:r>
    </w:p>
    <w:p w14:paraId="72050D80" w14:textId="77777777" w:rsidR="00000000" w:rsidRDefault="0015578C">
      <w:pPr>
        <w:pStyle w:val="a3"/>
        <w:spacing w:before="0" w:beforeAutospacing="0" w:after="0" w:afterAutospacing="0"/>
        <w:ind w:firstLine="675"/>
        <w:jc w:val="both"/>
        <w:rPr>
          <w:sz w:val="20"/>
          <w:szCs w:val="20"/>
        </w:rPr>
      </w:pPr>
      <w:r>
        <w:rPr>
          <w:sz w:val="20"/>
          <w:szCs w:val="20"/>
        </w:rPr>
        <w:t> </w:t>
      </w:r>
    </w:p>
    <w:p w14:paraId="46E3D113" w14:textId="77777777" w:rsidR="00000000" w:rsidRDefault="0015578C">
      <w:pPr>
        <w:pStyle w:val="a3"/>
        <w:spacing w:before="0" w:beforeAutospacing="0" w:after="0" w:afterAutospacing="0"/>
        <w:ind w:firstLine="675"/>
        <w:jc w:val="both"/>
        <w:rPr>
          <w:sz w:val="20"/>
          <w:szCs w:val="20"/>
        </w:rPr>
      </w:pPr>
      <w:r>
        <w:rPr>
          <w:sz w:val="20"/>
          <w:szCs w:val="20"/>
        </w:rPr>
        <w:t>As the entire core was logged and sampled in an isolated field camp, security was not a major concern because access to the camp was</w:t>
      </w:r>
      <w:r>
        <w:rPr>
          <w:sz w:val="20"/>
          <w:szCs w:val="20"/>
        </w:rPr>
        <w:t xml:space="preserve"> closely controlled.  It is noted that four different companies (WGM, GCO, Noranda and Moneta Gold Inc.) have completed drilling programs at the Lik property and all of them have obtained consistent results. The work was considered completed to industry st</w:t>
      </w:r>
      <w:r>
        <w:rPr>
          <w:sz w:val="20"/>
          <w:szCs w:val="20"/>
        </w:rPr>
        <w:t>andards in use at the time of the work. Sample preparation was completed in the assay laboratory.</w:t>
      </w:r>
    </w:p>
    <w:p w14:paraId="2CD89D32" w14:textId="77777777" w:rsidR="00000000" w:rsidRDefault="0015578C">
      <w:pPr>
        <w:pStyle w:val="a3"/>
        <w:spacing w:before="0" w:beforeAutospacing="0" w:after="0" w:afterAutospacing="0"/>
        <w:jc w:val="both"/>
        <w:rPr>
          <w:sz w:val="20"/>
          <w:szCs w:val="20"/>
        </w:rPr>
      </w:pPr>
      <w:r>
        <w:rPr>
          <w:sz w:val="20"/>
          <w:szCs w:val="20"/>
        </w:rPr>
        <w:t> </w:t>
      </w:r>
    </w:p>
    <w:p w14:paraId="0D135219" w14:textId="77777777" w:rsidR="00000000" w:rsidRDefault="0015578C">
      <w:pPr>
        <w:pStyle w:val="a3"/>
        <w:spacing w:before="0" w:beforeAutospacing="0" w:after="0" w:afterAutospacing="0"/>
        <w:jc w:val="both"/>
        <w:rPr>
          <w:sz w:val="20"/>
          <w:szCs w:val="20"/>
        </w:rPr>
      </w:pPr>
      <w:r>
        <w:rPr>
          <w:sz w:val="20"/>
          <w:szCs w:val="20"/>
        </w:rPr>
        <w:t>Zazu Drilling</w:t>
      </w:r>
    </w:p>
    <w:p w14:paraId="39412EC6" w14:textId="77777777" w:rsidR="00000000" w:rsidRDefault="0015578C">
      <w:pPr>
        <w:pStyle w:val="a3"/>
        <w:spacing w:before="0" w:beforeAutospacing="0" w:after="0" w:afterAutospacing="0"/>
        <w:jc w:val="both"/>
        <w:rPr>
          <w:sz w:val="20"/>
          <w:szCs w:val="20"/>
        </w:rPr>
      </w:pPr>
      <w:r>
        <w:rPr>
          <w:sz w:val="20"/>
          <w:szCs w:val="20"/>
        </w:rPr>
        <w:t> </w:t>
      </w:r>
    </w:p>
    <w:p w14:paraId="14AC236C" w14:textId="77777777" w:rsidR="00000000" w:rsidRDefault="0015578C">
      <w:pPr>
        <w:pStyle w:val="a3"/>
        <w:spacing w:before="0" w:beforeAutospacing="0" w:after="0" w:afterAutospacing="0"/>
        <w:ind w:firstLine="675"/>
        <w:jc w:val="both"/>
        <w:rPr>
          <w:sz w:val="20"/>
          <w:szCs w:val="20"/>
        </w:rPr>
      </w:pPr>
      <w:r>
        <w:rPr>
          <w:sz w:val="20"/>
          <w:szCs w:val="20"/>
        </w:rPr>
        <w:t xml:space="preserve">Drill core obtained during the 2007, 2008 and 2011 drilling campaigns was logged on site. The entire core containing sulfide mineralization </w:t>
      </w:r>
      <w:r>
        <w:rPr>
          <w:sz w:val="20"/>
          <w:szCs w:val="20"/>
        </w:rPr>
        <w:t xml:space="preserve">was sawn using diamond saws and half of the core was sent for assay. All massive and high-sulfide cores were sampled.  Visual methods were used to select sample boundaries and lengths. The mineralization at Lik is considered to be appropriately logged and </w:t>
      </w:r>
      <w:r>
        <w:rPr>
          <w:sz w:val="20"/>
          <w:szCs w:val="20"/>
        </w:rPr>
        <w:t>sampled. It is not evident that logging or sampling is leading to any bias in the sample results.  An examination of logging showed that core recovery in sulfide areas was generally very high.</w:t>
      </w:r>
    </w:p>
    <w:p w14:paraId="2AD79045" w14:textId="77777777" w:rsidR="00000000" w:rsidRDefault="0015578C">
      <w:pPr>
        <w:pStyle w:val="a3"/>
        <w:spacing w:before="0" w:beforeAutospacing="0" w:after="0" w:afterAutospacing="0"/>
        <w:ind w:firstLine="675"/>
        <w:jc w:val="both"/>
        <w:rPr>
          <w:sz w:val="20"/>
          <w:szCs w:val="20"/>
        </w:rPr>
      </w:pPr>
      <w:r>
        <w:rPr>
          <w:sz w:val="20"/>
          <w:szCs w:val="20"/>
        </w:rPr>
        <w:t> </w:t>
      </w:r>
    </w:p>
    <w:p w14:paraId="2AC67D16" w14:textId="77777777" w:rsidR="00000000" w:rsidRDefault="0015578C">
      <w:pPr>
        <w:pStyle w:val="a3"/>
        <w:spacing w:before="0" w:beforeAutospacing="0" w:after="0" w:afterAutospacing="0"/>
        <w:ind w:firstLine="675"/>
        <w:jc w:val="both"/>
        <w:rPr>
          <w:sz w:val="20"/>
          <w:szCs w:val="20"/>
        </w:rPr>
      </w:pPr>
      <w:r>
        <w:rPr>
          <w:sz w:val="20"/>
          <w:szCs w:val="20"/>
        </w:rPr>
        <w:t>Core drilled in 2007 was placed in the sample bags, the air w</w:t>
      </w:r>
      <w:r>
        <w:rPr>
          <w:sz w:val="20"/>
          <w:szCs w:val="20"/>
        </w:rPr>
        <w:t>as evacuated and replaced with nitrogen. The samples were sent to Kotzebue by charter and then by licensed carrier to Anchorage. The samples were stored under refrigeration in Anchorage.  The samples were dispatched to G &amp; T Metallurgical Services Ltd. (“G</w:t>
      </w:r>
      <w:r>
        <w:rPr>
          <w:sz w:val="20"/>
          <w:szCs w:val="20"/>
        </w:rPr>
        <w:t xml:space="preserve"> &amp; T”) of Kamloops, British Columbia, an ISO 9001:2000 certified laboratory for precious metals and base metals.  As well as completing metallurgical testing, G &amp; T crushed and analyzed the samples.  The 2008 diamond drill core was not required for metallu</w:t>
      </w:r>
      <w:r>
        <w:rPr>
          <w:sz w:val="20"/>
          <w:szCs w:val="20"/>
        </w:rPr>
        <w:t>rgical testing and core was handled normally. Sawn samples were securely bagged and boxed on site and dispatched to a facility of ALS Laboratory Group (“ALS Chemex”) located in Fairbanks, Alaska, for sample preparation. Transportation of the samples was th</w:t>
      </w:r>
      <w:r>
        <w:rPr>
          <w:sz w:val="20"/>
          <w:szCs w:val="20"/>
        </w:rPr>
        <w:t>rough third-party companies that provided secure transportation services.  The pulps were analyzed at ALS Chemex located in Fairbanks or Elko, Nevada. Zazu did not participate in any part of the sample preparation or analysis except for cutting core and se</w:t>
      </w:r>
      <w:r>
        <w:rPr>
          <w:sz w:val="20"/>
          <w:szCs w:val="20"/>
        </w:rPr>
        <w:t>lecting sample intervals.</w:t>
      </w:r>
    </w:p>
    <w:p w14:paraId="1BB97C8D" w14:textId="77777777" w:rsidR="00000000" w:rsidRDefault="0015578C">
      <w:pPr>
        <w:pStyle w:val="a3"/>
        <w:spacing w:before="0" w:beforeAutospacing="0" w:after="0" w:afterAutospacing="0"/>
        <w:ind w:firstLine="675"/>
        <w:jc w:val="both"/>
        <w:rPr>
          <w:sz w:val="20"/>
          <w:szCs w:val="20"/>
        </w:rPr>
      </w:pPr>
      <w:r>
        <w:rPr>
          <w:sz w:val="20"/>
          <w:szCs w:val="20"/>
        </w:rPr>
        <w:t> </w:t>
      </w:r>
    </w:p>
    <w:p w14:paraId="35EBF29B" w14:textId="77777777" w:rsidR="00000000" w:rsidRDefault="0015578C">
      <w:pPr>
        <w:pStyle w:val="a3"/>
        <w:spacing w:before="0" w:beforeAutospacing="0" w:after="0" w:afterAutospacing="0"/>
        <w:ind w:firstLine="675"/>
        <w:jc w:val="both"/>
        <w:rPr>
          <w:sz w:val="20"/>
          <w:szCs w:val="20"/>
        </w:rPr>
      </w:pPr>
      <w:r>
        <w:rPr>
          <w:sz w:val="20"/>
          <w:szCs w:val="20"/>
        </w:rPr>
        <w:t xml:space="preserve">Check samples from the 2007 drilling program and all samples from the 2008 drilling campaign were sent to the preparation and assaying facilities of ALS Chemex (ISO 17025 accreditation).   Other QA/QC procedures employed by Zazu included the use of blanks </w:t>
      </w:r>
      <w:r>
        <w:rPr>
          <w:sz w:val="20"/>
          <w:szCs w:val="20"/>
        </w:rPr>
        <w:t>(unmineralized core from outside of the mineralized zone) and quartered core duplicates. Zazu was unable to obtain acceptable reference samples for the 2007 field season and reference samples were not included as part of the 2007 ongoing QA/QC program.  Re</w:t>
      </w:r>
      <w:r>
        <w:rPr>
          <w:sz w:val="20"/>
          <w:szCs w:val="20"/>
        </w:rPr>
        <w:t xml:space="preserve">producibility between G &amp; T and ALS Chemex was found to be good.  </w:t>
      </w:r>
    </w:p>
    <w:p w14:paraId="37C705CB" w14:textId="77777777" w:rsidR="00000000" w:rsidRDefault="0015578C">
      <w:pPr>
        <w:pStyle w:val="a3"/>
        <w:spacing w:before="0" w:beforeAutospacing="0" w:after="0" w:afterAutospacing="0"/>
        <w:jc w:val="both"/>
        <w:rPr>
          <w:sz w:val="20"/>
          <w:szCs w:val="20"/>
        </w:rPr>
      </w:pPr>
      <w:r>
        <w:rPr>
          <w:sz w:val="20"/>
          <w:szCs w:val="20"/>
        </w:rPr>
        <w:t>.</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71C578E" w14:textId="77777777">
        <w:trPr>
          <w:trHeight w:val="225"/>
          <w:tblCellSpacing w:w="15" w:type="dxa"/>
        </w:trPr>
        <w:tc>
          <w:tcPr>
            <w:tcW w:w="0" w:type="auto"/>
            <w:vAlign w:val="center"/>
            <w:hideMark/>
          </w:tcPr>
          <w:p w14:paraId="6935FC48" w14:textId="77777777" w:rsidR="00000000" w:rsidRDefault="0015578C">
            <w:pPr>
              <w:rPr>
                <w:rFonts w:eastAsia="Times New Roman"/>
                <w:sz w:val="20"/>
                <w:szCs w:val="20"/>
              </w:rPr>
            </w:pPr>
            <w:r>
              <w:rPr>
                <w:rFonts w:eastAsia="Times New Roman"/>
                <w:sz w:val="20"/>
                <w:szCs w:val="20"/>
              </w:rPr>
              <w:t> </w:t>
            </w:r>
          </w:p>
        </w:tc>
      </w:tr>
      <w:tr w:rsidR="00000000" w14:paraId="45E0E55C" w14:textId="77777777">
        <w:trPr>
          <w:trHeight w:val="225"/>
          <w:tblCellSpacing w:w="15" w:type="dxa"/>
        </w:trPr>
        <w:tc>
          <w:tcPr>
            <w:tcW w:w="0" w:type="auto"/>
            <w:tcBorders>
              <w:bottom w:val="single" w:sz="6" w:space="0" w:color="000000"/>
            </w:tcBorders>
            <w:vAlign w:val="center"/>
            <w:hideMark/>
          </w:tcPr>
          <w:p w14:paraId="7557D706" w14:textId="77777777" w:rsidR="00000000" w:rsidRDefault="0015578C">
            <w:pPr>
              <w:jc w:val="center"/>
              <w:rPr>
                <w:rFonts w:eastAsia="Times New Roman"/>
                <w:sz w:val="20"/>
                <w:szCs w:val="20"/>
              </w:rPr>
            </w:pPr>
            <w:r>
              <w:rPr>
                <w:rFonts w:eastAsia="Times New Roman"/>
                <w:sz w:val="20"/>
                <w:szCs w:val="20"/>
              </w:rPr>
              <w:t>31</w:t>
            </w:r>
          </w:p>
        </w:tc>
      </w:tr>
      <w:tr w:rsidR="00000000" w14:paraId="28C62995" w14:textId="77777777">
        <w:trPr>
          <w:trHeight w:val="225"/>
          <w:tblCellSpacing w:w="15" w:type="dxa"/>
        </w:trPr>
        <w:tc>
          <w:tcPr>
            <w:tcW w:w="0" w:type="auto"/>
            <w:vAlign w:val="center"/>
            <w:hideMark/>
          </w:tcPr>
          <w:p w14:paraId="5FCBCEB7" w14:textId="77777777" w:rsidR="00000000" w:rsidRDefault="0015578C">
            <w:pPr>
              <w:rPr>
                <w:rFonts w:eastAsia="Times New Roman"/>
                <w:sz w:val="20"/>
                <w:szCs w:val="20"/>
              </w:rPr>
            </w:pPr>
          </w:p>
        </w:tc>
      </w:tr>
      <w:tr w:rsidR="00000000" w14:paraId="162689E8" w14:textId="77777777">
        <w:trPr>
          <w:trHeight w:val="225"/>
          <w:tblCellSpacing w:w="15" w:type="dxa"/>
        </w:trPr>
        <w:tc>
          <w:tcPr>
            <w:tcW w:w="0" w:type="auto"/>
            <w:vAlign w:val="center"/>
            <w:hideMark/>
          </w:tcPr>
          <w:p w14:paraId="55361092"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F854D17" w14:textId="77777777" w:rsidR="00000000" w:rsidRDefault="0015578C">
      <w:pPr>
        <w:pStyle w:val="a3"/>
        <w:spacing w:before="0" w:beforeAutospacing="0" w:after="0" w:afterAutospacing="0"/>
        <w:jc w:val="both"/>
        <w:rPr>
          <w:sz w:val="20"/>
          <w:szCs w:val="20"/>
        </w:rPr>
      </w:pPr>
      <w:r>
        <w:rPr>
          <w:sz w:val="20"/>
          <w:szCs w:val="20"/>
        </w:rPr>
        <w:t> </w:t>
      </w:r>
    </w:p>
    <w:p w14:paraId="17EB53F5" w14:textId="77777777" w:rsidR="00000000" w:rsidRDefault="0015578C">
      <w:pPr>
        <w:pStyle w:val="a3"/>
        <w:spacing w:before="0" w:beforeAutospacing="0" w:after="0" w:afterAutospacing="0"/>
        <w:jc w:val="both"/>
        <w:rPr>
          <w:sz w:val="20"/>
          <w:szCs w:val="20"/>
        </w:rPr>
      </w:pPr>
      <w:r>
        <w:rPr>
          <w:sz w:val="20"/>
          <w:szCs w:val="20"/>
        </w:rPr>
        <w:t xml:space="preserve">10. </w:t>
      </w:r>
      <w:r>
        <w:rPr>
          <w:sz w:val="20"/>
          <w:szCs w:val="20"/>
          <w:u w:val="single"/>
        </w:rPr>
        <w:t>Prefeasibility Studies</w:t>
      </w:r>
    </w:p>
    <w:p w14:paraId="3A00A75C" w14:textId="77777777" w:rsidR="00000000" w:rsidRDefault="0015578C">
      <w:pPr>
        <w:pStyle w:val="a3"/>
        <w:spacing w:before="0" w:beforeAutospacing="0" w:after="0" w:afterAutospacing="0"/>
        <w:jc w:val="both"/>
        <w:rPr>
          <w:sz w:val="20"/>
          <w:szCs w:val="20"/>
        </w:rPr>
      </w:pPr>
      <w:r>
        <w:rPr>
          <w:sz w:val="20"/>
          <w:szCs w:val="20"/>
        </w:rPr>
        <w:t> </w:t>
      </w:r>
    </w:p>
    <w:p w14:paraId="46214798" w14:textId="77777777" w:rsidR="00000000" w:rsidRDefault="0015578C">
      <w:pPr>
        <w:pStyle w:val="a3"/>
        <w:spacing w:before="0" w:beforeAutospacing="0" w:after="0" w:afterAutospacing="0"/>
        <w:ind w:firstLine="675"/>
        <w:jc w:val="both"/>
        <w:rPr>
          <w:sz w:val="20"/>
          <w:szCs w:val="20"/>
        </w:rPr>
      </w:pPr>
      <w:r>
        <w:rPr>
          <w:sz w:val="20"/>
          <w:szCs w:val="20"/>
        </w:rPr>
        <w:t>Zazu completed a PEA in 2014 that incorporated a variety of prefeasibility level studies into the analysis.  These studies included resource estimation, mining and processing recovery estimates, a preliminary mining and processing plan, infrastructure layo</w:t>
      </w:r>
      <w:r>
        <w:rPr>
          <w:sz w:val="20"/>
          <w:szCs w:val="20"/>
        </w:rPr>
        <w:t>ut, environmental considerations and an economic analysis based on the base case parameters.  The PEA envisioned an open pit mining operation with a 5,500 ton per day floatation mill for processing resulting in a nine-year mine life.  Concentrates would be</w:t>
      </w:r>
      <w:r>
        <w:rPr>
          <w:sz w:val="20"/>
          <w:szCs w:val="20"/>
        </w:rPr>
        <w:t xml:space="preserve"> handled through the DeLong Mountain Regional Transportation System road and port system that currently handles all concentrate produced by the nearby Red Dog zinc mine of Teck.  A summary of metallurgical testing and mineral processing is provided below. </w:t>
      </w:r>
      <w:r>
        <w:rPr>
          <w:sz w:val="20"/>
          <w:szCs w:val="20"/>
        </w:rPr>
        <w:t xml:space="preserve"> The PEA analyzed the Lik project as a stand-alone operation and assumes construction of its own independent processing, tailings and port facilities. Alternate development scenarios might be developed utilizing infrastructure under the control of the near</w:t>
      </w:r>
      <w:r>
        <w:rPr>
          <w:sz w:val="20"/>
          <w:szCs w:val="20"/>
        </w:rPr>
        <w:t>by Red Dog operation. However, no agreements are in place to develop such plans and are therefore hypothetical.</w:t>
      </w:r>
    </w:p>
    <w:p w14:paraId="05C45D87" w14:textId="77777777" w:rsidR="00000000" w:rsidRDefault="0015578C">
      <w:pPr>
        <w:pStyle w:val="a3"/>
        <w:spacing w:before="0" w:beforeAutospacing="0" w:after="0" w:afterAutospacing="0"/>
        <w:ind w:firstLine="675"/>
        <w:jc w:val="both"/>
        <w:rPr>
          <w:sz w:val="20"/>
          <w:szCs w:val="20"/>
        </w:rPr>
      </w:pPr>
      <w:r>
        <w:rPr>
          <w:sz w:val="20"/>
          <w:szCs w:val="20"/>
        </w:rPr>
        <w:t> </w:t>
      </w:r>
    </w:p>
    <w:p w14:paraId="5944A636" w14:textId="77777777" w:rsidR="00000000" w:rsidRDefault="0015578C">
      <w:pPr>
        <w:pStyle w:val="a3"/>
        <w:spacing w:before="0" w:beforeAutospacing="0" w:after="0" w:afterAutospacing="0"/>
        <w:ind w:firstLine="675"/>
        <w:jc w:val="both"/>
        <w:rPr>
          <w:sz w:val="20"/>
          <w:szCs w:val="20"/>
        </w:rPr>
      </w:pPr>
      <w:r>
        <w:rPr>
          <w:sz w:val="20"/>
          <w:szCs w:val="20"/>
        </w:rPr>
        <w:t>Prior to the S-K 1300 Lik TRS report, Solitario filed on SEDAR in Canada:  Technical Report; Zazu Metals Corporation, Lik Deposit, Alaska, USA</w:t>
      </w:r>
      <w:r>
        <w:rPr>
          <w:sz w:val="20"/>
          <w:szCs w:val="20"/>
        </w:rPr>
        <w:t>; Report Date: April 23, 2014; Effective Date: March 3, 2014; prepared by JDS Energy and Mining Inc (“JDS”).</w:t>
      </w:r>
    </w:p>
    <w:p w14:paraId="39A938DD" w14:textId="77777777" w:rsidR="00000000" w:rsidRDefault="0015578C">
      <w:pPr>
        <w:pStyle w:val="a3"/>
        <w:spacing w:before="0" w:beforeAutospacing="0" w:after="0" w:afterAutospacing="0"/>
        <w:jc w:val="both"/>
        <w:rPr>
          <w:sz w:val="20"/>
          <w:szCs w:val="20"/>
        </w:rPr>
      </w:pPr>
      <w:r>
        <w:rPr>
          <w:sz w:val="20"/>
          <w:szCs w:val="20"/>
        </w:rPr>
        <w:t> </w:t>
      </w:r>
    </w:p>
    <w:p w14:paraId="2BF7488F" w14:textId="77777777" w:rsidR="00000000" w:rsidRDefault="0015578C">
      <w:pPr>
        <w:pStyle w:val="a3"/>
        <w:spacing w:before="0" w:beforeAutospacing="0" w:after="0" w:afterAutospacing="0"/>
        <w:jc w:val="both"/>
        <w:rPr>
          <w:sz w:val="20"/>
          <w:szCs w:val="20"/>
        </w:rPr>
      </w:pPr>
      <w:r>
        <w:rPr>
          <w:sz w:val="20"/>
          <w:szCs w:val="20"/>
        </w:rPr>
        <w:t xml:space="preserve">11. </w:t>
      </w:r>
      <w:r>
        <w:rPr>
          <w:sz w:val="20"/>
          <w:szCs w:val="20"/>
          <w:u w:val="single"/>
        </w:rPr>
        <w:t>Metallurgical Testing and Mineral Processing</w:t>
      </w:r>
    </w:p>
    <w:p w14:paraId="48A75A5C" w14:textId="77777777" w:rsidR="00000000" w:rsidRDefault="0015578C">
      <w:pPr>
        <w:pStyle w:val="a3"/>
        <w:spacing w:before="0" w:beforeAutospacing="0" w:after="0" w:afterAutospacing="0"/>
        <w:jc w:val="both"/>
        <w:rPr>
          <w:sz w:val="20"/>
          <w:szCs w:val="20"/>
        </w:rPr>
      </w:pPr>
      <w:r>
        <w:rPr>
          <w:sz w:val="20"/>
          <w:szCs w:val="20"/>
        </w:rPr>
        <w:t> </w:t>
      </w:r>
    </w:p>
    <w:p w14:paraId="57424F0A" w14:textId="77777777" w:rsidR="00000000" w:rsidRDefault="0015578C">
      <w:pPr>
        <w:pStyle w:val="a3"/>
        <w:spacing w:before="0" w:beforeAutospacing="0" w:after="0" w:afterAutospacing="0"/>
        <w:ind w:firstLine="675"/>
        <w:jc w:val="both"/>
        <w:rPr>
          <w:sz w:val="20"/>
          <w:szCs w:val="20"/>
        </w:rPr>
      </w:pPr>
      <w:r>
        <w:rPr>
          <w:sz w:val="20"/>
          <w:szCs w:val="20"/>
        </w:rPr>
        <w:t>There have been five metallurgical test work reports issued to date on the Lik ores. The most recent and comprehensive processing and metallurgical testing programs include work performed by G&amp;T and by SGS.  Samples collected during drilling in 2007 and 20</w:t>
      </w:r>
      <w:r>
        <w:rPr>
          <w:sz w:val="20"/>
          <w:szCs w:val="20"/>
        </w:rPr>
        <w:t>08 were composited into one Master Composite for testing at G&amp;T in 2008, and later testing by SGS was carried out in 2010 on the remainder of the Master Composite. These key testing results have formed the basis for this economic evaluation of the Lik depo</w:t>
      </w:r>
      <w:r>
        <w:rPr>
          <w:sz w:val="20"/>
          <w:szCs w:val="20"/>
        </w:rPr>
        <w:t>sit. Results are summarized in the table below:</w:t>
      </w:r>
    </w:p>
    <w:p w14:paraId="25DF27BF" w14:textId="77777777" w:rsidR="00000000" w:rsidRDefault="0015578C">
      <w:pPr>
        <w:pStyle w:val="a3"/>
        <w:spacing w:before="0" w:beforeAutospacing="0" w:after="0" w:afterAutospacing="0"/>
        <w:jc w:val="both"/>
        <w:rPr>
          <w:sz w:val="20"/>
          <w:szCs w:val="20"/>
        </w:rPr>
      </w:pPr>
      <w:r>
        <w:rPr>
          <w:sz w:val="20"/>
          <w:szCs w:val="20"/>
        </w:rPr>
        <w:t> </w:t>
      </w:r>
    </w:p>
    <w:p w14:paraId="7D04A08D" w14:textId="77777777" w:rsidR="00000000" w:rsidRDefault="0015578C">
      <w:pPr>
        <w:pStyle w:val="a3"/>
        <w:spacing w:before="0" w:beforeAutospacing="0" w:after="0" w:afterAutospacing="0"/>
        <w:jc w:val="center"/>
        <w:rPr>
          <w:sz w:val="20"/>
          <w:szCs w:val="20"/>
        </w:rPr>
      </w:pPr>
      <w:r>
        <w:rPr>
          <w:rStyle w:val="a4"/>
          <w:sz w:val="20"/>
          <w:szCs w:val="20"/>
          <w:u w:val="single"/>
        </w:rPr>
        <w:t>Summary of SGS 2010 and G&amp;T 2008 Metallurgical Test Results</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51"/>
        <w:gridCol w:w="1020"/>
        <w:gridCol w:w="1020"/>
        <w:gridCol w:w="774"/>
        <w:gridCol w:w="1268"/>
        <w:gridCol w:w="774"/>
        <w:gridCol w:w="1283"/>
      </w:tblGrid>
      <w:tr w:rsidR="00000000" w14:paraId="288041B6" w14:textId="77777777">
        <w:trPr>
          <w:trHeight w:val="225"/>
          <w:tblCellSpacing w:w="15" w:type="dxa"/>
        </w:trPr>
        <w:tc>
          <w:tcPr>
            <w:tcW w:w="850" w:type="pct"/>
            <w:vMerge w:val="restart"/>
            <w:tcBorders>
              <w:top w:val="single" w:sz="6" w:space="0" w:color="000000"/>
              <w:left w:val="single" w:sz="6" w:space="0" w:color="000000"/>
            </w:tcBorders>
            <w:vAlign w:val="center"/>
            <w:hideMark/>
          </w:tcPr>
          <w:p w14:paraId="35903D15" w14:textId="77777777" w:rsidR="00000000" w:rsidRDefault="0015578C">
            <w:pPr>
              <w:pStyle w:val="a3"/>
              <w:spacing w:before="0" w:beforeAutospacing="0" w:after="0" w:afterAutospacing="0"/>
              <w:rPr>
                <w:sz w:val="20"/>
                <w:szCs w:val="20"/>
              </w:rPr>
            </w:pPr>
            <w:r>
              <w:rPr>
                <w:rStyle w:val="a4"/>
                <w:sz w:val="20"/>
                <w:szCs w:val="20"/>
              </w:rPr>
              <w:t>Test</w:t>
            </w:r>
          </w:p>
        </w:tc>
        <w:tc>
          <w:tcPr>
            <w:tcW w:w="400" w:type="pct"/>
            <w:vMerge w:val="restart"/>
            <w:tcBorders>
              <w:top w:val="single" w:sz="6" w:space="0" w:color="000000"/>
              <w:left w:val="single" w:sz="6" w:space="0" w:color="000000"/>
            </w:tcBorders>
            <w:vAlign w:val="center"/>
            <w:hideMark/>
          </w:tcPr>
          <w:p w14:paraId="79840BD8" w14:textId="77777777" w:rsidR="00000000" w:rsidRDefault="0015578C">
            <w:pPr>
              <w:pStyle w:val="a3"/>
              <w:spacing w:before="0" w:beforeAutospacing="0" w:after="0" w:afterAutospacing="0"/>
              <w:jc w:val="center"/>
              <w:rPr>
                <w:sz w:val="20"/>
                <w:szCs w:val="20"/>
              </w:rPr>
            </w:pPr>
            <w:r>
              <w:rPr>
                <w:rStyle w:val="a4"/>
                <w:sz w:val="20"/>
                <w:szCs w:val="20"/>
              </w:rPr>
              <w:t>Element</w:t>
            </w:r>
          </w:p>
        </w:tc>
        <w:tc>
          <w:tcPr>
            <w:tcW w:w="400" w:type="pct"/>
            <w:tcBorders>
              <w:top w:val="single" w:sz="6" w:space="0" w:color="000000"/>
              <w:left w:val="single" w:sz="6" w:space="0" w:color="000000"/>
            </w:tcBorders>
            <w:vAlign w:val="center"/>
            <w:hideMark/>
          </w:tcPr>
          <w:p w14:paraId="59C746AB" w14:textId="77777777" w:rsidR="00000000" w:rsidRDefault="0015578C">
            <w:pPr>
              <w:pStyle w:val="a3"/>
              <w:spacing w:before="0" w:beforeAutospacing="0" w:after="0" w:afterAutospacing="0"/>
              <w:jc w:val="center"/>
              <w:rPr>
                <w:sz w:val="20"/>
                <w:szCs w:val="20"/>
              </w:rPr>
            </w:pPr>
            <w:r>
              <w:rPr>
                <w:rStyle w:val="a4"/>
                <w:sz w:val="20"/>
                <w:szCs w:val="20"/>
              </w:rPr>
              <w:t>Feed</w:t>
            </w:r>
          </w:p>
        </w:tc>
        <w:tc>
          <w:tcPr>
            <w:tcW w:w="800" w:type="pct"/>
            <w:gridSpan w:val="2"/>
            <w:tcBorders>
              <w:top w:val="single" w:sz="6" w:space="0" w:color="000000"/>
              <w:left w:val="single" w:sz="6" w:space="0" w:color="000000"/>
            </w:tcBorders>
            <w:vAlign w:val="center"/>
            <w:hideMark/>
          </w:tcPr>
          <w:p w14:paraId="4CEEE8DC" w14:textId="77777777" w:rsidR="00000000" w:rsidRDefault="0015578C">
            <w:pPr>
              <w:pStyle w:val="a3"/>
              <w:spacing w:before="0" w:beforeAutospacing="0" w:after="0" w:afterAutospacing="0"/>
              <w:jc w:val="center"/>
              <w:rPr>
                <w:sz w:val="20"/>
                <w:szCs w:val="20"/>
              </w:rPr>
            </w:pPr>
            <w:r>
              <w:rPr>
                <w:rStyle w:val="a4"/>
                <w:sz w:val="20"/>
                <w:szCs w:val="20"/>
              </w:rPr>
              <w:t>Lead Concentrate</w:t>
            </w:r>
          </w:p>
        </w:tc>
        <w:tc>
          <w:tcPr>
            <w:tcW w:w="800" w:type="pct"/>
            <w:gridSpan w:val="2"/>
            <w:tcBorders>
              <w:top w:val="single" w:sz="6" w:space="0" w:color="000000"/>
              <w:left w:val="single" w:sz="6" w:space="0" w:color="000000"/>
            </w:tcBorders>
            <w:vAlign w:val="center"/>
            <w:hideMark/>
          </w:tcPr>
          <w:p w14:paraId="0468187E" w14:textId="77777777" w:rsidR="00000000" w:rsidRDefault="0015578C">
            <w:pPr>
              <w:pStyle w:val="a3"/>
              <w:spacing w:before="0" w:beforeAutospacing="0" w:after="0" w:afterAutospacing="0"/>
              <w:jc w:val="center"/>
              <w:rPr>
                <w:sz w:val="20"/>
                <w:szCs w:val="20"/>
              </w:rPr>
            </w:pPr>
            <w:r>
              <w:rPr>
                <w:rStyle w:val="a4"/>
                <w:sz w:val="20"/>
                <w:szCs w:val="20"/>
              </w:rPr>
              <w:t>Zinc Concentrate</w:t>
            </w:r>
          </w:p>
        </w:tc>
      </w:tr>
      <w:tr w:rsidR="00000000" w14:paraId="1B471CF6" w14:textId="77777777">
        <w:trPr>
          <w:trHeight w:val="225"/>
          <w:tblCellSpacing w:w="15" w:type="dxa"/>
        </w:trPr>
        <w:tc>
          <w:tcPr>
            <w:tcW w:w="0" w:type="auto"/>
            <w:vMerge/>
            <w:tcBorders>
              <w:top w:val="single" w:sz="6" w:space="0" w:color="000000"/>
              <w:left w:val="single" w:sz="6" w:space="0" w:color="000000"/>
            </w:tcBorders>
            <w:vAlign w:val="center"/>
            <w:hideMark/>
          </w:tcPr>
          <w:p w14:paraId="5B65B5D6" w14:textId="77777777" w:rsidR="00000000" w:rsidRDefault="0015578C">
            <w:pPr>
              <w:rPr>
                <w:sz w:val="20"/>
                <w:szCs w:val="20"/>
              </w:rPr>
            </w:pPr>
          </w:p>
        </w:tc>
        <w:tc>
          <w:tcPr>
            <w:tcW w:w="0" w:type="auto"/>
            <w:vMerge/>
            <w:tcBorders>
              <w:top w:val="single" w:sz="6" w:space="0" w:color="000000"/>
              <w:left w:val="single" w:sz="6" w:space="0" w:color="000000"/>
            </w:tcBorders>
            <w:vAlign w:val="center"/>
            <w:hideMark/>
          </w:tcPr>
          <w:p w14:paraId="67FDC0F6" w14:textId="77777777" w:rsidR="00000000" w:rsidRDefault="0015578C">
            <w:pPr>
              <w:rPr>
                <w:sz w:val="20"/>
                <w:szCs w:val="20"/>
              </w:rPr>
            </w:pPr>
          </w:p>
        </w:tc>
        <w:tc>
          <w:tcPr>
            <w:tcW w:w="400" w:type="pct"/>
            <w:tcBorders>
              <w:top w:val="single" w:sz="6" w:space="0" w:color="000000"/>
              <w:left w:val="single" w:sz="6" w:space="0" w:color="000000"/>
            </w:tcBorders>
            <w:vAlign w:val="center"/>
            <w:hideMark/>
          </w:tcPr>
          <w:p w14:paraId="0CE07EA1" w14:textId="77777777" w:rsidR="00000000" w:rsidRDefault="0015578C">
            <w:pPr>
              <w:pStyle w:val="a3"/>
              <w:spacing w:before="0" w:beforeAutospacing="0" w:after="0" w:afterAutospacing="0"/>
              <w:jc w:val="center"/>
              <w:rPr>
                <w:sz w:val="20"/>
                <w:szCs w:val="20"/>
              </w:rPr>
            </w:pPr>
            <w:r>
              <w:rPr>
                <w:rStyle w:val="a4"/>
                <w:sz w:val="20"/>
                <w:szCs w:val="20"/>
              </w:rPr>
              <w:t>Grade</w:t>
            </w:r>
          </w:p>
        </w:tc>
        <w:tc>
          <w:tcPr>
            <w:tcW w:w="300" w:type="pct"/>
            <w:tcBorders>
              <w:top w:val="single" w:sz="6" w:space="0" w:color="000000"/>
              <w:left w:val="single" w:sz="6" w:space="0" w:color="000000"/>
            </w:tcBorders>
            <w:vAlign w:val="center"/>
            <w:hideMark/>
          </w:tcPr>
          <w:p w14:paraId="1B669120" w14:textId="77777777" w:rsidR="00000000" w:rsidRDefault="0015578C">
            <w:pPr>
              <w:pStyle w:val="a3"/>
              <w:spacing w:before="0" w:beforeAutospacing="0" w:after="0" w:afterAutospacing="0"/>
              <w:jc w:val="center"/>
              <w:rPr>
                <w:sz w:val="20"/>
                <w:szCs w:val="20"/>
              </w:rPr>
            </w:pPr>
            <w:r>
              <w:rPr>
                <w:rStyle w:val="a4"/>
                <w:sz w:val="20"/>
                <w:szCs w:val="20"/>
              </w:rPr>
              <w:t>Grade</w:t>
            </w:r>
          </w:p>
        </w:tc>
        <w:tc>
          <w:tcPr>
            <w:tcW w:w="500" w:type="pct"/>
            <w:tcBorders>
              <w:top w:val="single" w:sz="6" w:space="0" w:color="000000"/>
              <w:left w:val="single" w:sz="6" w:space="0" w:color="000000"/>
            </w:tcBorders>
            <w:vAlign w:val="center"/>
            <w:hideMark/>
          </w:tcPr>
          <w:p w14:paraId="48DA39AA" w14:textId="77777777" w:rsidR="00000000" w:rsidRDefault="0015578C">
            <w:pPr>
              <w:pStyle w:val="a3"/>
              <w:spacing w:before="0" w:beforeAutospacing="0" w:after="0" w:afterAutospacing="0"/>
              <w:jc w:val="center"/>
              <w:rPr>
                <w:sz w:val="20"/>
                <w:szCs w:val="20"/>
              </w:rPr>
            </w:pPr>
            <w:r>
              <w:rPr>
                <w:rStyle w:val="a4"/>
                <w:sz w:val="20"/>
                <w:szCs w:val="20"/>
              </w:rPr>
              <w:t>Recovery</w:t>
            </w:r>
          </w:p>
        </w:tc>
        <w:tc>
          <w:tcPr>
            <w:tcW w:w="300" w:type="pct"/>
            <w:tcBorders>
              <w:top w:val="single" w:sz="6" w:space="0" w:color="000000"/>
              <w:left w:val="single" w:sz="6" w:space="0" w:color="000000"/>
            </w:tcBorders>
            <w:vAlign w:val="center"/>
            <w:hideMark/>
          </w:tcPr>
          <w:p w14:paraId="76E2FBB5" w14:textId="77777777" w:rsidR="00000000" w:rsidRDefault="0015578C">
            <w:pPr>
              <w:pStyle w:val="a3"/>
              <w:spacing w:before="0" w:beforeAutospacing="0" w:after="0" w:afterAutospacing="0"/>
              <w:jc w:val="center"/>
              <w:rPr>
                <w:sz w:val="20"/>
                <w:szCs w:val="20"/>
              </w:rPr>
            </w:pPr>
            <w:r>
              <w:rPr>
                <w:rStyle w:val="a4"/>
                <w:sz w:val="20"/>
                <w:szCs w:val="20"/>
              </w:rPr>
              <w:t>Grade</w:t>
            </w:r>
          </w:p>
        </w:tc>
        <w:tc>
          <w:tcPr>
            <w:tcW w:w="500" w:type="pct"/>
            <w:tcBorders>
              <w:top w:val="single" w:sz="6" w:space="0" w:color="000000"/>
              <w:left w:val="single" w:sz="6" w:space="0" w:color="000000"/>
            </w:tcBorders>
            <w:vAlign w:val="center"/>
            <w:hideMark/>
          </w:tcPr>
          <w:p w14:paraId="7CDF3D7F" w14:textId="77777777" w:rsidR="00000000" w:rsidRDefault="0015578C">
            <w:pPr>
              <w:pStyle w:val="a3"/>
              <w:spacing w:before="0" w:beforeAutospacing="0" w:after="0" w:afterAutospacing="0"/>
              <w:jc w:val="center"/>
              <w:rPr>
                <w:sz w:val="20"/>
                <w:szCs w:val="20"/>
              </w:rPr>
            </w:pPr>
            <w:r>
              <w:rPr>
                <w:rStyle w:val="a4"/>
                <w:sz w:val="20"/>
                <w:szCs w:val="20"/>
              </w:rPr>
              <w:t>Recovery</w:t>
            </w:r>
          </w:p>
        </w:tc>
      </w:tr>
      <w:tr w:rsidR="00000000" w14:paraId="41C5F434" w14:textId="77777777">
        <w:trPr>
          <w:trHeight w:val="225"/>
          <w:tblCellSpacing w:w="15" w:type="dxa"/>
        </w:trPr>
        <w:tc>
          <w:tcPr>
            <w:tcW w:w="850" w:type="pct"/>
            <w:vMerge w:val="restart"/>
            <w:tcBorders>
              <w:top w:val="single" w:sz="6" w:space="0" w:color="000000"/>
              <w:left w:val="single" w:sz="6" w:space="0" w:color="000000"/>
            </w:tcBorders>
            <w:shd w:val="clear" w:color="auto" w:fill="CCEEFF"/>
            <w:vAlign w:val="center"/>
            <w:hideMark/>
          </w:tcPr>
          <w:p w14:paraId="122ECB88" w14:textId="77777777" w:rsidR="00000000" w:rsidRDefault="0015578C">
            <w:pPr>
              <w:pStyle w:val="a3"/>
              <w:spacing w:before="0" w:beforeAutospacing="0" w:after="0" w:afterAutospacing="0"/>
              <w:rPr>
                <w:sz w:val="20"/>
                <w:szCs w:val="20"/>
              </w:rPr>
            </w:pPr>
            <w:r>
              <w:rPr>
                <w:sz w:val="20"/>
                <w:szCs w:val="20"/>
              </w:rPr>
              <w:t>SGS 2010</w:t>
            </w:r>
          </w:p>
        </w:tc>
        <w:tc>
          <w:tcPr>
            <w:tcW w:w="400" w:type="pct"/>
            <w:tcBorders>
              <w:top w:val="single" w:sz="6" w:space="0" w:color="000000"/>
              <w:left w:val="single" w:sz="6" w:space="0" w:color="000000"/>
            </w:tcBorders>
            <w:shd w:val="clear" w:color="auto" w:fill="CCEEFF"/>
            <w:vAlign w:val="center"/>
            <w:hideMark/>
          </w:tcPr>
          <w:p w14:paraId="2842E2CB" w14:textId="77777777" w:rsidR="00000000" w:rsidRDefault="0015578C">
            <w:pPr>
              <w:pStyle w:val="a3"/>
              <w:spacing w:before="0" w:beforeAutospacing="0" w:after="0" w:afterAutospacing="0"/>
              <w:jc w:val="center"/>
              <w:rPr>
                <w:sz w:val="20"/>
                <w:szCs w:val="20"/>
              </w:rPr>
            </w:pPr>
            <w:r>
              <w:rPr>
                <w:sz w:val="20"/>
                <w:szCs w:val="20"/>
              </w:rPr>
              <w:t>Pb%</w:t>
            </w:r>
          </w:p>
        </w:tc>
        <w:tc>
          <w:tcPr>
            <w:tcW w:w="400" w:type="pct"/>
            <w:tcBorders>
              <w:top w:val="single" w:sz="6" w:space="0" w:color="000000"/>
              <w:left w:val="single" w:sz="6" w:space="0" w:color="000000"/>
            </w:tcBorders>
            <w:shd w:val="clear" w:color="auto" w:fill="CCEEFF"/>
            <w:vAlign w:val="center"/>
            <w:hideMark/>
          </w:tcPr>
          <w:p w14:paraId="29035D0A" w14:textId="77777777" w:rsidR="00000000" w:rsidRDefault="0015578C">
            <w:pPr>
              <w:pStyle w:val="a3"/>
              <w:spacing w:before="0" w:beforeAutospacing="0" w:after="0" w:afterAutospacing="0"/>
              <w:jc w:val="center"/>
              <w:rPr>
                <w:sz w:val="20"/>
                <w:szCs w:val="20"/>
              </w:rPr>
            </w:pPr>
            <w:r>
              <w:rPr>
                <w:sz w:val="20"/>
                <w:szCs w:val="20"/>
              </w:rPr>
              <w:t>2.83</w:t>
            </w:r>
          </w:p>
        </w:tc>
        <w:tc>
          <w:tcPr>
            <w:tcW w:w="300" w:type="pct"/>
            <w:tcBorders>
              <w:top w:val="single" w:sz="6" w:space="0" w:color="000000"/>
              <w:left w:val="single" w:sz="6" w:space="0" w:color="000000"/>
            </w:tcBorders>
            <w:shd w:val="clear" w:color="auto" w:fill="CCEEFF"/>
            <w:vAlign w:val="center"/>
            <w:hideMark/>
          </w:tcPr>
          <w:p w14:paraId="01151391" w14:textId="77777777" w:rsidR="00000000" w:rsidRDefault="0015578C">
            <w:pPr>
              <w:pStyle w:val="a3"/>
              <w:spacing w:before="0" w:beforeAutospacing="0" w:after="0" w:afterAutospacing="0"/>
              <w:jc w:val="center"/>
              <w:rPr>
                <w:sz w:val="20"/>
                <w:szCs w:val="20"/>
              </w:rPr>
            </w:pPr>
            <w:r>
              <w:rPr>
                <w:sz w:val="20"/>
                <w:szCs w:val="20"/>
              </w:rPr>
              <w:t>52.00</w:t>
            </w:r>
          </w:p>
        </w:tc>
        <w:tc>
          <w:tcPr>
            <w:tcW w:w="500" w:type="pct"/>
            <w:tcBorders>
              <w:top w:val="single" w:sz="6" w:space="0" w:color="000000"/>
              <w:left w:val="single" w:sz="6" w:space="0" w:color="000000"/>
            </w:tcBorders>
            <w:shd w:val="clear" w:color="auto" w:fill="CCEEFF"/>
            <w:vAlign w:val="center"/>
            <w:hideMark/>
          </w:tcPr>
          <w:p w14:paraId="209C475E" w14:textId="77777777" w:rsidR="00000000" w:rsidRDefault="0015578C">
            <w:pPr>
              <w:pStyle w:val="a3"/>
              <w:spacing w:before="0" w:beforeAutospacing="0" w:after="0" w:afterAutospacing="0"/>
              <w:jc w:val="center"/>
              <w:rPr>
                <w:sz w:val="20"/>
                <w:szCs w:val="20"/>
              </w:rPr>
            </w:pPr>
            <w:r>
              <w:rPr>
                <w:sz w:val="20"/>
                <w:szCs w:val="20"/>
              </w:rPr>
              <w:t>69.10</w:t>
            </w:r>
          </w:p>
        </w:tc>
        <w:tc>
          <w:tcPr>
            <w:tcW w:w="300" w:type="pct"/>
            <w:tcBorders>
              <w:top w:val="single" w:sz="6" w:space="0" w:color="000000"/>
              <w:left w:val="single" w:sz="6" w:space="0" w:color="000000"/>
            </w:tcBorders>
            <w:shd w:val="clear" w:color="auto" w:fill="CCEEFF"/>
            <w:vAlign w:val="center"/>
            <w:hideMark/>
          </w:tcPr>
          <w:p w14:paraId="266AA2A4" w14:textId="77777777" w:rsidR="00000000" w:rsidRDefault="0015578C">
            <w:pPr>
              <w:pStyle w:val="a3"/>
              <w:spacing w:before="0" w:beforeAutospacing="0" w:after="0" w:afterAutospacing="0"/>
              <w:jc w:val="center"/>
              <w:rPr>
                <w:sz w:val="20"/>
                <w:szCs w:val="20"/>
              </w:rPr>
            </w:pPr>
            <w:r>
              <w:rPr>
                <w:sz w:val="20"/>
                <w:szCs w:val="20"/>
              </w:rPr>
              <w:t>1.88</w:t>
            </w:r>
          </w:p>
        </w:tc>
        <w:tc>
          <w:tcPr>
            <w:tcW w:w="500" w:type="pct"/>
            <w:tcBorders>
              <w:top w:val="single" w:sz="6" w:space="0" w:color="000000"/>
              <w:left w:val="single" w:sz="6" w:space="0" w:color="000000"/>
            </w:tcBorders>
            <w:shd w:val="clear" w:color="auto" w:fill="CCEEFF"/>
            <w:vAlign w:val="center"/>
            <w:hideMark/>
          </w:tcPr>
          <w:p w14:paraId="63EE231D" w14:textId="77777777" w:rsidR="00000000" w:rsidRDefault="0015578C">
            <w:pPr>
              <w:pStyle w:val="a3"/>
              <w:spacing w:before="0" w:beforeAutospacing="0" w:after="0" w:afterAutospacing="0"/>
              <w:jc w:val="center"/>
              <w:rPr>
                <w:sz w:val="20"/>
                <w:szCs w:val="20"/>
              </w:rPr>
            </w:pPr>
            <w:r>
              <w:rPr>
                <w:sz w:val="20"/>
                <w:szCs w:val="20"/>
              </w:rPr>
              <w:t>9.70</w:t>
            </w:r>
          </w:p>
        </w:tc>
      </w:tr>
      <w:tr w:rsidR="00000000" w14:paraId="68FFB966" w14:textId="77777777">
        <w:trPr>
          <w:trHeight w:val="225"/>
          <w:tblCellSpacing w:w="15" w:type="dxa"/>
        </w:trPr>
        <w:tc>
          <w:tcPr>
            <w:tcW w:w="0" w:type="auto"/>
            <w:vMerge/>
            <w:tcBorders>
              <w:top w:val="single" w:sz="6" w:space="0" w:color="000000"/>
              <w:left w:val="single" w:sz="6" w:space="0" w:color="000000"/>
            </w:tcBorders>
            <w:shd w:val="clear" w:color="auto" w:fill="FFFFFF"/>
            <w:vAlign w:val="center"/>
            <w:hideMark/>
          </w:tcPr>
          <w:p w14:paraId="623636D2" w14:textId="77777777" w:rsidR="00000000" w:rsidRDefault="0015578C">
            <w:pPr>
              <w:rPr>
                <w:sz w:val="20"/>
                <w:szCs w:val="20"/>
              </w:rPr>
            </w:pPr>
          </w:p>
        </w:tc>
        <w:tc>
          <w:tcPr>
            <w:tcW w:w="400" w:type="pct"/>
            <w:tcBorders>
              <w:top w:val="single" w:sz="6" w:space="0" w:color="000000"/>
              <w:left w:val="single" w:sz="6" w:space="0" w:color="000000"/>
            </w:tcBorders>
            <w:shd w:val="clear" w:color="auto" w:fill="FFFFFF"/>
            <w:vAlign w:val="center"/>
            <w:hideMark/>
          </w:tcPr>
          <w:p w14:paraId="54E1FE83" w14:textId="77777777" w:rsidR="00000000" w:rsidRDefault="0015578C">
            <w:pPr>
              <w:pStyle w:val="a3"/>
              <w:spacing w:before="0" w:beforeAutospacing="0" w:after="0" w:afterAutospacing="0"/>
              <w:jc w:val="center"/>
              <w:rPr>
                <w:sz w:val="20"/>
                <w:szCs w:val="20"/>
              </w:rPr>
            </w:pPr>
            <w:r>
              <w:rPr>
                <w:sz w:val="20"/>
                <w:szCs w:val="20"/>
              </w:rPr>
              <w:t>Zn%</w:t>
            </w:r>
          </w:p>
        </w:tc>
        <w:tc>
          <w:tcPr>
            <w:tcW w:w="400" w:type="pct"/>
            <w:tcBorders>
              <w:top w:val="single" w:sz="6" w:space="0" w:color="000000"/>
              <w:left w:val="single" w:sz="6" w:space="0" w:color="000000"/>
            </w:tcBorders>
            <w:shd w:val="clear" w:color="auto" w:fill="FFFFFF"/>
            <w:vAlign w:val="center"/>
            <w:hideMark/>
          </w:tcPr>
          <w:p w14:paraId="7CEDDAD3" w14:textId="77777777" w:rsidR="00000000" w:rsidRDefault="0015578C">
            <w:pPr>
              <w:pStyle w:val="a3"/>
              <w:spacing w:before="0" w:beforeAutospacing="0" w:after="0" w:afterAutospacing="0"/>
              <w:jc w:val="center"/>
              <w:rPr>
                <w:sz w:val="20"/>
                <w:szCs w:val="20"/>
              </w:rPr>
            </w:pPr>
            <w:r>
              <w:rPr>
                <w:sz w:val="20"/>
                <w:szCs w:val="20"/>
              </w:rPr>
              <w:t>9.56</w:t>
            </w:r>
          </w:p>
        </w:tc>
        <w:tc>
          <w:tcPr>
            <w:tcW w:w="300" w:type="pct"/>
            <w:tcBorders>
              <w:top w:val="single" w:sz="6" w:space="0" w:color="000000"/>
              <w:left w:val="single" w:sz="6" w:space="0" w:color="000000"/>
            </w:tcBorders>
            <w:shd w:val="clear" w:color="auto" w:fill="FFFFFF"/>
            <w:vAlign w:val="center"/>
            <w:hideMark/>
          </w:tcPr>
          <w:p w14:paraId="4BF0DECA" w14:textId="77777777" w:rsidR="00000000" w:rsidRDefault="0015578C">
            <w:pPr>
              <w:pStyle w:val="a3"/>
              <w:spacing w:before="0" w:beforeAutospacing="0" w:after="0" w:afterAutospacing="0"/>
              <w:jc w:val="center"/>
              <w:rPr>
                <w:sz w:val="20"/>
                <w:szCs w:val="20"/>
              </w:rPr>
            </w:pPr>
            <w:r>
              <w:rPr>
                <w:sz w:val="20"/>
                <w:szCs w:val="20"/>
              </w:rPr>
              <w:t>7.39</w:t>
            </w:r>
          </w:p>
        </w:tc>
        <w:tc>
          <w:tcPr>
            <w:tcW w:w="500" w:type="pct"/>
            <w:tcBorders>
              <w:top w:val="single" w:sz="6" w:space="0" w:color="000000"/>
              <w:left w:val="single" w:sz="6" w:space="0" w:color="000000"/>
            </w:tcBorders>
            <w:shd w:val="clear" w:color="auto" w:fill="FFFFFF"/>
            <w:vAlign w:val="center"/>
            <w:hideMark/>
          </w:tcPr>
          <w:p w14:paraId="729FDB3F" w14:textId="77777777" w:rsidR="00000000" w:rsidRDefault="0015578C">
            <w:pPr>
              <w:pStyle w:val="a3"/>
              <w:spacing w:before="0" w:beforeAutospacing="0" w:after="0" w:afterAutospacing="0"/>
              <w:jc w:val="center"/>
              <w:rPr>
                <w:sz w:val="20"/>
                <w:szCs w:val="20"/>
              </w:rPr>
            </w:pPr>
            <w:r>
              <w:rPr>
                <w:sz w:val="20"/>
                <w:szCs w:val="20"/>
              </w:rPr>
              <w:t>2.91</w:t>
            </w:r>
          </w:p>
        </w:tc>
        <w:tc>
          <w:tcPr>
            <w:tcW w:w="300" w:type="pct"/>
            <w:tcBorders>
              <w:top w:val="single" w:sz="6" w:space="0" w:color="000000"/>
              <w:left w:val="single" w:sz="6" w:space="0" w:color="000000"/>
            </w:tcBorders>
            <w:shd w:val="clear" w:color="auto" w:fill="FFFFFF"/>
            <w:vAlign w:val="center"/>
            <w:hideMark/>
          </w:tcPr>
          <w:p w14:paraId="79AB075B" w14:textId="77777777" w:rsidR="00000000" w:rsidRDefault="0015578C">
            <w:pPr>
              <w:pStyle w:val="a3"/>
              <w:spacing w:before="0" w:beforeAutospacing="0" w:after="0" w:afterAutospacing="0"/>
              <w:jc w:val="center"/>
              <w:rPr>
                <w:sz w:val="20"/>
                <w:szCs w:val="20"/>
              </w:rPr>
            </w:pPr>
            <w:r>
              <w:rPr>
                <w:sz w:val="20"/>
                <w:szCs w:val="20"/>
              </w:rPr>
              <w:t>54.60</w:t>
            </w:r>
          </w:p>
        </w:tc>
        <w:tc>
          <w:tcPr>
            <w:tcW w:w="500" w:type="pct"/>
            <w:tcBorders>
              <w:top w:val="single" w:sz="6" w:space="0" w:color="000000"/>
              <w:left w:val="single" w:sz="6" w:space="0" w:color="000000"/>
            </w:tcBorders>
            <w:shd w:val="clear" w:color="auto" w:fill="FFFFFF"/>
            <w:vAlign w:val="center"/>
            <w:hideMark/>
          </w:tcPr>
          <w:p w14:paraId="3146177C" w14:textId="77777777" w:rsidR="00000000" w:rsidRDefault="0015578C">
            <w:pPr>
              <w:pStyle w:val="a3"/>
              <w:spacing w:before="0" w:beforeAutospacing="0" w:after="0" w:afterAutospacing="0"/>
              <w:jc w:val="center"/>
              <w:rPr>
                <w:sz w:val="20"/>
                <w:szCs w:val="20"/>
              </w:rPr>
            </w:pPr>
            <w:r>
              <w:rPr>
                <w:sz w:val="20"/>
                <w:szCs w:val="20"/>
              </w:rPr>
              <w:t>83.10</w:t>
            </w:r>
          </w:p>
        </w:tc>
      </w:tr>
      <w:tr w:rsidR="00000000" w14:paraId="09A218DF" w14:textId="77777777">
        <w:trPr>
          <w:trHeight w:val="225"/>
          <w:tblCellSpacing w:w="15" w:type="dxa"/>
        </w:trPr>
        <w:tc>
          <w:tcPr>
            <w:tcW w:w="0" w:type="auto"/>
            <w:vMerge/>
            <w:tcBorders>
              <w:top w:val="single" w:sz="6" w:space="0" w:color="000000"/>
              <w:left w:val="single" w:sz="6" w:space="0" w:color="000000"/>
            </w:tcBorders>
            <w:shd w:val="clear" w:color="auto" w:fill="CCEEFF"/>
            <w:vAlign w:val="center"/>
            <w:hideMark/>
          </w:tcPr>
          <w:p w14:paraId="35787797" w14:textId="77777777" w:rsidR="00000000" w:rsidRDefault="0015578C">
            <w:pPr>
              <w:rPr>
                <w:sz w:val="20"/>
                <w:szCs w:val="20"/>
              </w:rPr>
            </w:pPr>
          </w:p>
        </w:tc>
        <w:tc>
          <w:tcPr>
            <w:tcW w:w="400" w:type="pct"/>
            <w:tcBorders>
              <w:top w:val="single" w:sz="6" w:space="0" w:color="000000"/>
              <w:left w:val="single" w:sz="6" w:space="0" w:color="000000"/>
            </w:tcBorders>
            <w:shd w:val="clear" w:color="auto" w:fill="CCEEFF"/>
            <w:vAlign w:val="center"/>
            <w:hideMark/>
          </w:tcPr>
          <w:p w14:paraId="6990A728" w14:textId="77777777" w:rsidR="00000000" w:rsidRDefault="0015578C">
            <w:pPr>
              <w:pStyle w:val="a3"/>
              <w:spacing w:before="0" w:beforeAutospacing="0" w:after="0" w:afterAutospacing="0"/>
              <w:jc w:val="center"/>
              <w:rPr>
                <w:sz w:val="20"/>
                <w:szCs w:val="20"/>
              </w:rPr>
            </w:pPr>
            <w:r>
              <w:rPr>
                <w:sz w:val="20"/>
                <w:szCs w:val="20"/>
              </w:rPr>
              <w:t>Ag gpt</w:t>
            </w:r>
          </w:p>
        </w:tc>
        <w:tc>
          <w:tcPr>
            <w:tcW w:w="400" w:type="pct"/>
            <w:tcBorders>
              <w:top w:val="single" w:sz="6" w:space="0" w:color="000000"/>
              <w:left w:val="single" w:sz="6" w:space="0" w:color="000000"/>
            </w:tcBorders>
            <w:shd w:val="clear" w:color="auto" w:fill="CCEEFF"/>
            <w:vAlign w:val="center"/>
            <w:hideMark/>
          </w:tcPr>
          <w:p w14:paraId="6D69986C" w14:textId="77777777" w:rsidR="00000000" w:rsidRDefault="0015578C">
            <w:pPr>
              <w:pStyle w:val="a3"/>
              <w:spacing w:before="0" w:beforeAutospacing="0" w:after="0" w:afterAutospacing="0"/>
              <w:jc w:val="center"/>
              <w:rPr>
                <w:sz w:val="20"/>
                <w:szCs w:val="20"/>
              </w:rPr>
            </w:pPr>
            <w:r>
              <w:rPr>
                <w:sz w:val="20"/>
                <w:szCs w:val="20"/>
              </w:rPr>
              <w:t>37</w:t>
            </w:r>
          </w:p>
        </w:tc>
        <w:tc>
          <w:tcPr>
            <w:tcW w:w="300" w:type="pct"/>
            <w:tcBorders>
              <w:top w:val="single" w:sz="6" w:space="0" w:color="000000"/>
              <w:left w:val="single" w:sz="6" w:space="0" w:color="000000"/>
            </w:tcBorders>
            <w:shd w:val="clear" w:color="auto" w:fill="CCEEFF"/>
            <w:vAlign w:val="center"/>
            <w:hideMark/>
          </w:tcPr>
          <w:p w14:paraId="070960D9" w14:textId="77777777" w:rsidR="00000000" w:rsidRDefault="0015578C">
            <w:pPr>
              <w:pStyle w:val="a3"/>
              <w:spacing w:before="0" w:beforeAutospacing="0" w:after="0" w:afterAutospacing="0"/>
              <w:jc w:val="center"/>
              <w:rPr>
                <w:sz w:val="20"/>
                <w:szCs w:val="20"/>
              </w:rPr>
            </w:pPr>
            <w:r>
              <w:rPr>
                <w:sz w:val="20"/>
                <w:szCs w:val="20"/>
              </w:rPr>
              <w:t>55</w:t>
            </w:r>
          </w:p>
        </w:tc>
        <w:tc>
          <w:tcPr>
            <w:tcW w:w="500" w:type="pct"/>
            <w:tcBorders>
              <w:top w:val="single" w:sz="6" w:space="0" w:color="000000"/>
              <w:left w:val="single" w:sz="6" w:space="0" w:color="000000"/>
            </w:tcBorders>
            <w:shd w:val="clear" w:color="auto" w:fill="CCEEFF"/>
            <w:vAlign w:val="center"/>
            <w:hideMark/>
          </w:tcPr>
          <w:p w14:paraId="0DD510D1" w14:textId="77777777" w:rsidR="00000000" w:rsidRDefault="0015578C">
            <w:pPr>
              <w:pStyle w:val="a3"/>
              <w:spacing w:before="0" w:beforeAutospacing="0" w:after="0" w:afterAutospacing="0"/>
              <w:jc w:val="center"/>
              <w:rPr>
                <w:sz w:val="20"/>
                <w:szCs w:val="20"/>
              </w:rPr>
            </w:pPr>
            <w:r>
              <w:rPr>
                <w:sz w:val="20"/>
                <w:szCs w:val="20"/>
              </w:rPr>
              <w:t>5.5</w:t>
            </w:r>
          </w:p>
        </w:tc>
        <w:tc>
          <w:tcPr>
            <w:tcW w:w="300" w:type="pct"/>
            <w:tcBorders>
              <w:top w:val="single" w:sz="6" w:space="0" w:color="000000"/>
              <w:left w:val="single" w:sz="6" w:space="0" w:color="000000"/>
            </w:tcBorders>
            <w:shd w:val="clear" w:color="auto" w:fill="CCEEFF"/>
            <w:vAlign w:val="center"/>
            <w:hideMark/>
          </w:tcPr>
          <w:p w14:paraId="41F2ED4E" w14:textId="77777777" w:rsidR="00000000" w:rsidRDefault="0015578C">
            <w:pPr>
              <w:pStyle w:val="a3"/>
              <w:spacing w:before="0" w:beforeAutospacing="0" w:after="0" w:afterAutospacing="0"/>
              <w:jc w:val="center"/>
              <w:rPr>
                <w:sz w:val="20"/>
                <w:szCs w:val="20"/>
              </w:rPr>
            </w:pPr>
            <w:r>
              <w:rPr>
                <w:sz w:val="20"/>
                <w:szCs w:val="20"/>
              </w:rPr>
              <w:t>68</w:t>
            </w:r>
          </w:p>
        </w:tc>
        <w:tc>
          <w:tcPr>
            <w:tcW w:w="500" w:type="pct"/>
            <w:tcBorders>
              <w:top w:val="single" w:sz="6" w:space="0" w:color="000000"/>
              <w:left w:val="single" w:sz="6" w:space="0" w:color="000000"/>
            </w:tcBorders>
            <w:shd w:val="clear" w:color="auto" w:fill="CCEEFF"/>
            <w:vAlign w:val="center"/>
            <w:hideMark/>
          </w:tcPr>
          <w:p w14:paraId="1F8698D6" w14:textId="77777777" w:rsidR="00000000" w:rsidRDefault="0015578C">
            <w:pPr>
              <w:pStyle w:val="a3"/>
              <w:spacing w:before="0" w:beforeAutospacing="0" w:after="0" w:afterAutospacing="0"/>
              <w:jc w:val="center"/>
              <w:rPr>
                <w:sz w:val="20"/>
                <w:szCs w:val="20"/>
              </w:rPr>
            </w:pPr>
            <w:r>
              <w:rPr>
                <w:sz w:val="20"/>
                <w:szCs w:val="20"/>
              </w:rPr>
              <w:t>26.6</w:t>
            </w:r>
          </w:p>
        </w:tc>
      </w:tr>
      <w:tr w:rsidR="00000000" w14:paraId="1F953749" w14:textId="77777777">
        <w:trPr>
          <w:trHeight w:val="225"/>
          <w:tblCellSpacing w:w="15" w:type="dxa"/>
        </w:trPr>
        <w:tc>
          <w:tcPr>
            <w:tcW w:w="850" w:type="pct"/>
            <w:vMerge w:val="restart"/>
            <w:tcBorders>
              <w:top w:val="single" w:sz="6" w:space="0" w:color="000000"/>
              <w:left w:val="single" w:sz="6" w:space="0" w:color="000000"/>
            </w:tcBorders>
            <w:shd w:val="clear" w:color="auto" w:fill="FFFFFF"/>
            <w:vAlign w:val="center"/>
            <w:hideMark/>
          </w:tcPr>
          <w:p w14:paraId="2AA0CF4C" w14:textId="77777777" w:rsidR="00000000" w:rsidRDefault="0015578C">
            <w:pPr>
              <w:pStyle w:val="a3"/>
              <w:spacing w:before="0" w:beforeAutospacing="0" w:after="0" w:afterAutospacing="0"/>
              <w:rPr>
                <w:sz w:val="20"/>
                <w:szCs w:val="20"/>
              </w:rPr>
            </w:pPr>
            <w:r>
              <w:rPr>
                <w:sz w:val="20"/>
                <w:szCs w:val="20"/>
              </w:rPr>
              <w:t>G&amp;T 2008</w:t>
            </w:r>
          </w:p>
        </w:tc>
        <w:tc>
          <w:tcPr>
            <w:tcW w:w="400" w:type="pct"/>
            <w:tcBorders>
              <w:top w:val="single" w:sz="6" w:space="0" w:color="000000"/>
              <w:left w:val="single" w:sz="6" w:space="0" w:color="000000"/>
            </w:tcBorders>
            <w:shd w:val="clear" w:color="auto" w:fill="FFFFFF"/>
            <w:vAlign w:val="center"/>
            <w:hideMark/>
          </w:tcPr>
          <w:p w14:paraId="763D577F" w14:textId="77777777" w:rsidR="00000000" w:rsidRDefault="0015578C">
            <w:pPr>
              <w:pStyle w:val="a3"/>
              <w:spacing w:before="0" w:beforeAutospacing="0" w:after="0" w:afterAutospacing="0"/>
              <w:jc w:val="center"/>
              <w:rPr>
                <w:sz w:val="20"/>
                <w:szCs w:val="20"/>
              </w:rPr>
            </w:pPr>
            <w:r>
              <w:rPr>
                <w:sz w:val="20"/>
                <w:szCs w:val="20"/>
              </w:rPr>
              <w:t>Pb%</w:t>
            </w:r>
          </w:p>
        </w:tc>
        <w:tc>
          <w:tcPr>
            <w:tcW w:w="400" w:type="pct"/>
            <w:tcBorders>
              <w:top w:val="single" w:sz="6" w:space="0" w:color="000000"/>
              <w:left w:val="single" w:sz="6" w:space="0" w:color="000000"/>
            </w:tcBorders>
            <w:shd w:val="clear" w:color="auto" w:fill="FFFFFF"/>
            <w:vAlign w:val="center"/>
            <w:hideMark/>
          </w:tcPr>
          <w:p w14:paraId="2A528884" w14:textId="77777777" w:rsidR="00000000" w:rsidRDefault="0015578C">
            <w:pPr>
              <w:pStyle w:val="a3"/>
              <w:spacing w:before="0" w:beforeAutospacing="0" w:after="0" w:afterAutospacing="0"/>
              <w:jc w:val="center"/>
              <w:rPr>
                <w:sz w:val="20"/>
                <w:szCs w:val="20"/>
              </w:rPr>
            </w:pPr>
            <w:r>
              <w:rPr>
                <w:sz w:val="20"/>
                <w:szCs w:val="20"/>
              </w:rPr>
              <w:t>2.36</w:t>
            </w:r>
          </w:p>
        </w:tc>
        <w:tc>
          <w:tcPr>
            <w:tcW w:w="300" w:type="pct"/>
            <w:tcBorders>
              <w:top w:val="single" w:sz="6" w:space="0" w:color="000000"/>
              <w:left w:val="single" w:sz="6" w:space="0" w:color="000000"/>
            </w:tcBorders>
            <w:shd w:val="clear" w:color="auto" w:fill="FFFFFF"/>
            <w:vAlign w:val="center"/>
            <w:hideMark/>
          </w:tcPr>
          <w:p w14:paraId="3B4C00A7" w14:textId="77777777" w:rsidR="00000000" w:rsidRDefault="0015578C">
            <w:pPr>
              <w:pStyle w:val="a3"/>
              <w:spacing w:before="0" w:beforeAutospacing="0" w:after="0" w:afterAutospacing="0"/>
              <w:jc w:val="center"/>
              <w:rPr>
                <w:sz w:val="20"/>
                <w:szCs w:val="20"/>
              </w:rPr>
            </w:pPr>
            <w:r>
              <w:rPr>
                <w:sz w:val="20"/>
                <w:szCs w:val="20"/>
              </w:rPr>
              <w:t>70.30</w:t>
            </w:r>
          </w:p>
        </w:tc>
        <w:tc>
          <w:tcPr>
            <w:tcW w:w="500" w:type="pct"/>
            <w:tcBorders>
              <w:top w:val="single" w:sz="6" w:space="0" w:color="000000"/>
              <w:left w:val="single" w:sz="6" w:space="0" w:color="000000"/>
            </w:tcBorders>
            <w:shd w:val="clear" w:color="auto" w:fill="FFFFFF"/>
            <w:vAlign w:val="center"/>
            <w:hideMark/>
          </w:tcPr>
          <w:p w14:paraId="6DC1D231" w14:textId="77777777" w:rsidR="00000000" w:rsidRDefault="0015578C">
            <w:pPr>
              <w:pStyle w:val="a3"/>
              <w:spacing w:before="0" w:beforeAutospacing="0" w:after="0" w:afterAutospacing="0"/>
              <w:jc w:val="center"/>
              <w:rPr>
                <w:sz w:val="20"/>
                <w:szCs w:val="20"/>
              </w:rPr>
            </w:pPr>
            <w:r>
              <w:rPr>
                <w:sz w:val="20"/>
                <w:szCs w:val="20"/>
              </w:rPr>
              <w:t>70.3</w:t>
            </w:r>
          </w:p>
        </w:tc>
        <w:tc>
          <w:tcPr>
            <w:tcW w:w="300" w:type="pct"/>
            <w:tcBorders>
              <w:top w:val="single" w:sz="6" w:space="0" w:color="000000"/>
              <w:left w:val="single" w:sz="6" w:space="0" w:color="000000"/>
            </w:tcBorders>
            <w:shd w:val="clear" w:color="auto" w:fill="FFFFFF"/>
            <w:vAlign w:val="center"/>
            <w:hideMark/>
          </w:tcPr>
          <w:p w14:paraId="3FA9A59A" w14:textId="77777777" w:rsidR="00000000" w:rsidRDefault="0015578C">
            <w:pPr>
              <w:pStyle w:val="a3"/>
              <w:spacing w:before="0" w:beforeAutospacing="0" w:after="0" w:afterAutospacing="0"/>
              <w:jc w:val="center"/>
              <w:rPr>
                <w:sz w:val="20"/>
                <w:szCs w:val="20"/>
              </w:rPr>
            </w:pPr>
            <w:r>
              <w:rPr>
                <w:sz w:val="20"/>
                <w:szCs w:val="20"/>
              </w:rPr>
              <w:t>1.57</w:t>
            </w:r>
          </w:p>
        </w:tc>
        <w:tc>
          <w:tcPr>
            <w:tcW w:w="500" w:type="pct"/>
            <w:tcBorders>
              <w:top w:val="single" w:sz="6" w:space="0" w:color="000000"/>
              <w:left w:val="single" w:sz="6" w:space="0" w:color="000000"/>
            </w:tcBorders>
            <w:shd w:val="clear" w:color="auto" w:fill="FFFFFF"/>
            <w:vAlign w:val="center"/>
            <w:hideMark/>
          </w:tcPr>
          <w:p w14:paraId="6A42CBE6" w14:textId="77777777" w:rsidR="00000000" w:rsidRDefault="0015578C">
            <w:pPr>
              <w:pStyle w:val="a3"/>
              <w:spacing w:before="0" w:beforeAutospacing="0" w:after="0" w:afterAutospacing="0"/>
              <w:jc w:val="center"/>
              <w:rPr>
                <w:sz w:val="20"/>
                <w:szCs w:val="20"/>
              </w:rPr>
            </w:pPr>
            <w:r>
              <w:rPr>
                <w:sz w:val="20"/>
                <w:szCs w:val="20"/>
              </w:rPr>
              <w:t>9.4</w:t>
            </w:r>
          </w:p>
        </w:tc>
      </w:tr>
      <w:tr w:rsidR="00000000" w14:paraId="69B30462" w14:textId="77777777">
        <w:trPr>
          <w:trHeight w:val="225"/>
          <w:tblCellSpacing w:w="15" w:type="dxa"/>
        </w:trPr>
        <w:tc>
          <w:tcPr>
            <w:tcW w:w="0" w:type="auto"/>
            <w:vMerge/>
            <w:tcBorders>
              <w:top w:val="single" w:sz="6" w:space="0" w:color="000000"/>
              <w:left w:val="single" w:sz="6" w:space="0" w:color="000000"/>
            </w:tcBorders>
            <w:shd w:val="clear" w:color="auto" w:fill="CCEEFF"/>
            <w:vAlign w:val="center"/>
            <w:hideMark/>
          </w:tcPr>
          <w:p w14:paraId="3A76A13E" w14:textId="77777777" w:rsidR="00000000" w:rsidRDefault="0015578C">
            <w:pPr>
              <w:rPr>
                <w:sz w:val="20"/>
                <w:szCs w:val="20"/>
              </w:rPr>
            </w:pPr>
          </w:p>
        </w:tc>
        <w:tc>
          <w:tcPr>
            <w:tcW w:w="400" w:type="pct"/>
            <w:tcBorders>
              <w:top w:val="single" w:sz="6" w:space="0" w:color="000000"/>
              <w:left w:val="single" w:sz="6" w:space="0" w:color="000000"/>
            </w:tcBorders>
            <w:shd w:val="clear" w:color="auto" w:fill="CCEEFF"/>
            <w:vAlign w:val="center"/>
            <w:hideMark/>
          </w:tcPr>
          <w:p w14:paraId="7414AA6D" w14:textId="77777777" w:rsidR="00000000" w:rsidRDefault="0015578C">
            <w:pPr>
              <w:pStyle w:val="a3"/>
              <w:spacing w:before="0" w:beforeAutospacing="0" w:after="0" w:afterAutospacing="0"/>
              <w:jc w:val="center"/>
              <w:rPr>
                <w:sz w:val="20"/>
                <w:szCs w:val="20"/>
              </w:rPr>
            </w:pPr>
            <w:r>
              <w:rPr>
                <w:sz w:val="20"/>
                <w:szCs w:val="20"/>
              </w:rPr>
              <w:t>Zn%</w:t>
            </w:r>
          </w:p>
        </w:tc>
        <w:tc>
          <w:tcPr>
            <w:tcW w:w="400" w:type="pct"/>
            <w:tcBorders>
              <w:top w:val="single" w:sz="6" w:space="0" w:color="000000"/>
              <w:left w:val="single" w:sz="6" w:space="0" w:color="000000"/>
            </w:tcBorders>
            <w:shd w:val="clear" w:color="auto" w:fill="CCEEFF"/>
            <w:vAlign w:val="center"/>
            <w:hideMark/>
          </w:tcPr>
          <w:p w14:paraId="57DB0ECF" w14:textId="77777777" w:rsidR="00000000" w:rsidRDefault="0015578C">
            <w:pPr>
              <w:pStyle w:val="a3"/>
              <w:spacing w:before="0" w:beforeAutospacing="0" w:after="0" w:afterAutospacing="0"/>
              <w:jc w:val="center"/>
              <w:rPr>
                <w:sz w:val="20"/>
                <w:szCs w:val="20"/>
              </w:rPr>
            </w:pPr>
            <w:r>
              <w:rPr>
                <w:sz w:val="20"/>
                <w:szCs w:val="20"/>
              </w:rPr>
              <w:t>8.47</w:t>
            </w:r>
          </w:p>
        </w:tc>
        <w:tc>
          <w:tcPr>
            <w:tcW w:w="300" w:type="pct"/>
            <w:tcBorders>
              <w:top w:val="single" w:sz="6" w:space="0" w:color="000000"/>
              <w:left w:val="single" w:sz="6" w:space="0" w:color="000000"/>
            </w:tcBorders>
            <w:shd w:val="clear" w:color="auto" w:fill="CCEEFF"/>
            <w:vAlign w:val="center"/>
            <w:hideMark/>
          </w:tcPr>
          <w:p w14:paraId="09D3F4BE" w14:textId="77777777" w:rsidR="00000000" w:rsidRDefault="0015578C">
            <w:pPr>
              <w:pStyle w:val="a3"/>
              <w:spacing w:before="0" w:beforeAutospacing="0" w:after="0" w:afterAutospacing="0"/>
              <w:jc w:val="center"/>
              <w:rPr>
                <w:sz w:val="20"/>
                <w:szCs w:val="20"/>
              </w:rPr>
            </w:pPr>
            <w:r>
              <w:rPr>
                <w:sz w:val="20"/>
                <w:szCs w:val="20"/>
              </w:rPr>
              <w:t>4.17</w:t>
            </w:r>
          </w:p>
        </w:tc>
        <w:tc>
          <w:tcPr>
            <w:tcW w:w="500" w:type="pct"/>
            <w:tcBorders>
              <w:top w:val="single" w:sz="6" w:space="0" w:color="000000"/>
              <w:left w:val="single" w:sz="6" w:space="0" w:color="000000"/>
            </w:tcBorders>
            <w:shd w:val="clear" w:color="auto" w:fill="CCEEFF"/>
            <w:vAlign w:val="center"/>
            <w:hideMark/>
          </w:tcPr>
          <w:p w14:paraId="2360D2D3" w14:textId="77777777" w:rsidR="00000000" w:rsidRDefault="0015578C">
            <w:pPr>
              <w:pStyle w:val="a3"/>
              <w:spacing w:before="0" w:beforeAutospacing="0" w:after="0" w:afterAutospacing="0"/>
              <w:jc w:val="center"/>
              <w:rPr>
                <w:sz w:val="20"/>
                <w:szCs w:val="20"/>
              </w:rPr>
            </w:pPr>
            <w:r>
              <w:rPr>
                <w:sz w:val="20"/>
                <w:szCs w:val="20"/>
              </w:rPr>
              <w:t>1.20</w:t>
            </w:r>
          </w:p>
        </w:tc>
        <w:tc>
          <w:tcPr>
            <w:tcW w:w="300" w:type="pct"/>
            <w:tcBorders>
              <w:top w:val="single" w:sz="6" w:space="0" w:color="000000"/>
              <w:left w:val="single" w:sz="6" w:space="0" w:color="000000"/>
            </w:tcBorders>
            <w:shd w:val="clear" w:color="auto" w:fill="CCEEFF"/>
            <w:vAlign w:val="center"/>
            <w:hideMark/>
          </w:tcPr>
          <w:p w14:paraId="5484AC29" w14:textId="77777777" w:rsidR="00000000" w:rsidRDefault="0015578C">
            <w:pPr>
              <w:pStyle w:val="a3"/>
              <w:spacing w:before="0" w:beforeAutospacing="0" w:after="0" w:afterAutospacing="0"/>
              <w:jc w:val="center"/>
              <w:rPr>
                <w:sz w:val="20"/>
                <w:szCs w:val="20"/>
              </w:rPr>
            </w:pPr>
            <w:r>
              <w:rPr>
                <w:sz w:val="20"/>
                <w:szCs w:val="20"/>
              </w:rPr>
              <w:t>52.20</w:t>
            </w:r>
          </w:p>
        </w:tc>
        <w:tc>
          <w:tcPr>
            <w:tcW w:w="500" w:type="pct"/>
            <w:tcBorders>
              <w:top w:val="single" w:sz="6" w:space="0" w:color="000000"/>
              <w:left w:val="single" w:sz="6" w:space="0" w:color="000000"/>
            </w:tcBorders>
            <w:shd w:val="clear" w:color="auto" w:fill="CCEEFF"/>
            <w:vAlign w:val="center"/>
            <w:hideMark/>
          </w:tcPr>
          <w:p w14:paraId="00CD93FD" w14:textId="77777777" w:rsidR="00000000" w:rsidRDefault="0015578C">
            <w:pPr>
              <w:pStyle w:val="a3"/>
              <w:spacing w:before="0" w:beforeAutospacing="0" w:after="0" w:afterAutospacing="0"/>
              <w:jc w:val="center"/>
              <w:rPr>
                <w:sz w:val="20"/>
                <w:szCs w:val="20"/>
              </w:rPr>
            </w:pPr>
            <w:r>
              <w:rPr>
                <w:sz w:val="20"/>
                <w:szCs w:val="20"/>
              </w:rPr>
              <w:t>86.9</w:t>
            </w:r>
          </w:p>
        </w:tc>
      </w:tr>
      <w:tr w:rsidR="00000000" w14:paraId="0625E652" w14:textId="77777777">
        <w:trPr>
          <w:trHeight w:val="225"/>
          <w:tblCellSpacing w:w="15" w:type="dxa"/>
        </w:trPr>
        <w:tc>
          <w:tcPr>
            <w:tcW w:w="0" w:type="auto"/>
            <w:vMerge/>
            <w:tcBorders>
              <w:top w:val="single" w:sz="6" w:space="0" w:color="000000"/>
              <w:left w:val="single" w:sz="6" w:space="0" w:color="000000"/>
            </w:tcBorders>
            <w:shd w:val="clear" w:color="auto" w:fill="FFFFFF"/>
            <w:vAlign w:val="center"/>
            <w:hideMark/>
          </w:tcPr>
          <w:p w14:paraId="13BC1BA4" w14:textId="77777777" w:rsidR="00000000" w:rsidRDefault="0015578C">
            <w:pPr>
              <w:rPr>
                <w:sz w:val="20"/>
                <w:szCs w:val="20"/>
              </w:rPr>
            </w:pPr>
          </w:p>
        </w:tc>
        <w:tc>
          <w:tcPr>
            <w:tcW w:w="400" w:type="pct"/>
            <w:tcBorders>
              <w:top w:val="single" w:sz="6" w:space="0" w:color="000000"/>
              <w:left w:val="single" w:sz="6" w:space="0" w:color="000000"/>
            </w:tcBorders>
            <w:shd w:val="clear" w:color="auto" w:fill="FFFFFF"/>
            <w:vAlign w:val="center"/>
            <w:hideMark/>
          </w:tcPr>
          <w:p w14:paraId="327D2112" w14:textId="77777777" w:rsidR="00000000" w:rsidRDefault="0015578C">
            <w:pPr>
              <w:pStyle w:val="a3"/>
              <w:spacing w:before="0" w:beforeAutospacing="0" w:after="0" w:afterAutospacing="0"/>
              <w:jc w:val="center"/>
              <w:rPr>
                <w:sz w:val="20"/>
                <w:szCs w:val="20"/>
              </w:rPr>
            </w:pPr>
            <w:r>
              <w:rPr>
                <w:sz w:val="20"/>
                <w:szCs w:val="20"/>
              </w:rPr>
              <w:t>Ag gpt</w:t>
            </w:r>
          </w:p>
        </w:tc>
        <w:tc>
          <w:tcPr>
            <w:tcW w:w="400" w:type="pct"/>
            <w:tcBorders>
              <w:top w:val="single" w:sz="6" w:space="0" w:color="000000"/>
              <w:left w:val="single" w:sz="6" w:space="0" w:color="000000"/>
            </w:tcBorders>
            <w:shd w:val="clear" w:color="auto" w:fill="FFFFFF"/>
            <w:vAlign w:val="center"/>
            <w:hideMark/>
          </w:tcPr>
          <w:p w14:paraId="056A75C0" w14:textId="77777777" w:rsidR="00000000" w:rsidRDefault="0015578C">
            <w:pPr>
              <w:pStyle w:val="a3"/>
              <w:spacing w:before="0" w:beforeAutospacing="0" w:after="0" w:afterAutospacing="0"/>
              <w:jc w:val="center"/>
              <w:rPr>
                <w:sz w:val="20"/>
                <w:szCs w:val="20"/>
              </w:rPr>
            </w:pPr>
            <w:r>
              <w:rPr>
                <w:sz w:val="20"/>
                <w:szCs w:val="20"/>
              </w:rPr>
              <w:t>34</w:t>
            </w:r>
          </w:p>
        </w:tc>
        <w:tc>
          <w:tcPr>
            <w:tcW w:w="300" w:type="pct"/>
            <w:tcBorders>
              <w:top w:val="single" w:sz="6" w:space="0" w:color="000000"/>
              <w:left w:val="single" w:sz="6" w:space="0" w:color="000000"/>
            </w:tcBorders>
            <w:shd w:val="clear" w:color="auto" w:fill="FFFFFF"/>
            <w:vAlign w:val="center"/>
            <w:hideMark/>
          </w:tcPr>
          <w:p w14:paraId="603401CB" w14:textId="77777777" w:rsidR="00000000" w:rsidRDefault="0015578C">
            <w:pPr>
              <w:pStyle w:val="a3"/>
              <w:spacing w:before="0" w:beforeAutospacing="0" w:after="0" w:afterAutospacing="0"/>
              <w:jc w:val="center"/>
              <w:rPr>
                <w:sz w:val="20"/>
                <w:szCs w:val="20"/>
              </w:rPr>
            </w:pPr>
            <w:r>
              <w:rPr>
                <w:sz w:val="20"/>
                <w:szCs w:val="20"/>
              </w:rPr>
              <w:t>68</w:t>
            </w:r>
          </w:p>
        </w:tc>
        <w:tc>
          <w:tcPr>
            <w:tcW w:w="500" w:type="pct"/>
            <w:tcBorders>
              <w:top w:val="single" w:sz="6" w:space="0" w:color="000000"/>
              <w:left w:val="single" w:sz="6" w:space="0" w:color="000000"/>
            </w:tcBorders>
            <w:shd w:val="clear" w:color="auto" w:fill="FFFFFF"/>
            <w:vAlign w:val="center"/>
            <w:hideMark/>
          </w:tcPr>
          <w:p w14:paraId="4635A7AE" w14:textId="77777777" w:rsidR="00000000" w:rsidRDefault="0015578C">
            <w:pPr>
              <w:pStyle w:val="a3"/>
              <w:spacing w:before="0" w:beforeAutospacing="0" w:after="0" w:afterAutospacing="0"/>
              <w:jc w:val="center"/>
              <w:rPr>
                <w:sz w:val="20"/>
                <w:szCs w:val="20"/>
              </w:rPr>
            </w:pPr>
            <w:r>
              <w:rPr>
                <w:sz w:val="20"/>
                <w:szCs w:val="20"/>
              </w:rPr>
              <w:t>4.8</w:t>
            </w:r>
          </w:p>
        </w:tc>
        <w:tc>
          <w:tcPr>
            <w:tcW w:w="300" w:type="pct"/>
            <w:tcBorders>
              <w:top w:val="single" w:sz="6" w:space="0" w:color="000000"/>
              <w:left w:val="single" w:sz="6" w:space="0" w:color="000000"/>
            </w:tcBorders>
            <w:shd w:val="clear" w:color="auto" w:fill="FFFFFF"/>
            <w:vAlign w:val="center"/>
            <w:hideMark/>
          </w:tcPr>
          <w:p w14:paraId="136E9D5F" w14:textId="77777777" w:rsidR="00000000" w:rsidRDefault="0015578C">
            <w:pPr>
              <w:pStyle w:val="a3"/>
              <w:spacing w:before="0" w:beforeAutospacing="0" w:after="0" w:afterAutospacing="0"/>
              <w:jc w:val="center"/>
              <w:rPr>
                <w:sz w:val="20"/>
                <w:szCs w:val="20"/>
              </w:rPr>
            </w:pPr>
            <w:r>
              <w:rPr>
                <w:sz w:val="20"/>
                <w:szCs w:val="20"/>
              </w:rPr>
              <w:t>64</w:t>
            </w:r>
          </w:p>
        </w:tc>
        <w:tc>
          <w:tcPr>
            <w:tcW w:w="500" w:type="pct"/>
            <w:tcBorders>
              <w:top w:val="single" w:sz="6" w:space="0" w:color="000000"/>
              <w:left w:val="single" w:sz="6" w:space="0" w:color="000000"/>
            </w:tcBorders>
            <w:shd w:val="clear" w:color="auto" w:fill="FFFFFF"/>
            <w:vAlign w:val="center"/>
            <w:hideMark/>
          </w:tcPr>
          <w:p w14:paraId="15981337" w14:textId="77777777" w:rsidR="00000000" w:rsidRDefault="0015578C">
            <w:pPr>
              <w:pStyle w:val="a3"/>
              <w:spacing w:before="0" w:beforeAutospacing="0" w:after="0" w:afterAutospacing="0"/>
              <w:jc w:val="center"/>
              <w:rPr>
                <w:sz w:val="20"/>
                <w:szCs w:val="20"/>
              </w:rPr>
            </w:pPr>
            <w:r>
              <w:rPr>
                <w:sz w:val="20"/>
                <w:szCs w:val="20"/>
              </w:rPr>
              <w:t>26.9</w:t>
            </w:r>
          </w:p>
        </w:tc>
      </w:tr>
      <w:tr w:rsidR="00000000" w14:paraId="5216346B" w14:textId="77777777">
        <w:trPr>
          <w:trHeight w:val="225"/>
          <w:tblCellSpacing w:w="15" w:type="dxa"/>
        </w:trPr>
        <w:tc>
          <w:tcPr>
            <w:tcW w:w="850" w:type="pct"/>
            <w:vMerge w:val="restart"/>
            <w:tcBorders>
              <w:top w:val="single" w:sz="6" w:space="0" w:color="000000"/>
              <w:left w:val="single" w:sz="6" w:space="0" w:color="000000"/>
            </w:tcBorders>
            <w:shd w:val="clear" w:color="auto" w:fill="CCEEFF"/>
            <w:vAlign w:val="center"/>
            <w:hideMark/>
          </w:tcPr>
          <w:p w14:paraId="77019A3F" w14:textId="77777777" w:rsidR="00000000" w:rsidRDefault="0015578C">
            <w:pPr>
              <w:pStyle w:val="a3"/>
              <w:spacing w:before="0" w:beforeAutospacing="0" w:after="0" w:afterAutospacing="0"/>
              <w:rPr>
                <w:sz w:val="20"/>
                <w:szCs w:val="20"/>
              </w:rPr>
            </w:pPr>
            <w:r>
              <w:rPr>
                <w:sz w:val="20"/>
                <w:szCs w:val="20"/>
              </w:rPr>
              <w:t>Average Used for Mass Balance and NSR Estimates</w:t>
            </w:r>
          </w:p>
        </w:tc>
        <w:tc>
          <w:tcPr>
            <w:tcW w:w="400" w:type="pct"/>
            <w:tcBorders>
              <w:top w:val="single" w:sz="6" w:space="0" w:color="000000"/>
              <w:left w:val="single" w:sz="6" w:space="0" w:color="000000"/>
            </w:tcBorders>
            <w:shd w:val="clear" w:color="auto" w:fill="CCEEFF"/>
            <w:vAlign w:val="center"/>
            <w:hideMark/>
          </w:tcPr>
          <w:p w14:paraId="13876783" w14:textId="77777777" w:rsidR="00000000" w:rsidRDefault="0015578C">
            <w:pPr>
              <w:pStyle w:val="a3"/>
              <w:spacing w:before="0" w:beforeAutospacing="0" w:after="0" w:afterAutospacing="0"/>
              <w:jc w:val="center"/>
              <w:rPr>
                <w:sz w:val="20"/>
                <w:szCs w:val="20"/>
              </w:rPr>
            </w:pPr>
            <w:r>
              <w:rPr>
                <w:sz w:val="20"/>
                <w:szCs w:val="20"/>
              </w:rPr>
              <w:t>Pb%</w:t>
            </w:r>
          </w:p>
        </w:tc>
        <w:tc>
          <w:tcPr>
            <w:tcW w:w="400" w:type="pct"/>
            <w:tcBorders>
              <w:top w:val="single" w:sz="6" w:space="0" w:color="000000"/>
              <w:left w:val="single" w:sz="6" w:space="0" w:color="000000"/>
            </w:tcBorders>
            <w:shd w:val="clear" w:color="auto" w:fill="CCEEFF"/>
            <w:vAlign w:val="center"/>
            <w:hideMark/>
          </w:tcPr>
          <w:p w14:paraId="4C9AD38C" w14:textId="77777777" w:rsidR="00000000" w:rsidRDefault="0015578C">
            <w:pPr>
              <w:pStyle w:val="a3"/>
              <w:spacing w:before="0" w:beforeAutospacing="0" w:after="0" w:afterAutospacing="0"/>
              <w:jc w:val="center"/>
              <w:rPr>
                <w:sz w:val="20"/>
                <w:szCs w:val="20"/>
              </w:rPr>
            </w:pPr>
            <w:r>
              <w:rPr>
                <w:sz w:val="20"/>
                <w:szCs w:val="20"/>
              </w:rPr>
              <w:t>2.60</w:t>
            </w:r>
          </w:p>
        </w:tc>
        <w:tc>
          <w:tcPr>
            <w:tcW w:w="300" w:type="pct"/>
            <w:tcBorders>
              <w:top w:val="single" w:sz="6" w:space="0" w:color="000000"/>
              <w:left w:val="single" w:sz="6" w:space="0" w:color="000000"/>
            </w:tcBorders>
            <w:shd w:val="clear" w:color="auto" w:fill="CCEEFF"/>
            <w:vAlign w:val="center"/>
            <w:hideMark/>
          </w:tcPr>
          <w:p w14:paraId="6AB27C38" w14:textId="77777777" w:rsidR="00000000" w:rsidRDefault="0015578C">
            <w:pPr>
              <w:pStyle w:val="a3"/>
              <w:spacing w:before="0" w:beforeAutospacing="0" w:after="0" w:afterAutospacing="0"/>
              <w:jc w:val="center"/>
              <w:rPr>
                <w:sz w:val="20"/>
                <w:szCs w:val="20"/>
              </w:rPr>
            </w:pPr>
            <w:r>
              <w:rPr>
                <w:sz w:val="20"/>
                <w:szCs w:val="20"/>
              </w:rPr>
              <w:t>61.15</w:t>
            </w:r>
          </w:p>
        </w:tc>
        <w:tc>
          <w:tcPr>
            <w:tcW w:w="500" w:type="pct"/>
            <w:tcBorders>
              <w:top w:val="single" w:sz="6" w:space="0" w:color="000000"/>
              <w:left w:val="single" w:sz="6" w:space="0" w:color="000000"/>
            </w:tcBorders>
            <w:shd w:val="clear" w:color="auto" w:fill="CCEEFF"/>
            <w:vAlign w:val="center"/>
            <w:hideMark/>
          </w:tcPr>
          <w:p w14:paraId="5C5472CB" w14:textId="77777777" w:rsidR="00000000" w:rsidRDefault="0015578C">
            <w:pPr>
              <w:pStyle w:val="a3"/>
              <w:spacing w:before="0" w:beforeAutospacing="0" w:after="0" w:afterAutospacing="0"/>
              <w:jc w:val="center"/>
              <w:rPr>
                <w:sz w:val="20"/>
                <w:szCs w:val="20"/>
              </w:rPr>
            </w:pPr>
            <w:r>
              <w:rPr>
                <w:sz w:val="20"/>
                <w:szCs w:val="20"/>
              </w:rPr>
              <w:t>69.7</w:t>
            </w:r>
          </w:p>
        </w:tc>
        <w:tc>
          <w:tcPr>
            <w:tcW w:w="300" w:type="pct"/>
            <w:tcBorders>
              <w:top w:val="single" w:sz="6" w:space="0" w:color="000000"/>
              <w:left w:val="single" w:sz="6" w:space="0" w:color="000000"/>
            </w:tcBorders>
            <w:shd w:val="clear" w:color="auto" w:fill="CCEEFF"/>
            <w:vAlign w:val="center"/>
            <w:hideMark/>
          </w:tcPr>
          <w:p w14:paraId="2EC4B8A7" w14:textId="77777777" w:rsidR="00000000" w:rsidRDefault="0015578C">
            <w:pPr>
              <w:pStyle w:val="a3"/>
              <w:spacing w:before="0" w:beforeAutospacing="0" w:after="0" w:afterAutospacing="0"/>
              <w:jc w:val="center"/>
              <w:rPr>
                <w:sz w:val="20"/>
                <w:szCs w:val="20"/>
              </w:rPr>
            </w:pPr>
            <w:r>
              <w:rPr>
                <w:sz w:val="20"/>
                <w:szCs w:val="20"/>
              </w:rPr>
              <w:t>1.73</w:t>
            </w:r>
          </w:p>
        </w:tc>
        <w:tc>
          <w:tcPr>
            <w:tcW w:w="500" w:type="pct"/>
            <w:tcBorders>
              <w:top w:val="single" w:sz="6" w:space="0" w:color="000000"/>
              <w:left w:val="single" w:sz="6" w:space="0" w:color="000000"/>
            </w:tcBorders>
            <w:shd w:val="clear" w:color="auto" w:fill="CCEEFF"/>
            <w:vAlign w:val="center"/>
            <w:hideMark/>
          </w:tcPr>
          <w:p w14:paraId="4BECAF84" w14:textId="77777777" w:rsidR="00000000" w:rsidRDefault="0015578C">
            <w:pPr>
              <w:pStyle w:val="a3"/>
              <w:spacing w:before="0" w:beforeAutospacing="0" w:after="0" w:afterAutospacing="0"/>
              <w:jc w:val="center"/>
              <w:rPr>
                <w:sz w:val="20"/>
                <w:szCs w:val="20"/>
              </w:rPr>
            </w:pPr>
            <w:r>
              <w:rPr>
                <w:sz w:val="20"/>
                <w:szCs w:val="20"/>
              </w:rPr>
              <w:t>9.6</w:t>
            </w:r>
          </w:p>
        </w:tc>
      </w:tr>
      <w:tr w:rsidR="00000000" w14:paraId="2E962CFF" w14:textId="77777777">
        <w:trPr>
          <w:trHeight w:val="225"/>
          <w:tblCellSpacing w:w="15" w:type="dxa"/>
        </w:trPr>
        <w:tc>
          <w:tcPr>
            <w:tcW w:w="0" w:type="auto"/>
            <w:vMerge/>
            <w:tcBorders>
              <w:top w:val="single" w:sz="6" w:space="0" w:color="000000"/>
              <w:left w:val="single" w:sz="6" w:space="0" w:color="000000"/>
            </w:tcBorders>
            <w:shd w:val="clear" w:color="auto" w:fill="FFFFFF"/>
            <w:vAlign w:val="center"/>
            <w:hideMark/>
          </w:tcPr>
          <w:p w14:paraId="38E5C211" w14:textId="77777777" w:rsidR="00000000" w:rsidRDefault="0015578C">
            <w:pPr>
              <w:rPr>
                <w:sz w:val="20"/>
                <w:szCs w:val="20"/>
              </w:rPr>
            </w:pPr>
          </w:p>
        </w:tc>
        <w:tc>
          <w:tcPr>
            <w:tcW w:w="400" w:type="pct"/>
            <w:tcBorders>
              <w:top w:val="single" w:sz="6" w:space="0" w:color="000000"/>
              <w:left w:val="single" w:sz="6" w:space="0" w:color="000000"/>
            </w:tcBorders>
            <w:shd w:val="clear" w:color="auto" w:fill="FFFFFF"/>
            <w:vAlign w:val="center"/>
            <w:hideMark/>
          </w:tcPr>
          <w:p w14:paraId="6152CDCE" w14:textId="77777777" w:rsidR="00000000" w:rsidRDefault="0015578C">
            <w:pPr>
              <w:pStyle w:val="a3"/>
              <w:spacing w:before="0" w:beforeAutospacing="0" w:after="0" w:afterAutospacing="0"/>
              <w:jc w:val="center"/>
              <w:rPr>
                <w:sz w:val="20"/>
                <w:szCs w:val="20"/>
              </w:rPr>
            </w:pPr>
            <w:r>
              <w:rPr>
                <w:sz w:val="20"/>
                <w:szCs w:val="20"/>
              </w:rPr>
              <w:t>Zn%</w:t>
            </w:r>
          </w:p>
        </w:tc>
        <w:tc>
          <w:tcPr>
            <w:tcW w:w="400" w:type="pct"/>
            <w:tcBorders>
              <w:top w:val="single" w:sz="6" w:space="0" w:color="000000"/>
              <w:left w:val="single" w:sz="6" w:space="0" w:color="000000"/>
            </w:tcBorders>
            <w:shd w:val="clear" w:color="auto" w:fill="FFFFFF"/>
            <w:vAlign w:val="center"/>
            <w:hideMark/>
          </w:tcPr>
          <w:p w14:paraId="40AE4A8D" w14:textId="77777777" w:rsidR="00000000" w:rsidRDefault="0015578C">
            <w:pPr>
              <w:pStyle w:val="a3"/>
              <w:spacing w:before="0" w:beforeAutospacing="0" w:after="0" w:afterAutospacing="0"/>
              <w:jc w:val="center"/>
              <w:rPr>
                <w:sz w:val="20"/>
                <w:szCs w:val="20"/>
              </w:rPr>
            </w:pPr>
            <w:r>
              <w:rPr>
                <w:sz w:val="20"/>
                <w:szCs w:val="20"/>
              </w:rPr>
              <w:t>9.02</w:t>
            </w:r>
          </w:p>
        </w:tc>
        <w:tc>
          <w:tcPr>
            <w:tcW w:w="300" w:type="pct"/>
            <w:tcBorders>
              <w:top w:val="single" w:sz="6" w:space="0" w:color="000000"/>
              <w:left w:val="single" w:sz="6" w:space="0" w:color="000000"/>
            </w:tcBorders>
            <w:shd w:val="clear" w:color="auto" w:fill="FFFFFF"/>
            <w:vAlign w:val="center"/>
            <w:hideMark/>
          </w:tcPr>
          <w:p w14:paraId="796EE095" w14:textId="77777777" w:rsidR="00000000" w:rsidRDefault="0015578C">
            <w:pPr>
              <w:pStyle w:val="a3"/>
              <w:spacing w:before="0" w:beforeAutospacing="0" w:after="0" w:afterAutospacing="0"/>
              <w:jc w:val="center"/>
              <w:rPr>
                <w:sz w:val="20"/>
                <w:szCs w:val="20"/>
              </w:rPr>
            </w:pPr>
            <w:r>
              <w:rPr>
                <w:sz w:val="20"/>
                <w:szCs w:val="20"/>
              </w:rPr>
              <w:t>5.78</w:t>
            </w:r>
          </w:p>
        </w:tc>
        <w:tc>
          <w:tcPr>
            <w:tcW w:w="500" w:type="pct"/>
            <w:tcBorders>
              <w:top w:val="single" w:sz="6" w:space="0" w:color="000000"/>
              <w:left w:val="single" w:sz="6" w:space="0" w:color="000000"/>
            </w:tcBorders>
            <w:shd w:val="clear" w:color="auto" w:fill="FFFFFF"/>
            <w:vAlign w:val="center"/>
            <w:hideMark/>
          </w:tcPr>
          <w:p w14:paraId="2DAA9A68" w14:textId="77777777" w:rsidR="00000000" w:rsidRDefault="0015578C">
            <w:pPr>
              <w:pStyle w:val="a3"/>
              <w:spacing w:before="0" w:beforeAutospacing="0" w:after="0" w:afterAutospacing="0"/>
              <w:jc w:val="center"/>
              <w:rPr>
                <w:sz w:val="20"/>
                <w:szCs w:val="20"/>
              </w:rPr>
            </w:pPr>
            <w:r>
              <w:rPr>
                <w:sz w:val="20"/>
                <w:szCs w:val="20"/>
              </w:rPr>
              <w:t>2.06</w:t>
            </w:r>
          </w:p>
        </w:tc>
        <w:tc>
          <w:tcPr>
            <w:tcW w:w="300" w:type="pct"/>
            <w:tcBorders>
              <w:top w:val="single" w:sz="6" w:space="0" w:color="000000"/>
              <w:left w:val="single" w:sz="6" w:space="0" w:color="000000"/>
            </w:tcBorders>
            <w:shd w:val="clear" w:color="auto" w:fill="FFFFFF"/>
            <w:vAlign w:val="center"/>
            <w:hideMark/>
          </w:tcPr>
          <w:p w14:paraId="04F25F60" w14:textId="77777777" w:rsidR="00000000" w:rsidRDefault="0015578C">
            <w:pPr>
              <w:pStyle w:val="a3"/>
              <w:spacing w:before="0" w:beforeAutospacing="0" w:after="0" w:afterAutospacing="0"/>
              <w:jc w:val="center"/>
              <w:rPr>
                <w:sz w:val="20"/>
                <w:szCs w:val="20"/>
              </w:rPr>
            </w:pPr>
            <w:r>
              <w:rPr>
                <w:sz w:val="20"/>
                <w:szCs w:val="20"/>
              </w:rPr>
              <w:t>53.40</w:t>
            </w:r>
          </w:p>
        </w:tc>
        <w:tc>
          <w:tcPr>
            <w:tcW w:w="500" w:type="pct"/>
            <w:tcBorders>
              <w:top w:val="single" w:sz="6" w:space="0" w:color="000000"/>
              <w:left w:val="single" w:sz="6" w:space="0" w:color="000000"/>
            </w:tcBorders>
            <w:shd w:val="clear" w:color="auto" w:fill="FFFFFF"/>
            <w:vAlign w:val="center"/>
            <w:hideMark/>
          </w:tcPr>
          <w:p w14:paraId="6141A650" w14:textId="77777777" w:rsidR="00000000" w:rsidRDefault="0015578C">
            <w:pPr>
              <w:pStyle w:val="a3"/>
              <w:spacing w:before="0" w:beforeAutospacing="0" w:after="0" w:afterAutospacing="0"/>
              <w:jc w:val="center"/>
              <w:rPr>
                <w:sz w:val="20"/>
                <w:szCs w:val="20"/>
              </w:rPr>
            </w:pPr>
            <w:r>
              <w:rPr>
                <w:sz w:val="20"/>
                <w:szCs w:val="20"/>
              </w:rPr>
              <w:t>85.0</w:t>
            </w:r>
          </w:p>
        </w:tc>
      </w:tr>
      <w:tr w:rsidR="00000000" w14:paraId="7E1AD3DD" w14:textId="77777777">
        <w:trPr>
          <w:trHeight w:val="225"/>
          <w:tblCellSpacing w:w="15" w:type="dxa"/>
        </w:trPr>
        <w:tc>
          <w:tcPr>
            <w:tcW w:w="0" w:type="auto"/>
            <w:vMerge/>
            <w:tcBorders>
              <w:top w:val="single" w:sz="6" w:space="0" w:color="000000"/>
              <w:left w:val="single" w:sz="6" w:space="0" w:color="000000"/>
            </w:tcBorders>
            <w:shd w:val="clear" w:color="auto" w:fill="CCEEFF"/>
            <w:vAlign w:val="center"/>
            <w:hideMark/>
          </w:tcPr>
          <w:p w14:paraId="5248F59F" w14:textId="77777777" w:rsidR="00000000" w:rsidRDefault="0015578C">
            <w:pPr>
              <w:rPr>
                <w:sz w:val="20"/>
                <w:szCs w:val="20"/>
              </w:rPr>
            </w:pPr>
          </w:p>
        </w:tc>
        <w:tc>
          <w:tcPr>
            <w:tcW w:w="400" w:type="pct"/>
            <w:tcBorders>
              <w:top w:val="single" w:sz="6" w:space="0" w:color="000000"/>
              <w:left w:val="single" w:sz="6" w:space="0" w:color="000000"/>
            </w:tcBorders>
            <w:shd w:val="clear" w:color="auto" w:fill="CCEEFF"/>
            <w:vAlign w:val="center"/>
            <w:hideMark/>
          </w:tcPr>
          <w:p w14:paraId="5403BD70" w14:textId="77777777" w:rsidR="00000000" w:rsidRDefault="0015578C">
            <w:pPr>
              <w:pStyle w:val="a3"/>
              <w:spacing w:before="0" w:beforeAutospacing="0" w:after="0" w:afterAutospacing="0"/>
              <w:jc w:val="center"/>
              <w:rPr>
                <w:sz w:val="20"/>
                <w:szCs w:val="20"/>
              </w:rPr>
            </w:pPr>
            <w:r>
              <w:rPr>
                <w:sz w:val="20"/>
                <w:szCs w:val="20"/>
              </w:rPr>
              <w:t>Ag gpt</w:t>
            </w:r>
          </w:p>
        </w:tc>
        <w:tc>
          <w:tcPr>
            <w:tcW w:w="400" w:type="pct"/>
            <w:tcBorders>
              <w:top w:val="single" w:sz="6" w:space="0" w:color="000000"/>
              <w:left w:val="single" w:sz="6" w:space="0" w:color="000000"/>
            </w:tcBorders>
            <w:shd w:val="clear" w:color="auto" w:fill="CCEEFF"/>
            <w:vAlign w:val="center"/>
            <w:hideMark/>
          </w:tcPr>
          <w:p w14:paraId="2E874203" w14:textId="77777777" w:rsidR="00000000" w:rsidRDefault="0015578C">
            <w:pPr>
              <w:pStyle w:val="a3"/>
              <w:spacing w:before="0" w:beforeAutospacing="0" w:after="0" w:afterAutospacing="0"/>
              <w:jc w:val="center"/>
              <w:rPr>
                <w:sz w:val="20"/>
                <w:szCs w:val="20"/>
              </w:rPr>
            </w:pPr>
            <w:r>
              <w:rPr>
                <w:sz w:val="20"/>
                <w:szCs w:val="20"/>
              </w:rPr>
              <w:t>36</w:t>
            </w:r>
          </w:p>
        </w:tc>
        <w:tc>
          <w:tcPr>
            <w:tcW w:w="300" w:type="pct"/>
            <w:tcBorders>
              <w:top w:val="single" w:sz="6" w:space="0" w:color="000000"/>
              <w:left w:val="single" w:sz="6" w:space="0" w:color="000000"/>
            </w:tcBorders>
            <w:shd w:val="clear" w:color="auto" w:fill="CCEEFF"/>
            <w:vAlign w:val="center"/>
            <w:hideMark/>
          </w:tcPr>
          <w:p w14:paraId="15FC3C24" w14:textId="77777777" w:rsidR="00000000" w:rsidRDefault="0015578C">
            <w:pPr>
              <w:pStyle w:val="a3"/>
              <w:spacing w:before="0" w:beforeAutospacing="0" w:after="0" w:afterAutospacing="0"/>
              <w:jc w:val="center"/>
              <w:rPr>
                <w:sz w:val="20"/>
                <w:szCs w:val="20"/>
              </w:rPr>
            </w:pPr>
            <w:r>
              <w:rPr>
                <w:sz w:val="20"/>
                <w:szCs w:val="20"/>
              </w:rPr>
              <w:t>62</w:t>
            </w:r>
          </w:p>
        </w:tc>
        <w:tc>
          <w:tcPr>
            <w:tcW w:w="500" w:type="pct"/>
            <w:tcBorders>
              <w:top w:val="single" w:sz="6" w:space="0" w:color="000000"/>
              <w:left w:val="single" w:sz="6" w:space="0" w:color="000000"/>
            </w:tcBorders>
            <w:shd w:val="clear" w:color="auto" w:fill="CCEEFF"/>
            <w:vAlign w:val="center"/>
            <w:hideMark/>
          </w:tcPr>
          <w:p w14:paraId="089BFCC2" w14:textId="77777777" w:rsidR="00000000" w:rsidRDefault="0015578C">
            <w:pPr>
              <w:pStyle w:val="a3"/>
              <w:spacing w:before="0" w:beforeAutospacing="0" w:after="0" w:afterAutospacing="0"/>
              <w:jc w:val="center"/>
              <w:rPr>
                <w:sz w:val="20"/>
                <w:szCs w:val="20"/>
              </w:rPr>
            </w:pPr>
            <w:r>
              <w:rPr>
                <w:sz w:val="20"/>
                <w:szCs w:val="20"/>
              </w:rPr>
              <w:t>5.2</w:t>
            </w:r>
          </w:p>
        </w:tc>
        <w:tc>
          <w:tcPr>
            <w:tcW w:w="300" w:type="pct"/>
            <w:tcBorders>
              <w:top w:val="single" w:sz="6" w:space="0" w:color="000000"/>
              <w:left w:val="single" w:sz="6" w:space="0" w:color="000000"/>
            </w:tcBorders>
            <w:shd w:val="clear" w:color="auto" w:fill="CCEEFF"/>
            <w:vAlign w:val="center"/>
            <w:hideMark/>
          </w:tcPr>
          <w:p w14:paraId="633C637C" w14:textId="77777777" w:rsidR="00000000" w:rsidRDefault="0015578C">
            <w:pPr>
              <w:pStyle w:val="a3"/>
              <w:spacing w:before="0" w:beforeAutospacing="0" w:after="0" w:afterAutospacing="0"/>
              <w:jc w:val="center"/>
              <w:rPr>
                <w:sz w:val="20"/>
                <w:szCs w:val="20"/>
              </w:rPr>
            </w:pPr>
            <w:r>
              <w:rPr>
                <w:sz w:val="20"/>
                <w:szCs w:val="20"/>
              </w:rPr>
              <w:t>66</w:t>
            </w:r>
          </w:p>
        </w:tc>
        <w:tc>
          <w:tcPr>
            <w:tcW w:w="500" w:type="pct"/>
            <w:tcBorders>
              <w:top w:val="single" w:sz="6" w:space="0" w:color="000000"/>
              <w:left w:val="single" w:sz="6" w:space="0" w:color="000000"/>
            </w:tcBorders>
            <w:shd w:val="clear" w:color="auto" w:fill="CCEEFF"/>
            <w:vAlign w:val="center"/>
            <w:hideMark/>
          </w:tcPr>
          <w:p w14:paraId="1EC1710D" w14:textId="77777777" w:rsidR="00000000" w:rsidRDefault="0015578C">
            <w:pPr>
              <w:pStyle w:val="a3"/>
              <w:spacing w:before="0" w:beforeAutospacing="0" w:after="0" w:afterAutospacing="0"/>
              <w:jc w:val="center"/>
              <w:rPr>
                <w:sz w:val="20"/>
                <w:szCs w:val="20"/>
              </w:rPr>
            </w:pPr>
            <w:r>
              <w:rPr>
                <w:sz w:val="20"/>
                <w:szCs w:val="20"/>
              </w:rPr>
              <w:t>26.8</w:t>
            </w:r>
          </w:p>
        </w:tc>
      </w:tr>
    </w:tbl>
    <w:p w14:paraId="663EC4D0" w14:textId="77777777" w:rsidR="00000000" w:rsidRDefault="0015578C">
      <w:pPr>
        <w:pStyle w:val="a3"/>
        <w:spacing w:before="0" w:beforeAutospacing="0" w:after="0" w:afterAutospacing="0"/>
        <w:jc w:val="both"/>
        <w:rPr>
          <w:sz w:val="20"/>
          <w:szCs w:val="20"/>
        </w:rPr>
      </w:pPr>
      <w:r>
        <w:rPr>
          <w:sz w:val="20"/>
          <w:szCs w:val="20"/>
        </w:rPr>
        <w:t> </w:t>
      </w:r>
    </w:p>
    <w:p w14:paraId="11113F66" w14:textId="77777777" w:rsidR="00000000" w:rsidRDefault="0015578C">
      <w:pPr>
        <w:pStyle w:val="a3"/>
        <w:spacing w:before="0" w:beforeAutospacing="0" w:after="0" w:afterAutospacing="0"/>
        <w:ind w:firstLine="675"/>
        <w:jc w:val="both"/>
        <w:rPr>
          <w:sz w:val="20"/>
          <w:szCs w:val="20"/>
        </w:rPr>
      </w:pPr>
      <w:r>
        <w:rPr>
          <w:sz w:val="20"/>
          <w:szCs w:val="20"/>
        </w:rPr>
        <w:t>The metallurgical flowsheet for this PEA includes conventional crushing, grinding, and floatation processing methods. Run-of–Mine (ROM) ore will be delivered to a primary crushing plant and stored in a coarse ore stockpile awaiting reclaim into the grindin</w:t>
      </w:r>
      <w:r>
        <w:rPr>
          <w:sz w:val="20"/>
          <w:szCs w:val="20"/>
        </w:rPr>
        <w:t xml:space="preserve">g circuit. Crusher ore will be reclaimed and delivered to a two-stage grinding circuit equipped with a Semi-Autogenous Grinding (SAG) mill and a ball mill in closed circuit with cyclones. </w:t>
      </w:r>
    </w:p>
    <w:p w14:paraId="5DB9EBBE" w14:textId="77777777" w:rsidR="00000000" w:rsidRDefault="0015578C">
      <w:pPr>
        <w:pStyle w:val="a3"/>
        <w:spacing w:before="0" w:beforeAutospacing="0" w:after="0" w:afterAutospacing="0"/>
        <w:ind w:firstLine="675"/>
        <w:jc w:val="both"/>
        <w:rPr>
          <w:sz w:val="20"/>
          <w:szCs w:val="20"/>
        </w:rPr>
      </w:pPr>
      <w:r>
        <w:rPr>
          <w:sz w:val="20"/>
          <w:szCs w:val="20"/>
        </w:rPr>
        <w:t> </w:t>
      </w:r>
    </w:p>
    <w:p w14:paraId="4095C100" w14:textId="77777777" w:rsidR="00000000" w:rsidRDefault="0015578C">
      <w:pPr>
        <w:pStyle w:val="a3"/>
        <w:spacing w:before="0" w:beforeAutospacing="0" w:after="0" w:afterAutospacing="0"/>
        <w:ind w:firstLine="675"/>
        <w:jc w:val="both"/>
        <w:rPr>
          <w:sz w:val="20"/>
          <w:szCs w:val="20"/>
        </w:rPr>
      </w:pPr>
      <w:r>
        <w:rPr>
          <w:sz w:val="20"/>
          <w:szCs w:val="20"/>
        </w:rPr>
        <w:t>Recoveries from these modeled methods and metallurgical testing conducted to date are anticipated to be 85% of zinc to the zinc concentrate and 69.7% of the lead to the lead concentrate.  Silver may also be recovered and payable at times in the zinc concen</w:t>
      </w:r>
      <w:r>
        <w:rPr>
          <w:sz w:val="20"/>
          <w:szCs w:val="20"/>
        </w:rPr>
        <w:t xml:space="preserve">trate and, more significantly, in the lead concentrate. </w:t>
      </w:r>
    </w:p>
    <w:p w14:paraId="4C19E2D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B6CA5E1" w14:textId="77777777">
        <w:trPr>
          <w:trHeight w:val="225"/>
          <w:tblCellSpacing w:w="15" w:type="dxa"/>
        </w:trPr>
        <w:tc>
          <w:tcPr>
            <w:tcW w:w="0" w:type="auto"/>
            <w:vAlign w:val="center"/>
            <w:hideMark/>
          </w:tcPr>
          <w:p w14:paraId="181FEA4F" w14:textId="77777777" w:rsidR="00000000" w:rsidRDefault="0015578C">
            <w:pPr>
              <w:rPr>
                <w:rFonts w:eastAsia="Times New Roman"/>
                <w:sz w:val="20"/>
                <w:szCs w:val="20"/>
              </w:rPr>
            </w:pPr>
            <w:r>
              <w:rPr>
                <w:rFonts w:eastAsia="Times New Roman"/>
                <w:sz w:val="20"/>
                <w:szCs w:val="20"/>
              </w:rPr>
              <w:t> </w:t>
            </w:r>
          </w:p>
        </w:tc>
      </w:tr>
      <w:tr w:rsidR="00000000" w14:paraId="3876B5B4" w14:textId="77777777">
        <w:trPr>
          <w:trHeight w:val="225"/>
          <w:tblCellSpacing w:w="15" w:type="dxa"/>
        </w:trPr>
        <w:tc>
          <w:tcPr>
            <w:tcW w:w="0" w:type="auto"/>
            <w:tcBorders>
              <w:bottom w:val="single" w:sz="6" w:space="0" w:color="000000"/>
            </w:tcBorders>
            <w:vAlign w:val="center"/>
            <w:hideMark/>
          </w:tcPr>
          <w:p w14:paraId="32245FA9" w14:textId="77777777" w:rsidR="00000000" w:rsidRDefault="0015578C">
            <w:pPr>
              <w:jc w:val="center"/>
              <w:rPr>
                <w:rFonts w:eastAsia="Times New Roman"/>
                <w:sz w:val="20"/>
                <w:szCs w:val="20"/>
              </w:rPr>
            </w:pPr>
            <w:r>
              <w:rPr>
                <w:rFonts w:eastAsia="Times New Roman"/>
                <w:sz w:val="20"/>
                <w:szCs w:val="20"/>
              </w:rPr>
              <w:t>32</w:t>
            </w:r>
          </w:p>
        </w:tc>
      </w:tr>
      <w:tr w:rsidR="00000000" w14:paraId="65F96A00" w14:textId="77777777">
        <w:trPr>
          <w:trHeight w:val="225"/>
          <w:tblCellSpacing w:w="15" w:type="dxa"/>
        </w:trPr>
        <w:tc>
          <w:tcPr>
            <w:tcW w:w="0" w:type="auto"/>
            <w:vAlign w:val="center"/>
            <w:hideMark/>
          </w:tcPr>
          <w:p w14:paraId="3D259607" w14:textId="77777777" w:rsidR="00000000" w:rsidRDefault="0015578C">
            <w:pPr>
              <w:rPr>
                <w:rFonts w:eastAsia="Times New Roman"/>
                <w:sz w:val="20"/>
                <w:szCs w:val="20"/>
              </w:rPr>
            </w:pPr>
          </w:p>
        </w:tc>
      </w:tr>
      <w:tr w:rsidR="00000000" w14:paraId="237FBD9F" w14:textId="77777777">
        <w:trPr>
          <w:trHeight w:val="225"/>
          <w:tblCellSpacing w:w="15" w:type="dxa"/>
        </w:trPr>
        <w:tc>
          <w:tcPr>
            <w:tcW w:w="0" w:type="auto"/>
            <w:vAlign w:val="center"/>
            <w:hideMark/>
          </w:tcPr>
          <w:p w14:paraId="2C646B93"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769A40B8" w14:textId="77777777" w:rsidR="00000000" w:rsidRDefault="0015578C">
      <w:pPr>
        <w:pStyle w:val="a3"/>
        <w:spacing w:before="0" w:beforeAutospacing="0" w:after="0" w:afterAutospacing="0"/>
        <w:jc w:val="both"/>
        <w:rPr>
          <w:sz w:val="20"/>
          <w:szCs w:val="20"/>
        </w:rPr>
      </w:pPr>
      <w:r>
        <w:rPr>
          <w:sz w:val="20"/>
          <w:szCs w:val="20"/>
        </w:rPr>
        <w:t> </w:t>
      </w:r>
    </w:p>
    <w:p w14:paraId="16B1C962" w14:textId="77777777" w:rsidR="00000000" w:rsidRDefault="0015578C">
      <w:pPr>
        <w:pStyle w:val="a3"/>
        <w:spacing w:before="0" w:beforeAutospacing="0" w:after="0" w:afterAutospacing="0"/>
        <w:jc w:val="both"/>
        <w:rPr>
          <w:sz w:val="20"/>
          <w:szCs w:val="20"/>
        </w:rPr>
      </w:pPr>
      <w:r>
        <w:rPr>
          <w:sz w:val="20"/>
          <w:szCs w:val="20"/>
        </w:rPr>
        <w:t>12. Reserves and Resources</w:t>
      </w:r>
    </w:p>
    <w:p w14:paraId="3D8775DD" w14:textId="77777777" w:rsidR="00000000" w:rsidRDefault="0015578C">
      <w:pPr>
        <w:pStyle w:val="a3"/>
        <w:spacing w:before="0" w:beforeAutospacing="0" w:after="0" w:afterAutospacing="0"/>
        <w:jc w:val="both"/>
        <w:rPr>
          <w:sz w:val="20"/>
          <w:szCs w:val="20"/>
        </w:rPr>
      </w:pPr>
      <w:r>
        <w:rPr>
          <w:sz w:val="20"/>
          <w:szCs w:val="20"/>
        </w:rPr>
        <w:t> </w:t>
      </w:r>
    </w:p>
    <w:p w14:paraId="10C18125" w14:textId="77777777" w:rsidR="00000000" w:rsidRDefault="0015578C">
      <w:pPr>
        <w:pStyle w:val="a3"/>
        <w:spacing w:before="0" w:beforeAutospacing="0" w:after="0" w:afterAutospacing="0"/>
        <w:ind w:firstLine="675"/>
        <w:jc w:val="both"/>
        <w:rPr>
          <w:sz w:val="20"/>
          <w:szCs w:val="20"/>
        </w:rPr>
      </w:pPr>
      <w:r>
        <w:rPr>
          <w:sz w:val="20"/>
          <w:szCs w:val="20"/>
        </w:rPr>
        <w:t>There are no reported mineral reserves at the Lik project.  Estimated mineral resources for the Lik deposit are</w:t>
      </w:r>
      <w:r>
        <w:rPr>
          <w:sz w:val="20"/>
          <w:szCs w:val="20"/>
        </w:rPr>
        <w:t xml:space="preserve"> shown in the table below (for greater detail, see “</w:t>
      </w:r>
      <w:r>
        <w:rPr>
          <w:rStyle w:val="a7"/>
          <w:sz w:val="20"/>
          <w:szCs w:val="20"/>
        </w:rPr>
        <w:t>S-K 1300 Technical Report Summary Lik Zinc Project,</w:t>
      </w:r>
      <w:r>
        <w:rPr>
          <w:sz w:val="20"/>
          <w:szCs w:val="20"/>
        </w:rPr>
        <w:t xml:space="preserve"> </w:t>
      </w:r>
      <w:r>
        <w:rPr>
          <w:rStyle w:val="a7"/>
          <w:sz w:val="20"/>
          <w:szCs w:val="20"/>
        </w:rPr>
        <w:t>Northwest Arctic Borough, Alaska, USA: Effective Date: December 31, 2021, Report Date: March 11, 2022, included as Exhibit 96.2 to this Annual Report on</w:t>
      </w:r>
      <w:r>
        <w:rPr>
          <w:rStyle w:val="a7"/>
          <w:sz w:val="20"/>
          <w:szCs w:val="20"/>
        </w:rPr>
        <w:t xml:space="preserve"> Form 10-K.   </w:t>
      </w:r>
      <w:r>
        <w:rPr>
          <w:sz w:val="20"/>
          <w:szCs w:val="20"/>
        </w:rPr>
        <w:t xml:space="preserve">Gustavson &amp; Associates, an international independent mining engineering firm, completed the S-K 1300 Lik TRS).  </w:t>
      </w:r>
    </w:p>
    <w:p w14:paraId="6A84247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61"/>
        <w:gridCol w:w="1077"/>
        <w:gridCol w:w="791"/>
        <w:gridCol w:w="791"/>
        <w:gridCol w:w="791"/>
        <w:gridCol w:w="791"/>
        <w:gridCol w:w="791"/>
        <w:gridCol w:w="791"/>
        <w:gridCol w:w="806"/>
      </w:tblGrid>
      <w:tr w:rsidR="00000000" w14:paraId="06DB1EED" w14:textId="77777777">
        <w:trPr>
          <w:trHeight w:val="225"/>
          <w:tblCellSpacing w:w="15" w:type="dxa"/>
        </w:trPr>
        <w:tc>
          <w:tcPr>
            <w:tcW w:w="4200" w:type="pct"/>
            <w:gridSpan w:val="9"/>
            <w:tcBorders>
              <w:top w:val="single" w:sz="6" w:space="0" w:color="000000"/>
              <w:left w:val="single" w:sz="6" w:space="0" w:color="000000"/>
            </w:tcBorders>
            <w:vAlign w:val="center"/>
            <w:hideMark/>
          </w:tcPr>
          <w:p w14:paraId="6A77894C" w14:textId="77777777" w:rsidR="00000000" w:rsidRDefault="0015578C">
            <w:pPr>
              <w:pStyle w:val="a3"/>
              <w:spacing w:before="0" w:beforeAutospacing="0" w:after="0" w:afterAutospacing="0"/>
              <w:jc w:val="center"/>
              <w:rPr>
                <w:sz w:val="20"/>
                <w:szCs w:val="20"/>
              </w:rPr>
            </w:pPr>
            <w:r>
              <w:rPr>
                <w:rStyle w:val="a4"/>
                <w:sz w:val="20"/>
                <w:szCs w:val="20"/>
              </w:rPr>
              <w:t>Lik Mineral Resource Estimate (100% basis)</w:t>
            </w:r>
          </w:p>
        </w:tc>
      </w:tr>
      <w:tr w:rsidR="00000000" w14:paraId="7DBD43CD" w14:textId="77777777">
        <w:trPr>
          <w:trHeight w:val="225"/>
          <w:tblCellSpacing w:w="15" w:type="dxa"/>
        </w:trPr>
        <w:tc>
          <w:tcPr>
            <w:tcW w:w="850" w:type="pct"/>
            <w:tcBorders>
              <w:top w:val="single" w:sz="6" w:space="0" w:color="000000"/>
              <w:left w:val="single" w:sz="6" w:space="0" w:color="000000"/>
            </w:tcBorders>
            <w:vAlign w:val="center"/>
            <w:hideMark/>
          </w:tcPr>
          <w:p w14:paraId="1F3E164F" w14:textId="77777777" w:rsidR="00000000" w:rsidRDefault="0015578C">
            <w:pPr>
              <w:pStyle w:val="a3"/>
              <w:spacing w:before="0" w:beforeAutospacing="0" w:after="0" w:afterAutospacing="0"/>
              <w:rPr>
                <w:sz w:val="20"/>
                <w:szCs w:val="20"/>
              </w:rPr>
            </w:pPr>
            <w:r>
              <w:rPr>
                <w:rStyle w:val="a4"/>
                <w:sz w:val="20"/>
                <w:szCs w:val="20"/>
              </w:rPr>
              <w:t>Location</w:t>
            </w:r>
          </w:p>
        </w:tc>
        <w:tc>
          <w:tcPr>
            <w:tcW w:w="1750" w:type="pct"/>
            <w:gridSpan w:val="4"/>
            <w:tcBorders>
              <w:top w:val="single" w:sz="6" w:space="0" w:color="000000"/>
              <w:left w:val="single" w:sz="6" w:space="0" w:color="000000"/>
            </w:tcBorders>
            <w:vAlign w:val="center"/>
            <w:hideMark/>
          </w:tcPr>
          <w:p w14:paraId="2BEA8E9F" w14:textId="77777777" w:rsidR="00000000" w:rsidRDefault="0015578C">
            <w:pPr>
              <w:pStyle w:val="a3"/>
              <w:spacing w:before="0" w:beforeAutospacing="0" w:after="0" w:afterAutospacing="0"/>
              <w:jc w:val="center"/>
              <w:rPr>
                <w:sz w:val="20"/>
                <w:szCs w:val="20"/>
              </w:rPr>
            </w:pPr>
            <w:r>
              <w:rPr>
                <w:rStyle w:val="a4"/>
                <w:sz w:val="20"/>
                <w:szCs w:val="20"/>
              </w:rPr>
              <w:t>Indicated Resources</w:t>
            </w:r>
          </w:p>
        </w:tc>
        <w:tc>
          <w:tcPr>
            <w:tcW w:w="1600" w:type="pct"/>
            <w:gridSpan w:val="4"/>
            <w:tcBorders>
              <w:top w:val="single" w:sz="6" w:space="0" w:color="000000"/>
              <w:left w:val="single" w:sz="6" w:space="0" w:color="000000"/>
            </w:tcBorders>
            <w:vAlign w:val="center"/>
            <w:hideMark/>
          </w:tcPr>
          <w:p w14:paraId="606E2CE5" w14:textId="77777777" w:rsidR="00000000" w:rsidRDefault="0015578C">
            <w:pPr>
              <w:pStyle w:val="a3"/>
              <w:spacing w:before="0" w:beforeAutospacing="0" w:after="0" w:afterAutospacing="0"/>
              <w:jc w:val="center"/>
              <w:rPr>
                <w:sz w:val="20"/>
                <w:szCs w:val="20"/>
              </w:rPr>
            </w:pPr>
            <w:r>
              <w:rPr>
                <w:rStyle w:val="a4"/>
                <w:sz w:val="20"/>
                <w:szCs w:val="20"/>
              </w:rPr>
              <w:t>Inferred Resources</w:t>
            </w:r>
          </w:p>
        </w:tc>
      </w:tr>
      <w:tr w:rsidR="00000000" w14:paraId="3A53E6B9" w14:textId="77777777">
        <w:trPr>
          <w:trHeight w:val="225"/>
          <w:tblCellSpacing w:w="15" w:type="dxa"/>
        </w:trPr>
        <w:tc>
          <w:tcPr>
            <w:tcW w:w="850" w:type="pct"/>
            <w:tcBorders>
              <w:top w:val="single" w:sz="6" w:space="0" w:color="000000"/>
              <w:left w:val="single" w:sz="6" w:space="0" w:color="000000"/>
            </w:tcBorders>
            <w:shd w:val="clear" w:color="auto" w:fill="CCEEFF"/>
            <w:vAlign w:val="center"/>
            <w:hideMark/>
          </w:tcPr>
          <w:p w14:paraId="60DEFDEA" w14:textId="77777777" w:rsidR="00000000" w:rsidRDefault="0015578C">
            <w:pPr>
              <w:pStyle w:val="a3"/>
              <w:spacing w:before="0" w:beforeAutospacing="0" w:after="0" w:afterAutospacing="0"/>
              <w:rPr>
                <w:sz w:val="20"/>
                <w:szCs w:val="20"/>
              </w:rPr>
            </w:pPr>
            <w:r>
              <w:rPr>
                <w:sz w:val="20"/>
                <w:szCs w:val="20"/>
              </w:rPr>
              <w:t> </w:t>
            </w:r>
          </w:p>
        </w:tc>
        <w:tc>
          <w:tcPr>
            <w:tcW w:w="550" w:type="pct"/>
            <w:tcBorders>
              <w:top w:val="single" w:sz="6" w:space="0" w:color="000000"/>
              <w:left w:val="single" w:sz="6" w:space="0" w:color="000000"/>
            </w:tcBorders>
            <w:shd w:val="clear" w:color="auto" w:fill="CCEEFF"/>
            <w:vAlign w:val="center"/>
            <w:hideMark/>
          </w:tcPr>
          <w:p w14:paraId="65BFF051" w14:textId="77777777" w:rsidR="00000000" w:rsidRDefault="0015578C">
            <w:pPr>
              <w:pStyle w:val="a3"/>
              <w:spacing w:before="0" w:beforeAutospacing="0" w:after="0" w:afterAutospacing="0"/>
              <w:jc w:val="center"/>
              <w:rPr>
                <w:sz w:val="20"/>
                <w:szCs w:val="20"/>
              </w:rPr>
            </w:pPr>
            <w:r>
              <w:rPr>
                <w:rStyle w:val="a4"/>
                <w:sz w:val="20"/>
                <w:szCs w:val="20"/>
              </w:rPr>
              <w:t>Mt</w:t>
            </w:r>
          </w:p>
        </w:tc>
        <w:tc>
          <w:tcPr>
            <w:tcW w:w="400" w:type="pct"/>
            <w:tcBorders>
              <w:top w:val="single" w:sz="6" w:space="0" w:color="000000"/>
              <w:left w:val="single" w:sz="6" w:space="0" w:color="000000"/>
            </w:tcBorders>
            <w:shd w:val="clear" w:color="auto" w:fill="CCEEFF"/>
            <w:vAlign w:val="center"/>
            <w:hideMark/>
          </w:tcPr>
          <w:p w14:paraId="0F734C5D" w14:textId="77777777" w:rsidR="00000000" w:rsidRDefault="0015578C">
            <w:pPr>
              <w:pStyle w:val="a3"/>
              <w:spacing w:before="0" w:beforeAutospacing="0" w:after="0" w:afterAutospacing="0"/>
              <w:jc w:val="center"/>
              <w:rPr>
                <w:sz w:val="20"/>
                <w:szCs w:val="20"/>
              </w:rPr>
            </w:pPr>
            <w:r>
              <w:rPr>
                <w:rStyle w:val="a4"/>
                <w:sz w:val="20"/>
                <w:szCs w:val="20"/>
              </w:rPr>
              <w:t>% Zn</w:t>
            </w:r>
          </w:p>
        </w:tc>
        <w:tc>
          <w:tcPr>
            <w:tcW w:w="400" w:type="pct"/>
            <w:tcBorders>
              <w:top w:val="single" w:sz="6" w:space="0" w:color="000000"/>
              <w:left w:val="single" w:sz="6" w:space="0" w:color="000000"/>
            </w:tcBorders>
            <w:shd w:val="clear" w:color="auto" w:fill="CCEEFF"/>
            <w:vAlign w:val="center"/>
            <w:hideMark/>
          </w:tcPr>
          <w:p w14:paraId="554545B4" w14:textId="77777777" w:rsidR="00000000" w:rsidRDefault="0015578C">
            <w:pPr>
              <w:pStyle w:val="a3"/>
              <w:spacing w:before="0" w:beforeAutospacing="0" w:after="0" w:afterAutospacing="0"/>
              <w:jc w:val="center"/>
              <w:rPr>
                <w:sz w:val="20"/>
                <w:szCs w:val="20"/>
              </w:rPr>
            </w:pPr>
            <w:r>
              <w:rPr>
                <w:rStyle w:val="a4"/>
                <w:sz w:val="20"/>
                <w:szCs w:val="20"/>
              </w:rPr>
              <w:t>% Pb</w:t>
            </w:r>
          </w:p>
        </w:tc>
        <w:tc>
          <w:tcPr>
            <w:tcW w:w="400" w:type="pct"/>
            <w:tcBorders>
              <w:top w:val="single" w:sz="6" w:space="0" w:color="000000"/>
              <w:left w:val="single" w:sz="6" w:space="0" w:color="000000"/>
            </w:tcBorders>
            <w:shd w:val="clear" w:color="auto" w:fill="CCEEFF"/>
            <w:vAlign w:val="center"/>
            <w:hideMark/>
          </w:tcPr>
          <w:p w14:paraId="5D8FF3E3" w14:textId="77777777" w:rsidR="00000000" w:rsidRDefault="0015578C">
            <w:pPr>
              <w:pStyle w:val="a3"/>
              <w:spacing w:before="0" w:beforeAutospacing="0" w:after="0" w:afterAutospacing="0"/>
              <w:jc w:val="center"/>
              <w:rPr>
                <w:sz w:val="20"/>
                <w:szCs w:val="20"/>
              </w:rPr>
            </w:pPr>
            <w:r>
              <w:rPr>
                <w:rStyle w:val="a4"/>
                <w:sz w:val="20"/>
                <w:szCs w:val="20"/>
              </w:rPr>
              <w:t>g/t Ag</w:t>
            </w:r>
          </w:p>
        </w:tc>
        <w:tc>
          <w:tcPr>
            <w:tcW w:w="400" w:type="pct"/>
            <w:tcBorders>
              <w:top w:val="single" w:sz="6" w:space="0" w:color="000000"/>
              <w:left w:val="single" w:sz="6" w:space="0" w:color="000000"/>
            </w:tcBorders>
            <w:shd w:val="clear" w:color="auto" w:fill="CCEEFF"/>
            <w:vAlign w:val="center"/>
            <w:hideMark/>
          </w:tcPr>
          <w:p w14:paraId="768C4213" w14:textId="77777777" w:rsidR="00000000" w:rsidRDefault="0015578C">
            <w:pPr>
              <w:pStyle w:val="a3"/>
              <w:spacing w:before="0" w:beforeAutospacing="0" w:after="0" w:afterAutospacing="0"/>
              <w:jc w:val="center"/>
              <w:rPr>
                <w:sz w:val="20"/>
                <w:szCs w:val="20"/>
              </w:rPr>
            </w:pPr>
            <w:r>
              <w:rPr>
                <w:rStyle w:val="a4"/>
                <w:sz w:val="20"/>
                <w:szCs w:val="20"/>
              </w:rPr>
              <w:t>Mt</w:t>
            </w:r>
          </w:p>
        </w:tc>
        <w:tc>
          <w:tcPr>
            <w:tcW w:w="400" w:type="pct"/>
            <w:tcBorders>
              <w:top w:val="single" w:sz="6" w:space="0" w:color="000000"/>
              <w:left w:val="single" w:sz="6" w:space="0" w:color="000000"/>
            </w:tcBorders>
            <w:shd w:val="clear" w:color="auto" w:fill="CCEEFF"/>
            <w:vAlign w:val="center"/>
            <w:hideMark/>
          </w:tcPr>
          <w:p w14:paraId="7DCFC158" w14:textId="77777777" w:rsidR="00000000" w:rsidRDefault="0015578C">
            <w:pPr>
              <w:pStyle w:val="a3"/>
              <w:spacing w:before="0" w:beforeAutospacing="0" w:after="0" w:afterAutospacing="0"/>
              <w:jc w:val="center"/>
              <w:rPr>
                <w:sz w:val="20"/>
                <w:szCs w:val="20"/>
              </w:rPr>
            </w:pPr>
            <w:r>
              <w:rPr>
                <w:rStyle w:val="a4"/>
                <w:sz w:val="20"/>
                <w:szCs w:val="20"/>
              </w:rPr>
              <w:t>% Zn</w:t>
            </w:r>
          </w:p>
        </w:tc>
        <w:tc>
          <w:tcPr>
            <w:tcW w:w="400" w:type="pct"/>
            <w:tcBorders>
              <w:top w:val="single" w:sz="6" w:space="0" w:color="000000"/>
              <w:left w:val="single" w:sz="6" w:space="0" w:color="000000"/>
            </w:tcBorders>
            <w:shd w:val="clear" w:color="auto" w:fill="CCEEFF"/>
            <w:vAlign w:val="center"/>
            <w:hideMark/>
          </w:tcPr>
          <w:p w14:paraId="26394348" w14:textId="77777777" w:rsidR="00000000" w:rsidRDefault="0015578C">
            <w:pPr>
              <w:pStyle w:val="a3"/>
              <w:spacing w:before="0" w:beforeAutospacing="0" w:after="0" w:afterAutospacing="0"/>
              <w:jc w:val="center"/>
              <w:rPr>
                <w:sz w:val="20"/>
                <w:szCs w:val="20"/>
              </w:rPr>
            </w:pPr>
            <w:r>
              <w:rPr>
                <w:rStyle w:val="a4"/>
                <w:sz w:val="20"/>
                <w:szCs w:val="20"/>
              </w:rPr>
              <w:t>% Pb</w:t>
            </w:r>
          </w:p>
        </w:tc>
        <w:tc>
          <w:tcPr>
            <w:tcW w:w="400" w:type="pct"/>
            <w:tcBorders>
              <w:top w:val="single" w:sz="6" w:space="0" w:color="000000"/>
              <w:left w:val="single" w:sz="6" w:space="0" w:color="000000"/>
            </w:tcBorders>
            <w:shd w:val="clear" w:color="auto" w:fill="CCEEFF"/>
            <w:vAlign w:val="center"/>
            <w:hideMark/>
          </w:tcPr>
          <w:p w14:paraId="7DD6F3CC" w14:textId="77777777" w:rsidR="00000000" w:rsidRDefault="0015578C">
            <w:pPr>
              <w:pStyle w:val="a3"/>
              <w:spacing w:before="0" w:beforeAutospacing="0" w:after="0" w:afterAutospacing="0"/>
              <w:jc w:val="center"/>
              <w:rPr>
                <w:sz w:val="20"/>
                <w:szCs w:val="20"/>
              </w:rPr>
            </w:pPr>
            <w:r>
              <w:rPr>
                <w:rStyle w:val="a4"/>
                <w:sz w:val="20"/>
                <w:szCs w:val="20"/>
              </w:rPr>
              <w:t>g/t Ag</w:t>
            </w:r>
          </w:p>
        </w:tc>
      </w:tr>
      <w:tr w:rsidR="00000000" w14:paraId="4F10E8F0" w14:textId="77777777">
        <w:trPr>
          <w:trHeight w:val="225"/>
          <w:tblCellSpacing w:w="15" w:type="dxa"/>
        </w:trPr>
        <w:tc>
          <w:tcPr>
            <w:tcW w:w="850" w:type="pct"/>
            <w:tcBorders>
              <w:top w:val="single" w:sz="6" w:space="0" w:color="000000"/>
              <w:left w:val="single" w:sz="6" w:space="0" w:color="000000"/>
            </w:tcBorders>
            <w:shd w:val="clear" w:color="auto" w:fill="FFFFFF"/>
            <w:vAlign w:val="center"/>
            <w:hideMark/>
          </w:tcPr>
          <w:p w14:paraId="3FC72CBC" w14:textId="77777777" w:rsidR="00000000" w:rsidRDefault="0015578C">
            <w:pPr>
              <w:pStyle w:val="a3"/>
              <w:spacing w:before="0" w:beforeAutospacing="0" w:after="0" w:afterAutospacing="0"/>
              <w:rPr>
                <w:sz w:val="20"/>
                <w:szCs w:val="20"/>
              </w:rPr>
            </w:pPr>
            <w:r>
              <w:rPr>
                <w:sz w:val="20"/>
                <w:szCs w:val="20"/>
              </w:rPr>
              <w:t>Lik South</w:t>
            </w:r>
          </w:p>
        </w:tc>
        <w:tc>
          <w:tcPr>
            <w:tcW w:w="550" w:type="pct"/>
            <w:tcBorders>
              <w:top w:val="single" w:sz="6" w:space="0" w:color="000000"/>
              <w:left w:val="single" w:sz="6" w:space="0" w:color="000000"/>
            </w:tcBorders>
            <w:shd w:val="clear" w:color="auto" w:fill="FFFFFF"/>
            <w:vAlign w:val="center"/>
            <w:hideMark/>
          </w:tcPr>
          <w:p w14:paraId="570C06DB" w14:textId="77777777" w:rsidR="00000000" w:rsidRDefault="0015578C">
            <w:pPr>
              <w:pStyle w:val="a3"/>
              <w:spacing w:before="0" w:beforeAutospacing="0" w:after="0" w:afterAutospacing="0"/>
              <w:jc w:val="center"/>
              <w:rPr>
                <w:sz w:val="20"/>
                <w:szCs w:val="20"/>
              </w:rPr>
            </w:pPr>
            <w:r>
              <w:rPr>
                <w:sz w:val="20"/>
                <w:szCs w:val="20"/>
              </w:rPr>
              <w:t>17.1</w:t>
            </w:r>
          </w:p>
        </w:tc>
        <w:tc>
          <w:tcPr>
            <w:tcW w:w="400" w:type="pct"/>
            <w:tcBorders>
              <w:top w:val="single" w:sz="6" w:space="0" w:color="000000"/>
              <w:left w:val="single" w:sz="6" w:space="0" w:color="000000"/>
            </w:tcBorders>
            <w:shd w:val="clear" w:color="auto" w:fill="FFFFFF"/>
            <w:vAlign w:val="center"/>
            <w:hideMark/>
          </w:tcPr>
          <w:p w14:paraId="036FE23E" w14:textId="77777777" w:rsidR="00000000" w:rsidRDefault="0015578C">
            <w:pPr>
              <w:pStyle w:val="a3"/>
              <w:spacing w:before="0" w:beforeAutospacing="0" w:after="0" w:afterAutospacing="0"/>
              <w:jc w:val="center"/>
              <w:rPr>
                <w:sz w:val="20"/>
                <w:szCs w:val="20"/>
              </w:rPr>
            </w:pPr>
            <w:r>
              <w:rPr>
                <w:sz w:val="20"/>
                <w:szCs w:val="20"/>
              </w:rPr>
              <w:t>8.04</w:t>
            </w:r>
          </w:p>
        </w:tc>
        <w:tc>
          <w:tcPr>
            <w:tcW w:w="400" w:type="pct"/>
            <w:tcBorders>
              <w:top w:val="single" w:sz="6" w:space="0" w:color="000000"/>
              <w:left w:val="single" w:sz="6" w:space="0" w:color="000000"/>
            </w:tcBorders>
            <w:shd w:val="clear" w:color="auto" w:fill="FFFFFF"/>
            <w:vAlign w:val="center"/>
            <w:hideMark/>
          </w:tcPr>
          <w:p w14:paraId="76472077" w14:textId="77777777" w:rsidR="00000000" w:rsidRDefault="0015578C">
            <w:pPr>
              <w:pStyle w:val="a3"/>
              <w:spacing w:before="0" w:beforeAutospacing="0" w:after="0" w:afterAutospacing="0"/>
              <w:jc w:val="center"/>
              <w:rPr>
                <w:sz w:val="20"/>
                <w:szCs w:val="20"/>
              </w:rPr>
            </w:pPr>
            <w:r>
              <w:rPr>
                <w:sz w:val="20"/>
                <w:szCs w:val="20"/>
              </w:rPr>
              <w:t>2.69</w:t>
            </w:r>
          </w:p>
        </w:tc>
        <w:tc>
          <w:tcPr>
            <w:tcW w:w="400" w:type="pct"/>
            <w:tcBorders>
              <w:top w:val="single" w:sz="6" w:space="0" w:color="000000"/>
              <w:left w:val="single" w:sz="6" w:space="0" w:color="000000"/>
            </w:tcBorders>
            <w:shd w:val="clear" w:color="auto" w:fill="FFFFFF"/>
            <w:vAlign w:val="center"/>
            <w:hideMark/>
          </w:tcPr>
          <w:p w14:paraId="21B55B0F" w14:textId="77777777" w:rsidR="00000000" w:rsidRDefault="0015578C">
            <w:pPr>
              <w:pStyle w:val="a3"/>
              <w:spacing w:before="0" w:beforeAutospacing="0" w:after="0" w:afterAutospacing="0"/>
              <w:jc w:val="center"/>
              <w:rPr>
                <w:sz w:val="20"/>
                <w:szCs w:val="20"/>
              </w:rPr>
            </w:pPr>
            <w:r>
              <w:rPr>
                <w:sz w:val="20"/>
                <w:szCs w:val="20"/>
              </w:rPr>
              <w:t>50</w:t>
            </w:r>
          </w:p>
        </w:tc>
        <w:tc>
          <w:tcPr>
            <w:tcW w:w="400" w:type="pct"/>
            <w:tcBorders>
              <w:top w:val="single" w:sz="6" w:space="0" w:color="000000"/>
              <w:left w:val="single" w:sz="6" w:space="0" w:color="000000"/>
            </w:tcBorders>
            <w:shd w:val="clear" w:color="auto" w:fill="FFFFFF"/>
            <w:vAlign w:val="center"/>
            <w:hideMark/>
          </w:tcPr>
          <w:p w14:paraId="45732298" w14:textId="77777777" w:rsidR="00000000" w:rsidRDefault="0015578C">
            <w:pPr>
              <w:pStyle w:val="a3"/>
              <w:spacing w:before="0" w:beforeAutospacing="0" w:after="0" w:afterAutospacing="0"/>
              <w:jc w:val="center"/>
              <w:rPr>
                <w:sz w:val="20"/>
                <w:szCs w:val="20"/>
              </w:rPr>
            </w:pPr>
            <w:r>
              <w:rPr>
                <w:sz w:val="20"/>
                <w:szCs w:val="20"/>
              </w:rPr>
              <w:t>0.71</w:t>
            </w:r>
          </w:p>
        </w:tc>
        <w:tc>
          <w:tcPr>
            <w:tcW w:w="400" w:type="pct"/>
            <w:tcBorders>
              <w:top w:val="single" w:sz="6" w:space="0" w:color="000000"/>
              <w:left w:val="single" w:sz="6" w:space="0" w:color="000000"/>
            </w:tcBorders>
            <w:shd w:val="clear" w:color="auto" w:fill="FFFFFF"/>
            <w:vAlign w:val="center"/>
            <w:hideMark/>
          </w:tcPr>
          <w:p w14:paraId="6D02FA62" w14:textId="77777777" w:rsidR="00000000" w:rsidRDefault="0015578C">
            <w:pPr>
              <w:pStyle w:val="a3"/>
              <w:spacing w:before="0" w:beforeAutospacing="0" w:after="0" w:afterAutospacing="0"/>
              <w:jc w:val="center"/>
              <w:rPr>
                <w:sz w:val="20"/>
                <w:szCs w:val="20"/>
              </w:rPr>
            </w:pPr>
            <w:r>
              <w:rPr>
                <w:sz w:val="20"/>
                <w:szCs w:val="20"/>
              </w:rPr>
              <w:t>7.78</w:t>
            </w:r>
          </w:p>
        </w:tc>
        <w:tc>
          <w:tcPr>
            <w:tcW w:w="400" w:type="pct"/>
            <w:tcBorders>
              <w:top w:val="single" w:sz="6" w:space="0" w:color="000000"/>
              <w:left w:val="single" w:sz="6" w:space="0" w:color="000000"/>
            </w:tcBorders>
            <w:shd w:val="clear" w:color="auto" w:fill="FFFFFF"/>
            <w:vAlign w:val="center"/>
            <w:hideMark/>
          </w:tcPr>
          <w:p w14:paraId="264C6149" w14:textId="77777777" w:rsidR="00000000" w:rsidRDefault="0015578C">
            <w:pPr>
              <w:pStyle w:val="a3"/>
              <w:spacing w:before="0" w:beforeAutospacing="0" w:after="0" w:afterAutospacing="0"/>
              <w:jc w:val="center"/>
              <w:rPr>
                <w:sz w:val="20"/>
                <w:szCs w:val="20"/>
              </w:rPr>
            </w:pPr>
            <w:r>
              <w:rPr>
                <w:sz w:val="20"/>
                <w:szCs w:val="20"/>
              </w:rPr>
              <w:t>1.97</w:t>
            </w:r>
          </w:p>
        </w:tc>
        <w:tc>
          <w:tcPr>
            <w:tcW w:w="400" w:type="pct"/>
            <w:tcBorders>
              <w:top w:val="single" w:sz="6" w:space="0" w:color="000000"/>
              <w:left w:val="single" w:sz="6" w:space="0" w:color="000000"/>
            </w:tcBorders>
            <w:shd w:val="clear" w:color="auto" w:fill="FFFFFF"/>
            <w:vAlign w:val="center"/>
            <w:hideMark/>
          </w:tcPr>
          <w:p w14:paraId="5B3D05B5" w14:textId="77777777" w:rsidR="00000000" w:rsidRDefault="0015578C">
            <w:pPr>
              <w:pStyle w:val="a3"/>
              <w:spacing w:before="0" w:beforeAutospacing="0" w:after="0" w:afterAutospacing="0"/>
              <w:jc w:val="center"/>
              <w:rPr>
                <w:sz w:val="20"/>
                <w:szCs w:val="20"/>
              </w:rPr>
            </w:pPr>
            <w:r>
              <w:rPr>
                <w:sz w:val="20"/>
                <w:szCs w:val="20"/>
              </w:rPr>
              <w:t>14.3</w:t>
            </w:r>
          </w:p>
        </w:tc>
      </w:tr>
      <w:tr w:rsidR="00000000" w14:paraId="31507AAB" w14:textId="77777777">
        <w:trPr>
          <w:trHeight w:val="225"/>
          <w:tblCellSpacing w:w="15" w:type="dxa"/>
        </w:trPr>
        <w:tc>
          <w:tcPr>
            <w:tcW w:w="850" w:type="pct"/>
            <w:tcBorders>
              <w:top w:val="single" w:sz="6" w:space="0" w:color="000000"/>
              <w:left w:val="single" w:sz="6" w:space="0" w:color="000000"/>
            </w:tcBorders>
            <w:shd w:val="clear" w:color="auto" w:fill="CCEEFF"/>
            <w:vAlign w:val="center"/>
            <w:hideMark/>
          </w:tcPr>
          <w:p w14:paraId="56C52683" w14:textId="77777777" w:rsidR="00000000" w:rsidRDefault="0015578C">
            <w:pPr>
              <w:pStyle w:val="a3"/>
              <w:spacing w:before="0" w:beforeAutospacing="0" w:after="0" w:afterAutospacing="0"/>
              <w:rPr>
                <w:sz w:val="20"/>
                <w:szCs w:val="20"/>
              </w:rPr>
            </w:pPr>
            <w:r>
              <w:rPr>
                <w:sz w:val="20"/>
                <w:szCs w:val="20"/>
              </w:rPr>
              <w:t>Lik North</w:t>
            </w:r>
          </w:p>
        </w:tc>
        <w:tc>
          <w:tcPr>
            <w:tcW w:w="550" w:type="pct"/>
            <w:tcBorders>
              <w:top w:val="single" w:sz="6" w:space="0" w:color="000000"/>
              <w:left w:val="single" w:sz="6" w:space="0" w:color="000000"/>
            </w:tcBorders>
            <w:shd w:val="clear" w:color="auto" w:fill="CCEEFF"/>
            <w:vAlign w:val="center"/>
            <w:hideMark/>
          </w:tcPr>
          <w:p w14:paraId="64635BEF" w14:textId="77777777" w:rsidR="00000000" w:rsidRDefault="0015578C">
            <w:pPr>
              <w:pStyle w:val="a3"/>
              <w:spacing w:before="0" w:beforeAutospacing="0" w:after="0" w:afterAutospacing="0"/>
              <w:jc w:val="center"/>
              <w:rPr>
                <w:sz w:val="20"/>
                <w:szCs w:val="20"/>
              </w:rPr>
            </w:pPr>
            <w:r>
              <w:rPr>
                <w:sz w:val="20"/>
                <w:szCs w:val="20"/>
              </w:rPr>
              <w:t>0.51</w:t>
            </w:r>
          </w:p>
        </w:tc>
        <w:tc>
          <w:tcPr>
            <w:tcW w:w="400" w:type="pct"/>
            <w:tcBorders>
              <w:top w:val="single" w:sz="6" w:space="0" w:color="000000"/>
              <w:left w:val="single" w:sz="6" w:space="0" w:color="000000"/>
            </w:tcBorders>
            <w:shd w:val="clear" w:color="auto" w:fill="CCEEFF"/>
            <w:vAlign w:val="center"/>
            <w:hideMark/>
          </w:tcPr>
          <w:p w14:paraId="52CAD2B0" w14:textId="77777777" w:rsidR="00000000" w:rsidRDefault="0015578C">
            <w:pPr>
              <w:pStyle w:val="a3"/>
              <w:spacing w:before="0" w:beforeAutospacing="0" w:after="0" w:afterAutospacing="0"/>
              <w:jc w:val="center"/>
              <w:rPr>
                <w:sz w:val="20"/>
                <w:szCs w:val="20"/>
              </w:rPr>
            </w:pPr>
            <w:r>
              <w:rPr>
                <w:sz w:val="20"/>
                <w:szCs w:val="20"/>
              </w:rPr>
              <w:t>8.95</w:t>
            </w:r>
          </w:p>
        </w:tc>
        <w:tc>
          <w:tcPr>
            <w:tcW w:w="400" w:type="pct"/>
            <w:tcBorders>
              <w:top w:val="single" w:sz="6" w:space="0" w:color="000000"/>
              <w:left w:val="single" w:sz="6" w:space="0" w:color="000000"/>
            </w:tcBorders>
            <w:shd w:val="clear" w:color="auto" w:fill="CCEEFF"/>
            <w:vAlign w:val="center"/>
            <w:hideMark/>
          </w:tcPr>
          <w:p w14:paraId="4A01953C" w14:textId="77777777" w:rsidR="00000000" w:rsidRDefault="0015578C">
            <w:pPr>
              <w:pStyle w:val="a3"/>
              <w:spacing w:before="0" w:beforeAutospacing="0" w:after="0" w:afterAutospacing="0"/>
              <w:jc w:val="center"/>
              <w:rPr>
                <w:sz w:val="20"/>
                <w:szCs w:val="20"/>
              </w:rPr>
            </w:pPr>
            <w:r>
              <w:rPr>
                <w:sz w:val="20"/>
                <w:szCs w:val="20"/>
              </w:rPr>
              <w:t>2.46</w:t>
            </w:r>
          </w:p>
        </w:tc>
        <w:tc>
          <w:tcPr>
            <w:tcW w:w="400" w:type="pct"/>
            <w:tcBorders>
              <w:top w:val="single" w:sz="6" w:space="0" w:color="000000"/>
              <w:left w:val="single" w:sz="6" w:space="0" w:color="000000"/>
            </w:tcBorders>
            <w:shd w:val="clear" w:color="auto" w:fill="CCEEFF"/>
            <w:vAlign w:val="center"/>
            <w:hideMark/>
          </w:tcPr>
          <w:p w14:paraId="39C6FCD5" w14:textId="77777777" w:rsidR="00000000" w:rsidRDefault="0015578C">
            <w:pPr>
              <w:pStyle w:val="a3"/>
              <w:spacing w:before="0" w:beforeAutospacing="0" w:after="0" w:afterAutospacing="0"/>
              <w:jc w:val="center"/>
              <w:rPr>
                <w:sz w:val="20"/>
                <w:szCs w:val="20"/>
              </w:rPr>
            </w:pPr>
            <w:r>
              <w:rPr>
                <w:sz w:val="20"/>
                <w:szCs w:val="20"/>
              </w:rPr>
              <w:t>52.9</w:t>
            </w:r>
          </w:p>
        </w:tc>
        <w:tc>
          <w:tcPr>
            <w:tcW w:w="400" w:type="pct"/>
            <w:tcBorders>
              <w:top w:val="single" w:sz="6" w:space="0" w:color="000000"/>
              <w:left w:val="single" w:sz="6" w:space="0" w:color="000000"/>
            </w:tcBorders>
            <w:shd w:val="clear" w:color="auto" w:fill="CCEEFF"/>
            <w:vAlign w:val="center"/>
            <w:hideMark/>
          </w:tcPr>
          <w:p w14:paraId="21DE4FA6" w14:textId="77777777" w:rsidR="00000000" w:rsidRDefault="0015578C">
            <w:pPr>
              <w:pStyle w:val="a3"/>
              <w:spacing w:before="0" w:beforeAutospacing="0" w:after="0" w:afterAutospacing="0"/>
              <w:jc w:val="center"/>
              <w:rPr>
                <w:sz w:val="20"/>
                <w:szCs w:val="20"/>
              </w:rPr>
            </w:pPr>
            <w:r>
              <w:rPr>
                <w:sz w:val="20"/>
                <w:szCs w:val="20"/>
              </w:rPr>
              <w:t>2.09</w:t>
            </w:r>
          </w:p>
        </w:tc>
        <w:tc>
          <w:tcPr>
            <w:tcW w:w="400" w:type="pct"/>
            <w:tcBorders>
              <w:top w:val="single" w:sz="6" w:space="0" w:color="000000"/>
              <w:left w:val="single" w:sz="6" w:space="0" w:color="000000"/>
            </w:tcBorders>
            <w:shd w:val="clear" w:color="auto" w:fill="CCEEFF"/>
            <w:vAlign w:val="center"/>
            <w:hideMark/>
          </w:tcPr>
          <w:p w14:paraId="68A245BB" w14:textId="77777777" w:rsidR="00000000" w:rsidRDefault="0015578C">
            <w:pPr>
              <w:pStyle w:val="a3"/>
              <w:spacing w:before="0" w:beforeAutospacing="0" w:after="0" w:afterAutospacing="0"/>
              <w:jc w:val="center"/>
              <w:rPr>
                <w:sz w:val="20"/>
                <w:szCs w:val="20"/>
              </w:rPr>
            </w:pPr>
            <w:r>
              <w:rPr>
                <w:sz w:val="20"/>
                <w:szCs w:val="20"/>
              </w:rPr>
              <w:t>8.93</w:t>
            </w:r>
          </w:p>
        </w:tc>
        <w:tc>
          <w:tcPr>
            <w:tcW w:w="400" w:type="pct"/>
            <w:tcBorders>
              <w:top w:val="single" w:sz="6" w:space="0" w:color="000000"/>
              <w:left w:val="single" w:sz="6" w:space="0" w:color="000000"/>
            </w:tcBorders>
            <w:shd w:val="clear" w:color="auto" w:fill="CCEEFF"/>
            <w:vAlign w:val="center"/>
            <w:hideMark/>
          </w:tcPr>
          <w:p w14:paraId="3459FA24" w14:textId="77777777" w:rsidR="00000000" w:rsidRDefault="0015578C">
            <w:pPr>
              <w:pStyle w:val="a3"/>
              <w:spacing w:before="0" w:beforeAutospacing="0" w:after="0" w:afterAutospacing="0"/>
              <w:jc w:val="center"/>
              <w:rPr>
                <w:sz w:val="20"/>
                <w:szCs w:val="20"/>
              </w:rPr>
            </w:pPr>
            <w:r>
              <w:rPr>
                <w:sz w:val="20"/>
                <w:szCs w:val="20"/>
              </w:rPr>
              <w:t>2.98</w:t>
            </w:r>
          </w:p>
        </w:tc>
        <w:tc>
          <w:tcPr>
            <w:tcW w:w="400" w:type="pct"/>
            <w:tcBorders>
              <w:top w:val="single" w:sz="6" w:space="0" w:color="000000"/>
              <w:left w:val="single" w:sz="6" w:space="0" w:color="000000"/>
            </w:tcBorders>
            <w:shd w:val="clear" w:color="auto" w:fill="CCEEFF"/>
            <w:vAlign w:val="center"/>
            <w:hideMark/>
          </w:tcPr>
          <w:p w14:paraId="7ADDFD6F" w14:textId="77777777" w:rsidR="00000000" w:rsidRDefault="0015578C">
            <w:pPr>
              <w:pStyle w:val="a3"/>
              <w:spacing w:before="0" w:beforeAutospacing="0" w:after="0" w:afterAutospacing="0"/>
              <w:jc w:val="center"/>
              <w:rPr>
                <w:sz w:val="20"/>
                <w:szCs w:val="20"/>
              </w:rPr>
            </w:pPr>
            <w:r>
              <w:rPr>
                <w:sz w:val="20"/>
                <w:szCs w:val="20"/>
              </w:rPr>
              <w:t>47.2</w:t>
            </w:r>
          </w:p>
        </w:tc>
      </w:tr>
      <w:tr w:rsidR="00000000" w14:paraId="4DFB62B2" w14:textId="77777777">
        <w:trPr>
          <w:trHeight w:val="225"/>
          <w:tblCellSpacing w:w="15" w:type="dxa"/>
        </w:trPr>
        <w:tc>
          <w:tcPr>
            <w:tcW w:w="850" w:type="pct"/>
            <w:tcBorders>
              <w:top w:val="single" w:sz="6" w:space="0" w:color="000000"/>
              <w:left w:val="single" w:sz="6" w:space="0" w:color="000000"/>
            </w:tcBorders>
            <w:shd w:val="clear" w:color="auto" w:fill="FFFFFF"/>
            <w:vAlign w:val="center"/>
            <w:hideMark/>
          </w:tcPr>
          <w:p w14:paraId="777EC8F6" w14:textId="77777777" w:rsidR="00000000" w:rsidRDefault="0015578C">
            <w:pPr>
              <w:pStyle w:val="a3"/>
              <w:spacing w:before="0" w:beforeAutospacing="0" w:after="0" w:afterAutospacing="0"/>
              <w:rPr>
                <w:sz w:val="20"/>
                <w:szCs w:val="20"/>
              </w:rPr>
            </w:pPr>
            <w:r>
              <w:rPr>
                <w:sz w:val="20"/>
                <w:szCs w:val="20"/>
              </w:rPr>
              <w:t>Total</w:t>
            </w:r>
          </w:p>
        </w:tc>
        <w:tc>
          <w:tcPr>
            <w:tcW w:w="550" w:type="pct"/>
            <w:tcBorders>
              <w:top w:val="single" w:sz="6" w:space="0" w:color="000000"/>
              <w:left w:val="single" w:sz="6" w:space="0" w:color="000000"/>
            </w:tcBorders>
            <w:shd w:val="clear" w:color="auto" w:fill="FFFFFF"/>
            <w:vAlign w:val="center"/>
            <w:hideMark/>
          </w:tcPr>
          <w:p w14:paraId="55F07336" w14:textId="77777777" w:rsidR="00000000" w:rsidRDefault="0015578C">
            <w:pPr>
              <w:pStyle w:val="a3"/>
              <w:spacing w:before="0" w:beforeAutospacing="0" w:after="0" w:afterAutospacing="0"/>
              <w:jc w:val="center"/>
              <w:rPr>
                <w:sz w:val="20"/>
                <w:szCs w:val="20"/>
              </w:rPr>
            </w:pPr>
            <w:r>
              <w:rPr>
                <w:sz w:val="20"/>
                <w:szCs w:val="20"/>
              </w:rPr>
              <w:t>17.6</w:t>
            </w:r>
          </w:p>
        </w:tc>
        <w:tc>
          <w:tcPr>
            <w:tcW w:w="400" w:type="pct"/>
            <w:tcBorders>
              <w:top w:val="single" w:sz="6" w:space="0" w:color="000000"/>
              <w:left w:val="single" w:sz="6" w:space="0" w:color="000000"/>
            </w:tcBorders>
            <w:shd w:val="clear" w:color="auto" w:fill="FFFFFF"/>
            <w:vAlign w:val="center"/>
            <w:hideMark/>
          </w:tcPr>
          <w:p w14:paraId="0480C38D" w14:textId="77777777" w:rsidR="00000000" w:rsidRDefault="0015578C">
            <w:pPr>
              <w:pStyle w:val="a3"/>
              <w:spacing w:before="0" w:beforeAutospacing="0" w:after="0" w:afterAutospacing="0"/>
              <w:jc w:val="center"/>
              <w:rPr>
                <w:sz w:val="20"/>
                <w:szCs w:val="20"/>
              </w:rPr>
            </w:pPr>
            <w:r>
              <w:rPr>
                <w:sz w:val="20"/>
                <w:szCs w:val="20"/>
              </w:rPr>
              <w:t>8.07</w:t>
            </w:r>
          </w:p>
        </w:tc>
        <w:tc>
          <w:tcPr>
            <w:tcW w:w="400" w:type="pct"/>
            <w:tcBorders>
              <w:top w:val="single" w:sz="6" w:space="0" w:color="000000"/>
              <w:left w:val="single" w:sz="6" w:space="0" w:color="000000"/>
            </w:tcBorders>
            <w:shd w:val="clear" w:color="auto" w:fill="FFFFFF"/>
            <w:vAlign w:val="center"/>
            <w:hideMark/>
          </w:tcPr>
          <w:p w14:paraId="5ADA9F09" w14:textId="77777777" w:rsidR="00000000" w:rsidRDefault="0015578C">
            <w:pPr>
              <w:pStyle w:val="a3"/>
              <w:spacing w:before="0" w:beforeAutospacing="0" w:after="0" w:afterAutospacing="0"/>
              <w:jc w:val="center"/>
              <w:rPr>
                <w:sz w:val="20"/>
                <w:szCs w:val="20"/>
              </w:rPr>
            </w:pPr>
            <w:r>
              <w:rPr>
                <w:sz w:val="20"/>
                <w:szCs w:val="20"/>
              </w:rPr>
              <w:t>2.68</w:t>
            </w:r>
          </w:p>
        </w:tc>
        <w:tc>
          <w:tcPr>
            <w:tcW w:w="400" w:type="pct"/>
            <w:tcBorders>
              <w:top w:val="single" w:sz="6" w:space="0" w:color="000000"/>
              <w:left w:val="single" w:sz="6" w:space="0" w:color="000000"/>
            </w:tcBorders>
            <w:shd w:val="clear" w:color="auto" w:fill="FFFFFF"/>
            <w:vAlign w:val="center"/>
            <w:hideMark/>
          </w:tcPr>
          <w:p w14:paraId="1013F98F" w14:textId="77777777" w:rsidR="00000000" w:rsidRDefault="0015578C">
            <w:pPr>
              <w:pStyle w:val="a3"/>
              <w:spacing w:before="0" w:beforeAutospacing="0" w:after="0" w:afterAutospacing="0"/>
              <w:jc w:val="center"/>
              <w:rPr>
                <w:sz w:val="20"/>
                <w:szCs w:val="20"/>
              </w:rPr>
            </w:pPr>
            <w:r>
              <w:rPr>
                <w:sz w:val="20"/>
                <w:szCs w:val="20"/>
              </w:rPr>
              <w:t>50.1</w:t>
            </w:r>
          </w:p>
        </w:tc>
        <w:tc>
          <w:tcPr>
            <w:tcW w:w="400" w:type="pct"/>
            <w:tcBorders>
              <w:top w:val="single" w:sz="6" w:space="0" w:color="000000"/>
              <w:left w:val="single" w:sz="6" w:space="0" w:color="000000"/>
            </w:tcBorders>
            <w:shd w:val="clear" w:color="auto" w:fill="FFFFFF"/>
            <w:vAlign w:val="center"/>
            <w:hideMark/>
          </w:tcPr>
          <w:p w14:paraId="69599BE4" w14:textId="77777777" w:rsidR="00000000" w:rsidRDefault="0015578C">
            <w:pPr>
              <w:pStyle w:val="a3"/>
              <w:spacing w:before="0" w:beforeAutospacing="0" w:after="0" w:afterAutospacing="0"/>
              <w:jc w:val="center"/>
              <w:rPr>
                <w:sz w:val="20"/>
                <w:szCs w:val="20"/>
              </w:rPr>
            </w:pPr>
            <w:r>
              <w:rPr>
                <w:sz w:val="20"/>
                <w:szCs w:val="20"/>
              </w:rPr>
              <w:t>2.8</w:t>
            </w:r>
          </w:p>
        </w:tc>
        <w:tc>
          <w:tcPr>
            <w:tcW w:w="400" w:type="pct"/>
            <w:tcBorders>
              <w:top w:val="single" w:sz="6" w:space="0" w:color="000000"/>
              <w:left w:val="single" w:sz="6" w:space="0" w:color="000000"/>
            </w:tcBorders>
            <w:shd w:val="clear" w:color="auto" w:fill="FFFFFF"/>
            <w:vAlign w:val="center"/>
            <w:hideMark/>
          </w:tcPr>
          <w:p w14:paraId="2DBE7BD5" w14:textId="77777777" w:rsidR="00000000" w:rsidRDefault="0015578C">
            <w:pPr>
              <w:pStyle w:val="a3"/>
              <w:spacing w:before="0" w:beforeAutospacing="0" w:after="0" w:afterAutospacing="0"/>
              <w:jc w:val="center"/>
              <w:rPr>
                <w:sz w:val="20"/>
                <w:szCs w:val="20"/>
              </w:rPr>
            </w:pPr>
            <w:r>
              <w:rPr>
                <w:sz w:val="20"/>
                <w:szCs w:val="20"/>
              </w:rPr>
              <w:t>8.64</w:t>
            </w:r>
          </w:p>
        </w:tc>
        <w:tc>
          <w:tcPr>
            <w:tcW w:w="400" w:type="pct"/>
            <w:tcBorders>
              <w:top w:val="single" w:sz="6" w:space="0" w:color="000000"/>
              <w:left w:val="single" w:sz="6" w:space="0" w:color="000000"/>
            </w:tcBorders>
            <w:shd w:val="clear" w:color="auto" w:fill="FFFFFF"/>
            <w:vAlign w:val="center"/>
            <w:hideMark/>
          </w:tcPr>
          <w:p w14:paraId="7FA15379" w14:textId="77777777" w:rsidR="00000000" w:rsidRDefault="0015578C">
            <w:pPr>
              <w:pStyle w:val="a3"/>
              <w:spacing w:before="0" w:beforeAutospacing="0" w:after="0" w:afterAutospacing="0"/>
              <w:jc w:val="center"/>
              <w:rPr>
                <w:sz w:val="20"/>
                <w:szCs w:val="20"/>
              </w:rPr>
            </w:pPr>
            <w:r>
              <w:rPr>
                <w:sz w:val="20"/>
                <w:szCs w:val="20"/>
              </w:rPr>
              <w:t>2.73</w:t>
            </w:r>
          </w:p>
        </w:tc>
        <w:tc>
          <w:tcPr>
            <w:tcW w:w="400" w:type="pct"/>
            <w:tcBorders>
              <w:top w:val="single" w:sz="6" w:space="0" w:color="000000"/>
              <w:left w:val="single" w:sz="6" w:space="0" w:color="000000"/>
            </w:tcBorders>
            <w:shd w:val="clear" w:color="auto" w:fill="FFFFFF"/>
            <w:vAlign w:val="center"/>
            <w:hideMark/>
          </w:tcPr>
          <w:p w14:paraId="6B0C3287" w14:textId="77777777" w:rsidR="00000000" w:rsidRDefault="0015578C">
            <w:pPr>
              <w:pStyle w:val="a3"/>
              <w:spacing w:before="0" w:beforeAutospacing="0" w:after="0" w:afterAutospacing="0"/>
              <w:jc w:val="center"/>
              <w:rPr>
                <w:sz w:val="20"/>
                <w:szCs w:val="20"/>
              </w:rPr>
            </w:pPr>
            <w:r>
              <w:rPr>
                <w:sz w:val="20"/>
                <w:szCs w:val="20"/>
              </w:rPr>
              <w:t>38.9</w:t>
            </w:r>
          </w:p>
        </w:tc>
      </w:tr>
    </w:tbl>
    <w:p w14:paraId="4006380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14:paraId="6650E8E0" w14:textId="77777777">
        <w:trPr>
          <w:trHeight w:val="225"/>
          <w:tblCellSpacing w:w="15" w:type="dxa"/>
        </w:trPr>
        <w:tc>
          <w:tcPr>
            <w:tcW w:w="200" w:type="pct"/>
            <w:vAlign w:val="center"/>
            <w:hideMark/>
          </w:tcPr>
          <w:p w14:paraId="49A05DED" w14:textId="77777777" w:rsidR="00000000" w:rsidRDefault="0015578C">
            <w:pPr>
              <w:pStyle w:val="a3"/>
              <w:spacing w:before="0" w:beforeAutospacing="0" w:after="0" w:afterAutospacing="0"/>
              <w:rPr>
                <w:sz w:val="20"/>
                <w:szCs w:val="20"/>
              </w:rPr>
            </w:pPr>
            <w:r>
              <w:rPr>
                <w:sz w:val="20"/>
                <w:szCs w:val="20"/>
              </w:rPr>
              <w:t> </w:t>
            </w:r>
          </w:p>
        </w:tc>
        <w:tc>
          <w:tcPr>
            <w:tcW w:w="200" w:type="pct"/>
            <w:hideMark/>
          </w:tcPr>
          <w:p w14:paraId="284030D4" w14:textId="77777777" w:rsidR="00000000" w:rsidRDefault="0015578C">
            <w:pPr>
              <w:pStyle w:val="a3"/>
              <w:spacing w:before="0" w:beforeAutospacing="0" w:after="0" w:afterAutospacing="0"/>
              <w:rPr>
                <w:sz w:val="20"/>
                <w:szCs w:val="20"/>
              </w:rPr>
            </w:pPr>
            <w:r>
              <w:rPr>
                <w:sz w:val="20"/>
                <w:szCs w:val="20"/>
              </w:rPr>
              <w:t>(1)</w:t>
            </w:r>
          </w:p>
        </w:tc>
        <w:tc>
          <w:tcPr>
            <w:tcW w:w="0" w:type="auto"/>
            <w:hideMark/>
          </w:tcPr>
          <w:p w14:paraId="419E05CA" w14:textId="77777777" w:rsidR="00000000" w:rsidRDefault="0015578C">
            <w:pPr>
              <w:pStyle w:val="a3"/>
              <w:spacing w:before="0" w:beforeAutospacing="0" w:after="0" w:afterAutospacing="0"/>
              <w:jc w:val="both"/>
              <w:rPr>
                <w:sz w:val="20"/>
                <w:szCs w:val="20"/>
              </w:rPr>
            </w:pPr>
            <w:r>
              <w:rPr>
                <w:sz w:val="20"/>
                <w:szCs w:val="20"/>
              </w:rPr>
              <w:t>Price assumptions for Lik: Zn: $0.92/lb.; Pb: $1.01/lb.: Ag: $19.43/oz</w:t>
            </w:r>
          </w:p>
        </w:tc>
      </w:tr>
      <w:tr w:rsidR="00000000" w14:paraId="2B1CEA13" w14:textId="77777777">
        <w:trPr>
          <w:trHeight w:val="225"/>
          <w:tblCellSpacing w:w="15" w:type="dxa"/>
        </w:trPr>
        <w:tc>
          <w:tcPr>
            <w:tcW w:w="0" w:type="auto"/>
            <w:vAlign w:val="center"/>
            <w:hideMark/>
          </w:tcPr>
          <w:p w14:paraId="4902D90D"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D4DB559" w14:textId="77777777" w:rsidR="00000000" w:rsidRDefault="0015578C">
            <w:pPr>
              <w:pStyle w:val="a3"/>
              <w:spacing w:before="0" w:beforeAutospacing="0" w:after="0" w:afterAutospacing="0"/>
              <w:jc w:val="both"/>
              <w:rPr>
                <w:sz w:val="20"/>
                <w:szCs w:val="20"/>
              </w:rPr>
            </w:pPr>
            <w:r>
              <w:rPr>
                <w:sz w:val="20"/>
                <w:szCs w:val="20"/>
              </w:rPr>
              <w:t>(2)</w:t>
            </w:r>
          </w:p>
        </w:tc>
        <w:tc>
          <w:tcPr>
            <w:tcW w:w="0" w:type="auto"/>
            <w:hideMark/>
          </w:tcPr>
          <w:p w14:paraId="7932C0D7" w14:textId="77777777" w:rsidR="00000000" w:rsidRDefault="0015578C">
            <w:pPr>
              <w:pStyle w:val="a3"/>
              <w:spacing w:before="0" w:beforeAutospacing="0" w:after="0" w:afterAutospacing="0"/>
              <w:jc w:val="both"/>
              <w:rPr>
                <w:sz w:val="20"/>
                <w:szCs w:val="20"/>
              </w:rPr>
            </w:pPr>
            <w:r>
              <w:rPr>
                <w:sz w:val="20"/>
                <w:szCs w:val="20"/>
              </w:rPr>
              <w:t>Mineral resource recoveries for Lik: Zn: 85.0%; Pb: 69.7%; Ag:26.87%</w:t>
            </w:r>
          </w:p>
        </w:tc>
      </w:tr>
      <w:tr w:rsidR="00000000" w14:paraId="2C2F484A" w14:textId="77777777">
        <w:trPr>
          <w:trHeight w:val="225"/>
          <w:tblCellSpacing w:w="15" w:type="dxa"/>
        </w:trPr>
        <w:tc>
          <w:tcPr>
            <w:tcW w:w="0" w:type="auto"/>
            <w:vAlign w:val="center"/>
            <w:hideMark/>
          </w:tcPr>
          <w:p w14:paraId="0F4C9905"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8971E8D" w14:textId="77777777" w:rsidR="00000000" w:rsidRDefault="0015578C">
            <w:pPr>
              <w:pStyle w:val="a3"/>
              <w:spacing w:before="0" w:beforeAutospacing="0" w:after="0" w:afterAutospacing="0"/>
              <w:jc w:val="both"/>
              <w:rPr>
                <w:sz w:val="20"/>
                <w:szCs w:val="20"/>
              </w:rPr>
            </w:pPr>
            <w:r>
              <w:rPr>
                <w:sz w:val="20"/>
                <w:szCs w:val="20"/>
              </w:rPr>
              <w:t>(3)</w:t>
            </w:r>
          </w:p>
        </w:tc>
        <w:tc>
          <w:tcPr>
            <w:tcW w:w="0" w:type="auto"/>
            <w:hideMark/>
          </w:tcPr>
          <w:p w14:paraId="287BB083" w14:textId="77777777" w:rsidR="00000000" w:rsidRDefault="0015578C">
            <w:pPr>
              <w:pStyle w:val="a3"/>
              <w:spacing w:before="0" w:beforeAutospacing="0" w:after="0" w:afterAutospacing="0"/>
              <w:jc w:val="both"/>
              <w:rPr>
                <w:sz w:val="20"/>
                <w:szCs w:val="20"/>
              </w:rPr>
            </w:pPr>
            <w:r>
              <w:rPr>
                <w:sz w:val="20"/>
                <w:szCs w:val="20"/>
              </w:rPr>
              <w:t>Mineral resource for Lik is reported at a cutoff grade of 5% Pb%+Zn%</w:t>
            </w:r>
          </w:p>
        </w:tc>
      </w:tr>
      <w:tr w:rsidR="00000000" w14:paraId="1759B572" w14:textId="77777777">
        <w:trPr>
          <w:trHeight w:val="225"/>
          <w:tblCellSpacing w:w="15" w:type="dxa"/>
        </w:trPr>
        <w:tc>
          <w:tcPr>
            <w:tcW w:w="0" w:type="auto"/>
            <w:vAlign w:val="center"/>
            <w:hideMark/>
          </w:tcPr>
          <w:p w14:paraId="2CF5094A"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4F721D85" w14:textId="77777777" w:rsidR="00000000" w:rsidRDefault="0015578C">
            <w:pPr>
              <w:pStyle w:val="a3"/>
              <w:spacing w:before="0" w:beforeAutospacing="0" w:after="0" w:afterAutospacing="0"/>
              <w:jc w:val="both"/>
              <w:rPr>
                <w:sz w:val="20"/>
                <w:szCs w:val="20"/>
              </w:rPr>
            </w:pPr>
            <w:r>
              <w:rPr>
                <w:sz w:val="20"/>
                <w:szCs w:val="20"/>
              </w:rPr>
              <w:t>(4)</w:t>
            </w:r>
          </w:p>
        </w:tc>
        <w:tc>
          <w:tcPr>
            <w:tcW w:w="0" w:type="auto"/>
            <w:hideMark/>
          </w:tcPr>
          <w:p w14:paraId="67E355A6" w14:textId="77777777" w:rsidR="00000000" w:rsidRDefault="0015578C">
            <w:pPr>
              <w:pStyle w:val="a3"/>
              <w:spacing w:before="0" w:beforeAutospacing="0" w:after="0" w:afterAutospacing="0"/>
              <w:jc w:val="both"/>
              <w:rPr>
                <w:sz w:val="20"/>
                <w:szCs w:val="20"/>
              </w:rPr>
            </w:pPr>
            <w:r>
              <w:rPr>
                <w:sz w:val="20"/>
                <w:szCs w:val="20"/>
              </w:rPr>
              <w:t>The preliminary pit optimization was prepared using Datamine Software. The drillhole database, mineralized domain solids and block model were imported into Leapfrog Geo/Edge 2021.2</w:t>
            </w:r>
            <w:r>
              <w:rPr>
                <w:sz w:val="20"/>
                <w:szCs w:val="20"/>
              </w:rPr>
              <w:t>.3 for review.</w:t>
            </w:r>
          </w:p>
        </w:tc>
      </w:tr>
      <w:tr w:rsidR="00000000" w14:paraId="438F257F" w14:textId="77777777">
        <w:trPr>
          <w:trHeight w:val="225"/>
          <w:tblCellSpacing w:w="15" w:type="dxa"/>
        </w:trPr>
        <w:tc>
          <w:tcPr>
            <w:tcW w:w="0" w:type="auto"/>
            <w:vAlign w:val="center"/>
            <w:hideMark/>
          </w:tcPr>
          <w:p w14:paraId="67929EB8"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7EDFDD8B" w14:textId="77777777" w:rsidR="00000000" w:rsidRDefault="0015578C">
            <w:pPr>
              <w:pStyle w:val="a3"/>
              <w:spacing w:before="0" w:beforeAutospacing="0" w:after="0" w:afterAutospacing="0"/>
              <w:jc w:val="both"/>
              <w:rPr>
                <w:sz w:val="20"/>
                <w:szCs w:val="20"/>
              </w:rPr>
            </w:pPr>
            <w:r>
              <w:rPr>
                <w:sz w:val="20"/>
                <w:szCs w:val="20"/>
              </w:rPr>
              <w:t>(5)</w:t>
            </w:r>
          </w:p>
        </w:tc>
        <w:tc>
          <w:tcPr>
            <w:tcW w:w="0" w:type="auto"/>
            <w:hideMark/>
          </w:tcPr>
          <w:p w14:paraId="6D43227E" w14:textId="77777777" w:rsidR="00000000" w:rsidRDefault="0015578C">
            <w:pPr>
              <w:pStyle w:val="a3"/>
              <w:spacing w:before="0" w:beforeAutospacing="0" w:after="0" w:afterAutospacing="0"/>
              <w:jc w:val="both"/>
              <w:rPr>
                <w:sz w:val="20"/>
                <w:szCs w:val="20"/>
              </w:rPr>
            </w:pPr>
            <w:r>
              <w:rPr>
                <w:sz w:val="20"/>
                <w:szCs w:val="20"/>
              </w:rPr>
              <w:t>For the current resource estimate only surface mining methods were considered. While there may be potential to exploit mineralization via underground mining methods, this was not considered in the current resource statement.</w:t>
            </w:r>
          </w:p>
        </w:tc>
      </w:tr>
    </w:tbl>
    <w:p w14:paraId="659E5E5D" w14:textId="77777777" w:rsidR="00000000" w:rsidRDefault="0015578C">
      <w:pPr>
        <w:pStyle w:val="a3"/>
        <w:spacing w:before="0" w:beforeAutospacing="0" w:after="0" w:afterAutospacing="0"/>
        <w:jc w:val="both"/>
        <w:rPr>
          <w:sz w:val="20"/>
          <w:szCs w:val="20"/>
        </w:rPr>
      </w:pPr>
      <w:r>
        <w:rPr>
          <w:sz w:val="20"/>
          <w:szCs w:val="20"/>
        </w:rPr>
        <w:t xml:space="preserve">  </w:t>
      </w:r>
    </w:p>
    <w:p w14:paraId="0796FED7" w14:textId="77777777" w:rsidR="00000000" w:rsidRDefault="0015578C">
      <w:pPr>
        <w:pStyle w:val="a3"/>
        <w:spacing w:before="0" w:beforeAutospacing="0" w:after="0" w:afterAutospacing="0"/>
        <w:jc w:val="both"/>
        <w:rPr>
          <w:sz w:val="20"/>
          <w:szCs w:val="20"/>
        </w:rPr>
      </w:pPr>
      <w:r>
        <w:rPr>
          <w:sz w:val="20"/>
          <w:szCs w:val="20"/>
        </w:rPr>
        <w:t>13. M</w:t>
      </w:r>
      <w:r>
        <w:rPr>
          <w:sz w:val="20"/>
          <w:szCs w:val="20"/>
        </w:rPr>
        <w:t>ining Operations</w:t>
      </w:r>
    </w:p>
    <w:p w14:paraId="46BB248B" w14:textId="77777777" w:rsidR="00000000" w:rsidRDefault="0015578C">
      <w:pPr>
        <w:pStyle w:val="a3"/>
        <w:spacing w:before="0" w:beforeAutospacing="0" w:after="0" w:afterAutospacing="0"/>
        <w:jc w:val="both"/>
        <w:rPr>
          <w:sz w:val="20"/>
          <w:szCs w:val="20"/>
        </w:rPr>
      </w:pPr>
      <w:r>
        <w:rPr>
          <w:sz w:val="20"/>
          <w:szCs w:val="20"/>
        </w:rPr>
        <w:t> </w:t>
      </w:r>
    </w:p>
    <w:p w14:paraId="1475C94E" w14:textId="77777777" w:rsidR="00000000" w:rsidRDefault="0015578C">
      <w:pPr>
        <w:pStyle w:val="a3"/>
        <w:spacing w:before="0" w:beforeAutospacing="0" w:after="0" w:afterAutospacing="0"/>
        <w:ind w:firstLine="675"/>
        <w:jc w:val="both"/>
        <w:rPr>
          <w:sz w:val="20"/>
          <w:szCs w:val="20"/>
        </w:rPr>
      </w:pPr>
      <w:r>
        <w:rPr>
          <w:sz w:val="20"/>
          <w:szCs w:val="20"/>
        </w:rPr>
        <w:t xml:space="preserve">No commercial mining operations to recover metals have occurred on the project.  </w:t>
      </w:r>
    </w:p>
    <w:p w14:paraId="05B882E4" w14:textId="77777777" w:rsidR="00000000" w:rsidRDefault="0015578C">
      <w:pPr>
        <w:pStyle w:val="a3"/>
        <w:spacing w:before="0" w:beforeAutospacing="0" w:after="0" w:afterAutospacing="0"/>
        <w:jc w:val="both"/>
        <w:rPr>
          <w:sz w:val="20"/>
          <w:szCs w:val="20"/>
        </w:rPr>
      </w:pPr>
      <w:r>
        <w:rPr>
          <w:sz w:val="20"/>
          <w:szCs w:val="20"/>
        </w:rPr>
        <w:t> </w:t>
      </w:r>
    </w:p>
    <w:p w14:paraId="1282183B" w14:textId="77777777" w:rsidR="00000000" w:rsidRDefault="0015578C">
      <w:pPr>
        <w:pStyle w:val="a3"/>
        <w:spacing w:before="0" w:beforeAutospacing="0" w:after="0" w:afterAutospacing="0"/>
        <w:jc w:val="both"/>
        <w:rPr>
          <w:sz w:val="20"/>
          <w:szCs w:val="20"/>
        </w:rPr>
      </w:pPr>
      <w:r>
        <w:rPr>
          <w:sz w:val="20"/>
          <w:szCs w:val="20"/>
        </w:rPr>
        <w:t xml:space="preserve">14. Planned Exploration and Development </w:t>
      </w:r>
    </w:p>
    <w:p w14:paraId="23E85A24" w14:textId="77777777" w:rsidR="00000000" w:rsidRDefault="0015578C">
      <w:pPr>
        <w:pStyle w:val="a3"/>
        <w:spacing w:before="0" w:beforeAutospacing="0" w:after="0" w:afterAutospacing="0"/>
        <w:jc w:val="both"/>
        <w:rPr>
          <w:sz w:val="20"/>
          <w:szCs w:val="20"/>
        </w:rPr>
      </w:pPr>
      <w:r>
        <w:rPr>
          <w:sz w:val="20"/>
          <w:szCs w:val="20"/>
        </w:rPr>
        <w:t> </w:t>
      </w:r>
    </w:p>
    <w:p w14:paraId="23D6CE3A" w14:textId="77777777" w:rsidR="00000000" w:rsidRDefault="0015578C">
      <w:pPr>
        <w:pStyle w:val="a3"/>
        <w:spacing w:before="0" w:beforeAutospacing="0" w:after="0" w:afterAutospacing="0"/>
        <w:ind w:firstLine="675"/>
        <w:jc w:val="both"/>
        <w:rPr>
          <w:sz w:val="20"/>
          <w:szCs w:val="20"/>
        </w:rPr>
      </w:pPr>
      <w:r>
        <w:rPr>
          <w:sz w:val="20"/>
          <w:szCs w:val="20"/>
        </w:rPr>
        <w:t>Solitario and Teck are in final discussions to potentially fund a 2023 exploration program, with Teck acting as project manager.  The program, if approved, consists of drilling two core holes totaling approximately 716 meters (2,350 feet) to test for exten</w:t>
      </w:r>
      <w:r>
        <w:rPr>
          <w:sz w:val="20"/>
          <w:szCs w:val="20"/>
        </w:rPr>
        <w:t xml:space="preserve">sions to the currently defined Lik deposit.  An airborne ZTEM survey to measure for resistivity features at depth is also being considered.  The drilling and geophysical programs, if approved, would begin in June of 2023.  </w:t>
      </w:r>
    </w:p>
    <w:p w14:paraId="02B254ED" w14:textId="77777777" w:rsidR="00000000" w:rsidRDefault="0015578C">
      <w:pPr>
        <w:pStyle w:val="a3"/>
        <w:spacing w:before="0" w:beforeAutospacing="0" w:after="0" w:afterAutospacing="0"/>
        <w:jc w:val="both"/>
        <w:rPr>
          <w:sz w:val="20"/>
          <w:szCs w:val="20"/>
        </w:rPr>
      </w:pPr>
      <w:r>
        <w:rPr>
          <w:sz w:val="20"/>
          <w:szCs w:val="20"/>
        </w:rPr>
        <w:t> </w:t>
      </w:r>
    </w:p>
    <w:p w14:paraId="0E70B103" w14:textId="77777777" w:rsidR="00000000" w:rsidRDefault="0015578C">
      <w:pPr>
        <w:pStyle w:val="a3"/>
        <w:spacing w:before="0" w:beforeAutospacing="0" w:after="0" w:afterAutospacing="0"/>
        <w:jc w:val="both"/>
        <w:rPr>
          <w:sz w:val="20"/>
          <w:szCs w:val="20"/>
        </w:rPr>
      </w:pPr>
      <w:r>
        <w:rPr>
          <w:rStyle w:val="a4"/>
          <w:sz w:val="20"/>
          <w:szCs w:val="20"/>
        </w:rPr>
        <w:t>Chambara Zinc Property (Peru)</w:t>
      </w:r>
    </w:p>
    <w:p w14:paraId="14437A51" w14:textId="77777777" w:rsidR="00000000" w:rsidRDefault="0015578C">
      <w:pPr>
        <w:pStyle w:val="a3"/>
        <w:spacing w:before="0" w:beforeAutospacing="0" w:after="0" w:afterAutospacing="0"/>
        <w:jc w:val="both"/>
        <w:rPr>
          <w:sz w:val="20"/>
          <w:szCs w:val="20"/>
        </w:rPr>
      </w:pPr>
      <w:r>
        <w:rPr>
          <w:sz w:val="20"/>
          <w:szCs w:val="20"/>
        </w:rPr>
        <w:t> </w:t>
      </w:r>
    </w:p>
    <w:p w14:paraId="7BB81EB5" w14:textId="77777777" w:rsidR="00000000" w:rsidRDefault="0015578C">
      <w:pPr>
        <w:pStyle w:val="a3"/>
        <w:spacing w:before="0" w:beforeAutospacing="0" w:after="0" w:afterAutospacing="0"/>
        <w:ind w:firstLine="675"/>
        <w:jc w:val="both"/>
        <w:rPr>
          <w:sz w:val="20"/>
          <w:szCs w:val="20"/>
        </w:rPr>
      </w:pPr>
      <w:r>
        <w:rPr>
          <w:sz w:val="20"/>
          <w:szCs w:val="20"/>
        </w:rPr>
        <w:t>In April 2008, we signed the Minera Chambara shareholders’ agreement with Votorantim on Solitario's 100%-owned Chambara zinc project.  In 2015 Votorantim transferred its interest in the Chambara project to Milpo.  In October of 2017, Milpo and Votorantim</w:t>
      </w:r>
      <w:r>
        <w:rPr>
          <w:sz w:val="20"/>
          <w:szCs w:val="20"/>
        </w:rPr>
        <w:t xml:space="preserve"> merged to form Nexa.  For the remainder of this Chambara property section, all references to Votorantim, Milpo or Nexa are collectively referred to as “Nexa.”   </w:t>
      </w:r>
    </w:p>
    <w:p w14:paraId="617F092D" w14:textId="77777777" w:rsidR="00000000" w:rsidRDefault="0015578C">
      <w:pPr>
        <w:pStyle w:val="a3"/>
        <w:spacing w:before="0" w:beforeAutospacing="0" w:after="0" w:afterAutospacing="0"/>
        <w:ind w:firstLine="675"/>
        <w:jc w:val="both"/>
        <w:rPr>
          <w:sz w:val="20"/>
          <w:szCs w:val="20"/>
        </w:rPr>
      </w:pPr>
      <w:r>
        <w:rPr>
          <w:sz w:val="20"/>
          <w:szCs w:val="20"/>
        </w:rPr>
        <w:t> </w:t>
      </w:r>
    </w:p>
    <w:p w14:paraId="618FF443" w14:textId="77777777" w:rsidR="00000000" w:rsidRDefault="0015578C">
      <w:pPr>
        <w:pStyle w:val="a3"/>
        <w:spacing w:before="0" w:beforeAutospacing="0" w:after="0" w:afterAutospacing="0"/>
        <w:ind w:firstLine="675"/>
        <w:jc w:val="both"/>
        <w:rPr>
          <w:sz w:val="20"/>
          <w:szCs w:val="20"/>
        </w:rPr>
      </w:pPr>
      <w:r>
        <w:rPr>
          <w:sz w:val="20"/>
          <w:szCs w:val="20"/>
        </w:rPr>
        <w:t xml:space="preserve"> The original purpose of the Chambara joint venture was to collectively pool independently </w:t>
      </w:r>
      <w:r>
        <w:rPr>
          <w:sz w:val="20"/>
          <w:szCs w:val="20"/>
        </w:rPr>
        <w:t xml:space="preserve">owned Solitario </w:t>
      </w:r>
    </w:p>
    <w:p w14:paraId="6A9AA446" w14:textId="77777777" w:rsidR="00000000" w:rsidRDefault="0015578C">
      <w:pPr>
        <w:pStyle w:val="a3"/>
        <w:spacing w:before="0" w:beforeAutospacing="0" w:after="0" w:afterAutospacing="0"/>
        <w:ind w:firstLine="675"/>
        <w:jc w:val="both"/>
        <w:rPr>
          <w:sz w:val="20"/>
          <w:szCs w:val="20"/>
        </w:rPr>
      </w:pPr>
      <w:r>
        <w:rPr>
          <w:sz w:val="20"/>
          <w:szCs w:val="20"/>
        </w:rPr>
        <w:t>and Nexa properties into a jointly held joint venture.  These properties were located within a large area of interest in northern Peru measuring approximately 200 by 85 kilometers, but outside of the Florida Canyon property position.   Nex</w:t>
      </w:r>
      <w:r>
        <w:rPr>
          <w:sz w:val="20"/>
          <w:szCs w:val="20"/>
        </w:rPr>
        <w:t>a originally contributed 52 mineral concessions within the area of interest totaling 52,000 hectares to Minera Chambara for a 15% interest in Minera Chambara.  We contributed 9,600 hectares of mineral claims and an extensive exploration data base in our po</w:t>
      </w:r>
      <w:r>
        <w:rPr>
          <w:sz w:val="20"/>
          <w:szCs w:val="20"/>
        </w:rPr>
        <w:t>ssession for an 85% interest in Minera Chambara.  Existing and future acquired properties subject to the terms of the shareholders’ agreement will be controlled by Minera Chambara.  Minera Chambara dropped selected concessions in 2013 and 2016 and acquired</w:t>
      </w:r>
      <w:r>
        <w:rPr>
          <w:sz w:val="20"/>
          <w:szCs w:val="20"/>
        </w:rPr>
        <w:t xml:space="preserve"> the rights to 13 new concessions totaling 11,600 hectares in 2017.  The current claim holdings of Minera Chambara are 48 concessions totaling 36,080 hectares of valid concessions that completely surround the Florida Canyon project area held by Minera Bong</w:t>
      </w:r>
      <w:r>
        <w:rPr>
          <w:sz w:val="20"/>
          <w:szCs w:val="20"/>
        </w:rPr>
        <w:t>ará.  As of December 31, 2022, Minera Chambara’s only assets are the properties and Minera Chambara has no debt.  Nexa may increase its shareholding interest to 49% through cumulative spending of $6,250,000 and may further increase its interest to 70% by f</w:t>
      </w:r>
      <w:r>
        <w:rPr>
          <w:sz w:val="20"/>
          <w:szCs w:val="20"/>
        </w:rPr>
        <w:t>unding a feasibility study and providing construction financing for Solitario's interest.  Nexa has not met the cumulative spending total as of December 31, 2022.  If Nexa provides such construction financing, we would repay that financing, including inter</w:t>
      </w:r>
      <w:r>
        <w:rPr>
          <w:sz w:val="20"/>
          <w:szCs w:val="20"/>
        </w:rPr>
        <w:t xml:space="preserve">est, from 80% of Solitario's portion of the project cash flow.  </w:t>
      </w:r>
    </w:p>
    <w:p w14:paraId="499D0DE3" w14:textId="77777777" w:rsidR="00000000" w:rsidRDefault="0015578C">
      <w:pPr>
        <w:pStyle w:val="a3"/>
        <w:spacing w:before="0" w:beforeAutospacing="0" w:after="0" w:afterAutospacing="0"/>
        <w:ind w:firstLine="675"/>
        <w:jc w:val="both"/>
        <w:rPr>
          <w:sz w:val="20"/>
          <w:szCs w:val="20"/>
        </w:rPr>
      </w:pPr>
      <w:r>
        <w:rPr>
          <w:sz w:val="20"/>
          <w:szCs w:val="20"/>
        </w:rPr>
        <w:t> </w:t>
      </w:r>
    </w:p>
    <w:p w14:paraId="292A8BFE" w14:textId="77777777" w:rsidR="00000000" w:rsidRDefault="0015578C">
      <w:pPr>
        <w:pStyle w:val="a3"/>
        <w:spacing w:before="0" w:beforeAutospacing="0" w:after="0" w:afterAutospacing="0"/>
        <w:ind w:firstLine="675"/>
        <w:jc w:val="both"/>
        <w:rPr>
          <w:sz w:val="20"/>
          <w:szCs w:val="20"/>
        </w:rPr>
      </w:pPr>
      <w:r>
        <w:rPr>
          <w:sz w:val="20"/>
          <w:szCs w:val="20"/>
        </w:rPr>
        <w:t> Significant geochemical anomalies and outcropping mineralization have been identified at several locations on the Chambara property.  During 2021 Nexa conducted geologic mapping and geoche</w:t>
      </w:r>
      <w:r>
        <w:rPr>
          <w:sz w:val="20"/>
          <w:szCs w:val="20"/>
        </w:rPr>
        <w:t>mical sampling at the San Jose and Naranjitos prospects which were initially discovered by Solitario in the 1990’s. Significant new geologic information collected reveal that at least some of the San Jose mineralization is found in the same stratigraphic l</w:t>
      </w:r>
      <w:r>
        <w:rPr>
          <w:sz w:val="20"/>
          <w:szCs w:val="20"/>
        </w:rPr>
        <w:t>ocation as the Florida Canyon deposit which indicates that the target for future drilling is closer to the surface than previously thought.  It is known that the size and strength of the geochemical signature at San Jose is similar to that at Florida Canyo</w:t>
      </w:r>
      <w:r>
        <w:rPr>
          <w:sz w:val="20"/>
          <w:szCs w:val="20"/>
        </w:rPr>
        <w:t>n even though surface exploration is still at a very early stage. Even less work has been done at Naranjitos but that project also appears to be very prospective.   </w:t>
      </w:r>
    </w:p>
    <w:p w14:paraId="60495089" w14:textId="77777777" w:rsidR="00000000" w:rsidRDefault="0015578C">
      <w:pPr>
        <w:pStyle w:val="a3"/>
        <w:spacing w:before="0" w:beforeAutospacing="0" w:after="0" w:afterAutospacing="0"/>
        <w:ind w:firstLine="675"/>
        <w:jc w:val="both"/>
        <w:rPr>
          <w:sz w:val="20"/>
          <w:szCs w:val="20"/>
        </w:rPr>
      </w:pPr>
      <w:r>
        <w:rPr>
          <w:sz w:val="20"/>
          <w:szCs w:val="20"/>
        </w:rPr>
        <w:t> </w:t>
      </w:r>
    </w:p>
    <w:p w14:paraId="77A3799F" w14:textId="77777777" w:rsidR="00000000" w:rsidRDefault="0015578C">
      <w:pPr>
        <w:pStyle w:val="a3"/>
        <w:spacing w:before="0" w:beforeAutospacing="0" w:after="0" w:afterAutospacing="0"/>
        <w:ind w:firstLine="675"/>
        <w:jc w:val="both"/>
        <w:rPr>
          <w:sz w:val="20"/>
          <w:szCs w:val="20"/>
        </w:rPr>
      </w:pPr>
      <w:r>
        <w:rPr>
          <w:sz w:val="20"/>
          <w:szCs w:val="20"/>
        </w:rPr>
        <w:t xml:space="preserve">There are no reported mineral reserves or mineral resources at the Chambara project. </w:t>
      </w:r>
    </w:p>
    <w:p w14:paraId="557DD181"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19CB937" w14:textId="77777777">
        <w:trPr>
          <w:trHeight w:val="225"/>
          <w:tblCellSpacing w:w="15" w:type="dxa"/>
        </w:trPr>
        <w:tc>
          <w:tcPr>
            <w:tcW w:w="0" w:type="auto"/>
            <w:vAlign w:val="center"/>
            <w:hideMark/>
          </w:tcPr>
          <w:p w14:paraId="56DB2EBC" w14:textId="77777777" w:rsidR="00000000" w:rsidRDefault="0015578C">
            <w:pPr>
              <w:rPr>
                <w:rFonts w:eastAsia="Times New Roman"/>
                <w:sz w:val="20"/>
                <w:szCs w:val="20"/>
              </w:rPr>
            </w:pPr>
            <w:r>
              <w:rPr>
                <w:rFonts w:eastAsia="Times New Roman"/>
                <w:sz w:val="20"/>
                <w:szCs w:val="20"/>
              </w:rPr>
              <w:t> </w:t>
            </w:r>
          </w:p>
        </w:tc>
      </w:tr>
      <w:tr w:rsidR="00000000" w14:paraId="412CF99E" w14:textId="77777777">
        <w:trPr>
          <w:trHeight w:val="225"/>
          <w:tblCellSpacing w:w="15" w:type="dxa"/>
        </w:trPr>
        <w:tc>
          <w:tcPr>
            <w:tcW w:w="0" w:type="auto"/>
            <w:tcBorders>
              <w:bottom w:val="single" w:sz="6" w:space="0" w:color="000000"/>
            </w:tcBorders>
            <w:vAlign w:val="center"/>
            <w:hideMark/>
          </w:tcPr>
          <w:p w14:paraId="647A416E" w14:textId="77777777" w:rsidR="00000000" w:rsidRDefault="0015578C">
            <w:pPr>
              <w:jc w:val="center"/>
              <w:rPr>
                <w:rFonts w:eastAsia="Times New Roman"/>
                <w:sz w:val="20"/>
                <w:szCs w:val="20"/>
              </w:rPr>
            </w:pPr>
            <w:r>
              <w:rPr>
                <w:rFonts w:eastAsia="Times New Roman"/>
                <w:sz w:val="20"/>
                <w:szCs w:val="20"/>
              </w:rPr>
              <w:t>33</w:t>
            </w:r>
          </w:p>
        </w:tc>
      </w:tr>
      <w:tr w:rsidR="00000000" w14:paraId="0C5B2CE2" w14:textId="77777777">
        <w:trPr>
          <w:trHeight w:val="225"/>
          <w:tblCellSpacing w:w="15" w:type="dxa"/>
        </w:trPr>
        <w:tc>
          <w:tcPr>
            <w:tcW w:w="0" w:type="auto"/>
            <w:vAlign w:val="center"/>
            <w:hideMark/>
          </w:tcPr>
          <w:p w14:paraId="7571085F" w14:textId="77777777" w:rsidR="00000000" w:rsidRDefault="0015578C">
            <w:pPr>
              <w:rPr>
                <w:rFonts w:eastAsia="Times New Roman"/>
                <w:sz w:val="20"/>
                <w:szCs w:val="20"/>
              </w:rPr>
            </w:pPr>
          </w:p>
        </w:tc>
      </w:tr>
      <w:tr w:rsidR="00000000" w14:paraId="3F0391A4" w14:textId="77777777">
        <w:trPr>
          <w:trHeight w:val="225"/>
          <w:tblCellSpacing w:w="15" w:type="dxa"/>
        </w:trPr>
        <w:tc>
          <w:tcPr>
            <w:tcW w:w="0" w:type="auto"/>
            <w:vAlign w:val="center"/>
            <w:hideMark/>
          </w:tcPr>
          <w:p w14:paraId="20D5A40F"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6F71148" w14:textId="77777777" w:rsidR="00000000" w:rsidRDefault="0015578C">
      <w:pPr>
        <w:pStyle w:val="a3"/>
        <w:spacing w:before="0" w:beforeAutospacing="0" w:after="0" w:afterAutospacing="0"/>
        <w:jc w:val="both"/>
        <w:rPr>
          <w:sz w:val="20"/>
          <w:szCs w:val="20"/>
        </w:rPr>
      </w:pPr>
      <w:r>
        <w:rPr>
          <w:sz w:val="20"/>
          <w:szCs w:val="20"/>
        </w:rPr>
        <w:t> </w:t>
      </w:r>
    </w:p>
    <w:p w14:paraId="4F5E9C52" w14:textId="77777777" w:rsidR="00000000" w:rsidRDefault="0015578C">
      <w:pPr>
        <w:pStyle w:val="a3"/>
        <w:spacing w:before="0" w:beforeAutospacing="0" w:after="0" w:afterAutospacing="0"/>
        <w:jc w:val="both"/>
        <w:rPr>
          <w:sz w:val="20"/>
          <w:szCs w:val="20"/>
        </w:rPr>
      </w:pPr>
      <w:r>
        <w:rPr>
          <w:rStyle w:val="a4"/>
          <w:sz w:val="20"/>
          <w:szCs w:val="20"/>
        </w:rPr>
        <w:t>Discontinued Projects</w:t>
      </w:r>
    </w:p>
    <w:p w14:paraId="7B9FD339" w14:textId="77777777" w:rsidR="00000000" w:rsidRDefault="0015578C">
      <w:pPr>
        <w:pStyle w:val="a3"/>
        <w:spacing w:before="0" w:beforeAutospacing="0" w:after="0" w:afterAutospacing="0"/>
        <w:jc w:val="both"/>
        <w:rPr>
          <w:sz w:val="20"/>
          <w:szCs w:val="20"/>
        </w:rPr>
      </w:pPr>
      <w:r>
        <w:rPr>
          <w:sz w:val="20"/>
          <w:szCs w:val="20"/>
        </w:rPr>
        <w:t> </w:t>
      </w:r>
    </w:p>
    <w:p w14:paraId="3D771EF4" w14:textId="77777777" w:rsidR="00000000" w:rsidRDefault="0015578C">
      <w:pPr>
        <w:pStyle w:val="a3"/>
        <w:spacing w:before="0" w:beforeAutospacing="0" w:after="0" w:afterAutospacing="0"/>
        <w:ind w:firstLine="675"/>
        <w:jc w:val="both"/>
        <w:rPr>
          <w:sz w:val="20"/>
          <w:szCs w:val="20"/>
        </w:rPr>
      </w:pPr>
      <w:r>
        <w:rPr>
          <w:sz w:val="20"/>
          <w:szCs w:val="20"/>
        </w:rPr>
        <w:t xml:space="preserve">We had no mineral property impairments in 2022.  </w:t>
      </w:r>
      <w:r>
        <w:rPr>
          <w:sz w:val="20"/>
          <w:szCs w:val="20"/>
        </w:rPr>
        <w:t>During 2021 we recorded $17,000 of mineral property impairment related to our decision to abandon our Gold Coin project in Arizona.</w:t>
      </w:r>
    </w:p>
    <w:p w14:paraId="1DEB4A30" w14:textId="77777777" w:rsidR="00000000" w:rsidRDefault="0015578C">
      <w:pPr>
        <w:pStyle w:val="a3"/>
        <w:spacing w:before="0" w:beforeAutospacing="0" w:after="0" w:afterAutospacing="0"/>
        <w:jc w:val="both"/>
        <w:rPr>
          <w:sz w:val="20"/>
          <w:szCs w:val="20"/>
        </w:rPr>
      </w:pPr>
      <w:r>
        <w:rPr>
          <w:sz w:val="20"/>
          <w:szCs w:val="20"/>
        </w:rPr>
        <w:t> </w:t>
      </w:r>
    </w:p>
    <w:p w14:paraId="6689DB37" w14:textId="77777777" w:rsidR="00000000" w:rsidRDefault="0015578C">
      <w:pPr>
        <w:pStyle w:val="a3"/>
        <w:spacing w:before="0" w:beforeAutospacing="0" w:after="0" w:afterAutospacing="0"/>
        <w:jc w:val="both"/>
        <w:rPr>
          <w:sz w:val="20"/>
          <w:szCs w:val="20"/>
        </w:rPr>
      </w:pPr>
      <w:r>
        <w:rPr>
          <w:rStyle w:val="a4"/>
          <w:sz w:val="20"/>
          <w:szCs w:val="20"/>
        </w:rPr>
        <w:t>Mineral Resources</w:t>
      </w:r>
    </w:p>
    <w:p w14:paraId="51ABCDA2" w14:textId="77777777" w:rsidR="00000000" w:rsidRDefault="0015578C">
      <w:pPr>
        <w:pStyle w:val="a3"/>
        <w:spacing w:before="0" w:beforeAutospacing="0" w:after="0" w:afterAutospacing="0"/>
        <w:jc w:val="both"/>
        <w:rPr>
          <w:sz w:val="20"/>
          <w:szCs w:val="20"/>
        </w:rPr>
      </w:pPr>
      <w:r>
        <w:rPr>
          <w:sz w:val="20"/>
          <w:szCs w:val="20"/>
        </w:rPr>
        <w:t> </w:t>
      </w:r>
    </w:p>
    <w:p w14:paraId="46FC94F8" w14:textId="77777777" w:rsidR="00000000" w:rsidRDefault="0015578C">
      <w:pPr>
        <w:pStyle w:val="a3"/>
        <w:spacing w:before="0" w:beforeAutospacing="0" w:after="0" w:afterAutospacing="0"/>
        <w:ind w:firstLine="675"/>
        <w:jc w:val="both"/>
        <w:rPr>
          <w:sz w:val="20"/>
          <w:szCs w:val="20"/>
        </w:rPr>
      </w:pPr>
      <w:r>
        <w:rPr>
          <w:sz w:val="20"/>
          <w:szCs w:val="20"/>
        </w:rPr>
        <w:t>The following mineral resources summary represents resources attributable to Solitario’s interest in t</w:t>
      </w:r>
      <w:r>
        <w:rPr>
          <w:sz w:val="20"/>
          <w:szCs w:val="20"/>
        </w:rPr>
        <w:t>he mineral resources as provided in the S-K 1300 Florida Canyon TRS at Solitario’s current 39% interest at the Florida Canyon project in Peru and Solitario’s interest in the mineral resources provided in the S-K 1300 Lik TRS at Solitario’s current 50% inte</w:t>
      </w:r>
      <w:r>
        <w:rPr>
          <w:sz w:val="20"/>
          <w:szCs w:val="20"/>
        </w:rPr>
        <w:t>rest at the Lik project in Alaska, in each case as of the end of the fiscal year ended December 31, 2022.</w:t>
      </w:r>
    </w:p>
    <w:p w14:paraId="62EBD51E"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6"/>
        <w:gridCol w:w="1395"/>
        <w:gridCol w:w="684"/>
        <w:gridCol w:w="1295"/>
        <w:gridCol w:w="545"/>
        <w:gridCol w:w="1395"/>
        <w:gridCol w:w="729"/>
        <w:gridCol w:w="1425"/>
      </w:tblGrid>
      <w:tr w:rsidR="00000000" w14:paraId="50DCD9F0" w14:textId="77777777">
        <w:trPr>
          <w:trHeight w:val="225"/>
          <w:tblCellSpacing w:w="15" w:type="dxa"/>
        </w:trPr>
        <w:tc>
          <w:tcPr>
            <w:tcW w:w="1200" w:type="pct"/>
            <w:tcBorders>
              <w:top w:val="single" w:sz="6" w:space="0" w:color="000000"/>
              <w:left w:val="single" w:sz="6" w:space="0" w:color="000000"/>
            </w:tcBorders>
            <w:vAlign w:val="bottom"/>
            <w:hideMark/>
          </w:tcPr>
          <w:p w14:paraId="0C5BD6BD" w14:textId="77777777" w:rsidR="00000000" w:rsidRDefault="0015578C">
            <w:pPr>
              <w:pStyle w:val="a3"/>
              <w:spacing w:before="0" w:beforeAutospacing="0" w:after="0" w:afterAutospacing="0"/>
              <w:rPr>
                <w:sz w:val="20"/>
                <w:szCs w:val="20"/>
              </w:rPr>
            </w:pPr>
            <w:r>
              <w:rPr>
                <w:rStyle w:val="a4"/>
                <w:sz w:val="20"/>
                <w:szCs w:val="20"/>
              </w:rPr>
              <w:t xml:space="preserve">Lik </w:t>
            </w:r>
            <w:r>
              <w:rPr>
                <w:sz w:val="20"/>
                <w:szCs w:val="20"/>
              </w:rPr>
              <w:t>(1)(3)(5)</w:t>
            </w:r>
          </w:p>
        </w:tc>
        <w:tc>
          <w:tcPr>
            <w:tcW w:w="400" w:type="pct"/>
            <w:tcBorders>
              <w:top w:val="single" w:sz="6" w:space="0" w:color="000000"/>
              <w:left w:val="single" w:sz="6" w:space="0" w:color="000000"/>
            </w:tcBorders>
            <w:vAlign w:val="bottom"/>
            <w:hideMark/>
          </w:tcPr>
          <w:p w14:paraId="3A49C749" w14:textId="77777777" w:rsidR="00000000" w:rsidRDefault="0015578C">
            <w:pPr>
              <w:pStyle w:val="a3"/>
              <w:spacing w:before="0" w:beforeAutospacing="0" w:after="0" w:afterAutospacing="0"/>
              <w:jc w:val="center"/>
              <w:rPr>
                <w:sz w:val="20"/>
                <w:szCs w:val="20"/>
              </w:rPr>
            </w:pPr>
            <w:r>
              <w:rPr>
                <w:rStyle w:val="a4"/>
                <w:sz w:val="20"/>
                <w:szCs w:val="20"/>
              </w:rPr>
              <w:t>Tonnes (000)</w:t>
            </w:r>
          </w:p>
        </w:tc>
        <w:tc>
          <w:tcPr>
            <w:tcW w:w="350" w:type="pct"/>
            <w:tcBorders>
              <w:top w:val="single" w:sz="6" w:space="0" w:color="000000"/>
              <w:left w:val="single" w:sz="6" w:space="0" w:color="000000"/>
            </w:tcBorders>
            <w:vAlign w:val="bottom"/>
            <w:hideMark/>
          </w:tcPr>
          <w:p w14:paraId="3B6EFEF5" w14:textId="77777777" w:rsidR="00000000" w:rsidRDefault="0015578C">
            <w:pPr>
              <w:pStyle w:val="a3"/>
              <w:spacing w:before="0" w:beforeAutospacing="0" w:after="0" w:afterAutospacing="0"/>
              <w:jc w:val="center"/>
              <w:rPr>
                <w:sz w:val="20"/>
                <w:szCs w:val="20"/>
              </w:rPr>
            </w:pPr>
            <w:r>
              <w:rPr>
                <w:rStyle w:val="a4"/>
                <w:sz w:val="20"/>
                <w:szCs w:val="20"/>
              </w:rPr>
              <w:t>Zinc %</w:t>
            </w:r>
          </w:p>
        </w:tc>
        <w:tc>
          <w:tcPr>
            <w:tcW w:w="400" w:type="pct"/>
            <w:tcBorders>
              <w:top w:val="single" w:sz="6" w:space="0" w:color="000000"/>
              <w:left w:val="single" w:sz="6" w:space="0" w:color="000000"/>
            </w:tcBorders>
            <w:vAlign w:val="bottom"/>
            <w:hideMark/>
          </w:tcPr>
          <w:p w14:paraId="2C37C2C4" w14:textId="77777777" w:rsidR="00000000" w:rsidRDefault="0015578C">
            <w:pPr>
              <w:pStyle w:val="a3"/>
              <w:spacing w:before="0" w:beforeAutospacing="0" w:after="0" w:afterAutospacing="0"/>
              <w:jc w:val="center"/>
              <w:rPr>
                <w:sz w:val="20"/>
                <w:szCs w:val="20"/>
              </w:rPr>
            </w:pPr>
            <w:r>
              <w:rPr>
                <w:rStyle w:val="a4"/>
                <w:sz w:val="20"/>
                <w:szCs w:val="20"/>
              </w:rPr>
              <w:t>Zinc lbs (000)</w:t>
            </w:r>
          </w:p>
        </w:tc>
        <w:tc>
          <w:tcPr>
            <w:tcW w:w="450" w:type="pct"/>
            <w:tcBorders>
              <w:top w:val="single" w:sz="6" w:space="0" w:color="000000"/>
              <w:left w:val="single" w:sz="6" w:space="0" w:color="000000"/>
            </w:tcBorders>
            <w:vAlign w:val="bottom"/>
            <w:hideMark/>
          </w:tcPr>
          <w:p w14:paraId="723790CC" w14:textId="77777777" w:rsidR="00000000" w:rsidRDefault="0015578C">
            <w:pPr>
              <w:pStyle w:val="a3"/>
              <w:spacing w:before="0" w:beforeAutospacing="0" w:after="0" w:afterAutospacing="0"/>
              <w:jc w:val="center"/>
              <w:rPr>
                <w:sz w:val="20"/>
                <w:szCs w:val="20"/>
              </w:rPr>
            </w:pPr>
            <w:r>
              <w:rPr>
                <w:rStyle w:val="a4"/>
                <w:sz w:val="20"/>
                <w:szCs w:val="20"/>
              </w:rPr>
              <w:t>Silver (g/t)</w:t>
            </w:r>
          </w:p>
        </w:tc>
        <w:tc>
          <w:tcPr>
            <w:tcW w:w="350" w:type="pct"/>
            <w:tcBorders>
              <w:top w:val="single" w:sz="6" w:space="0" w:color="000000"/>
              <w:left w:val="single" w:sz="6" w:space="0" w:color="000000"/>
            </w:tcBorders>
            <w:vAlign w:val="bottom"/>
            <w:hideMark/>
          </w:tcPr>
          <w:p w14:paraId="58BAD9C5" w14:textId="77777777" w:rsidR="00000000" w:rsidRDefault="0015578C">
            <w:pPr>
              <w:pStyle w:val="a3"/>
              <w:spacing w:before="0" w:beforeAutospacing="0" w:after="0" w:afterAutospacing="0"/>
              <w:jc w:val="center"/>
              <w:rPr>
                <w:sz w:val="20"/>
                <w:szCs w:val="20"/>
              </w:rPr>
            </w:pPr>
            <w:r>
              <w:rPr>
                <w:rStyle w:val="a4"/>
                <w:sz w:val="20"/>
                <w:szCs w:val="20"/>
              </w:rPr>
              <w:t>Oz (000)</w:t>
            </w:r>
          </w:p>
        </w:tc>
        <w:tc>
          <w:tcPr>
            <w:tcW w:w="400" w:type="pct"/>
            <w:tcBorders>
              <w:top w:val="single" w:sz="6" w:space="0" w:color="000000"/>
              <w:left w:val="single" w:sz="6" w:space="0" w:color="000000"/>
            </w:tcBorders>
            <w:vAlign w:val="bottom"/>
            <w:hideMark/>
          </w:tcPr>
          <w:p w14:paraId="1341378E" w14:textId="77777777" w:rsidR="00000000" w:rsidRDefault="0015578C">
            <w:pPr>
              <w:pStyle w:val="a3"/>
              <w:spacing w:before="0" w:beforeAutospacing="0" w:after="0" w:afterAutospacing="0"/>
              <w:jc w:val="center"/>
              <w:rPr>
                <w:sz w:val="20"/>
                <w:szCs w:val="20"/>
              </w:rPr>
            </w:pPr>
            <w:r>
              <w:rPr>
                <w:rStyle w:val="a4"/>
                <w:sz w:val="20"/>
                <w:szCs w:val="20"/>
              </w:rPr>
              <w:t>Lead %</w:t>
            </w:r>
          </w:p>
        </w:tc>
        <w:tc>
          <w:tcPr>
            <w:tcW w:w="400" w:type="pct"/>
            <w:tcBorders>
              <w:top w:val="single" w:sz="6" w:space="0" w:color="000000"/>
              <w:left w:val="single" w:sz="6" w:space="0" w:color="000000"/>
            </w:tcBorders>
            <w:vAlign w:val="bottom"/>
            <w:hideMark/>
          </w:tcPr>
          <w:p w14:paraId="47FD0605" w14:textId="77777777" w:rsidR="00000000" w:rsidRDefault="0015578C">
            <w:pPr>
              <w:pStyle w:val="a3"/>
              <w:spacing w:before="0" w:beforeAutospacing="0" w:after="0" w:afterAutospacing="0"/>
              <w:jc w:val="center"/>
              <w:rPr>
                <w:sz w:val="20"/>
                <w:szCs w:val="20"/>
              </w:rPr>
            </w:pPr>
            <w:r>
              <w:rPr>
                <w:rStyle w:val="a4"/>
                <w:sz w:val="20"/>
                <w:szCs w:val="20"/>
              </w:rPr>
              <w:t>Lead lbs (000)</w:t>
            </w:r>
          </w:p>
        </w:tc>
      </w:tr>
      <w:tr w:rsidR="00000000" w14:paraId="2ECF4D14"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43A1AA26" w14:textId="77777777" w:rsidR="00000000" w:rsidRDefault="0015578C">
            <w:pPr>
              <w:pStyle w:val="a3"/>
              <w:spacing w:before="0" w:beforeAutospacing="0" w:after="0" w:afterAutospacing="0"/>
              <w:rPr>
                <w:sz w:val="20"/>
                <w:szCs w:val="20"/>
              </w:rPr>
            </w:pPr>
            <w:r>
              <w:rPr>
                <w:sz w:val="20"/>
                <w:szCs w:val="20"/>
              </w:rPr>
              <w:t>Measured Mineral Resources</w:t>
            </w:r>
          </w:p>
        </w:tc>
        <w:tc>
          <w:tcPr>
            <w:tcW w:w="400" w:type="pct"/>
            <w:tcBorders>
              <w:top w:val="single" w:sz="6" w:space="0" w:color="000000"/>
              <w:left w:val="single" w:sz="6" w:space="0" w:color="000000"/>
            </w:tcBorders>
            <w:shd w:val="clear" w:color="auto" w:fill="CCEEFF"/>
            <w:vAlign w:val="bottom"/>
            <w:hideMark/>
          </w:tcPr>
          <w:p w14:paraId="2C09451A" w14:textId="77777777" w:rsidR="00000000" w:rsidRDefault="0015578C">
            <w:pPr>
              <w:pStyle w:val="a3"/>
              <w:spacing w:before="0" w:beforeAutospacing="0" w:after="0" w:afterAutospacing="0"/>
              <w:jc w:val="right"/>
              <w:rPr>
                <w:sz w:val="20"/>
                <w:szCs w:val="20"/>
              </w:rPr>
            </w:pPr>
            <w:r>
              <w:rPr>
                <w:sz w:val="20"/>
                <w:szCs w:val="20"/>
              </w:rPr>
              <w:t>-   </w:t>
            </w:r>
          </w:p>
        </w:tc>
        <w:tc>
          <w:tcPr>
            <w:tcW w:w="350" w:type="pct"/>
            <w:tcBorders>
              <w:top w:val="single" w:sz="6" w:space="0" w:color="000000"/>
              <w:left w:val="single" w:sz="6" w:space="0" w:color="000000"/>
            </w:tcBorders>
            <w:shd w:val="clear" w:color="auto" w:fill="CCEEFF"/>
            <w:vAlign w:val="bottom"/>
            <w:hideMark/>
          </w:tcPr>
          <w:p w14:paraId="7AACD35A" w14:textId="77777777" w:rsidR="00000000" w:rsidRDefault="0015578C">
            <w:pPr>
              <w:pStyle w:val="a3"/>
              <w:spacing w:before="0" w:beforeAutospacing="0" w:after="0" w:afterAutospacing="0"/>
              <w:jc w:val="right"/>
              <w:rPr>
                <w:sz w:val="20"/>
                <w:szCs w:val="20"/>
              </w:rPr>
            </w:pPr>
            <w:r>
              <w:rPr>
                <w:sz w:val="20"/>
                <w:szCs w:val="20"/>
              </w:rPr>
              <w:t>-    </w:t>
            </w:r>
          </w:p>
        </w:tc>
        <w:tc>
          <w:tcPr>
            <w:tcW w:w="400" w:type="pct"/>
            <w:tcBorders>
              <w:top w:val="single" w:sz="6" w:space="0" w:color="000000"/>
              <w:left w:val="single" w:sz="6" w:space="0" w:color="000000"/>
            </w:tcBorders>
            <w:shd w:val="clear" w:color="auto" w:fill="CCEEFF"/>
            <w:vAlign w:val="bottom"/>
            <w:hideMark/>
          </w:tcPr>
          <w:p w14:paraId="53352CE3" w14:textId="77777777" w:rsidR="00000000" w:rsidRDefault="0015578C">
            <w:pPr>
              <w:pStyle w:val="a3"/>
              <w:spacing w:before="0" w:beforeAutospacing="0" w:after="0" w:afterAutospacing="0"/>
              <w:jc w:val="right"/>
              <w:rPr>
                <w:sz w:val="20"/>
                <w:szCs w:val="20"/>
              </w:rPr>
            </w:pPr>
            <w:r>
              <w:rPr>
                <w:sz w:val="20"/>
                <w:szCs w:val="20"/>
              </w:rPr>
              <w:t>-   </w:t>
            </w:r>
          </w:p>
        </w:tc>
        <w:tc>
          <w:tcPr>
            <w:tcW w:w="450" w:type="pct"/>
            <w:tcBorders>
              <w:top w:val="single" w:sz="6" w:space="0" w:color="000000"/>
              <w:left w:val="single" w:sz="6" w:space="0" w:color="000000"/>
            </w:tcBorders>
            <w:shd w:val="clear" w:color="auto" w:fill="CCEEFF"/>
            <w:vAlign w:val="bottom"/>
            <w:hideMark/>
          </w:tcPr>
          <w:p w14:paraId="3A07F0C8" w14:textId="77777777" w:rsidR="00000000" w:rsidRDefault="0015578C">
            <w:pPr>
              <w:pStyle w:val="a3"/>
              <w:spacing w:before="0" w:beforeAutospacing="0" w:after="0" w:afterAutospacing="0"/>
              <w:jc w:val="right"/>
              <w:rPr>
                <w:sz w:val="20"/>
                <w:szCs w:val="20"/>
              </w:rPr>
            </w:pPr>
            <w:r>
              <w:rPr>
                <w:sz w:val="20"/>
                <w:szCs w:val="20"/>
              </w:rPr>
              <w:t>-    </w:t>
            </w:r>
          </w:p>
        </w:tc>
        <w:tc>
          <w:tcPr>
            <w:tcW w:w="350" w:type="pct"/>
            <w:tcBorders>
              <w:top w:val="single" w:sz="6" w:space="0" w:color="000000"/>
              <w:left w:val="single" w:sz="6" w:space="0" w:color="000000"/>
            </w:tcBorders>
            <w:shd w:val="clear" w:color="auto" w:fill="CCEEFF"/>
            <w:vAlign w:val="bottom"/>
            <w:hideMark/>
          </w:tcPr>
          <w:p w14:paraId="5DAD0D35" w14:textId="77777777" w:rsidR="00000000" w:rsidRDefault="0015578C">
            <w:pPr>
              <w:pStyle w:val="a3"/>
              <w:spacing w:before="0" w:beforeAutospacing="0" w:after="0" w:afterAutospacing="0"/>
              <w:jc w:val="right"/>
              <w:rPr>
                <w:sz w:val="20"/>
                <w:szCs w:val="20"/>
              </w:rPr>
            </w:pPr>
            <w:r>
              <w:rPr>
                <w:sz w:val="20"/>
                <w:szCs w:val="20"/>
              </w:rPr>
              <w:t>-   </w:t>
            </w:r>
          </w:p>
        </w:tc>
        <w:tc>
          <w:tcPr>
            <w:tcW w:w="400" w:type="pct"/>
            <w:tcBorders>
              <w:top w:val="single" w:sz="6" w:space="0" w:color="000000"/>
              <w:left w:val="single" w:sz="6" w:space="0" w:color="000000"/>
            </w:tcBorders>
            <w:shd w:val="clear" w:color="auto" w:fill="CCEEFF"/>
            <w:vAlign w:val="bottom"/>
            <w:hideMark/>
          </w:tcPr>
          <w:p w14:paraId="52E0A150" w14:textId="77777777" w:rsidR="00000000" w:rsidRDefault="0015578C">
            <w:pPr>
              <w:pStyle w:val="a3"/>
              <w:spacing w:before="0" w:beforeAutospacing="0" w:after="0" w:afterAutospacing="0"/>
              <w:jc w:val="right"/>
              <w:rPr>
                <w:sz w:val="20"/>
                <w:szCs w:val="20"/>
              </w:rPr>
            </w:pPr>
            <w:r>
              <w:rPr>
                <w:sz w:val="20"/>
                <w:szCs w:val="20"/>
              </w:rPr>
              <w:t>-    </w:t>
            </w:r>
          </w:p>
        </w:tc>
        <w:tc>
          <w:tcPr>
            <w:tcW w:w="400" w:type="pct"/>
            <w:tcBorders>
              <w:top w:val="single" w:sz="6" w:space="0" w:color="000000"/>
              <w:left w:val="single" w:sz="6" w:space="0" w:color="000000"/>
            </w:tcBorders>
            <w:shd w:val="clear" w:color="auto" w:fill="CCEEFF"/>
            <w:vAlign w:val="bottom"/>
            <w:hideMark/>
          </w:tcPr>
          <w:p w14:paraId="0E996BF5" w14:textId="77777777" w:rsidR="00000000" w:rsidRDefault="0015578C">
            <w:pPr>
              <w:pStyle w:val="a3"/>
              <w:spacing w:before="0" w:beforeAutospacing="0" w:after="0" w:afterAutospacing="0"/>
              <w:jc w:val="right"/>
              <w:rPr>
                <w:sz w:val="20"/>
                <w:szCs w:val="20"/>
              </w:rPr>
            </w:pPr>
            <w:r>
              <w:rPr>
                <w:sz w:val="20"/>
                <w:szCs w:val="20"/>
              </w:rPr>
              <w:t>-   </w:t>
            </w:r>
          </w:p>
        </w:tc>
      </w:tr>
      <w:tr w:rsidR="00000000" w14:paraId="0453F4B4"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61CCBF25" w14:textId="77777777" w:rsidR="00000000" w:rsidRDefault="0015578C">
            <w:pPr>
              <w:pStyle w:val="a3"/>
              <w:spacing w:before="0" w:beforeAutospacing="0" w:after="0" w:afterAutospacing="0"/>
              <w:rPr>
                <w:sz w:val="20"/>
                <w:szCs w:val="20"/>
              </w:rPr>
            </w:pPr>
            <w:r>
              <w:rPr>
                <w:sz w:val="20"/>
                <w:szCs w:val="20"/>
              </w:rPr>
              <w:t>Indicated Mineral Resources</w:t>
            </w:r>
          </w:p>
        </w:tc>
        <w:tc>
          <w:tcPr>
            <w:tcW w:w="400" w:type="pct"/>
            <w:tcBorders>
              <w:top w:val="single" w:sz="6" w:space="0" w:color="000000"/>
              <w:left w:val="single" w:sz="6" w:space="0" w:color="000000"/>
            </w:tcBorders>
            <w:shd w:val="clear" w:color="auto" w:fill="FFFFFF"/>
            <w:vAlign w:val="bottom"/>
            <w:hideMark/>
          </w:tcPr>
          <w:p w14:paraId="06CDE834" w14:textId="77777777" w:rsidR="00000000" w:rsidRDefault="0015578C">
            <w:pPr>
              <w:pStyle w:val="a3"/>
              <w:spacing w:before="0" w:beforeAutospacing="0" w:after="0" w:afterAutospacing="0"/>
              <w:jc w:val="right"/>
              <w:rPr>
                <w:sz w:val="20"/>
                <w:szCs w:val="20"/>
              </w:rPr>
            </w:pPr>
            <w:r>
              <w:rPr>
                <w:sz w:val="20"/>
                <w:szCs w:val="20"/>
              </w:rPr>
              <w:t xml:space="preserve">                  8,800 </w:t>
            </w:r>
          </w:p>
        </w:tc>
        <w:tc>
          <w:tcPr>
            <w:tcW w:w="350" w:type="pct"/>
            <w:tcBorders>
              <w:top w:val="single" w:sz="6" w:space="0" w:color="000000"/>
              <w:left w:val="single" w:sz="6" w:space="0" w:color="000000"/>
            </w:tcBorders>
            <w:shd w:val="clear" w:color="auto" w:fill="FFFFFF"/>
            <w:vAlign w:val="bottom"/>
            <w:hideMark/>
          </w:tcPr>
          <w:p w14:paraId="2451CCBD" w14:textId="77777777" w:rsidR="00000000" w:rsidRDefault="0015578C">
            <w:pPr>
              <w:pStyle w:val="a3"/>
              <w:spacing w:before="0" w:beforeAutospacing="0" w:after="0" w:afterAutospacing="0"/>
              <w:jc w:val="right"/>
              <w:rPr>
                <w:sz w:val="20"/>
                <w:szCs w:val="20"/>
              </w:rPr>
            </w:pPr>
            <w:r>
              <w:rPr>
                <w:sz w:val="20"/>
                <w:szCs w:val="20"/>
              </w:rPr>
              <w:t>8.07</w:t>
            </w:r>
          </w:p>
        </w:tc>
        <w:tc>
          <w:tcPr>
            <w:tcW w:w="400" w:type="pct"/>
            <w:tcBorders>
              <w:top w:val="single" w:sz="6" w:space="0" w:color="000000"/>
              <w:left w:val="single" w:sz="6" w:space="0" w:color="000000"/>
            </w:tcBorders>
            <w:shd w:val="clear" w:color="auto" w:fill="FFFFFF"/>
            <w:vAlign w:val="bottom"/>
            <w:hideMark/>
          </w:tcPr>
          <w:p w14:paraId="71282AD3" w14:textId="77777777" w:rsidR="00000000" w:rsidRDefault="0015578C">
            <w:pPr>
              <w:pStyle w:val="a3"/>
              <w:spacing w:before="0" w:beforeAutospacing="0" w:after="0" w:afterAutospacing="0"/>
              <w:jc w:val="right"/>
              <w:rPr>
                <w:sz w:val="20"/>
                <w:szCs w:val="20"/>
              </w:rPr>
            </w:pPr>
            <w:r>
              <w:rPr>
                <w:sz w:val="20"/>
                <w:szCs w:val="20"/>
              </w:rPr>
              <w:t xml:space="preserve">         1,565,903 </w:t>
            </w:r>
          </w:p>
        </w:tc>
        <w:tc>
          <w:tcPr>
            <w:tcW w:w="450" w:type="pct"/>
            <w:tcBorders>
              <w:top w:val="single" w:sz="6" w:space="0" w:color="000000"/>
              <w:left w:val="single" w:sz="6" w:space="0" w:color="000000"/>
            </w:tcBorders>
            <w:shd w:val="clear" w:color="auto" w:fill="FFFFFF"/>
            <w:vAlign w:val="bottom"/>
            <w:hideMark/>
          </w:tcPr>
          <w:p w14:paraId="2CFFDB63" w14:textId="77777777" w:rsidR="00000000" w:rsidRDefault="0015578C">
            <w:pPr>
              <w:pStyle w:val="a3"/>
              <w:spacing w:before="0" w:beforeAutospacing="0" w:after="0" w:afterAutospacing="0"/>
              <w:jc w:val="right"/>
              <w:rPr>
                <w:sz w:val="20"/>
                <w:szCs w:val="20"/>
              </w:rPr>
            </w:pPr>
            <w:r>
              <w:rPr>
                <w:sz w:val="20"/>
                <w:szCs w:val="20"/>
              </w:rPr>
              <w:t>50.10</w:t>
            </w:r>
          </w:p>
        </w:tc>
        <w:tc>
          <w:tcPr>
            <w:tcW w:w="350" w:type="pct"/>
            <w:tcBorders>
              <w:top w:val="single" w:sz="6" w:space="0" w:color="000000"/>
              <w:left w:val="single" w:sz="6" w:space="0" w:color="000000"/>
            </w:tcBorders>
            <w:shd w:val="clear" w:color="auto" w:fill="FFFFFF"/>
            <w:vAlign w:val="bottom"/>
            <w:hideMark/>
          </w:tcPr>
          <w:p w14:paraId="6E902CD2" w14:textId="77777777" w:rsidR="00000000" w:rsidRDefault="0015578C">
            <w:pPr>
              <w:pStyle w:val="a3"/>
              <w:spacing w:before="0" w:beforeAutospacing="0" w:after="0" w:afterAutospacing="0"/>
              <w:jc w:val="right"/>
              <w:rPr>
                <w:sz w:val="20"/>
                <w:szCs w:val="20"/>
              </w:rPr>
            </w:pPr>
            <w:r>
              <w:rPr>
                <w:sz w:val="20"/>
                <w:szCs w:val="20"/>
              </w:rPr>
              <w:t xml:space="preserve">               14,175 </w:t>
            </w:r>
          </w:p>
        </w:tc>
        <w:tc>
          <w:tcPr>
            <w:tcW w:w="400" w:type="pct"/>
            <w:tcBorders>
              <w:top w:val="single" w:sz="6" w:space="0" w:color="000000"/>
              <w:left w:val="single" w:sz="6" w:space="0" w:color="000000"/>
            </w:tcBorders>
            <w:shd w:val="clear" w:color="auto" w:fill="FFFFFF"/>
            <w:vAlign w:val="bottom"/>
            <w:hideMark/>
          </w:tcPr>
          <w:p w14:paraId="2C14558C" w14:textId="77777777" w:rsidR="00000000" w:rsidRDefault="0015578C">
            <w:pPr>
              <w:pStyle w:val="a3"/>
              <w:spacing w:before="0" w:beforeAutospacing="0" w:after="0" w:afterAutospacing="0"/>
              <w:jc w:val="right"/>
              <w:rPr>
                <w:sz w:val="20"/>
                <w:szCs w:val="20"/>
              </w:rPr>
            </w:pPr>
            <w:r>
              <w:rPr>
                <w:sz w:val="20"/>
                <w:szCs w:val="20"/>
              </w:rPr>
              <w:t>2.68</w:t>
            </w:r>
          </w:p>
        </w:tc>
        <w:tc>
          <w:tcPr>
            <w:tcW w:w="400" w:type="pct"/>
            <w:tcBorders>
              <w:top w:val="single" w:sz="6" w:space="0" w:color="000000"/>
              <w:left w:val="single" w:sz="6" w:space="0" w:color="000000"/>
            </w:tcBorders>
            <w:shd w:val="clear" w:color="auto" w:fill="FFFFFF"/>
            <w:vAlign w:val="bottom"/>
            <w:hideMark/>
          </w:tcPr>
          <w:p w14:paraId="2322AD02" w14:textId="77777777" w:rsidR="00000000" w:rsidRDefault="0015578C">
            <w:pPr>
              <w:pStyle w:val="a3"/>
              <w:spacing w:before="0" w:beforeAutospacing="0" w:after="0" w:afterAutospacing="0"/>
              <w:jc w:val="right"/>
              <w:rPr>
                <w:sz w:val="20"/>
                <w:szCs w:val="20"/>
              </w:rPr>
            </w:pPr>
            <w:r>
              <w:rPr>
                <w:sz w:val="20"/>
                <w:szCs w:val="20"/>
              </w:rPr>
              <w:t xml:space="preserve">              520,027 </w:t>
            </w:r>
          </w:p>
        </w:tc>
      </w:tr>
      <w:tr w:rsidR="00000000" w14:paraId="4C5F456A"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23DF621A" w14:textId="77777777" w:rsidR="00000000" w:rsidRDefault="0015578C">
            <w:pPr>
              <w:pStyle w:val="a3"/>
              <w:spacing w:before="0" w:beforeAutospacing="0" w:after="0" w:afterAutospacing="0"/>
              <w:rPr>
                <w:sz w:val="20"/>
                <w:szCs w:val="20"/>
              </w:rPr>
            </w:pPr>
            <w:r>
              <w:rPr>
                <w:sz w:val="20"/>
                <w:szCs w:val="20"/>
              </w:rPr>
              <w:t>Measured+Indicated Resources</w:t>
            </w:r>
          </w:p>
        </w:tc>
        <w:tc>
          <w:tcPr>
            <w:tcW w:w="400" w:type="pct"/>
            <w:tcBorders>
              <w:top w:val="single" w:sz="6" w:space="0" w:color="000000"/>
              <w:left w:val="single" w:sz="6" w:space="0" w:color="000000"/>
            </w:tcBorders>
            <w:shd w:val="clear" w:color="auto" w:fill="CCEEFF"/>
            <w:vAlign w:val="bottom"/>
            <w:hideMark/>
          </w:tcPr>
          <w:p w14:paraId="4BC34893" w14:textId="77777777" w:rsidR="00000000" w:rsidRDefault="0015578C">
            <w:pPr>
              <w:pStyle w:val="a3"/>
              <w:spacing w:before="0" w:beforeAutospacing="0" w:after="0" w:afterAutospacing="0"/>
              <w:jc w:val="right"/>
              <w:rPr>
                <w:sz w:val="20"/>
                <w:szCs w:val="20"/>
              </w:rPr>
            </w:pPr>
            <w:r>
              <w:rPr>
                <w:sz w:val="20"/>
                <w:szCs w:val="20"/>
              </w:rPr>
              <w:t xml:space="preserve">                  8,800 </w:t>
            </w:r>
          </w:p>
        </w:tc>
        <w:tc>
          <w:tcPr>
            <w:tcW w:w="350" w:type="pct"/>
            <w:tcBorders>
              <w:top w:val="single" w:sz="6" w:space="0" w:color="000000"/>
              <w:left w:val="single" w:sz="6" w:space="0" w:color="000000"/>
            </w:tcBorders>
            <w:shd w:val="clear" w:color="auto" w:fill="CCEEFF"/>
            <w:vAlign w:val="bottom"/>
            <w:hideMark/>
          </w:tcPr>
          <w:p w14:paraId="1DC41409" w14:textId="77777777" w:rsidR="00000000" w:rsidRDefault="0015578C">
            <w:pPr>
              <w:pStyle w:val="a3"/>
              <w:spacing w:before="0" w:beforeAutospacing="0" w:after="0" w:afterAutospacing="0"/>
              <w:jc w:val="right"/>
              <w:rPr>
                <w:sz w:val="20"/>
                <w:szCs w:val="20"/>
              </w:rPr>
            </w:pPr>
            <w:r>
              <w:rPr>
                <w:sz w:val="20"/>
                <w:szCs w:val="20"/>
              </w:rPr>
              <w:t>8.07</w:t>
            </w:r>
          </w:p>
        </w:tc>
        <w:tc>
          <w:tcPr>
            <w:tcW w:w="400" w:type="pct"/>
            <w:tcBorders>
              <w:top w:val="single" w:sz="6" w:space="0" w:color="000000"/>
              <w:left w:val="single" w:sz="6" w:space="0" w:color="000000"/>
            </w:tcBorders>
            <w:shd w:val="clear" w:color="auto" w:fill="CCEEFF"/>
            <w:vAlign w:val="bottom"/>
            <w:hideMark/>
          </w:tcPr>
          <w:p w14:paraId="06414E94" w14:textId="77777777" w:rsidR="00000000" w:rsidRDefault="0015578C">
            <w:pPr>
              <w:pStyle w:val="a3"/>
              <w:spacing w:before="0" w:beforeAutospacing="0" w:after="0" w:afterAutospacing="0"/>
              <w:jc w:val="right"/>
              <w:rPr>
                <w:sz w:val="20"/>
                <w:szCs w:val="20"/>
              </w:rPr>
            </w:pPr>
            <w:r>
              <w:rPr>
                <w:sz w:val="20"/>
                <w:szCs w:val="20"/>
              </w:rPr>
              <w:t xml:space="preserve">         1,565,903 </w:t>
            </w:r>
          </w:p>
        </w:tc>
        <w:tc>
          <w:tcPr>
            <w:tcW w:w="450" w:type="pct"/>
            <w:tcBorders>
              <w:top w:val="single" w:sz="6" w:space="0" w:color="000000"/>
              <w:left w:val="single" w:sz="6" w:space="0" w:color="000000"/>
            </w:tcBorders>
            <w:shd w:val="clear" w:color="auto" w:fill="CCEEFF"/>
            <w:vAlign w:val="bottom"/>
            <w:hideMark/>
          </w:tcPr>
          <w:p w14:paraId="127024D0" w14:textId="77777777" w:rsidR="00000000" w:rsidRDefault="0015578C">
            <w:pPr>
              <w:pStyle w:val="a3"/>
              <w:spacing w:before="0" w:beforeAutospacing="0" w:after="0" w:afterAutospacing="0"/>
              <w:jc w:val="right"/>
              <w:rPr>
                <w:sz w:val="20"/>
                <w:szCs w:val="20"/>
              </w:rPr>
            </w:pPr>
            <w:r>
              <w:rPr>
                <w:sz w:val="20"/>
                <w:szCs w:val="20"/>
              </w:rPr>
              <w:t>50.10</w:t>
            </w:r>
          </w:p>
        </w:tc>
        <w:tc>
          <w:tcPr>
            <w:tcW w:w="350" w:type="pct"/>
            <w:tcBorders>
              <w:top w:val="single" w:sz="6" w:space="0" w:color="000000"/>
              <w:left w:val="single" w:sz="6" w:space="0" w:color="000000"/>
            </w:tcBorders>
            <w:shd w:val="clear" w:color="auto" w:fill="CCEEFF"/>
            <w:vAlign w:val="bottom"/>
            <w:hideMark/>
          </w:tcPr>
          <w:p w14:paraId="7340F702" w14:textId="77777777" w:rsidR="00000000" w:rsidRDefault="0015578C">
            <w:pPr>
              <w:pStyle w:val="a3"/>
              <w:spacing w:before="0" w:beforeAutospacing="0" w:after="0" w:afterAutospacing="0"/>
              <w:jc w:val="right"/>
              <w:rPr>
                <w:sz w:val="20"/>
                <w:szCs w:val="20"/>
              </w:rPr>
            </w:pPr>
            <w:r>
              <w:rPr>
                <w:sz w:val="20"/>
                <w:szCs w:val="20"/>
              </w:rPr>
              <w:t xml:space="preserve">               </w:t>
            </w:r>
            <w:r>
              <w:rPr>
                <w:sz w:val="20"/>
                <w:szCs w:val="20"/>
              </w:rPr>
              <w:t xml:space="preserve">14,175 </w:t>
            </w:r>
          </w:p>
        </w:tc>
        <w:tc>
          <w:tcPr>
            <w:tcW w:w="400" w:type="pct"/>
            <w:tcBorders>
              <w:top w:val="single" w:sz="6" w:space="0" w:color="000000"/>
              <w:left w:val="single" w:sz="6" w:space="0" w:color="000000"/>
            </w:tcBorders>
            <w:shd w:val="clear" w:color="auto" w:fill="CCEEFF"/>
            <w:vAlign w:val="bottom"/>
            <w:hideMark/>
          </w:tcPr>
          <w:p w14:paraId="1E50F174" w14:textId="77777777" w:rsidR="00000000" w:rsidRDefault="0015578C">
            <w:pPr>
              <w:pStyle w:val="a3"/>
              <w:spacing w:before="0" w:beforeAutospacing="0" w:after="0" w:afterAutospacing="0"/>
              <w:jc w:val="right"/>
              <w:rPr>
                <w:sz w:val="20"/>
                <w:szCs w:val="20"/>
              </w:rPr>
            </w:pPr>
            <w:r>
              <w:rPr>
                <w:sz w:val="20"/>
                <w:szCs w:val="20"/>
              </w:rPr>
              <w:t>2.68</w:t>
            </w:r>
          </w:p>
        </w:tc>
        <w:tc>
          <w:tcPr>
            <w:tcW w:w="400" w:type="pct"/>
            <w:tcBorders>
              <w:top w:val="single" w:sz="6" w:space="0" w:color="000000"/>
              <w:left w:val="single" w:sz="6" w:space="0" w:color="000000"/>
            </w:tcBorders>
            <w:shd w:val="clear" w:color="auto" w:fill="CCEEFF"/>
            <w:vAlign w:val="bottom"/>
            <w:hideMark/>
          </w:tcPr>
          <w:p w14:paraId="224BAE02" w14:textId="77777777" w:rsidR="00000000" w:rsidRDefault="0015578C">
            <w:pPr>
              <w:pStyle w:val="a3"/>
              <w:spacing w:before="0" w:beforeAutospacing="0" w:after="0" w:afterAutospacing="0"/>
              <w:jc w:val="right"/>
              <w:rPr>
                <w:sz w:val="20"/>
                <w:szCs w:val="20"/>
              </w:rPr>
            </w:pPr>
            <w:r>
              <w:rPr>
                <w:sz w:val="20"/>
                <w:szCs w:val="20"/>
              </w:rPr>
              <w:t xml:space="preserve">              520,027 </w:t>
            </w:r>
          </w:p>
        </w:tc>
      </w:tr>
      <w:tr w:rsidR="00000000" w14:paraId="2AE5BEA2"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7DF6C04E" w14:textId="77777777" w:rsidR="00000000" w:rsidRDefault="0015578C">
            <w:pPr>
              <w:pStyle w:val="a3"/>
              <w:spacing w:before="0" w:beforeAutospacing="0" w:after="0" w:afterAutospacing="0"/>
              <w:rPr>
                <w:sz w:val="20"/>
                <w:szCs w:val="20"/>
              </w:rPr>
            </w:pPr>
            <w:r>
              <w:rPr>
                <w:sz w:val="20"/>
                <w:szCs w:val="20"/>
              </w:rPr>
              <w:t>Inferred Mineral Resources.</w:t>
            </w:r>
          </w:p>
        </w:tc>
        <w:tc>
          <w:tcPr>
            <w:tcW w:w="400" w:type="pct"/>
            <w:tcBorders>
              <w:top w:val="single" w:sz="6" w:space="0" w:color="000000"/>
              <w:left w:val="single" w:sz="6" w:space="0" w:color="000000"/>
            </w:tcBorders>
            <w:shd w:val="clear" w:color="auto" w:fill="FFFFFF"/>
            <w:vAlign w:val="bottom"/>
            <w:hideMark/>
          </w:tcPr>
          <w:p w14:paraId="7E3C7781" w14:textId="77777777" w:rsidR="00000000" w:rsidRDefault="0015578C">
            <w:pPr>
              <w:pStyle w:val="a3"/>
              <w:spacing w:before="0" w:beforeAutospacing="0" w:after="0" w:afterAutospacing="0"/>
              <w:jc w:val="right"/>
              <w:rPr>
                <w:sz w:val="20"/>
                <w:szCs w:val="20"/>
              </w:rPr>
            </w:pPr>
            <w:r>
              <w:rPr>
                <w:sz w:val="20"/>
                <w:szCs w:val="20"/>
              </w:rPr>
              <w:t xml:space="preserve">                  1,400 </w:t>
            </w:r>
          </w:p>
        </w:tc>
        <w:tc>
          <w:tcPr>
            <w:tcW w:w="350" w:type="pct"/>
            <w:tcBorders>
              <w:top w:val="single" w:sz="6" w:space="0" w:color="000000"/>
              <w:left w:val="single" w:sz="6" w:space="0" w:color="000000"/>
            </w:tcBorders>
            <w:shd w:val="clear" w:color="auto" w:fill="FFFFFF"/>
            <w:vAlign w:val="bottom"/>
            <w:hideMark/>
          </w:tcPr>
          <w:p w14:paraId="70C183C6" w14:textId="77777777" w:rsidR="00000000" w:rsidRDefault="0015578C">
            <w:pPr>
              <w:pStyle w:val="a3"/>
              <w:spacing w:before="0" w:beforeAutospacing="0" w:after="0" w:afterAutospacing="0"/>
              <w:jc w:val="right"/>
              <w:rPr>
                <w:sz w:val="20"/>
                <w:szCs w:val="20"/>
              </w:rPr>
            </w:pPr>
            <w:r>
              <w:rPr>
                <w:sz w:val="20"/>
                <w:szCs w:val="20"/>
              </w:rPr>
              <w:t>8.64</w:t>
            </w:r>
          </w:p>
        </w:tc>
        <w:tc>
          <w:tcPr>
            <w:tcW w:w="400" w:type="pct"/>
            <w:tcBorders>
              <w:top w:val="single" w:sz="6" w:space="0" w:color="000000"/>
              <w:left w:val="single" w:sz="6" w:space="0" w:color="000000"/>
            </w:tcBorders>
            <w:shd w:val="clear" w:color="auto" w:fill="FFFFFF"/>
            <w:vAlign w:val="bottom"/>
            <w:hideMark/>
          </w:tcPr>
          <w:p w14:paraId="4AE94322" w14:textId="77777777" w:rsidR="00000000" w:rsidRDefault="0015578C">
            <w:pPr>
              <w:pStyle w:val="a3"/>
              <w:spacing w:before="0" w:beforeAutospacing="0" w:after="0" w:afterAutospacing="0"/>
              <w:jc w:val="right"/>
              <w:rPr>
                <w:sz w:val="20"/>
                <w:szCs w:val="20"/>
              </w:rPr>
            </w:pPr>
            <w:r>
              <w:rPr>
                <w:sz w:val="20"/>
                <w:szCs w:val="20"/>
              </w:rPr>
              <w:t xml:space="preserve">            266,717 </w:t>
            </w:r>
          </w:p>
        </w:tc>
        <w:tc>
          <w:tcPr>
            <w:tcW w:w="450" w:type="pct"/>
            <w:tcBorders>
              <w:top w:val="single" w:sz="6" w:space="0" w:color="000000"/>
              <w:left w:val="single" w:sz="6" w:space="0" w:color="000000"/>
            </w:tcBorders>
            <w:shd w:val="clear" w:color="auto" w:fill="FFFFFF"/>
            <w:vAlign w:val="bottom"/>
            <w:hideMark/>
          </w:tcPr>
          <w:p w14:paraId="71C14118" w14:textId="77777777" w:rsidR="00000000" w:rsidRDefault="0015578C">
            <w:pPr>
              <w:pStyle w:val="a3"/>
              <w:spacing w:before="0" w:beforeAutospacing="0" w:after="0" w:afterAutospacing="0"/>
              <w:jc w:val="right"/>
              <w:rPr>
                <w:sz w:val="20"/>
                <w:szCs w:val="20"/>
              </w:rPr>
            </w:pPr>
            <w:r>
              <w:rPr>
                <w:sz w:val="20"/>
                <w:szCs w:val="20"/>
              </w:rPr>
              <w:t>38.90</w:t>
            </w:r>
          </w:p>
        </w:tc>
        <w:tc>
          <w:tcPr>
            <w:tcW w:w="350" w:type="pct"/>
            <w:tcBorders>
              <w:top w:val="single" w:sz="6" w:space="0" w:color="000000"/>
              <w:left w:val="single" w:sz="6" w:space="0" w:color="000000"/>
            </w:tcBorders>
            <w:shd w:val="clear" w:color="auto" w:fill="FFFFFF"/>
            <w:vAlign w:val="bottom"/>
            <w:hideMark/>
          </w:tcPr>
          <w:p w14:paraId="1DEB3C71" w14:textId="77777777" w:rsidR="00000000" w:rsidRDefault="0015578C">
            <w:pPr>
              <w:pStyle w:val="a3"/>
              <w:spacing w:before="0" w:beforeAutospacing="0" w:after="0" w:afterAutospacing="0"/>
              <w:jc w:val="right"/>
              <w:rPr>
                <w:sz w:val="20"/>
                <w:szCs w:val="20"/>
              </w:rPr>
            </w:pPr>
            <w:r>
              <w:rPr>
                <w:sz w:val="20"/>
                <w:szCs w:val="20"/>
              </w:rPr>
              <w:t xml:space="preserve">                  1,751 </w:t>
            </w:r>
          </w:p>
        </w:tc>
        <w:tc>
          <w:tcPr>
            <w:tcW w:w="400" w:type="pct"/>
            <w:tcBorders>
              <w:top w:val="single" w:sz="6" w:space="0" w:color="000000"/>
              <w:left w:val="single" w:sz="6" w:space="0" w:color="000000"/>
            </w:tcBorders>
            <w:shd w:val="clear" w:color="auto" w:fill="FFFFFF"/>
            <w:vAlign w:val="bottom"/>
            <w:hideMark/>
          </w:tcPr>
          <w:p w14:paraId="647A854E" w14:textId="77777777" w:rsidR="00000000" w:rsidRDefault="0015578C">
            <w:pPr>
              <w:pStyle w:val="a3"/>
              <w:spacing w:before="0" w:beforeAutospacing="0" w:after="0" w:afterAutospacing="0"/>
              <w:jc w:val="right"/>
              <w:rPr>
                <w:sz w:val="20"/>
                <w:szCs w:val="20"/>
              </w:rPr>
            </w:pPr>
            <w:r>
              <w:rPr>
                <w:sz w:val="20"/>
                <w:szCs w:val="20"/>
              </w:rPr>
              <w:t>2.73</w:t>
            </w:r>
          </w:p>
        </w:tc>
        <w:tc>
          <w:tcPr>
            <w:tcW w:w="400" w:type="pct"/>
            <w:tcBorders>
              <w:top w:val="single" w:sz="6" w:space="0" w:color="000000"/>
              <w:left w:val="single" w:sz="6" w:space="0" w:color="000000"/>
            </w:tcBorders>
            <w:shd w:val="clear" w:color="auto" w:fill="FFFFFF"/>
            <w:vAlign w:val="bottom"/>
            <w:hideMark/>
          </w:tcPr>
          <w:p w14:paraId="4B58DB66" w14:textId="77777777" w:rsidR="00000000" w:rsidRDefault="0015578C">
            <w:pPr>
              <w:pStyle w:val="a3"/>
              <w:spacing w:before="0" w:beforeAutospacing="0" w:after="0" w:afterAutospacing="0"/>
              <w:jc w:val="right"/>
              <w:rPr>
                <w:sz w:val="20"/>
                <w:szCs w:val="20"/>
              </w:rPr>
            </w:pPr>
            <w:r>
              <w:rPr>
                <w:sz w:val="20"/>
                <w:szCs w:val="20"/>
              </w:rPr>
              <w:t xml:space="preserve">                84,275 </w:t>
            </w:r>
          </w:p>
        </w:tc>
      </w:tr>
    </w:tbl>
    <w:p w14:paraId="4ACF19E1"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6"/>
        <w:gridCol w:w="1395"/>
        <w:gridCol w:w="495"/>
        <w:gridCol w:w="1345"/>
        <w:gridCol w:w="495"/>
        <w:gridCol w:w="1395"/>
        <w:gridCol w:w="395"/>
        <w:gridCol w:w="1425"/>
      </w:tblGrid>
      <w:tr w:rsidR="00000000" w14:paraId="57C6BBCE" w14:textId="77777777">
        <w:trPr>
          <w:trHeight w:val="225"/>
          <w:tblCellSpacing w:w="15" w:type="dxa"/>
        </w:trPr>
        <w:tc>
          <w:tcPr>
            <w:tcW w:w="1200" w:type="pct"/>
            <w:tcBorders>
              <w:top w:val="single" w:sz="6" w:space="0" w:color="000000"/>
              <w:left w:val="single" w:sz="6" w:space="0" w:color="000000"/>
            </w:tcBorders>
            <w:vAlign w:val="bottom"/>
            <w:hideMark/>
          </w:tcPr>
          <w:p w14:paraId="06209C17" w14:textId="77777777" w:rsidR="00000000" w:rsidRDefault="0015578C">
            <w:pPr>
              <w:pStyle w:val="a3"/>
              <w:spacing w:before="0" w:beforeAutospacing="0" w:after="0" w:afterAutospacing="0"/>
              <w:rPr>
                <w:sz w:val="20"/>
                <w:szCs w:val="20"/>
              </w:rPr>
            </w:pPr>
            <w:r>
              <w:rPr>
                <w:rStyle w:val="a4"/>
                <w:sz w:val="20"/>
                <w:szCs w:val="20"/>
              </w:rPr>
              <w:t xml:space="preserve">Florida Canyon </w:t>
            </w:r>
            <w:r>
              <w:rPr>
                <w:sz w:val="20"/>
                <w:szCs w:val="20"/>
              </w:rPr>
              <w:t>(2)(4)</w:t>
            </w:r>
          </w:p>
        </w:tc>
        <w:tc>
          <w:tcPr>
            <w:tcW w:w="400" w:type="pct"/>
            <w:tcBorders>
              <w:top w:val="single" w:sz="6" w:space="0" w:color="000000"/>
              <w:left w:val="single" w:sz="6" w:space="0" w:color="000000"/>
            </w:tcBorders>
            <w:vAlign w:val="center"/>
            <w:hideMark/>
          </w:tcPr>
          <w:p w14:paraId="2C10DF8B" w14:textId="77777777" w:rsidR="00000000" w:rsidRDefault="0015578C">
            <w:pPr>
              <w:pStyle w:val="a3"/>
              <w:spacing w:before="0" w:beforeAutospacing="0" w:after="0" w:afterAutospacing="0"/>
              <w:jc w:val="center"/>
              <w:rPr>
                <w:sz w:val="20"/>
                <w:szCs w:val="20"/>
              </w:rPr>
            </w:pPr>
            <w:r>
              <w:rPr>
                <w:sz w:val="20"/>
                <w:szCs w:val="20"/>
              </w:rPr>
              <w:t> </w:t>
            </w:r>
          </w:p>
        </w:tc>
        <w:tc>
          <w:tcPr>
            <w:tcW w:w="350" w:type="pct"/>
            <w:tcBorders>
              <w:top w:val="single" w:sz="6" w:space="0" w:color="000000"/>
              <w:left w:val="single" w:sz="6" w:space="0" w:color="000000"/>
            </w:tcBorders>
            <w:vAlign w:val="center"/>
            <w:hideMark/>
          </w:tcPr>
          <w:p w14:paraId="1E5CB263"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6534401A" w14:textId="77777777" w:rsidR="00000000" w:rsidRDefault="0015578C">
            <w:pPr>
              <w:pStyle w:val="a3"/>
              <w:spacing w:before="0" w:beforeAutospacing="0" w:after="0" w:afterAutospacing="0"/>
              <w:jc w:val="center"/>
              <w:rPr>
                <w:sz w:val="20"/>
                <w:szCs w:val="20"/>
              </w:rPr>
            </w:pPr>
            <w:r>
              <w:rPr>
                <w:sz w:val="20"/>
                <w:szCs w:val="20"/>
              </w:rPr>
              <w:t> </w:t>
            </w:r>
          </w:p>
        </w:tc>
        <w:tc>
          <w:tcPr>
            <w:tcW w:w="450" w:type="pct"/>
            <w:tcBorders>
              <w:top w:val="single" w:sz="6" w:space="0" w:color="000000"/>
              <w:left w:val="single" w:sz="6" w:space="0" w:color="000000"/>
            </w:tcBorders>
            <w:vAlign w:val="center"/>
            <w:hideMark/>
          </w:tcPr>
          <w:p w14:paraId="208C11DE" w14:textId="77777777" w:rsidR="00000000" w:rsidRDefault="0015578C">
            <w:pPr>
              <w:pStyle w:val="a3"/>
              <w:spacing w:before="0" w:beforeAutospacing="0" w:after="0" w:afterAutospacing="0"/>
              <w:jc w:val="center"/>
              <w:rPr>
                <w:sz w:val="20"/>
                <w:szCs w:val="20"/>
              </w:rPr>
            </w:pPr>
            <w:r>
              <w:rPr>
                <w:sz w:val="20"/>
                <w:szCs w:val="20"/>
              </w:rPr>
              <w:t> </w:t>
            </w:r>
          </w:p>
        </w:tc>
        <w:tc>
          <w:tcPr>
            <w:tcW w:w="350" w:type="pct"/>
            <w:tcBorders>
              <w:top w:val="single" w:sz="6" w:space="0" w:color="000000"/>
              <w:left w:val="single" w:sz="6" w:space="0" w:color="000000"/>
            </w:tcBorders>
            <w:vAlign w:val="center"/>
            <w:hideMark/>
          </w:tcPr>
          <w:p w14:paraId="3896451F"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77E67712"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5F72F24F" w14:textId="77777777" w:rsidR="00000000" w:rsidRDefault="0015578C">
            <w:pPr>
              <w:pStyle w:val="a3"/>
              <w:spacing w:before="0" w:beforeAutospacing="0" w:after="0" w:afterAutospacing="0"/>
              <w:jc w:val="center"/>
              <w:rPr>
                <w:sz w:val="20"/>
                <w:szCs w:val="20"/>
              </w:rPr>
            </w:pPr>
            <w:r>
              <w:rPr>
                <w:sz w:val="20"/>
                <w:szCs w:val="20"/>
              </w:rPr>
              <w:t> </w:t>
            </w:r>
          </w:p>
        </w:tc>
      </w:tr>
      <w:tr w:rsidR="00000000" w14:paraId="67931D4B"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7E1FB861" w14:textId="77777777" w:rsidR="00000000" w:rsidRDefault="0015578C">
            <w:pPr>
              <w:pStyle w:val="a3"/>
              <w:spacing w:before="0" w:beforeAutospacing="0" w:after="0" w:afterAutospacing="0"/>
              <w:rPr>
                <w:sz w:val="20"/>
                <w:szCs w:val="20"/>
              </w:rPr>
            </w:pPr>
            <w:r>
              <w:rPr>
                <w:sz w:val="20"/>
                <w:szCs w:val="20"/>
              </w:rPr>
              <w:t>Measured Mineral Resources</w:t>
            </w:r>
          </w:p>
        </w:tc>
        <w:tc>
          <w:tcPr>
            <w:tcW w:w="400" w:type="pct"/>
            <w:tcBorders>
              <w:top w:val="single" w:sz="6" w:space="0" w:color="000000"/>
              <w:left w:val="single" w:sz="6" w:space="0" w:color="000000"/>
            </w:tcBorders>
            <w:shd w:val="clear" w:color="auto" w:fill="CCEEFF"/>
            <w:vAlign w:val="bottom"/>
            <w:hideMark/>
          </w:tcPr>
          <w:p w14:paraId="21F16CAF" w14:textId="77777777" w:rsidR="00000000" w:rsidRDefault="0015578C">
            <w:pPr>
              <w:pStyle w:val="a3"/>
              <w:spacing w:before="0" w:beforeAutospacing="0" w:after="0" w:afterAutospacing="0"/>
              <w:jc w:val="right"/>
              <w:rPr>
                <w:sz w:val="20"/>
                <w:szCs w:val="20"/>
              </w:rPr>
            </w:pPr>
            <w:r>
              <w:rPr>
                <w:sz w:val="20"/>
                <w:szCs w:val="20"/>
              </w:rPr>
              <w:t xml:space="preserve">                     315 </w:t>
            </w:r>
          </w:p>
        </w:tc>
        <w:tc>
          <w:tcPr>
            <w:tcW w:w="350" w:type="pct"/>
            <w:tcBorders>
              <w:top w:val="single" w:sz="6" w:space="0" w:color="000000"/>
              <w:left w:val="single" w:sz="6" w:space="0" w:color="000000"/>
            </w:tcBorders>
            <w:shd w:val="clear" w:color="auto" w:fill="CCEEFF"/>
            <w:vAlign w:val="bottom"/>
            <w:hideMark/>
          </w:tcPr>
          <w:p w14:paraId="45E32A66" w14:textId="77777777" w:rsidR="00000000" w:rsidRDefault="0015578C">
            <w:pPr>
              <w:pStyle w:val="a3"/>
              <w:spacing w:before="0" w:beforeAutospacing="0" w:after="0" w:afterAutospacing="0"/>
              <w:jc w:val="right"/>
              <w:rPr>
                <w:sz w:val="20"/>
                <w:szCs w:val="20"/>
              </w:rPr>
            </w:pPr>
            <w:r>
              <w:rPr>
                <w:sz w:val="20"/>
                <w:szCs w:val="20"/>
              </w:rPr>
              <w:t>11.32</w:t>
            </w:r>
          </w:p>
        </w:tc>
        <w:tc>
          <w:tcPr>
            <w:tcW w:w="400" w:type="pct"/>
            <w:tcBorders>
              <w:top w:val="single" w:sz="6" w:space="0" w:color="000000"/>
              <w:left w:val="single" w:sz="6" w:space="0" w:color="000000"/>
            </w:tcBorders>
            <w:shd w:val="clear" w:color="auto" w:fill="CCEEFF"/>
            <w:vAlign w:val="bottom"/>
            <w:hideMark/>
          </w:tcPr>
          <w:p w14:paraId="36DE6711" w14:textId="77777777" w:rsidR="00000000" w:rsidRDefault="0015578C">
            <w:pPr>
              <w:pStyle w:val="a3"/>
              <w:spacing w:before="0" w:beforeAutospacing="0" w:after="0" w:afterAutospacing="0"/>
              <w:jc w:val="right"/>
              <w:rPr>
                <w:sz w:val="20"/>
                <w:szCs w:val="20"/>
              </w:rPr>
            </w:pPr>
            <w:r>
              <w:rPr>
                <w:sz w:val="20"/>
                <w:szCs w:val="20"/>
              </w:rPr>
              <w:t xml:space="preserve">               78,553 </w:t>
            </w:r>
          </w:p>
        </w:tc>
        <w:tc>
          <w:tcPr>
            <w:tcW w:w="450" w:type="pct"/>
            <w:tcBorders>
              <w:top w:val="single" w:sz="6" w:space="0" w:color="000000"/>
              <w:left w:val="single" w:sz="6" w:space="0" w:color="000000"/>
            </w:tcBorders>
            <w:shd w:val="clear" w:color="auto" w:fill="CCEEFF"/>
            <w:vAlign w:val="bottom"/>
            <w:hideMark/>
          </w:tcPr>
          <w:p w14:paraId="0D24D31E" w14:textId="77777777" w:rsidR="00000000" w:rsidRDefault="0015578C">
            <w:pPr>
              <w:pStyle w:val="a3"/>
              <w:spacing w:before="0" w:beforeAutospacing="0" w:after="0" w:afterAutospacing="0"/>
              <w:jc w:val="right"/>
              <w:rPr>
                <w:sz w:val="20"/>
                <w:szCs w:val="20"/>
              </w:rPr>
            </w:pPr>
            <w:r>
              <w:rPr>
                <w:sz w:val="20"/>
                <w:szCs w:val="20"/>
              </w:rPr>
              <w:t>15.42</w:t>
            </w:r>
          </w:p>
        </w:tc>
        <w:tc>
          <w:tcPr>
            <w:tcW w:w="350" w:type="pct"/>
            <w:tcBorders>
              <w:top w:val="single" w:sz="6" w:space="0" w:color="000000"/>
              <w:left w:val="single" w:sz="6" w:space="0" w:color="000000"/>
            </w:tcBorders>
            <w:shd w:val="clear" w:color="auto" w:fill="CCEEFF"/>
            <w:vAlign w:val="bottom"/>
            <w:hideMark/>
          </w:tcPr>
          <w:p w14:paraId="58C3D481" w14:textId="77777777" w:rsidR="00000000" w:rsidRDefault="0015578C">
            <w:pPr>
              <w:pStyle w:val="a3"/>
              <w:spacing w:before="0" w:beforeAutospacing="0" w:after="0" w:afterAutospacing="0"/>
              <w:jc w:val="right"/>
              <w:rPr>
                <w:sz w:val="20"/>
                <w:szCs w:val="20"/>
              </w:rPr>
            </w:pPr>
            <w:r>
              <w:rPr>
                <w:sz w:val="20"/>
                <w:szCs w:val="20"/>
              </w:rPr>
              <w:t xml:space="preserve">                     156 </w:t>
            </w:r>
          </w:p>
        </w:tc>
        <w:tc>
          <w:tcPr>
            <w:tcW w:w="400" w:type="pct"/>
            <w:tcBorders>
              <w:top w:val="single" w:sz="6" w:space="0" w:color="000000"/>
              <w:left w:val="single" w:sz="6" w:space="0" w:color="000000"/>
            </w:tcBorders>
            <w:shd w:val="clear" w:color="auto" w:fill="CCEEFF"/>
            <w:vAlign w:val="bottom"/>
            <w:hideMark/>
          </w:tcPr>
          <w:p w14:paraId="6BBC31F3" w14:textId="77777777" w:rsidR="00000000" w:rsidRDefault="0015578C">
            <w:pPr>
              <w:pStyle w:val="a3"/>
              <w:spacing w:before="0" w:beforeAutospacing="0" w:after="0" w:afterAutospacing="0"/>
              <w:jc w:val="right"/>
              <w:rPr>
                <w:sz w:val="20"/>
                <w:szCs w:val="20"/>
              </w:rPr>
            </w:pPr>
            <w:r>
              <w:rPr>
                <w:sz w:val="20"/>
                <w:szCs w:val="20"/>
              </w:rPr>
              <w:t>1.39</w:t>
            </w:r>
          </w:p>
        </w:tc>
        <w:tc>
          <w:tcPr>
            <w:tcW w:w="400" w:type="pct"/>
            <w:tcBorders>
              <w:top w:val="single" w:sz="6" w:space="0" w:color="000000"/>
              <w:left w:val="single" w:sz="6" w:space="0" w:color="000000"/>
            </w:tcBorders>
            <w:shd w:val="clear" w:color="auto" w:fill="CCEEFF"/>
            <w:vAlign w:val="bottom"/>
            <w:hideMark/>
          </w:tcPr>
          <w:p w14:paraId="2DD5365B" w14:textId="77777777" w:rsidR="00000000" w:rsidRDefault="0015578C">
            <w:pPr>
              <w:pStyle w:val="a3"/>
              <w:spacing w:before="0" w:beforeAutospacing="0" w:after="0" w:afterAutospacing="0"/>
              <w:jc w:val="right"/>
              <w:rPr>
                <w:sz w:val="20"/>
                <w:szCs w:val="20"/>
              </w:rPr>
            </w:pPr>
            <w:r>
              <w:rPr>
                <w:sz w:val="20"/>
                <w:szCs w:val="20"/>
              </w:rPr>
              <w:t xml:space="preserve">                  9,646 </w:t>
            </w:r>
          </w:p>
        </w:tc>
      </w:tr>
      <w:tr w:rsidR="00000000" w14:paraId="1EC69632"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11D7B717" w14:textId="77777777" w:rsidR="00000000" w:rsidRDefault="0015578C">
            <w:pPr>
              <w:pStyle w:val="a3"/>
              <w:spacing w:before="0" w:beforeAutospacing="0" w:after="0" w:afterAutospacing="0"/>
              <w:rPr>
                <w:sz w:val="20"/>
                <w:szCs w:val="20"/>
              </w:rPr>
            </w:pPr>
            <w:r>
              <w:rPr>
                <w:sz w:val="20"/>
                <w:szCs w:val="20"/>
              </w:rPr>
              <w:t>Indicated Mineral Resources</w:t>
            </w:r>
          </w:p>
        </w:tc>
        <w:tc>
          <w:tcPr>
            <w:tcW w:w="400" w:type="pct"/>
            <w:tcBorders>
              <w:top w:val="single" w:sz="6" w:space="0" w:color="000000"/>
              <w:left w:val="single" w:sz="6" w:space="0" w:color="000000"/>
            </w:tcBorders>
            <w:shd w:val="clear" w:color="auto" w:fill="FFFFFF"/>
            <w:vAlign w:val="bottom"/>
            <w:hideMark/>
          </w:tcPr>
          <w:p w14:paraId="1B97B5F7" w14:textId="77777777" w:rsidR="00000000" w:rsidRDefault="0015578C">
            <w:pPr>
              <w:pStyle w:val="a3"/>
              <w:spacing w:before="0" w:beforeAutospacing="0" w:after="0" w:afterAutospacing="0"/>
              <w:jc w:val="right"/>
              <w:rPr>
                <w:sz w:val="20"/>
                <w:szCs w:val="20"/>
              </w:rPr>
            </w:pPr>
            <w:r>
              <w:rPr>
                <w:sz w:val="20"/>
                <w:szCs w:val="20"/>
              </w:rPr>
              <w:t xml:space="preserve">                     638 </w:t>
            </w:r>
          </w:p>
        </w:tc>
        <w:tc>
          <w:tcPr>
            <w:tcW w:w="350" w:type="pct"/>
            <w:tcBorders>
              <w:top w:val="single" w:sz="6" w:space="0" w:color="000000"/>
              <w:left w:val="single" w:sz="6" w:space="0" w:color="000000"/>
            </w:tcBorders>
            <w:shd w:val="clear" w:color="auto" w:fill="FFFFFF"/>
            <w:vAlign w:val="bottom"/>
            <w:hideMark/>
          </w:tcPr>
          <w:p w14:paraId="262C7895" w14:textId="77777777" w:rsidR="00000000" w:rsidRDefault="0015578C">
            <w:pPr>
              <w:pStyle w:val="a3"/>
              <w:spacing w:before="0" w:beforeAutospacing="0" w:after="0" w:afterAutospacing="0"/>
              <w:jc w:val="right"/>
              <w:rPr>
                <w:sz w:val="20"/>
                <w:szCs w:val="20"/>
              </w:rPr>
            </w:pPr>
            <w:r>
              <w:rPr>
                <w:sz w:val="20"/>
                <w:szCs w:val="20"/>
              </w:rPr>
              <w:t>10.28</w:t>
            </w:r>
          </w:p>
        </w:tc>
        <w:tc>
          <w:tcPr>
            <w:tcW w:w="400" w:type="pct"/>
            <w:tcBorders>
              <w:top w:val="single" w:sz="6" w:space="0" w:color="000000"/>
              <w:left w:val="single" w:sz="6" w:space="0" w:color="000000"/>
            </w:tcBorders>
            <w:shd w:val="clear" w:color="auto" w:fill="FFFFFF"/>
            <w:vAlign w:val="bottom"/>
            <w:hideMark/>
          </w:tcPr>
          <w:p w14:paraId="131ABA48" w14:textId="77777777" w:rsidR="00000000" w:rsidRDefault="0015578C">
            <w:pPr>
              <w:pStyle w:val="a3"/>
              <w:spacing w:before="0" w:beforeAutospacing="0" w:after="0" w:afterAutospacing="0"/>
              <w:jc w:val="right"/>
              <w:rPr>
                <w:sz w:val="20"/>
                <w:szCs w:val="20"/>
              </w:rPr>
            </w:pPr>
            <w:r>
              <w:rPr>
                <w:sz w:val="20"/>
                <w:szCs w:val="20"/>
              </w:rPr>
              <w:t xml:space="preserve">            144,512 </w:t>
            </w:r>
          </w:p>
        </w:tc>
        <w:tc>
          <w:tcPr>
            <w:tcW w:w="450" w:type="pct"/>
            <w:tcBorders>
              <w:top w:val="single" w:sz="6" w:space="0" w:color="000000"/>
              <w:left w:val="single" w:sz="6" w:space="0" w:color="000000"/>
            </w:tcBorders>
            <w:shd w:val="clear" w:color="auto" w:fill="FFFFFF"/>
            <w:vAlign w:val="bottom"/>
            <w:hideMark/>
          </w:tcPr>
          <w:p w14:paraId="036920F2" w14:textId="77777777" w:rsidR="00000000" w:rsidRDefault="0015578C">
            <w:pPr>
              <w:pStyle w:val="a3"/>
              <w:spacing w:before="0" w:beforeAutospacing="0" w:after="0" w:afterAutospacing="0"/>
              <w:jc w:val="right"/>
              <w:rPr>
                <w:sz w:val="20"/>
                <w:szCs w:val="20"/>
              </w:rPr>
            </w:pPr>
            <w:r>
              <w:rPr>
                <w:sz w:val="20"/>
                <w:szCs w:val="20"/>
              </w:rPr>
              <w:t>14.87</w:t>
            </w:r>
          </w:p>
        </w:tc>
        <w:tc>
          <w:tcPr>
            <w:tcW w:w="350" w:type="pct"/>
            <w:tcBorders>
              <w:top w:val="single" w:sz="6" w:space="0" w:color="000000"/>
              <w:left w:val="single" w:sz="6" w:space="0" w:color="000000"/>
            </w:tcBorders>
            <w:shd w:val="clear" w:color="auto" w:fill="FFFFFF"/>
            <w:vAlign w:val="bottom"/>
            <w:hideMark/>
          </w:tcPr>
          <w:p w14:paraId="73218DA5" w14:textId="77777777" w:rsidR="00000000" w:rsidRDefault="0015578C">
            <w:pPr>
              <w:pStyle w:val="a3"/>
              <w:spacing w:before="0" w:beforeAutospacing="0" w:after="0" w:afterAutospacing="0"/>
              <w:jc w:val="right"/>
              <w:rPr>
                <w:sz w:val="20"/>
                <w:szCs w:val="20"/>
              </w:rPr>
            </w:pPr>
            <w:r>
              <w:rPr>
                <w:sz w:val="20"/>
                <w:szCs w:val="20"/>
              </w:rPr>
              <w:t xml:space="preserve">                     </w:t>
            </w:r>
            <w:r>
              <w:rPr>
                <w:sz w:val="20"/>
                <w:szCs w:val="20"/>
              </w:rPr>
              <w:t xml:space="preserve">305 </w:t>
            </w:r>
          </w:p>
        </w:tc>
        <w:tc>
          <w:tcPr>
            <w:tcW w:w="400" w:type="pct"/>
            <w:tcBorders>
              <w:top w:val="single" w:sz="6" w:space="0" w:color="000000"/>
              <w:left w:val="single" w:sz="6" w:space="0" w:color="000000"/>
            </w:tcBorders>
            <w:shd w:val="clear" w:color="auto" w:fill="FFFFFF"/>
            <w:vAlign w:val="bottom"/>
            <w:hideMark/>
          </w:tcPr>
          <w:p w14:paraId="6943F9CF" w14:textId="77777777" w:rsidR="00000000" w:rsidRDefault="0015578C">
            <w:pPr>
              <w:pStyle w:val="a3"/>
              <w:spacing w:before="0" w:beforeAutospacing="0" w:after="0" w:afterAutospacing="0"/>
              <w:jc w:val="right"/>
              <w:rPr>
                <w:sz w:val="20"/>
                <w:szCs w:val="20"/>
              </w:rPr>
            </w:pPr>
            <w:r>
              <w:rPr>
                <w:sz w:val="20"/>
                <w:szCs w:val="20"/>
              </w:rPr>
              <w:t>1.31</w:t>
            </w:r>
          </w:p>
        </w:tc>
        <w:tc>
          <w:tcPr>
            <w:tcW w:w="400" w:type="pct"/>
            <w:tcBorders>
              <w:top w:val="single" w:sz="6" w:space="0" w:color="000000"/>
              <w:left w:val="single" w:sz="6" w:space="0" w:color="000000"/>
            </w:tcBorders>
            <w:shd w:val="clear" w:color="auto" w:fill="FFFFFF"/>
            <w:vAlign w:val="bottom"/>
            <w:hideMark/>
          </w:tcPr>
          <w:p w14:paraId="6FD3789A" w14:textId="77777777" w:rsidR="00000000" w:rsidRDefault="0015578C">
            <w:pPr>
              <w:pStyle w:val="a3"/>
              <w:spacing w:before="0" w:beforeAutospacing="0" w:after="0" w:afterAutospacing="0"/>
              <w:jc w:val="right"/>
              <w:rPr>
                <w:sz w:val="20"/>
                <w:szCs w:val="20"/>
              </w:rPr>
            </w:pPr>
            <w:r>
              <w:rPr>
                <w:sz w:val="20"/>
                <w:szCs w:val="20"/>
              </w:rPr>
              <w:t xml:space="preserve">                18,415 </w:t>
            </w:r>
          </w:p>
        </w:tc>
      </w:tr>
      <w:tr w:rsidR="00000000" w14:paraId="49A1CE89"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437CC585" w14:textId="77777777" w:rsidR="00000000" w:rsidRDefault="0015578C">
            <w:pPr>
              <w:pStyle w:val="a3"/>
              <w:spacing w:before="0" w:beforeAutospacing="0" w:after="0" w:afterAutospacing="0"/>
              <w:rPr>
                <w:sz w:val="20"/>
                <w:szCs w:val="20"/>
              </w:rPr>
            </w:pPr>
            <w:r>
              <w:rPr>
                <w:sz w:val="20"/>
                <w:szCs w:val="20"/>
              </w:rPr>
              <w:t>Measured+Indicated Resources</w:t>
            </w:r>
          </w:p>
        </w:tc>
        <w:tc>
          <w:tcPr>
            <w:tcW w:w="400" w:type="pct"/>
            <w:tcBorders>
              <w:top w:val="single" w:sz="6" w:space="0" w:color="000000"/>
              <w:left w:val="single" w:sz="6" w:space="0" w:color="000000"/>
            </w:tcBorders>
            <w:shd w:val="clear" w:color="auto" w:fill="CCEEFF"/>
            <w:vAlign w:val="bottom"/>
            <w:hideMark/>
          </w:tcPr>
          <w:p w14:paraId="24B2527D" w14:textId="77777777" w:rsidR="00000000" w:rsidRDefault="0015578C">
            <w:pPr>
              <w:pStyle w:val="a3"/>
              <w:spacing w:before="0" w:beforeAutospacing="0" w:after="0" w:afterAutospacing="0"/>
              <w:jc w:val="right"/>
              <w:rPr>
                <w:sz w:val="20"/>
                <w:szCs w:val="20"/>
              </w:rPr>
            </w:pPr>
            <w:r>
              <w:rPr>
                <w:sz w:val="20"/>
                <w:szCs w:val="20"/>
              </w:rPr>
              <w:t xml:space="preserve">                     952 </w:t>
            </w:r>
          </w:p>
        </w:tc>
        <w:tc>
          <w:tcPr>
            <w:tcW w:w="350" w:type="pct"/>
            <w:tcBorders>
              <w:top w:val="single" w:sz="6" w:space="0" w:color="000000"/>
              <w:left w:val="single" w:sz="6" w:space="0" w:color="000000"/>
            </w:tcBorders>
            <w:shd w:val="clear" w:color="auto" w:fill="CCEEFF"/>
            <w:vAlign w:val="bottom"/>
            <w:hideMark/>
          </w:tcPr>
          <w:p w14:paraId="681350B6" w14:textId="77777777" w:rsidR="00000000" w:rsidRDefault="0015578C">
            <w:pPr>
              <w:pStyle w:val="a3"/>
              <w:spacing w:before="0" w:beforeAutospacing="0" w:after="0" w:afterAutospacing="0"/>
              <w:jc w:val="right"/>
              <w:rPr>
                <w:sz w:val="20"/>
                <w:szCs w:val="20"/>
              </w:rPr>
            </w:pPr>
            <w:r>
              <w:rPr>
                <w:sz w:val="20"/>
                <w:szCs w:val="20"/>
              </w:rPr>
              <w:t>10.62</w:t>
            </w:r>
          </w:p>
        </w:tc>
        <w:tc>
          <w:tcPr>
            <w:tcW w:w="400" w:type="pct"/>
            <w:tcBorders>
              <w:top w:val="single" w:sz="6" w:space="0" w:color="000000"/>
              <w:left w:val="single" w:sz="6" w:space="0" w:color="000000"/>
            </w:tcBorders>
            <w:shd w:val="clear" w:color="auto" w:fill="CCEEFF"/>
            <w:vAlign w:val="bottom"/>
            <w:hideMark/>
          </w:tcPr>
          <w:p w14:paraId="480C4503" w14:textId="77777777" w:rsidR="00000000" w:rsidRDefault="0015578C">
            <w:pPr>
              <w:pStyle w:val="a3"/>
              <w:spacing w:before="0" w:beforeAutospacing="0" w:after="0" w:afterAutospacing="0"/>
              <w:jc w:val="right"/>
              <w:rPr>
                <w:sz w:val="20"/>
                <w:szCs w:val="20"/>
              </w:rPr>
            </w:pPr>
            <w:r>
              <w:rPr>
                <w:sz w:val="20"/>
                <w:szCs w:val="20"/>
              </w:rPr>
              <w:t xml:space="preserve">            222,988 </w:t>
            </w:r>
          </w:p>
        </w:tc>
        <w:tc>
          <w:tcPr>
            <w:tcW w:w="450" w:type="pct"/>
            <w:tcBorders>
              <w:top w:val="single" w:sz="6" w:space="0" w:color="000000"/>
              <w:left w:val="single" w:sz="6" w:space="0" w:color="000000"/>
            </w:tcBorders>
            <w:shd w:val="clear" w:color="auto" w:fill="CCEEFF"/>
            <w:vAlign w:val="bottom"/>
            <w:hideMark/>
          </w:tcPr>
          <w:p w14:paraId="19C05756" w14:textId="77777777" w:rsidR="00000000" w:rsidRDefault="0015578C">
            <w:pPr>
              <w:pStyle w:val="a3"/>
              <w:spacing w:before="0" w:beforeAutospacing="0" w:after="0" w:afterAutospacing="0"/>
              <w:jc w:val="right"/>
              <w:rPr>
                <w:sz w:val="20"/>
                <w:szCs w:val="20"/>
              </w:rPr>
            </w:pPr>
            <w:r>
              <w:rPr>
                <w:sz w:val="20"/>
                <w:szCs w:val="20"/>
              </w:rPr>
              <w:t>15.05</w:t>
            </w:r>
          </w:p>
        </w:tc>
        <w:tc>
          <w:tcPr>
            <w:tcW w:w="350" w:type="pct"/>
            <w:tcBorders>
              <w:top w:val="single" w:sz="6" w:space="0" w:color="000000"/>
              <w:left w:val="single" w:sz="6" w:space="0" w:color="000000"/>
            </w:tcBorders>
            <w:shd w:val="clear" w:color="auto" w:fill="CCEEFF"/>
            <w:vAlign w:val="bottom"/>
            <w:hideMark/>
          </w:tcPr>
          <w:p w14:paraId="02E35084" w14:textId="77777777" w:rsidR="00000000" w:rsidRDefault="0015578C">
            <w:pPr>
              <w:pStyle w:val="a3"/>
              <w:spacing w:before="0" w:beforeAutospacing="0" w:after="0" w:afterAutospacing="0"/>
              <w:jc w:val="right"/>
              <w:rPr>
                <w:sz w:val="20"/>
                <w:szCs w:val="20"/>
              </w:rPr>
            </w:pPr>
            <w:r>
              <w:rPr>
                <w:sz w:val="20"/>
                <w:szCs w:val="20"/>
              </w:rPr>
              <w:t xml:space="preserve">                     461 </w:t>
            </w:r>
          </w:p>
        </w:tc>
        <w:tc>
          <w:tcPr>
            <w:tcW w:w="400" w:type="pct"/>
            <w:tcBorders>
              <w:top w:val="single" w:sz="6" w:space="0" w:color="000000"/>
              <w:left w:val="single" w:sz="6" w:space="0" w:color="000000"/>
            </w:tcBorders>
            <w:shd w:val="clear" w:color="auto" w:fill="CCEEFF"/>
            <w:vAlign w:val="bottom"/>
            <w:hideMark/>
          </w:tcPr>
          <w:p w14:paraId="65949C5C" w14:textId="77777777" w:rsidR="00000000" w:rsidRDefault="0015578C">
            <w:pPr>
              <w:pStyle w:val="a3"/>
              <w:spacing w:before="0" w:beforeAutospacing="0" w:after="0" w:afterAutospacing="0"/>
              <w:jc w:val="right"/>
              <w:rPr>
                <w:sz w:val="20"/>
                <w:szCs w:val="20"/>
              </w:rPr>
            </w:pPr>
            <w:r>
              <w:rPr>
                <w:sz w:val="20"/>
                <w:szCs w:val="20"/>
              </w:rPr>
              <w:t>1.33</w:t>
            </w:r>
          </w:p>
        </w:tc>
        <w:tc>
          <w:tcPr>
            <w:tcW w:w="400" w:type="pct"/>
            <w:tcBorders>
              <w:top w:val="single" w:sz="6" w:space="0" w:color="000000"/>
              <w:left w:val="single" w:sz="6" w:space="0" w:color="000000"/>
            </w:tcBorders>
            <w:shd w:val="clear" w:color="auto" w:fill="CCEEFF"/>
            <w:vAlign w:val="bottom"/>
            <w:hideMark/>
          </w:tcPr>
          <w:p w14:paraId="113F6F69" w14:textId="77777777" w:rsidR="00000000" w:rsidRDefault="0015578C">
            <w:pPr>
              <w:pStyle w:val="a3"/>
              <w:spacing w:before="0" w:beforeAutospacing="0" w:after="0" w:afterAutospacing="0"/>
              <w:jc w:val="right"/>
              <w:rPr>
                <w:sz w:val="20"/>
                <w:szCs w:val="20"/>
              </w:rPr>
            </w:pPr>
            <w:r>
              <w:rPr>
                <w:sz w:val="20"/>
                <w:szCs w:val="20"/>
              </w:rPr>
              <w:t xml:space="preserve">                27,926 </w:t>
            </w:r>
          </w:p>
        </w:tc>
      </w:tr>
      <w:tr w:rsidR="00000000" w14:paraId="1FD47E00"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5F7D2ADF" w14:textId="77777777" w:rsidR="00000000" w:rsidRDefault="0015578C">
            <w:pPr>
              <w:pStyle w:val="a3"/>
              <w:spacing w:before="0" w:beforeAutospacing="0" w:after="0" w:afterAutospacing="0"/>
              <w:rPr>
                <w:sz w:val="20"/>
                <w:szCs w:val="20"/>
              </w:rPr>
            </w:pPr>
            <w:r>
              <w:rPr>
                <w:sz w:val="20"/>
                <w:szCs w:val="20"/>
              </w:rPr>
              <w:t>Inferred Mineral Resources.</w:t>
            </w:r>
          </w:p>
        </w:tc>
        <w:tc>
          <w:tcPr>
            <w:tcW w:w="400" w:type="pct"/>
            <w:tcBorders>
              <w:top w:val="single" w:sz="6" w:space="0" w:color="000000"/>
              <w:left w:val="single" w:sz="6" w:space="0" w:color="000000"/>
            </w:tcBorders>
            <w:shd w:val="clear" w:color="auto" w:fill="FFFFFF"/>
            <w:vAlign w:val="bottom"/>
            <w:hideMark/>
          </w:tcPr>
          <w:p w14:paraId="5FE28354" w14:textId="77777777" w:rsidR="00000000" w:rsidRDefault="0015578C">
            <w:pPr>
              <w:pStyle w:val="a3"/>
              <w:spacing w:before="0" w:beforeAutospacing="0" w:after="0" w:afterAutospacing="0"/>
              <w:jc w:val="right"/>
              <w:rPr>
                <w:sz w:val="20"/>
                <w:szCs w:val="20"/>
              </w:rPr>
            </w:pPr>
            <w:r>
              <w:rPr>
                <w:sz w:val="20"/>
                <w:szCs w:val="20"/>
              </w:rPr>
              <w:t xml:space="preserve">                  5,795 </w:t>
            </w:r>
          </w:p>
        </w:tc>
        <w:tc>
          <w:tcPr>
            <w:tcW w:w="350" w:type="pct"/>
            <w:tcBorders>
              <w:top w:val="single" w:sz="6" w:space="0" w:color="000000"/>
              <w:left w:val="single" w:sz="6" w:space="0" w:color="000000"/>
            </w:tcBorders>
            <w:shd w:val="clear" w:color="auto" w:fill="FFFFFF"/>
            <w:vAlign w:val="bottom"/>
            <w:hideMark/>
          </w:tcPr>
          <w:p w14:paraId="0FD510F3" w14:textId="77777777" w:rsidR="00000000" w:rsidRDefault="0015578C">
            <w:pPr>
              <w:pStyle w:val="a3"/>
              <w:spacing w:before="0" w:beforeAutospacing="0" w:after="0" w:afterAutospacing="0"/>
              <w:jc w:val="right"/>
              <w:rPr>
                <w:sz w:val="20"/>
                <w:szCs w:val="20"/>
              </w:rPr>
            </w:pPr>
            <w:r>
              <w:rPr>
                <w:sz w:val="20"/>
                <w:szCs w:val="20"/>
              </w:rPr>
              <w:t>9.63</w:t>
            </w:r>
          </w:p>
        </w:tc>
        <w:tc>
          <w:tcPr>
            <w:tcW w:w="400" w:type="pct"/>
            <w:tcBorders>
              <w:top w:val="single" w:sz="6" w:space="0" w:color="000000"/>
              <w:left w:val="single" w:sz="6" w:space="0" w:color="000000"/>
            </w:tcBorders>
            <w:shd w:val="clear" w:color="auto" w:fill="FFFFFF"/>
            <w:vAlign w:val="bottom"/>
            <w:hideMark/>
          </w:tcPr>
          <w:p w14:paraId="7BF7EF2C" w14:textId="77777777" w:rsidR="00000000" w:rsidRDefault="0015578C">
            <w:pPr>
              <w:pStyle w:val="a3"/>
              <w:spacing w:before="0" w:beforeAutospacing="0" w:after="0" w:afterAutospacing="0"/>
              <w:jc w:val="right"/>
              <w:rPr>
                <w:sz w:val="20"/>
                <w:szCs w:val="20"/>
              </w:rPr>
            </w:pPr>
            <w:r>
              <w:rPr>
                <w:sz w:val="20"/>
                <w:szCs w:val="20"/>
              </w:rPr>
              <w:t xml:space="preserve">         </w:t>
            </w:r>
            <w:r>
              <w:rPr>
                <w:sz w:val="20"/>
                <w:szCs w:val="20"/>
              </w:rPr>
              <w:t xml:space="preserve">1,230,499 </w:t>
            </w:r>
          </w:p>
        </w:tc>
        <w:tc>
          <w:tcPr>
            <w:tcW w:w="450" w:type="pct"/>
            <w:tcBorders>
              <w:top w:val="single" w:sz="6" w:space="0" w:color="000000"/>
              <w:left w:val="single" w:sz="6" w:space="0" w:color="000000"/>
            </w:tcBorders>
            <w:shd w:val="clear" w:color="auto" w:fill="FFFFFF"/>
            <w:vAlign w:val="bottom"/>
            <w:hideMark/>
          </w:tcPr>
          <w:p w14:paraId="719F7453" w14:textId="77777777" w:rsidR="00000000" w:rsidRDefault="0015578C">
            <w:pPr>
              <w:pStyle w:val="a3"/>
              <w:spacing w:before="0" w:beforeAutospacing="0" w:after="0" w:afterAutospacing="0"/>
              <w:jc w:val="right"/>
              <w:rPr>
                <w:sz w:val="20"/>
                <w:szCs w:val="20"/>
              </w:rPr>
            </w:pPr>
            <w:r>
              <w:rPr>
                <w:sz w:val="20"/>
                <w:szCs w:val="20"/>
              </w:rPr>
              <w:t>11.28</w:t>
            </w:r>
          </w:p>
        </w:tc>
        <w:tc>
          <w:tcPr>
            <w:tcW w:w="350" w:type="pct"/>
            <w:tcBorders>
              <w:top w:val="single" w:sz="6" w:space="0" w:color="000000"/>
              <w:left w:val="single" w:sz="6" w:space="0" w:color="000000"/>
            </w:tcBorders>
            <w:shd w:val="clear" w:color="auto" w:fill="FFFFFF"/>
            <w:vAlign w:val="bottom"/>
            <w:hideMark/>
          </w:tcPr>
          <w:p w14:paraId="0D3E9269" w14:textId="77777777" w:rsidR="00000000" w:rsidRDefault="0015578C">
            <w:pPr>
              <w:pStyle w:val="a3"/>
              <w:spacing w:before="0" w:beforeAutospacing="0" w:after="0" w:afterAutospacing="0"/>
              <w:jc w:val="right"/>
              <w:rPr>
                <w:sz w:val="20"/>
                <w:szCs w:val="20"/>
              </w:rPr>
            </w:pPr>
            <w:r>
              <w:rPr>
                <w:sz w:val="20"/>
                <w:szCs w:val="20"/>
              </w:rPr>
              <w:t xml:space="preserve">                  2,102 </w:t>
            </w:r>
          </w:p>
        </w:tc>
        <w:tc>
          <w:tcPr>
            <w:tcW w:w="400" w:type="pct"/>
            <w:tcBorders>
              <w:top w:val="single" w:sz="6" w:space="0" w:color="000000"/>
              <w:left w:val="single" w:sz="6" w:space="0" w:color="000000"/>
            </w:tcBorders>
            <w:shd w:val="clear" w:color="auto" w:fill="FFFFFF"/>
            <w:vAlign w:val="bottom"/>
            <w:hideMark/>
          </w:tcPr>
          <w:p w14:paraId="34837C2B" w14:textId="77777777" w:rsidR="00000000" w:rsidRDefault="0015578C">
            <w:pPr>
              <w:pStyle w:val="a3"/>
              <w:spacing w:before="0" w:beforeAutospacing="0" w:after="0" w:afterAutospacing="0"/>
              <w:jc w:val="right"/>
              <w:rPr>
                <w:sz w:val="20"/>
                <w:szCs w:val="20"/>
              </w:rPr>
            </w:pPr>
            <w:r>
              <w:rPr>
                <w:sz w:val="20"/>
                <w:szCs w:val="20"/>
              </w:rPr>
              <w:t>1.26</w:t>
            </w:r>
          </w:p>
        </w:tc>
        <w:tc>
          <w:tcPr>
            <w:tcW w:w="400" w:type="pct"/>
            <w:tcBorders>
              <w:top w:val="single" w:sz="6" w:space="0" w:color="000000"/>
              <w:left w:val="single" w:sz="6" w:space="0" w:color="000000"/>
            </w:tcBorders>
            <w:shd w:val="clear" w:color="auto" w:fill="FFFFFF"/>
            <w:vAlign w:val="bottom"/>
            <w:hideMark/>
          </w:tcPr>
          <w:p w14:paraId="333F560A" w14:textId="77777777" w:rsidR="00000000" w:rsidRDefault="0015578C">
            <w:pPr>
              <w:pStyle w:val="a3"/>
              <w:spacing w:before="0" w:beforeAutospacing="0" w:after="0" w:afterAutospacing="0"/>
              <w:jc w:val="right"/>
              <w:rPr>
                <w:sz w:val="20"/>
                <w:szCs w:val="20"/>
              </w:rPr>
            </w:pPr>
            <w:r>
              <w:rPr>
                <w:sz w:val="20"/>
                <w:szCs w:val="20"/>
              </w:rPr>
              <w:t xml:space="preserve">              161,000 </w:t>
            </w:r>
          </w:p>
        </w:tc>
      </w:tr>
    </w:tbl>
    <w:p w14:paraId="35F27A9A"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6"/>
        <w:gridCol w:w="1395"/>
        <w:gridCol w:w="495"/>
        <w:gridCol w:w="1345"/>
        <w:gridCol w:w="495"/>
        <w:gridCol w:w="1395"/>
        <w:gridCol w:w="395"/>
        <w:gridCol w:w="1425"/>
      </w:tblGrid>
      <w:tr w:rsidR="00000000" w14:paraId="188F6095" w14:textId="77777777">
        <w:trPr>
          <w:trHeight w:val="225"/>
          <w:tblCellSpacing w:w="15" w:type="dxa"/>
        </w:trPr>
        <w:tc>
          <w:tcPr>
            <w:tcW w:w="1200" w:type="pct"/>
            <w:tcBorders>
              <w:top w:val="single" w:sz="6" w:space="0" w:color="000000"/>
              <w:left w:val="single" w:sz="6" w:space="0" w:color="000000"/>
            </w:tcBorders>
            <w:vAlign w:val="bottom"/>
            <w:hideMark/>
          </w:tcPr>
          <w:p w14:paraId="32562D0E" w14:textId="77777777" w:rsidR="00000000" w:rsidRDefault="0015578C">
            <w:pPr>
              <w:pStyle w:val="a3"/>
              <w:spacing w:before="0" w:beforeAutospacing="0" w:after="0" w:afterAutospacing="0"/>
              <w:rPr>
                <w:sz w:val="20"/>
                <w:szCs w:val="20"/>
              </w:rPr>
            </w:pPr>
            <w:r>
              <w:rPr>
                <w:rStyle w:val="a4"/>
                <w:sz w:val="20"/>
                <w:szCs w:val="20"/>
              </w:rPr>
              <w:t>Total</w:t>
            </w:r>
          </w:p>
        </w:tc>
        <w:tc>
          <w:tcPr>
            <w:tcW w:w="400" w:type="pct"/>
            <w:tcBorders>
              <w:top w:val="single" w:sz="6" w:space="0" w:color="000000"/>
              <w:left w:val="single" w:sz="6" w:space="0" w:color="000000"/>
            </w:tcBorders>
            <w:vAlign w:val="center"/>
            <w:hideMark/>
          </w:tcPr>
          <w:p w14:paraId="2F0B3406" w14:textId="77777777" w:rsidR="00000000" w:rsidRDefault="0015578C">
            <w:pPr>
              <w:pStyle w:val="a3"/>
              <w:spacing w:before="0" w:beforeAutospacing="0" w:after="0" w:afterAutospacing="0"/>
              <w:jc w:val="center"/>
              <w:rPr>
                <w:sz w:val="20"/>
                <w:szCs w:val="20"/>
              </w:rPr>
            </w:pPr>
            <w:r>
              <w:rPr>
                <w:sz w:val="20"/>
                <w:szCs w:val="20"/>
              </w:rPr>
              <w:t> </w:t>
            </w:r>
          </w:p>
        </w:tc>
        <w:tc>
          <w:tcPr>
            <w:tcW w:w="350" w:type="pct"/>
            <w:tcBorders>
              <w:top w:val="single" w:sz="6" w:space="0" w:color="000000"/>
              <w:left w:val="single" w:sz="6" w:space="0" w:color="000000"/>
            </w:tcBorders>
            <w:vAlign w:val="center"/>
            <w:hideMark/>
          </w:tcPr>
          <w:p w14:paraId="5BD79E06"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79D62FD5" w14:textId="77777777" w:rsidR="00000000" w:rsidRDefault="0015578C">
            <w:pPr>
              <w:pStyle w:val="a3"/>
              <w:spacing w:before="0" w:beforeAutospacing="0" w:after="0" w:afterAutospacing="0"/>
              <w:jc w:val="center"/>
              <w:rPr>
                <w:sz w:val="20"/>
                <w:szCs w:val="20"/>
              </w:rPr>
            </w:pPr>
            <w:r>
              <w:rPr>
                <w:sz w:val="20"/>
                <w:szCs w:val="20"/>
              </w:rPr>
              <w:t> </w:t>
            </w:r>
          </w:p>
        </w:tc>
        <w:tc>
          <w:tcPr>
            <w:tcW w:w="450" w:type="pct"/>
            <w:tcBorders>
              <w:top w:val="single" w:sz="6" w:space="0" w:color="000000"/>
              <w:left w:val="single" w:sz="6" w:space="0" w:color="000000"/>
            </w:tcBorders>
            <w:vAlign w:val="center"/>
            <w:hideMark/>
          </w:tcPr>
          <w:p w14:paraId="28F5EE8C" w14:textId="77777777" w:rsidR="00000000" w:rsidRDefault="0015578C">
            <w:pPr>
              <w:pStyle w:val="a3"/>
              <w:spacing w:before="0" w:beforeAutospacing="0" w:after="0" w:afterAutospacing="0"/>
              <w:jc w:val="center"/>
              <w:rPr>
                <w:sz w:val="20"/>
                <w:szCs w:val="20"/>
              </w:rPr>
            </w:pPr>
            <w:r>
              <w:rPr>
                <w:sz w:val="20"/>
                <w:szCs w:val="20"/>
              </w:rPr>
              <w:t> </w:t>
            </w:r>
          </w:p>
        </w:tc>
        <w:tc>
          <w:tcPr>
            <w:tcW w:w="350" w:type="pct"/>
            <w:tcBorders>
              <w:top w:val="single" w:sz="6" w:space="0" w:color="000000"/>
              <w:left w:val="single" w:sz="6" w:space="0" w:color="000000"/>
            </w:tcBorders>
            <w:vAlign w:val="center"/>
            <w:hideMark/>
          </w:tcPr>
          <w:p w14:paraId="7DCD478C"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473ECC21" w14:textId="77777777" w:rsidR="00000000" w:rsidRDefault="0015578C">
            <w:pPr>
              <w:pStyle w:val="a3"/>
              <w:spacing w:before="0" w:beforeAutospacing="0" w:after="0" w:afterAutospacing="0"/>
              <w:jc w:val="center"/>
              <w:rPr>
                <w:sz w:val="20"/>
                <w:szCs w:val="20"/>
              </w:rPr>
            </w:pPr>
            <w:r>
              <w:rPr>
                <w:sz w:val="20"/>
                <w:szCs w:val="20"/>
              </w:rPr>
              <w:t> </w:t>
            </w:r>
          </w:p>
        </w:tc>
        <w:tc>
          <w:tcPr>
            <w:tcW w:w="400" w:type="pct"/>
            <w:tcBorders>
              <w:top w:val="single" w:sz="6" w:space="0" w:color="000000"/>
              <w:left w:val="single" w:sz="6" w:space="0" w:color="000000"/>
            </w:tcBorders>
            <w:vAlign w:val="center"/>
            <w:hideMark/>
          </w:tcPr>
          <w:p w14:paraId="4F29FB02" w14:textId="77777777" w:rsidR="00000000" w:rsidRDefault="0015578C">
            <w:pPr>
              <w:pStyle w:val="a3"/>
              <w:spacing w:before="0" w:beforeAutospacing="0" w:after="0" w:afterAutospacing="0"/>
              <w:jc w:val="center"/>
              <w:rPr>
                <w:sz w:val="20"/>
                <w:szCs w:val="20"/>
              </w:rPr>
            </w:pPr>
            <w:r>
              <w:rPr>
                <w:sz w:val="20"/>
                <w:szCs w:val="20"/>
              </w:rPr>
              <w:t> </w:t>
            </w:r>
          </w:p>
        </w:tc>
      </w:tr>
      <w:tr w:rsidR="00000000" w14:paraId="3E050F85"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4F78FA56" w14:textId="77777777" w:rsidR="00000000" w:rsidRDefault="0015578C">
            <w:pPr>
              <w:pStyle w:val="a3"/>
              <w:spacing w:before="0" w:beforeAutospacing="0" w:after="0" w:afterAutospacing="0"/>
              <w:rPr>
                <w:sz w:val="20"/>
                <w:szCs w:val="20"/>
              </w:rPr>
            </w:pPr>
            <w:r>
              <w:rPr>
                <w:sz w:val="20"/>
                <w:szCs w:val="20"/>
              </w:rPr>
              <w:t>Measured Mineral Resources</w:t>
            </w:r>
          </w:p>
        </w:tc>
        <w:tc>
          <w:tcPr>
            <w:tcW w:w="400" w:type="pct"/>
            <w:tcBorders>
              <w:top w:val="single" w:sz="6" w:space="0" w:color="000000"/>
              <w:left w:val="single" w:sz="6" w:space="0" w:color="000000"/>
            </w:tcBorders>
            <w:shd w:val="clear" w:color="auto" w:fill="CCEEFF"/>
            <w:vAlign w:val="bottom"/>
            <w:hideMark/>
          </w:tcPr>
          <w:p w14:paraId="6F2896A5" w14:textId="77777777" w:rsidR="00000000" w:rsidRDefault="0015578C">
            <w:pPr>
              <w:pStyle w:val="a3"/>
              <w:spacing w:before="0" w:beforeAutospacing="0" w:after="0" w:afterAutospacing="0"/>
              <w:jc w:val="right"/>
              <w:rPr>
                <w:sz w:val="20"/>
                <w:szCs w:val="20"/>
              </w:rPr>
            </w:pPr>
            <w:r>
              <w:rPr>
                <w:sz w:val="20"/>
                <w:szCs w:val="20"/>
              </w:rPr>
              <w:t xml:space="preserve">                     315 </w:t>
            </w:r>
          </w:p>
        </w:tc>
        <w:tc>
          <w:tcPr>
            <w:tcW w:w="350" w:type="pct"/>
            <w:tcBorders>
              <w:top w:val="single" w:sz="6" w:space="0" w:color="000000"/>
              <w:left w:val="single" w:sz="6" w:space="0" w:color="000000"/>
            </w:tcBorders>
            <w:shd w:val="clear" w:color="auto" w:fill="CCEEFF"/>
            <w:vAlign w:val="bottom"/>
            <w:hideMark/>
          </w:tcPr>
          <w:p w14:paraId="03283D3E" w14:textId="77777777" w:rsidR="00000000" w:rsidRDefault="0015578C">
            <w:pPr>
              <w:pStyle w:val="a3"/>
              <w:spacing w:before="0" w:beforeAutospacing="0" w:after="0" w:afterAutospacing="0"/>
              <w:jc w:val="right"/>
              <w:rPr>
                <w:sz w:val="20"/>
                <w:szCs w:val="20"/>
              </w:rPr>
            </w:pPr>
            <w:r>
              <w:rPr>
                <w:sz w:val="20"/>
                <w:szCs w:val="20"/>
              </w:rPr>
              <w:t>11.32</w:t>
            </w:r>
          </w:p>
        </w:tc>
        <w:tc>
          <w:tcPr>
            <w:tcW w:w="400" w:type="pct"/>
            <w:tcBorders>
              <w:top w:val="single" w:sz="6" w:space="0" w:color="000000"/>
              <w:left w:val="single" w:sz="6" w:space="0" w:color="000000"/>
            </w:tcBorders>
            <w:shd w:val="clear" w:color="auto" w:fill="CCEEFF"/>
            <w:vAlign w:val="bottom"/>
            <w:hideMark/>
          </w:tcPr>
          <w:p w14:paraId="39C22C65" w14:textId="77777777" w:rsidR="00000000" w:rsidRDefault="0015578C">
            <w:pPr>
              <w:pStyle w:val="a3"/>
              <w:spacing w:before="0" w:beforeAutospacing="0" w:after="0" w:afterAutospacing="0"/>
              <w:jc w:val="right"/>
              <w:rPr>
                <w:sz w:val="20"/>
                <w:szCs w:val="20"/>
              </w:rPr>
            </w:pPr>
            <w:r>
              <w:rPr>
                <w:sz w:val="20"/>
                <w:szCs w:val="20"/>
              </w:rPr>
              <w:t xml:space="preserve">               78,553 </w:t>
            </w:r>
          </w:p>
        </w:tc>
        <w:tc>
          <w:tcPr>
            <w:tcW w:w="450" w:type="pct"/>
            <w:tcBorders>
              <w:top w:val="single" w:sz="6" w:space="0" w:color="000000"/>
              <w:left w:val="single" w:sz="6" w:space="0" w:color="000000"/>
            </w:tcBorders>
            <w:shd w:val="clear" w:color="auto" w:fill="CCEEFF"/>
            <w:vAlign w:val="bottom"/>
            <w:hideMark/>
          </w:tcPr>
          <w:p w14:paraId="692DF35C" w14:textId="77777777" w:rsidR="00000000" w:rsidRDefault="0015578C">
            <w:pPr>
              <w:pStyle w:val="a3"/>
              <w:spacing w:before="0" w:beforeAutospacing="0" w:after="0" w:afterAutospacing="0"/>
              <w:jc w:val="right"/>
              <w:rPr>
                <w:sz w:val="20"/>
                <w:szCs w:val="20"/>
              </w:rPr>
            </w:pPr>
            <w:r>
              <w:rPr>
                <w:sz w:val="20"/>
                <w:szCs w:val="20"/>
              </w:rPr>
              <w:t>15.42</w:t>
            </w:r>
          </w:p>
        </w:tc>
        <w:tc>
          <w:tcPr>
            <w:tcW w:w="350" w:type="pct"/>
            <w:tcBorders>
              <w:top w:val="single" w:sz="6" w:space="0" w:color="000000"/>
              <w:left w:val="single" w:sz="6" w:space="0" w:color="000000"/>
            </w:tcBorders>
            <w:shd w:val="clear" w:color="auto" w:fill="CCEEFF"/>
            <w:vAlign w:val="bottom"/>
            <w:hideMark/>
          </w:tcPr>
          <w:p w14:paraId="22DE0B02" w14:textId="77777777" w:rsidR="00000000" w:rsidRDefault="0015578C">
            <w:pPr>
              <w:pStyle w:val="a3"/>
              <w:spacing w:before="0" w:beforeAutospacing="0" w:after="0" w:afterAutospacing="0"/>
              <w:jc w:val="right"/>
              <w:rPr>
                <w:sz w:val="20"/>
                <w:szCs w:val="20"/>
              </w:rPr>
            </w:pPr>
            <w:r>
              <w:rPr>
                <w:sz w:val="20"/>
                <w:szCs w:val="20"/>
              </w:rPr>
              <w:t xml:space="preserve">                     156 </w:t>
            </w:r>
          </w:p>
        </w:tc>
        <w:tc>
          <w:tcPr>
            <w:tcW w:w="400" w:type="pct"/>
            <w:tcBorders>
              <w:top w:val="single" w:sz="6" w:space="0" w:color="000000"/>
              <w:left w:val="single" w:sz="6" w:space="0" w:color="000000"/>
            </w:tcBorders>
            <w:shd w:val="clear" w:color="auto" w:fill="CCEEFF"/>
            <w:vAlign w:val="bottom"/>
            <w:hideMark/>
          </w:tcPr>
          <w:p w14:paraId="3B59057F" w14:textId="77777777" w:rsidR="00000000" w:rsidRDefault="0015578C">
            <w:pPr>
              <w:pStyle w:val="a3"/>
              <w:spacing w:before="0" w:beforeAutospacing="0" w:after="0" w:afterAutospacing="0"/>
              <w:jc w:val="right"/>
              <w:rPr>
                <w:sz w:val="20"/>
                <w:szCs w:val="20"/>
              </w:rPr>
            </w:pPr>
            <w:r>
              <w:rPr>
                <w:sz w:val="20"/>
                <w:szCs w:val="20"/>
              </w:rPr>
              <w:t>1.39</w:t>
            </w:r>
          </w:p>
        </w:tc>
        <w:tc>
          <w:tcPr>
            <w:tcW w:w="400" w:type="pct"/>
            <w:tcBorders>
              <w:top w:val="single" w:sz="6" w:space="0" w:color="000000"/>
              <w:left w:val="single" w:sz="6" w:space="0" w:color="000000"/>
            </w:tcBorders>
            <w:shd w:val="clear" w:color="auto" w:fill="CCEEFF"/>
            <w:vAlign w:val="bottom"/>
            <w:hideMark/>
          </w:tcPr>
          <w:p w14:paraId="6134B4B3" w14:textId="77777777" w:rsidR="00000000" w:rsidRDefault="0015578C">
            <w:pPr>
              <w:pStyle w:val="a3"/>
              <w:spacing w:before="0" w:beforeAutospacing="0" w:after="0" w:afterAutospacing="0"/>
              <w:jc w:val="right"/>
              <w:rPr>
                <w:sz w:val="20"/>
                <w:szCs w:val="20"/>
              </w:rPr>
            </w:pPr>
            <w:r>
              <w:rPr>
                <w:sz w:val="20"/>
                <w:szCs w:val="20"/>
              </w:rPr>
              <w:t xml:space="preserve">                  9,646 </w:t>
            </w:r>
          </w:p>
        </w:tc>
      </w:tr>
      <w:tr w:rsidR="00000000" w14:paraId="51FD8654"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633128A5" w14:textId="77777777" w:rsidR="00000000" w:rsidRDefault="0015578C">
            <w:pPr>
              <w:pStyle w:val="a3"/>
              <w:spacing w:before="0" w:beforeAutospacing="0" w:after="0" w:afterAutospacing="0"/>
              <w:rPr>
                <w:sz w:val="20"/>
                <w:szCs w:val="20"/>
              </w:rPr>
            </w:pPr>
            <w:r>
              <w:rPr>
                <w:sz w:val="20"/>
                <w:szCs w:val="20"/>
              </w:rPr>
              <w:t>Indicated Mineral Resources</w:t>
            </w:r>
          </w:p>
        </w:tc>
        <w:tc>
          <w:tcPr>
            <w:tcW w:w="400" w:type="pct"/>
            <w:tcBorders>
              <w:top w:val="single" w:sz="6" w:space="0" w:color="000000"/>
              <w:left w:val="single" w:sz="6" w:space="0" w:color="000000"/>
            </w:tcBorders>
            <w:shd w:val="clear" w:color="auto" w:fill="FFFFFF"/>
            <w:vAlign w:val="bottom"/>
            <w:hideMark/>
          </w:tcPr>
          <w:p w14:paraId="6FF13F25" w14:textId="77777777" w:rsidR="00000000" w:rsidRDefault="0015578C">
            <w:pPr>
              <w:pStyle w:val="a3"/>
              <w:spacing w:before="0" w:beforeAutospacing="0" w:after="0" w:afterAutospacing="0"/>
              <w:jc w:val="right"/>
              <w:rPr>
                <w:sz w:val="20"/>
                <w:szCs w:val="20"/>
              </w:rPr>
            </w:pPr>
            <w:r>
              <w:rPr>
                <w:sz w:val="20"/>
                <w:szCs w:val="20"/>
              </w:rPr>
              <w:t xml:space="preserve">                  9,438 </w:t>
            </w:r>
          </w:p>
        </w:tc>
        <w:tc>
          <w:tcPr>
            <w:tcW w:w="350" w:type="pct"/>
            <w:tcBorders>
              <w:top w:val="single" w:sz="6" w:space="0" w:color="000000"/>
              <w:left w:val="single" w:sz="6" w:space="0" w:color="000000"/>
            </w:tcBorders>
            <w:shd w:val="clear" w:color="auto" w:fill="FFFFFF"/>
            <w:vAlign w:val="bottom"/>
            <w:hideMark/>
          </w:tcPr>
          <w:p w14:paraId="15105C4A" w14:textId="77777777" w:rsidR="00000000" w:rsidRDefault="0015578C">
            <w:pPr>
              <w:pStyle w:val="a3"/>
              <w:spacing w:before="0" w:beforeAutospacing="0" w:after="0" w:afterAutospacing="0"/>
              <w:jc w:val="right"/>
              <w:rPr>
                <w:sz w:val="20"/>
                <w:szCs w:val="20"/>
              </w:rPr>
            </w:pPr>
            <w:r>
              <w:rPr>
                <w:sz w:val="20"/>
                <w:szCs w:val="20"/>
              </w:rPr>
              <w:t>8.22</w:t>
            </w:r>
          </w:p>
        </w:tc>
        <w:tc>
          <w:tcPr>
            <w:tcW w:w="400" w:type="pct"/>
            <w:tcBorders>
              <w:top w:val="single" w:sz="6" w:space="0" w:color="000000"/>
              <w:left w:val="single" w:sz="6" w:space="0" w:color="000000"/>
            </w:tcBorders>
            <w:shd w:val="clear" w:color="auto" w:fill="FFFFFF"/>
            <w:vAlign w:val="bottom"/>
            <w:hideMark/>
          </w:tcPr>
          <w:p w14:paraId="2FB14173" w14:textId="77777777" w:rsidR="00000000" w:rsidRDefault="0015578C">
            <w:pPr>
              <w:pStyle w:val="a3"/>
              <w:spacing w:before="0" w:beforeAutospacing="0" w:after="0" w:afterAutospacing="0"/>
              <w:jc w:val="right"/>
              <w:rPr>
                <w:sz w:val="20"/>
                <w:szCs w:val="20"/>
              </w:rPr>
            </w:pPr>
            <w:r>
              <w:rPr>
                <w:sz w:val="20"/>
                <w:szCs w:val="20"/>
              </w:rPr>
              <w:t xml:space="preserve">         1,710,415 </w:t>
            </w:r>
          </w:p>
        </w:tc>
        <w:tc>
          <w:tcPr>
            <w:tcW w:w="450" w:type="pct"/>
            <w:tcBorders>
              <w:top w:val="single" w:sz="6" w:space="0" w:color="000000"/>
              <w:left w:val="single" w:sz="6" w:space="0" w:color="000000"/>
            </w:tcBorders>
            <w:shd w:val="clear" w:color="auto" w:fill="FFFFFF"/>
            <w:vAlign w:val="bottom"/>
            <w:hideMark/>
          </w:tcPr>
          <w:p w14:paraId="3E28A5F4" w14:textId="77777777" w:rsidR="00000000" w:rsidRDefault="0015578C">
            <w:pPr>
              <w:pStyle w:val="a3"/>
              <w:spacing w:before="0" w:beforeAutospacing="0" w:after="0" w:afterAutospacing="0"/>
              <w:jc w:val="right"/>
              <w:rPr>
                <w:sz w:val="20"/>
                <w:szCs w:val="20"/>
              </w:rPr>
            </w:pPr>
            <w:r>
              <w:rPr>
                <w:sz w:val="20"/>
                <w:szCs w:val="20"/>
              </w:rPr>
              <w:t>47.72</w:t>
            </w:r>
          </w:p>
        </w:tc>
        <w:tc>
          <w:tcPr>
            <w:tcW w:w="350" w:type="pct"/>
            <w:tcBorders>
              <w:top w:val="single" w:sz="6" w:space="0" w:color="000000"/>
              <w:left w:val="single" w:sz="6" w:space="0" w:color="000000"/>
            </w:tcBorders>
            <w:shd w:val="clear" w:color="auto" w:fill="FFFFFF"/>
            <w:vAlign w:val="bottom"/>
            <w:hideMark/>
          </w:tcPr>
          <w:p w14:paraId="38735EED" w14:textId="77777777" w:rsidR="00000000" w:rsidRDefault="0015578C">
            <w:pPr>
              <w:pStyle w:val="a3"/>
              <w:spacing w:before="0" w:beforeAutospacing="0" w:after="0" w:afterAutospacing="0"/>
              <w:jc w:val="right"/>
              <w:rPr>
                <w:sz w:val="20"/>
                <w:szCs w:val="20"/>
              </w:rPr>
            </w:pPr>
            <w:r>
              <w:rPr>
                <w:sz w:val="20"/>
                <w:szCs w:val="20"/>
              </w:rPr>
              <w:t xml:space="preserve">               14,480 </w:t>
            </w:r>
          </w:p>
        </w:tc>
        <w:tc>
          <w:tcPr>
            <w:tcW w:w="400" w:type="pct"/>
            <w:tcBorders>
              <w:top w:val="single" w:sz="6" w:space="0" w:color="000000"/>
              <w:left w:val="single" w:sz="6" w:space="0" w:color="000000"/>
            </w:tcBorders>
            <w:shd w:val="clear" w:color="auto" w:fill="FFFFFF"/>
            <w:vAlign w:val="bottom"/>
            <w:hideMark/>
          </w:tcPr>
          <w:p w14:paraId="3D0D8968" w14:textId="77777777" w:rsidR="00000000" w:rsidRDefault="0015578C">
            <w:pPr>
              <w:pStyle w:val="a3"/>
              <w:spacing w:before="0" w:beforeAutospacing="0" w:after="0" w:afterAutospacing="0"/>
              <w:jc w:val="right"/>
              <w:rPr>
                <w:sz w:val="20"/>
                <w:szCs w:val="20"/>
              </w:rPr>
            </w:pPr>
            <w:r>
              <w:rPr>
                <w:sz w:val="20"/>
                <w:szCs w:val="20"/>
              </w:rPr>
              <w:t>2.59</w:t>
            </w:r>
          </w:p>
        </w:tc>
        <w:tc>
          <w:tcPr>
            <w:tcW w:w="400" w:type="pct"/>
            <w:tcBorders>
              <w:top w:val="single" w:sz="6" w:space="0" w:color="000000"/>
              <w:left w:val="single" w:sz="6" w:space="0" w:color="000000"/>
            </w:tcBorders>
            <w:shd w:val="clear" w:color="auto" w:fill="FFFFFF"/>
            <w:vAlign w:val="bottom"/>
            <w:hideMark/>
          </w:tcPr>
          <w:p w14:paraId="4B5D366B" w14:textId="77777777" w:rsidR="00000000" w:rsidRDefault="0015578C">
            <w:pPr>
              <w:pStyle w:val="a3"/>
              <w:spacing w:before="0" w:beforeAutospacing="0" w:after="0" w:afterAutospacing="0"/>
              <w:jc w:val="right"/>
              <w:rPr>
                <w:sz w:val="20"/>
                <w:szCs w:val="20"/>
              </w:rPr>
            </w:pPr>
            <w:r>
              <w:rPr>
                <w:sz w:val="20"/>
                <w:szCs w:val="20"/>
              </w:rPr>
              <w:t xml:space="preserve">              538,443 </w:t>
            </w:r>
          </w:p>
        </w:tc>
      </w:tr>
      <w:tr w:rsidR="00000000" w14:paraId="117A21A3" w14:textId="77777777">
        <w:trPr>
          <w:trHeight w:val="225"/>
          <w:tblCellSpacing w:w="15" w:type="dxa"/>
        </w:trPr>
        <w:tc>
          <w:tcPr>
            <w:tcW w:w="1200" w:type="pct"/>
            <w:tcBorders>
              <w:top w:val="single" w:sz="6" w:space="0" w:color="000000"/>
              <w:left w:val="single" w:sz="6" w:space="0" w:color="000000"/>
            </w:tcBorders>
            <w:shd w:val="clear" w:color="auto" w:fill="CCEEFF"/>
            <w:vAlign w:val="bottom"/>
            <w:hideMark/>
          </w:tcPr>
          <w:p w14:paraId="06172E18" w14:textId="77777777" w:rsidR="00000000" w:rsidRDefault="0015578C">
            <w:pPr>
              <w:pStyle w:val="a3"/>
              <w:spacing w:before="0" w:beforeAutospacing="0" w:after="0" w:afterAutospacing="0"/>
              <w:rPr>
                <w:sz w:val="20"/>
                <w:szCs w:val="20"/>
              </w:rPr>
            </w:pPr>
            <w:r>
              <w:rPr>
                <w:sz w:val="20"/>
                <w:szCs w:val="20"/>
              </w:rPr>
              <w:t>Measured+Indicated Resources</w:t>
            </w:r>
          </w:p>
        </w:tc>
        <w:tc>
          <w:tcPr>
            <w:tcW w:w="400" w:type="pct"/>
            <w:tcBorders>
              <w:top w:val="single" w:sz="6" w:space="0" w:color="000000"/>
              <w:left w:val="single" w:sz="6" w:space="0" w:color="000000"/>
            </w:tcBorders>
            <w:shd w:val="clear" w:color="auto" w:fill="CCEEFF"/>
            <w:vAlign w:val="bottom"/>
            <w:hideMark/>
          </w:tcPr>
          <w:p w14:paraId="424FFF92" w14:textId="77777777" w:rsidR="00000000" w:rsidRDefault="0015578C">
            <w:pPr>
              <w:pStyle w:val="a3"/>
              <w:spacing w:before="0" w:beforeAutospacing="0" w:after="0" w:afterAutospacing="0"/>
              <w:jc w:val="right"/>
              <w:rPr>
                <w:sz w:val="20"/>
                <w:szCs w:val="20"/>
              </w:rPr>
            </w:pPr>
            <w:r>
              <w:rPr>
                <w:sz w:val="20"/>
                <w:szCs w:val="20"/>
              </w:rPr>
              <w:t xml:space="preserve">                  9,752 </w:t>
            </w:r>
          </w:p>
        </w:tc>
        <w:tc>
          <w:tcPr>
            <w:tcW w:w="350" w:type="pct"/>
            <w:tcBorders>
              <w:top w:val="single" w:sz="6" w:space="0" w:color="000000"/>
              <w:left w:val="single" w:sz="6" w:space="0" w:color="000000"/>
            </w:tcBorders>
            <w:shd w:val="clear" w:color="auto" w:fill="CCEEFF"/>
            <w:vAlign w:val="bottom"/>
            <w:hideMark/>
          </w:tcPr>
          <w:p w14:paraId="120C6E5E" w14:textId="77777777" w:rsidR="00000000" w:rsidRDefault="0015578C">
            <w:pPr>
              <w:pStyle w:val="a3"/>
              <w:spacing w:before="0" w:beforeAutospacing="0" w:after="0" w:afterAutospacing="0"/>
              <w:jc w:val="right"/>
              <w:rPr>
                <w:sz w:val="20"/>
                <w:szCs w:val="20"/>
              </w:rPr>
            </w:pPr>
            <w:r>
              <w:rPr>
                <w:sz w:val="20"/>
                <w:szCs w:val="20"/>
              </w:rPr>
              <w:t>8.32</w:t>
            </w:r>
          </w:p>
        </w:tc>
        <w:tc>
          <w:tcPr>
            <w:tcW w:w="400" w:type="pct"/>
            <w:tcBorders>
              <w:top w:val="single" w:sz="6" w:space="0" w:color="000000"/>
              <w:left w:val="single" w:sz="6" w:space="0" w:color="000000"/>
            </w:tcBorders>
            <w:shd w:val="clear" w:color="auto" w:fill="CCEEFF"/>
            <w:vAlign w:val="bottom"/>
            <w:hideMark/>
          </w:tcPr>
          <w:p w14:paraId="01F2B5F6" w14:textId="77777777" w:rsidR="00000000" w:rsidRDefault="0015578C">
            <w:pPr>
              <w:pStyle w:val="a3"/>
              <w:spacing w:before="0" w:beforeAutospacing="0" w:after="0" w:afterAutospacing="0"/>
              <w:jc w:val="right"/>
              <w:rPr>
                <w:sz w:val="20"/>
                <w:szCs w:val="20"/>
              </w:rPr>
            </w:pPr>
            <w:r>
              <w:rPr>
                <w:sz w:val="20"/>
                <w:szCs w:val="20"/>
              </w:rPr>
              <w:t xml:space="preserve">         1,788,890 </w:t>
            </w:r>
          </w:p>
        </w:tc>
        <w:tc>
          <w:tcPr>
            <w:tcW w:w="450" w:type="pct"/>
            <w:tcBorders>
              <w:top w:val="single" w:sz="6" w:space="0" w:color="000000"/>
              <w:left w:val="single" w:sz="6" w:space="0" w:color="000000"/>
            </w:tcBorders>
            <w:shd w:val="clear" w:color="auto" w:fill="CCEEFF"/>
            <w:vAlign w:val="bottom"/>
            <w:hideMark/>
          </w:tcPr>
          <w:p w14:paraId="573B5F7B" w14:textId="77777777" w:rsidR="00000000" w:rsidRDefault="0015578C">
            <w:pPr>
              <w:pStyle w:val="a3"/>
              <w:spacing w:before="0" w:beforeAutospacing="0" w:after="0" w:afterAutospacing="0"/>
              <w:jc w:val="right"/>
              <w:rPr>
                <w:sz w:val="20"/>
                <w:szCs w:val="20"/>
              </w:rPr>
            </w:pPr>
            <w:r>
              <w:rPr>
                <w:sz w:val="20"/>
                <w:szCs w:val="20"/>
              </w:rPr>
              <w:t>46.68</w:t>
            </w:r>
          </w:p>
        </w:tc>
        <w:tc>
          <w:tcPr>
            <w:tcW w:w="350" w:type="pct"/>
            <w:tcBorders>
              <w:top w:val="single" w:sz="6" w:space="0" w:color="000000"/>
              <w:left w:val="single" w:sz="6" w:space="0" w:color="000000"/>
            </w:tcBorders>
            <w:shd w:val="clear" w:color="auto" w:fill="CCEEFF"/>
            <w:vAlign w:val="bottom"/>
            <w:hideMark/>
          </w:tcPr>
          <w:p w14:paraId="1BCAC59C" w14:textId="77777777" w:rsidR="00000000" w:rsidRDefault="0015578C">
            <w:pPr>
              <w:pStyle w:val="a3"/>
              <w:spacing w:before="0" w:beforeAutospacing="0" w:after="0" w:afterAutospacing="0"/>
              <w:jc w:val="right"/>
              <w:rPr>
                <w:sz w:val="20"/>
                <w:szCs w:val="20"/>
              </w:rPr>
            </w:pPr>
            <w:r>
              <w:rPr>
                <w:sz w:val="20"/>
                <w:szCs w:val="20"/>
              </w:rPr>
              <w:t xml:space="preserve">               14,636 </w:t>
            </w:r>
          </w:p>
        </w:tc>
        <w:tc>
          <w:tcPr>
            <w:tcW w:w="400" w:type="pct"/>
            <w:tcBorders>
              <w:top w:val="single" w:sz="6" w:space="0" w:color="000000"/>
              <w:left w:val="single" w:sz="6" w:space="0" w:color="000000"/>
            </w:tcBorders>
            <w:shd w:val="clear" w:color="auto" w:fill="CCEEFF"/>
            <w:vAlign w:val="bottom"/>
            <w:hideMark/>
          </w:tcPr>
          <w:p w14:paraId="4D0BA692" w14:textId="77777777" w:rsidR="00000000" w:rsidRDefault="0015578C">
            <w:pPr>
              <w:pStyle w:val="a3"/>
              <w:spacing w:before="0" w:beforeAutospacing="0" w:after="0" w:afterAutospacing="0"/>
              <w:jc w:val="right"/>
              <w:rPr>
                <w:sz w:val="20"/>
                <w:szCs w:val="20"/>
              </w:rPr>
            </w:pPr>
            <w:r>
              <w:rPr>
                <w:sz w:val="20"/>
                <w:szCs w:val="20"/>
              </w:rPr>
              <w:t>2.55</w:t>
            </w:r>
          </w:p>
        </w:tc>
        <w:tc>
          <w:tcPr>
            <w:tcW w:w="400" w:type="pct"/>
            <w:tcBorders>
              <w:top w:val="single" w:sz="6" w:space="0" w:color="000000"/>
              <w:left w:val="single" w:sz="6" w:space="0" w:color="000000"/>
            </w:tcBorders>
            <w:shd w:val="clear" w:color="auto" w:fill="CCEEFF"/>
            <w:vAlign w:val="bottom"/>
            <w:hideMark/>
          </w:tcPr>
          <w:p w14:paraId="53021205" w14:textId="77777777" w:rsidR="00000000" w:rsidRDefault="0015578C">
            <w:pPr>
              <w:pStyle w:val="a3"/>
              <w:spacing w:before="0" w:beforeAutospacing="0" w:after="0" w:afterAutospacing="0"/>
              <w:jc w:val="right"/>
              <w:rPr>
                <w:sz w:val="20"/>
                <w:szCs w:val="20"/>
              </w:rPr>
            </w:pPr>
            <w:r>
              <w:rPr>
                <w:sz w:val="20"/>
                <w:szCs w:val="20"/>
              </w:rPr>
              <w:t>      </w:t>
            </w:r>
            <w:r>
              <w:rPr>
                <w:sz w:val="20"/>
                <w:szCs w:val="20"/>
              </w:rPr>
              <w:t xml:space="preserve">        547,953 </w:t>
            </w:r>
          </w:p>
        </w:tc>
      </w:tr>
      <w:tr w:rsidR="00000000" w14:paraId="58A6798A" w14:textId="77777777">
        <w:trPr>
          <w:trHeight w:val="225"/>
          <w:tblCellSpacing w:w="15" w:type="dxa"/>
        </w:trPr>
        <w:tc>
          <w:tcPr>
            <w:tcW w:w="1200" w:type="pct"/>
            <w:tcBorders>
              <w:top w:val="single" w:sz="6" w:space="0" w:color="000000"/>
              <w:left w:val="single" w:sz="6" w:space="0" w:color="000000"/>
            </w:tcBorders>
            <w:shd w:val="clear" w:color="auto" w:fill="FFFFFF"/>
            <w:vAlign w:val="bottom"/>
            <w:hideMark/>
          </w:tcPr>
          <w:p w14:paraId="15691933" w14:textId="77777777" w:rsidR="00000000" w:rsidRDefault="0015578C">
            <w:pPr>
              <w:pStyle w:val="a3"/>
              <w:spacing w:before="0" w:beforeAutospacing="0" w:after="0" w:afterAutospacing="0"/>
              <w:rPr>
                <w:sz w:val="20"/>
                <w:szCs w:val="20"/>
              </w:rPr>
            </w:pPr>
            <w:r>
              <w:rPr>
                <w:sz w:val="20"/>
                <w:szCs w:val="20"/>
              </w:rPr>
              <w:t>Inferred Mineral Resources.</w:t>
            </w:r>
          </w:p>
        </w:tc>
        <w:tc>
          <w:tcPr>
            <w:tcW w:w="400" w:type="pct"/>
            <w:tcBorders>
              <w:top w:val="single" w:sz="6" w:space="0" w:color="000000"/>
              <w:left w:val="single" w:sz="6" w:space="0" w:color="000000"/>
            </w:tcBorders>
            <w:shd w:val="clear" w:color="auto" w:fill="FFFFFF"/>
            <w:vAlign w:val="bottom"/>
            <w:hideMark/>
          </w:tcPr>
          <w:p w14:paraId="7BF868BB" w14:textId="77777777" w:rsidR="00000000" w:rsidRDefault="0015578C">
            <w:pPr>
              <w:pStyle w:val="a3"/>
              <w:spacing w:before="0" w:beforeAutospacing="0" w:after="0" w:afterAutospacing="0"/>
              <w:jc w:val="right"/>
              <w:rPr>
                <w:sz w:val="20"/>
                <w:szCs w:val="20"/>
              </w:rPr>
            </w:pPr>
            <w:r>
              <w:rPr>
                <w:sz w:val="20"/>
                <w:szCs w:val="20"/>
              </w:rPr>
              <w:t xml:space="preserve">                  7,195 </w:t>
            </w:r>
          </w:p>
        </w:tc>
        <w:tc>
          <w:tcPr>
            <w:tcW w:w="350" w:type="pct"/>
            <w:tcBorders>
              <w:top w:val="single" w:sz="6" w:space="0" w:color="000000"/>
              <w:left w:val="single" w:sz="6" w:space="0" w:color="000000"/>
            </w:tcBorders>
            <w:shd w:val="clear" w:color="auto" w:fill="FFFFFF"/>
            <w:vAlign w:val="bottom"/>
            <w:hideMark/>
          </w:tcPr>
          <w:p w14:paraId="03D6B869" w14:textId="77777777" w:rsidR="00000000" w:rsidRDefault="0015578C">
            <w:pPr>
              <w:pStyle w:val="a3"/>
              <w:spacing w:before="0" w:beforeAutospacing="0" w:after="0" w:afterAutospacing="0"/>
              <w:jc w:val="right"/>
              <w:rPr>
                <w:sz w:val="20"/>
                <w:szCs w:val="20"/>
              </w:rPr>
            </w:pPr>
            <w:r>
              <w:rPr>
                <w:sz w:val="20"/>
                <w:szCs w:val="20"/>
              </w:rPr>
              <w:t>9.44</w:t>
            </w:r>
          </w:p>
        </w:tc>
        <w:tc>
          <w:tcPr>
            <w:tcW w:w="400" w:type="pct"/>
            <w:tcBorders>
              <w:top w:val="single" w:sz="6" w:space="0" w:color="000000"/>
              <w:left w:val="single" w:sz="6" w:space="0" w:color="000000"/>
            </w:tcBorders>
            <w:shd w:val="clear" w:color="auto" w:fill="FFFFFF"/>
            <w:vAlign w:val="bottom"/>
            <w:hideMark/>
          </w:tcPr>
          <w:p w14:paraId="5F6D4BF7" w14:textId="77777777" w:rsidR="00000000" w:rsidRDefault="0015578C">
            <w:pPr>
              <w:pStyle w:val="a3"/>
              <w:spacing w:before="0" w:beforeAutospacing="0" w:after="0" w:afterAutospacing="0"/>
              <w:jc w:val="right"/>
              <w:rPr>
                <w:sz w:val="20"/>
                <w:szCs w:val="20"/>
              </w:rPr>
            </w:pPr>
            <w:r>
              <w:rPr>
                <w:sz w:val="20"/>
                <w:szCs w:val="20"/>
              </w:rPr>
              <w:t xml:space="preserve">         1,497,216 </w:t>
            </w:r>
          </w:p>
        </w:tc>
        <w:tc>
          <w:tcPr>
            <w:tcW w:w="450" w:type="pct"/>
            <w:tcBorders>
              <w:top w:val="single" w:sz="6" w:space="0" w:color="000000"/>
              <w:left w:val="single" w:sz="6" w:space="0" w:color="000000"/>
            </w:tcBorders>
            <w:shd w:val="clear" w:color="auto" w:fill="FFFFFF"/>
            <w:vAlign w:val="bottom"/>
            <w:hideMark/>
          </w:tcPr>
          <w:p w14:paraId="7F0828EE" w14:textId="77777777" w:rsidR="00000000" w:rsidRDefault="0015578C">
            <w:pPr>
              <w:pStyle w:val="a3"/>
              <w:spacing w:before="0" w:beforeAutospacing="0" w:after="0" w:afterAutospacing="0"/>
              <w:jc w:val="right"/>
              <w:rPr>
                <w:sz w:val="20"/>
                <w:szCs w:val="20"/>
              </w:rPr>
            </w:pPr>
            <w:r>
              <w:rPr>
                <w:sz w:val="20"/>
                <w:szCs w:val="20"/>
              </w:rPr>
              <w:t>16.65</w:t>
            </w:r>
          </w:p>
        </w:tc>
        <w:tc>
          <w:tcPr>
            <w:tcW w:w="350" w:type="pct"/>
            <w:tcBorders>
              <w:top w:val="single" w:sz="6" w:space="0" w:color="000000"/>
              <w:left w:val="single" w:sz="6" w:space="0" w:color="000000"/>
            </w:tcBorders>
            <w:shd w:val="clear" w:color="auto" w:fill="FFFFFF"/>
            <w:vAlign w:val="bottom"/>
            <w:hideMark/>
          </w:tcPr>
          <w:p w14:paraId="7717295E" w14:textId="77777777" w:rsidR="00000000" w:rsidRDefault="0015578C">
            <w:pPr>
              <w:pStyle w:val="a3"/>
              <w:spacing w:before="0" w:beforeAutospacing="0" w:after="0" w:afterAutospacing="0"/>
              <w:jc w:val="right"/>
              <w:rPr>
                <w:sz w:val="20"/>
                <w:szCs w:val="20"/>
              </w:rPr>
            </w:pPr>
            <w:r>
              <w:rPr>
                <w:sz w:val="20"/>
                <w:szCs w:val="20"/>
              </w:rPr>
              <w:t xml:space="preserve">                  3,853 </w:t>
            </w:r>
          </w:p>
        </w:tc>
        <w:tc>
          <w:tcPr>
            <w:tcW w:w="400" w:type="pct"/>
            <w:tcBorders>
              <w:top w:val="single" w:sz="6" w:space="0" w:color="000000"/>
              <w:left w:val="single" w:sz="6" w:space="0" w:color="000000"/>
            </w:tcBorders>
            <w:shd w:val="clear" w:color="auto" w:fill="FFFFFF"/>
            <w:vAlign w:val="bottom"/>
            <w:hideMark/>
          </w:tcPr>
          <w:p w14:paraId="4E9B058A" w14:textId="77777777" w:rsidR="00000000" w:rsidRDefault="0015578C">
            <w:pPr>
              <w:pStyle w:val="a3"/>
              <w:spacing w:before="0" w:beforeAutospacing="0" w:after="0" w:afterAutospacing="0"/>
              <w:jc w:val="right"/>
              <w:rPr>
                <w:sz w:val="20"/>
                <w:szCs w:val="20"/>
              </w:rPr>
            </w:pPr>
            <w:r>
              <w:rPr>
                <w:sz w:val="20"/>
                <w:szCs w:val="20"/>
              </w:rPr>
              <w:t>1.55</w:t>
            </w:r>
          </w:p>
        </w:tc>
        <w:tc>
          <w:tcPr>
            <w:tcW w:w="400" w:type="pct"/>
            <w:tcBorders>
              <w:top w:val="single" w:sz="6" w:space="0" w:color="000000"/>
              <w:left w:val="single" w:sz="6" w:space="0" w:color="000000"/>
            </w:tcBorders>
            <w:shd w:val="clear" w:color="auto" w:fill="FFFFFF"/>
            <w:vAlign w:val="bottom"/>
            <w:hideMark/>
          </w:tcPr>
          <w:p w14:paraId="2C306BDB" w14:textId="77777777" w:rsidR="00000000" w:rsidRDefault="0015578C">
            <w:pPr>
              <w:pStyle w:val="a3"/>
              <w:spacing w:before="0" w:beforeAutospacing="0" w:after="0" w:afterAutospacing="0"/>
              <w:jc w:val="right"/>
              <w:rPr>
                <w:sz w:val="20"/>
                <w:szCs w:val="20"/>
              </w:rPr>
            </w:pPr>
            <w:r>
              <w:rPr>
                <w:sz w:val="20"/>
                <w:szCs w:val="20"/>
              </w:rPr>
              <w:t xml:space="preserve">              245,275 </w:t>
            </w:r>
          </w:p>
        </w:tc>
      </w:tr>
    </w:tbl>
    <w:p w14:paraId="059179D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14:paraId="12A02F7D" w14:textId="77777777">
        <w:trPr>
          <w:trHeight w:val="225"/>
          <w:tblCellSpacing w:w="15" w:type="dxa"/>
        </w:trPr>
        <w:tc>
          <w:tcPr>
            <w:tcW w:w="200" w:type="pct"/>
            <w:vAlign w:val="center"/>
            <w:hideMark/>
          </w:tcPr>
          <w:p w14:paraId="38FB7390" w14:textId="77777777" w:rsidR="00000000" w:rsidRDefault="0015578C">
            <w:pPr>
              <w:pStyle w:val="a3"/>
              <w:spacing w:before="0" w:beforeAutospacing="0" w:after="0" w:afterAutospacing="0"/>
              <w:rPr>
                <w:sz w:val="20"/>
                <w:szCs w:val="20"/>
              </w:rPr>
            </w:pPr>
            <w:r>
              <w:rPr>
                <w:sz w:val="20"/>
                <w:szCs w:val="20"/>
              </w:rPr>
              <w:t> </w:t>
            </w:r>
          </w:p>
        </w:tc>
        <w:tc>
          <w:tcPr>
            <w:tcW w:w="200" w:type="pct"/>
            <w:hideMark/>
          </w:tcPr>
          <w:p w14:paraId="218D21F9" w14:textId="77777777" w:rsidR="00000000" w:rsidRDefault="0015578C">
            <w:pPr>
              <w:pStyle w:val="a3"/>
              <w:spacing w:before="0" w:beforeAutospacing="0" w:after="0" w:afterAutospacing="0"/>
              <w:rPr>
                <w:sz w:val="20"/>
                <w:szCs w:val="20"/>
              </w:rPr>
            </w:pPr>
            <w:r>
              <w:rPr>
                <w:sz w:val="20"/>
                <w:szCs w:val="20"/>
              </w:rPr>
              <w:t>(1)</w:t>
            </w:r>
          </w:p>
        </w:tc>
        <w:tc>
          <w:tcPr>
            <w:tcW w:w="0" w:type="auto"/>
            <w:hideMark/>
          </w:tcPr>
          <w:p w14:paraId="3E5D0BF3" w14:textId="77777777" w:rsidR="00000000" w:rsidRDefault="0015578C">
            <w:pPr>
              <w:pStyle w:val="a3"/>
              <w:spacing w:before="0" w:beforeAutospacing="0" w:after="0" w:afterAutospacing="0"/>
              <w:rPr>
                <w:sz w:val="20"/>
                <w:szCs w:val="20"/>
              </w:rPr>
            </w:pPr>
            <w:r>
              <w:rPr>
                <w:sz w:val="20"/>
                <w:szCs w:val="20"/>
              </w:rPr>
              <w:t>Price assumptions for Lik: Zn: $0.92/lb.; Pb: $1.01/lb.: Ag: $19.43/oz</w:t>
            </w:r>
          </w:p>
        </w:tc>
      </w:tr>
      <w:tr w:rsidR="00000000" w14:paraId="4A4FC183" w14:textId="77777777">
        <w:trPr>
          <w:trHeight w:val="225"/>
          <w:tblCellSpacing w:w="15" w:type="dxa"/>
        </w:trPr>
        <w:tc>
          <w:tcPr>
            <w:tcW w:w="0" w:type="auto"/>
            <w:vAlign w:val="center"/>
            <w:hideMark/>
          </w:tcPr>
          <w:p w14:paraId="264A8975"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14880614" w14:textId="77777777" w:rsidR="00000000" w:rsidRDefault="0015578C">
            <w:pPr>
              <w:pStyle w:val="a3"/>
              <w:spacing w:before="0" w:beforeAutospacing="0" w:after="0" w:afterAutospacing="0"/>
              <w:rPr>
                <w:sz w:val="20"/>
                <w:szCs w:val="20"/>
              </w:rPr>
            </w:pPr>
            <w:r>
              <w:rPr>
                <w:sz w:val="20"/>
                <w:szCs w:val="20"/>
              </w:rPr>
              <w:t>(2)</w:t>
            </w:r>
          </w:p>
        </w:tc>
        <w:tc>
          <w:tcPr>
            <w:tcW w:w="0" w:type="auto"/>
            <w:hideMark/>
          </w:tcPr>
          <w:p w14:paraId="415DE610" w14:textId="77777777" w:rsidR="00000000" w:rsidRDefault="0015578C">
            <w:pPr>
              <w:pStyle w:val="a3"/>
              <w:spacing w:before="0" w:beforeAutospacing="0" w:after="0" w:afterAutospacing="0"/>
              <w:rPr>
                <w:sz w:val="20"/>
                <w:szCs w:val="20"/>
              </w:rPr>
            </w:pPr>
            <w:r>
              <w:rPr>
                <w:sz w:val="20"/>
                <w:szCs w:val="20"/>
              </w:rPr>
              <w:t>Price assumptions for Florida Canyon: Zn: $1.20/lb.; Pb: $1.00/lb.: Ag: $16.50/oz</w:t>
            </w:r>
          </w:p>
        </w:tc>
      </w:tr>
      <w:tr w:rsidR="00000000" w14:paraId="65D3FB21" w14:textId="77777777">
        <w:trPr>
          <w:trHeight w:val="225"/>
          <w:tblCellSpacing w:w="15" w:type="dxa"/>
        </w:trPr>
        <w:tc>
          <w:tcPr>
            <w:tcW w:w="0" w:type="auto"/>
            <w:vAlign w:val="center"/>
            <w:hideMark/>
          </w:tcPr>
          <w:p w14:paraId="70BFA64A"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035B4DB6" w14:textId="77777777" w:rsidR="00000000" w:rsidRDefault="0015578C">
            <w:pPr>
              <w:pStyle w:val="a3"/>
              <w:spacing w:before="0" w:beforeAutospacing="0" w:after="0" w:afterAutospacing="0"/>
              <w:rPr>
                <w:sz w:val="20"/>
                <w:szCs w:val="20"/>
              </w:rPr>
            </w:pPr>
            <w:r>
              <w:rPr>
                <w:sz w:val="20"/>
                <w:szCs w:val="20"/>
              </w:rPr>
              <w:t>(3)</w:t>
            </w:r>
          </w:p>
        </w:tc>
        <w:tc>
          <w:tcPr>
            <w:tcW w:w="0" w:type="auto"/>
            <w:hideMark/>
          </w:tcPr>
          <w:p w14:paraId="60C0F716" w14:textId="77777777" w:rsidR="00000000" w:rsidRDefault="0015578C">
            <w:pPr>
              <w:pStyle w:val="a3"/>
              <w:spacing w:before="0" w:beforeAutospacing="0" w:after="0" w:afterAutospacing="0"/>
              <w:rPr>
                <w:sz w:val="20"/>
                <w:szCs w:val="20"/>
              </w:rPr>
            </w:pPr>
            <w:r>
              <w:rPr>
                <w:sz w:val="20"/>
                <w:szCs w:val="20"/>
              </w:rPr>
              <w:t>Mineral resource recoveries for Lik: Zn: 85.0%; Pb: 69.7%; Ag:26.87%</w:t>
            </w:r>
          </w:p>
        </w:tc>
      </w:tr>
      <w:tr w:rsidR="00000000" w14:paraId="156BDA1D" w14:textId="77777777">
        <w:trPr>
          <w:trHeight w:val="225"/>
          <w:tblCellSpacing w:w="15" w:type="dxa"/>
        </w:trPr>
        <w:tc>
          <w:tcPr>
            <w:tcW w:w="0" w:type="auto"/>
            <w:vAlign w:val="center"/>
            <w:hideMark/>
          </w:tcPr>
          <w:p w14:paraId="10560FA9"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50A384BC" w14:textId="77777777" w:rsidR="00000000" w:rsidRDefault="0015578C">
            <w:pPr>
              <w:pStyle w:val="a3"/>
              <w:spacing w:before="0" w:beforeAutospacing="0" w:after="0" w:afterAutospacing="0"/>
              <w:rPr>
                <w:sz w:val="20"/>
                <w:szCs w:val="20"/>
              </w:rPr>
            </w:pPr>
            <w:r>
              <w:rPr>
                <w:sz w:val="20"/>
                <w:szCs w:val="20"/>
              </w:rPr>
              <w:t>(4)</w:t>
            </w:r>
          </w:p>
        </w:tc>
        <w:tc>
          <w:tcPr>
            <w:tcW w:w="0" w:type="auto"/>
            <w:hideMark/>
          </w:tcPr>
          <w:p w14:paraId="2C27FEEF" w14:textId="77777777" w:rsidR="00000000" w:rsidRDefault="0015578C">
            <w:pPr>
              <w:pStyle w:val="a3"/>
              <w:spacing w:before="0" w:beforeAutospacing="0" w:after="0" w:afterAutospacing="0"/>
              <w:rPr>
                <w:sz w:val="20"/>
                <w:szCs w:val="20"/>
              </w:rPr>
            </w:pPr>
            <w:r>
              <w:rPr>
                <w:sz w:val="20"/>
                <w:szCs w:val="20"/>
              </w:rPr>
              <w:t>Mineral resource recoveries for Florida Canyon: Zn: 79.8%; Pb: 74.3%; Ag: 51.7%</w:t>
            </w:r>
          </w:p>
        </w:tc>
      </w:tr>
      <w:tr w:rsidR="00000000" w14:paraId="1A6AF56C" w14:textId="77777777">
        <w:trPr>
          <w:trHeight w:val="225"/>
          <w:tblCellSpacing w:w="15" w:type="dxa"/>
        </w:trPr>
        <w:tc>
          <w:tcPr>
            <w:tcW w:w="0" w:type="auto"/>
            <w:vAlign w:val="center"/>
            <w:hideMark/>
          </w:tcPr>
          <w:p w14:paraId="659B425B"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104D8344" w14:textId="77777777" w:rsidR="00000000" w:rsidRDefault="0015578C">
            <w:pPr>
              <w:pStyle w:val="a3"/>
              <w:spacing w:before="0" w:beforeAutospacing="0" w:after="0" w:afterAutospacing="0"/>
              <w:rPr>
                <w:sz w:val="20"/>
                <w:szCs w:val="20"/>
              </w:rPr>
            </w:pPr>
            <w:r>
              <w:rPr>
                <w:sz w:val="20"/>
                <w:szCs w:val="20"/>
              </w:rPr>
              <w:t>(5)</w:t>
            </w:r>
          </w:p>
        </w:tc>
        <w:tc>
          <w:tcPr>
            <w:tcW w:w="0" w:type="auto"/>
            <w:hideMark/>
          </w:tcPr>
          <w:p w14:paraId="08B171E4" w14:textId="77777777" w:rsidR="00000000" w:rsidRDefault="0015578C">
            <w:pPr>
              <w:pStyle w:val="a3"/>
              <w:spacing w:before="0" w:beforeAutospacing="0" w:after="0" w:afterAutospacing="0"/>
              <w:rPr>
                <w:sz w:val="20"/>
                <w:szCs w:val="20"/>
              </w:rPr>
            </w:pPr>
            <w:r>
              <w:rPr>
                <w:sz w:val="20"/>
                <w:szCs w:val="20"/>
              </w:rPr>
              <w:t>Mine</w:t>
            </w:r>
            <w:r>
              <w:rPr>
                <w:sz w:val="20"/>
                <w:szCs w:val="20"/>
              </w:rPr>
              <w:t>ral resource for Lik is reported at a cutoff grade of 5% Pb%+Zn%.</w:t>
            </w:r>
          </w:p>
        </w:tc>
      </w:tr>
      <w:tr w:rsidR="00000000" w14:paraId="15DC5E32" w14:textId="77777777">
        <w:trPr>
          <w:trHeight w:val="225"/>
          <w:tblCellSpacing w:w="15" w:type="dxa"/>
        </w:trPr>
        <w:tc>
          <w:tcPr>
            <w:tcW w:w="0" w:type="auto"/>
            <w:vAlign w:val="center"/>
            <w:hideMark/>
          </w:tcPr>
          <w:p w14:paraId="1455EF8D"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3FD3BA5B" w14:textId="77777777" w:rsidR="00000000" w:rsidRDefault="0015578C">
            <w:pPr>
              <w:pStyle w:val="a3"/>
              <w:spacing w:before="0" w:beforeAutospacing="0" w:after="0" w:afterAutospacing="0"/>
              <w:rPr>
                <w:sz w:val="20"/>
                <w:szCs w:val="20"/>
              </w:rPr>
            </w:pPr>
            <w:r>
              <w:rPr>
                <w:sz w:val="20"/>
                <w:szCs w:val="20"/>
              </w:rPr>
              <w:t>(6)</w:t>
            </w:r>
          </w:p>
        </w:tc>
        <w:tc>
          <w:tcPr>
            <w:tcW w:w="0" w:type="auto"/>
            <w:hideMark/>
          </w:tcPr>
          <w:p w14:paraId="38A10F7F" w14:textId="77777777" w:rsidR="00000000" w:rsidRDefault="0015578C">
            <w:pPr>
              <w:pStyle w:val="a3"/>
              <w:spacing w:before="0" w:beforeAutospacing="0" w:after="0" w:afterAutospacing="0"/>
              <w:rPr>
                <w:sz w:val="20"/>
                <w:szCs w:val="20"/>
              </w:rPr>
            </w:pPr>
            <w:r>
              <w:rPr>
                <w:sz w:val="20"/>
                <w:szCs w:val="20"/>
              </w:rPr>
              <w:t>Mineral resource cut-offs for Florida Canyon are NSR $41.40/t for sub-level stoping, $42.93/t for cut and fill stoping and $40.61/t for room and pillar.</w:t>
            </w:r>
          </w:p>
        </w:tc>
      </w:tr>
    </w:tbl>
    <w:p w14:paraId="42165C96" w14:textId="77777777" w:rsidR="00000000" w:rsidRDefault="0015578C">
      <w:pPr>
        <w:pStyle w:val="a3"/>
        <w:spacing w:before="0" w:beforeAutospacing="0" w:after="0" w:afterAutospacing="0"/>
        <w:jc w:val="both"/>
        <w:rPr>
          <w:sz w:val="20"/>
          <w:szCs w:val="20"/>
        </w:rPr>
      </w:pPr>
      <w:r>
        <w:rPr>
          <w:sz w:val="20"/>
          <w:szCs w:val="20"/>
        </w:rPr>
        <w:t xml:space="preserve">  </w:t>
      </w:r>
    </w:p>
    <w:p w14:paraId="6EEAB7B6" w14:textId="77777777" w:rsidR="00000000" w:rsidRDefault="0015578C">
      <w:pPr>
        <w:pStyle w:val="a3"/>
        <w:spacing w:before="0" w:beforeAutospacing="0" w:after="0" w:afterAutospacing="0"/>
        <w:jc w:val="both"/>
        <w:rPr>
          <w:sz w:val="20"/>
          <w:szCs w:val="20"/>
        </w:rPr>
      </w:pPr>
      <w:r>
        <w:rPr>
          <w:sz w:val="20"/>
          <w:szCs w:val="20"/>
        </w:rPr>
        <w:t>Internal controls</w:t>
      </w:r>
    </w:p>
    <w:p w14:paraId="3D96BD6C" w14:textId="77777777" w:rsidR="00000000" w:rsidRDefault="0015578C">
      <w:pPr>
        <w:pStyle w:val="a3"/>
        <w:spacing w:before="0" w:beforeAutospacing="0" w:after="0" w:afterAutospacing="0"/>
        <w:jc w:val="both"/>
        <w:rPr>
          <w:sz w:val="20"/>
          <w:szCs w:val="20"/>
        </w:rPr>
      </w:pPr>
      <w:r>
        <w:rPr>
          <w:sz w:val="20"/>
          <w:szCs w:val="20"/>
        </w:rPr>
        <w:t> </w:t>
      </w:r>
    </w:p>
    <w:p w14:paraId="5AEDBF42" w14:textId="77777777" w:rsidR="00000000" w:rsidRDefault="0015578C">
      <w:pPr>
        <w:pStyle w:val="a3"/>
        <w:spacing w:before="0" w:beforeAutospacing="0" w:after="0" w:afterAutospacing="0"/>
        <w:ind w:firstLine="675"/>
        <w:jc w:val="both"/>
        <w:rPr>
          <w:sz w:val="20"/>
          <w:szCs w:val="20"/>
        </w:rPr>
      </w:pPr>
      <w:r>
        <w:rPr>
          <w:sz w:val="20"/>
          <w:szCs w:val="20"/>
        </w:rPr>
        <w:t>Solitario’s internal controls are designed to provide reasonable assurance that information and processes utilized in assessing its exploration results as well as mineral resource estimation are reasonable and in line with industry best</w:t>
      </w:r>
      <w:r>
        <w:rPr>
          <w:sz w:val="20"/>
          <w:szCs w:val="20"/>
        </w:rPr>
        <w:t xml:space="preserve"> practices. These internal controls include quality assurance and quality control (“QA/QC”) programs in the collection, analysis, verification, storage, reporting and use of drillhole, assay, metallurgical and other technical and scientific information, in</w:t>
      </w:r>
      <w:r>
        <w:rPr>
          <w:sz w:val="20"/>
          <w:szCs w:val="20"/>
        </w:rPr>
        <w:t>cluding the following:</w:t>
      </w:r>
    </w:p>
    <w:p w14:paraId="6DCF3DCF"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14:paraId="2AAE2E05" w14:textId="77777777">
        <w:trPr>
          <w:trHeight w:val="225"/>
          <w:tblCellSpacing w:w="15" w:type="dxa"/>
        </w:trPr>
        <w:tc>
          <w:tcPr>
            <w:tcW w:w="200" w:type="pct"/>
            <w:vAlign w:val="center"/>
            <w:hideMark/>
          </w:tcPr>
          <w:p w14:paraId="4283318C" w14:textId="77777777" w:rsidR="00000000" w:rsidRDefault="0015578C">
            <w:pPr>
              <w:pStyle w:val="a3"/>
              <w:spacing w:before="0" w:beforeAutospacing="0" w:after="0" w:afterAutospacing="0"/>
              <w:rPr>
                <w:sz w:val="20"/>
                <w:szCs w:val="20"/>
              </w:rPr>
            </w:pPr>
            <w:r>
              <w:rPr>
                <w:sz w:val="20"/>
                <w:szCs w:val="20"/>
              </w:rPr>
              <w:t> </w:t>
            </w:r>
          </w:p>
        </w:tc>
        <w:tc>
          <w:tcPr>
            <w:tcW w:w="200" w:type="pct"/>
            <w:hideMark/>
          </w:tcPr>
          <w:p w14:paraId="3E10B1BC" w14:textId="77777777" w:rsidR="00000000" w:rsidRDefault="0015578C">
            <w:pPr>
              <w:pStyle w:val="a3"/>
              <w:spacing w:before="0" w:beforeAutospacing="0" w:after="0" w:afterAutospacing="0"/>
              <w:rPr>
                <w:sz w:val="20"/>
                <w:szCs w:val="20"/>
              </w:rPr>
            </w:pPr>
            <w:r>
              <w:rPr>
                <w:rFonts w:ascii="Symbol" w:hAnsi="Symbol"/>
                <w:sz w:val="20"/>
                <w:szCs w:val="20"/>
              </w:rPr>
              <w:t>·</w:t>
            </w:r>
          </w:p>
        </w:tc>
        <w:tc>
          <w:tcPr>
            <w:tcW w:w="0" w:type="auto"/>
            <w:hideMark/>
          </w:tcPr>
          <w:p w14:paraId="217F4607" w14:textId="77777777" w:rsidR="00000000" w:rsidRDefault="0015578C">
            <w:pPr>
              <w:pStyle w:val="a3"/>
              <w:spacing w:before="0" w:beforeAutospacing="0" w:after="0" w:afterAutospacing="0"/>
              <w:jc w:val="both"/>
              <w:rPr>
                <w:sz w:val="20"/>
                <w:szCs w:val="20"/>
              </w:rPr>
            </w:pPr>
            <w:r>
              <w:rPr>
                <w:sz w:val="20"/>
                <w:szCs w:val="20"/>
              </w:rPr>
              <w:t>Review of joint venture analysis/data/and programs by Solitario qualified personnel, including approval of budgets and annual review of geologic and financial results of programs;</w:t>
            </w:r>
          </w:p>
        </w:tc>
      </w:tr>
      <w:tr w:rsidR="00000000" w14:paraId="482EC3A6" w14:textId="77777777">
        <w:trPr>
          <w:trHeight w:val="225"/>
          <w:tblCellSpacing w:w="15" w:type="dxa"/>
        </w:trPr>
        <w:tc>
          <w:tcPr>
            <w:tcW w:w="0" w:type="auto"/>
            <w:vAlign w:val="center"/>
            <w:hideMark/>
          </w:tcPr>
          <w:p w14:paraId="7728477C"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5F4B5FCC"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9A709C5" w14:textId="77777777" w:rsidR="00000000" w:rsidRDefault="0015578C">
            <w:pPr>
              <w:pStyle w:val="a3"/>
              <w:spacing w:before="0" w:beforeAutospacing="0" w:after="0" w:afterAutospacing="0"/>
              <w:jc w:val="both"/>
              <w:rPr>
                <w:sz w:val="20"/>
                <w:szCs w:val="20"/>
              </w:rPr>
            </w:pPr>
            <w:r>
              <w:rPr>
                <w:sz w:val="20"/>
                <w:szCs w:val="20"/>
              </w:rPr>
              <w:t>All mineral resource calculations are prep</w:t>
            </w:r>
            <w:r>
              <w:rPr>
                <w:sz w:val="20"/>
                <w:szCs w:val="20"/>
              </w:rPr>
              <w:t>ared by independent third-party engineering firms and reviewed by Solitario’s qualified person prior to final publication;</w:t>
            </w:r>
          </w:p>
        </w:tc>
      </w:tr>
      <w:tr w:rsidR="00000000" w14:paraId="1F8D307A" w14:textId="77777777">
        <w:trPr>
          <w:trHeight w:val="225"/>
          <w:tblCellSpacing w:w="15" w:type="dxa"/>
        </w:trPr>
        <w:tc>
          <w:tcPr>
            <w:tcW w:w="0" w:type="auto"/>
            <w:vAlign w:val="center"/>
            <w:hideMark/>
          </w:tcPr>
          <w:p w14:paraId="4514A586"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441EE6F0"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08E562F" w14:textId="77777777" w:rsidR="00000000" w:rsidRDefault="0015578C">
            <w:pPr>
              <w:pStyle w:val="a3"/>
              <w:spacing w:before="0" w:beforeAutospacing="0" w:after="0" w:afterAutospacing="0"/>
              <w:jc w:val="both"/>
              <w:rPr>
                <w:sz w:val="20"/>
                <w:szCs w:val="20"/>
              </w:rPr>
            </w:pPr>
            <w:r>
              <w:rPr>
                <w:sz w:val="20"/>
                <w:szCs w:val="20"/>
              </w:rPr>
              <w:t>Maintenance of a complete chain-of-custody, ensuring the traceability and integrity of the samples at all handling stages from collection, transportation, sample preparation and analysis to long-term sample storage;</w:t>
            </w:r>
          </w:p>
        </w:tc>
      </w:tr>
      <w:tr w:rsidR="00000000" w14:paraId="1D923B87" w14:textId="77777777">
        <w:trPr>
          <w:trHeight w:val="225"/>
          <w:tblCellSpacing w:w="15" w:type="dxa"/>
        </w:trPr>
        <w:tc>
          <w:tcPr>
            <w:tcW w:w="0" w:type="auto"/>
            <w:vAlign w:val="center"/>
            <w:hideMark/>
          </w:tcPr>
          <w:p w14:paraId="06898547"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64CA96CF"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4B086EDF" w14:textId="77777777" w:rsidR="00000000" w:rsidRDefault="0015578C">
            <w:pPr>
              <w:pStyle w:val="a3"/>
              <w:spacing w:before="0" w:beforeAutospacing="0" w:after="0" w:afterAutospacing="0"/>
              <w:jc w:val="both"/>
              <w:rPr>
                <w:sz w:val="20"/>
                <w:szCs w:val="20"/>
              </w:rPr>
            </w:pPr>
            <w:r>
              <w:rPr>
                <w:sz w:val="20"/>
                <w:szCs w:val="20"/>
              </w:rPr>
              <w:t>Third-party fully certified labs ar</w:t>
            </w:r>
            <w:r>
              <w:rPr>
                <w:sz w:val="20"/>
                <w:szCs w:val="20"/>
              </w:rPr>
              <w:t>e used for assays used in public disclosure or resource models; and</w:t>
            </w:r>
          </w:p>
        </w:tc>
      </w:tr>
      <w:tr w:rsidR="00000000" w14:paraId="0E4BA300" w14:textId="77777777">
        <w:trPr>
          <w:trHeight w:val="225"/>
          <w:tblCellSpacing w:w="15" w:type="dxa"/>
        </w:trPr>
        <w:tc>
          <w:tcPr>
            <w:tcW w:w="0" w:type="auto"/>
            <w:vAlign w:val="center"/>
            <w:hideMark/>
          </w:tcPr>
          <w:p w14:paraId="0E026DB5" w14:textId="77777777" w:rsidR="00000000" w:rsidRDefault="0015578C">
            <w:pPr>
              <w:pStyle w:val="a3"/>
              <w:spacing w:before="0" w:beforeAutospacing="0" w:after="0" w:afterAutospacing="0"/>
              <w:jc w:val="both"/>
              <w:rPr>
                <w:sz w:val="20"/>
                <w:szCs w:val="20"/>
              </w:rPr>
            </w:pPr>
            <w:r>
              <w:rPr>
                <w:sz w:val="20"/>
                <w:szCs w:val="20"/>
              </w:rPr>
              <w:t> </w:t>
            </w:r>
          </w:p>
        </w:tc>
        <w:tc>
          <w:tcPr>
            <w:tcW w:w="0" w:type="auto"/>
            <w:hideMark/>
          </w:tcPr>
          <w:p w14:paraId="0E376D0F" w14:textId="77777777" w:rsidR="00000000" w:rsidRDefault="0015578C">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F5F83AE" w14:textId="77777777" w:rsidR="00000000" w:rsidRDefault="0015578C">
            <w:pPr>
              <w:pStyle w:val="a3"/>
              <w:spacing w:before="0" w:beforeAutospacing="0" w:after="0" w:afterAutospacing="0"/>
              <w:jc w:val="both"/>
              <w:rPr>
                <w:sz w:val="20"/>
                <w:szCs w:val="20"/>
              </w:rPr>
            </w:pPr>
            <w:r>
              <w:rPr>
                <w:sz w:val="20"/>
                <w:szCs w:val="20"/>
              </w:rPr>
              <w:t>QA/QC data are regularly verified to ensure that outliers sample mix-ups, contamination, or laboratory biases during the sample preparation and analysis steps are correctly identified</w:t>
            </w:r>
            <w:r>
              <w:rPr>
                <w:sz w:val="20"/>
                <w:szCs w:val="20"/>
              </w:rPr>
              <w:t>, mitigated or remediated.</w:t>
            </w:r>
          </w:p>
        </w:tc>
      </w:tr>
    </w:tbl>
    <w:p w14:paraId="06B8E2FD" w14:textId="77777777" w:rsidR="00000000" w:rsidRDefault="0015578C">
      <w:pPr>
        <w:pStyle w:val="a3"/>
        <w:spacing w:before="0" w:beforeAutospacing="0" w:after="0" w:afterAutospacing="0"/>
        <w:jc w:val="both"/>
        <w:rPr>
          <w:sz w:val="20"/>
          <w:szCs w:val="20"/>
        </w:rPr>
      </w:pPr>
      <w:r>
        <w:rPr>
          <w:sz w:val="20"/>
          <w:szCs w:val="20"/>
        </w:rPr>
        <w:t xml:space="preserve">   </w:t>
      </w:r>
    </w:p>
    <w:p w14:paraId="7DE8A8EC" w14:textId="77777777" w:rsidR="00000000" w:rsidRDefault="0015578C">
      <w:pPr>
        <w:pStyle w:val="a3"/>
        <w:spacing w:before="0" w:beforeAutospacing="0" w:after="0" w:afterAutospacing="0"/>
        <w:ind w:firstLine="675"/>
        <w:jc w:val="both"/>
        <w:rPr>
          <w:sz w:val="20"/>
          <w:szCs w:val="20"/>
        </w:rPr>
      </w:pPr>
      <w:r>
        <w:rPr>
          <w:sz w:val="20"/>
          <w:szCs w:val="20"/>
        </w:rPr>
        <w:t xml:space="preserve">Mineral resources and mineral reserves are estimates that contain inherent risk and depend upon geologic interpretation and statistical inferences drawn from drilling and sampling analysis, which may prove to be unreliable. </w:t>
      </w:r>
      <w:r>
        <w:rPr>
          <w:sz w:val="20"/>
          <w:szCs w:val="20"/>
        </w:rPr>
        <w:t>See Risk Factors in Item 1A for additional information.</w:t>
      </w:r>
    </w:p>
    <w:p w14:paraId="61A55B9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69119145" w14:textId="77777777">
        <w:trPr>
          <w:trHeight w:val="225"/>
          <w:tblCellSpacing w:w="15" w:type="dxa"/>
        </w:trPr>
        <w:tc>
          <w:tcPr>
            <w:tcW w:w="0" w:type="auto"/>
            <w:vAlign w:val="center"/>
            <w:hideMark/>
          </w:tcPr>
          <w:p w14:paraId="1FB7CBC9" w14:textId="77777777" w:rsidR="00000000" w:rsidRDefault="0015578C">
            <w:pPr>
              <w:rPr>
                <w:rFonts w:eastAsia="Times New Roman"/>
                <w:sz w:val="20"/>
                <w:szCs w:val="20"/>
              </w:rPr>
            </w:pPr>
            <w:r>
              <w:rPr>
                <w:rFonts w:eastAsia="Times New Roman"/>
                <w:sz w:val="20"/>
                <w:szCs w:val="20"/>
              </w:rPr>
              <w:t> </w:t>
            </w:r>
          </w:p>
        </w:tc>
      </w:tr>
      <w:tr w:rsidR="00000000" w14:paraId="0AF84EEC" w14:textId="77777777">
        <w:trPr>
          <w:trHeight w:val="225"/>
          <w:tblCellSpacing w:w="15" w:type="dxa"/>
        </w:trPr>
        <w:tc>
          <w:tcPr>
            <w:tcW w:w="0" w:type="auto"/>
            <w:tcBorders>
              <w:bottom w:val="single" w:sz="6" w:space="0" w:color="000000"/>
            </w:tcBorders>
            <w:vAlign w:val="center"/>
            <w:hideMark/>
          </w:tcPr>
          <w:p w14:paraId="61FEE732" w14:textId="77777777" w:rsidR="00000000" w:rsidRDefault="0015578C">
            <w:pPr>
              <w:jc w:val="center"/>
              <w:rPr>
                <w:rFonts w:eastAsia="Times New Roman"/>
                <w:sz w:val="20"/>
                <w:szCs w:val="20"/>
              </w:rPr>
            </w:pPr>
            <w:r>
              <w:rPr>
                <w:rFonts w:eastAsia="Times New Roman"/>
                <w:sz w:val="20"/>
                <w:szCs w:val="20"/>
              </w:rPr>
              <w:t>34</w:t>
            </w:r>
          </w:p>
        </w:tc>
      </w:tr>
      <w:tr w:rsidR="00000000" w14:paraId="3CB3AA46" w14:textId="77777777">
        <w:trPr>
          <w:trHeight w:val="225"/>
          <w:tblCellSpacing w:w="15" w:type="dxa"/>
        </w:trPr>
        <w:tc>
          <w:tcPr>
            <w:tcW w:w="0" w:type="auto"/>
            <w:vAlign w:val="center"/>
            <w:hideMark/>
          </w:tcPr>
          <w:p w14:paraId="72F85A78" w14:textId="77777777" w:rsidR="00000000" w:rsidRDefault="0015578C">
            <w:pPr>
              <w:rPr>
                <w:rFonts w:eastAsia="Times New Roman"/>
                <w:sz w:val="20"/>
                <w:szCs w:val="20"/>
              </w:rPr>
            </w:pPr>
          </w:p>
        </w:tc>
      </w:tr>
      <w:tr w:rsidR="00000000" w14:paraId="0E7E2D30" w14:textId="77777777">
        <w:trPr>
          <w:trHeight w:val="225"/>
          <w:tblCellSpacing w:w="15" w:type="dxa"/>
        </w:trPr>
        <w:tc>
          <w:tcPr>
            <w:tcW w:w="0" w:type="auto"/>
            <w:vAlign w:val="center"/>
            <w:hideMark/>
          </w:tcPr>
          <w:p w14:paraId="539822DC"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998470F" w14:textId="77777777" w:rsidR="00000000" w:rsidRDefault="0015578C">
      <w:pPr>
        <w:pStyle w:val="a3"/>
        <w:spacing w:before="0" w:beforeAutospacing="0" w:after="0" w:afterAutospacing="0"/>
        <w:jc w:val="both"/>
        <w:rPr>
          <w:sz w:val="20"/>
          <w:szCs w:val="20"/>
        </w:rPr>
      </w:pPr>
      <w:r>
        <w:rPr>
          <w:sz w:val="20"/>
          <w:szCs w:val="20"/>
        </w:rPr>
        <w:t> </w:t>
      </w:r>
    </w:p>
    <w:p w14:paraId="01EABBE8" w14:textId="77777777" w:rsidR="00000000" w:rsidRDefault="0015578C">
      <w:pPr>
        <w:pStyle w:val="a3"/>
        <w:spacing w:before="0" w:beforeAutospacing="0" w:after="0" w:afterAutospacing="0"/>
        <w:jc w:val="center"/>
        <w:rPr>
          <w:sz w:val="20"/>
          <w:szCs w:val="20"/>
        </w:rPr>
      </w:pPr>
      <w:r>
        <w:rPr>
          <w:rStyle w:val="a4"/>
          <w:sz w:val="20"/>
          <w:szCs w:val="20"/>
        </w:rPr>
        <w:t>GLOSSARY OF MINING TERMS</w:t>
      </w:r>
    </w:p>
    <w:p w14:paraId="25376243" w14:textId="77777777" w:rsidR="00000000" w:rsidRDefault="0015578C">
      <w:pPr>
        <w:pStyle w:val="a3"/>
        <w:spacing w:before="0" w:beforeAutospacing="0" w:after="0" w:afterAutospacing="0"/>
        <w:jc w:val="both"/>
        <w:rPr>
          <w:sz w:val="20"/>
          <w:szCs w:val="20"/>
        </w:rPr>
      </w:pPr>
      <w:r>
        <w:rPr>
          <w:sz w:val="20"/>
          <w:szCs w:val="20"/>
        </w:rPr>
        <w:t> </w:t>
      </w:r>
    </w:p>
    <w:p w14:paraId="58C179E9" w14:textId="77777777" w:rsidR="00000000" w:rsidRDefault="0015578C">
      <w:pPr>
        <w:pStyle w:val="a3"/>
        <w:spacing w:before="0" w:beforeAutospacing="0" w:after="0" w:afterAutospacing="0"/>
        <w:jc w:val="both"/>
        <w:rPr>
          <w:sz w:val="20"/>
          <w:szCs w:val="20"/>
        </w:rPr>
      </w:pPr>
      <w:r>
        <w:rPr>
          <w:rStyle w:val="a4"/>
          <w:sz w:val="20"/>
          <w:szCs w:val="20"/>
        </w:rPr>
        <w:t xml:space="preserve">“Allochthonous” </w:t>
      </w:r>
      <w:r>
        <w:rPr>
          <w:sz w:val="20"/>
          <w:szCs w:val="20"/>
        </w:rPr>
        <w:t>means originating in a place other than a place where it was formed.</w:t>
      </w:r>
    </w:p>
    <w:p w14:paraId="116EBAC3" w14:textId="77777777" w:rsidR="00000000" w:rsidRDefault="0015578C">
      <w:pPr>
        <w:pStyle w:val="a3"/>
        <w:spacing w:before="0" w:beforeAutospacing="0" w:after="0" w:afterAutospacing="0"/>
        <w:jc w:val="both"/>
        <w:rPr>
          <w:sz w:val="20"/>
          <w:szCs w:val="20"/>
        </w:rPr>
      </w:pPr>
      <w:r>
        <w:rPr>
          <w:sz w:val="20"/>
          <w:szCs w:val="20"/>
        </w:rPr>
        <w:t> </w:t>
      </w:r>
    </w:p>
    <w:p w14:paraId="5FFF7985" w14:textId="77777777" w:rsidR="00000000" w:rsidRDefault="0015578C">
      <w:pPr>
        <w:pStyle w:val="a3"/>
        <w:spacing w:before="0" w:beforeAutospacing="0" w:after="0" w:afterAutospacing="0"/>
        <w:jc w:val="both"/>
        <w:rPr>
          <w:sz w:val="20"/>
          <w:szCs w:val="20"/>
        </w:rPr>
      </w:pPr>
      <w:r>
        <w:rPr>
          <w:rStyle w:val="a4"/>
          <w:sz w:val="20"/>
          <w:szCs w:val="20"/>
        </w:rPr>
        <w:t>“Assay”</w:t>
      </w:r>
      <w:r>
        <w:rPr>
          <w:sz w:val="20"/>
          <w:szCs w:val="20"/>
        </w:rPr>
        <w:t xml:space="preserve"> means to test minerals by chemical or other methods for the purpose of determining the amount of valuable metals contained.  </w:t>
      </w:r>
    </w:p>
    <w:p w14:paraId="66E5C35F" w14:textId="77777777" w:rsidR="00000000" w:rsidRDefault="0015578C">
      <w:pPr>
        <w:pStyle w:val="a3"/>
        <w:spacing w:before="0" w:beforeAutospacing="0" w:after="0" w:afterAutospacing="0"/>
        <w:jc w:val="both"/>
        <w:rPr>
          <w:sz w:val="20"/>
          <w:szCs w:val="20"/>
        </w:rPr>
      </w:pPr>
      <w:r>
        <w:rPr>
          <w:sz w:val="20"/>
          <w:szCs w:val="20"/>
        </w:rPr>
        <w:t> </w:t>
      </w:r>
    </w:p>
    <w:p w14:paraId="17850E79" w14:textId="77777777" w:rsidR="00000000" w:rsidRDefault="0015578C">
      <w:pPr>
        <w:pStyle w:val="a3"/>
        <w:spacing w:before="0" w:beforeAutospacing="0" w:after="0" w:afterAutospacing="0"/>
        <w:jc w:val="both"/>
        <w:rPr>
          <w:sz w:val="20"/>
          <w:szCs w:val="20"/>
        </w:rPr>
      </w:pPr>
      <w:r>
        <w:rPr>
          <w:rStyle w:val="a4"/>
          <w:sz w:val="20"/>
          <w:szCs w:val="20"/>
        </w:rPr>
        <w:t xml:space="preserve">“Amphiobile” </w:t>
      </w:r>
      <w:r>
        <w:rPr>
          <w:sz w:val="20"/>
          <w:szCs w:val="20"/>
        </w:rPr>
        <w:t>means any of a class of rock-forming</w:t>
      </w:r>
      <w:r>
        <w:rPr>
          <w:sz w:val="20"/>
          <w:szCs w:val="20"/>
        </w:rPr>
        <w:t xml:space="preserve"> silicate or aluminosilicate minerals typically occurring as fibrous or columnar crystals.</w:t>
      </w:r>
    </w:p>
    <w:p w14:paraId="6688EE34" w14:textId="77777777" w:rsidR="00000000" w:rsidRDefault="0015578C">
      <w:pPr>
        <w:pStyle w:val="a3"/>
        <w:spacing w:before="0" w:beforeAutospacing="0" w:after="0" w:afterAutospacing="0"/>
        <w:jc w:val="both"/>
        <w:rPr>
          <w:sz w:val="20"/>
          <w:szCs w:val="20"/>
        </w:rPr>
      </w:pPr>
      <w:r>
        <w:rPr>
          <w:sz w:val="20"/>
          <w:szCs w:val="20"/>
        </w:rPr>
        <w:t> </w:t>
      </w:r>
    </w:p>
    <w:p w14:paraId="2E272E36" w14:textId="77777777" w:rsidR="00000000" w:rsidRDefault="0015578C">
      <w:pPr>
        <w:pStyle w:val="a3"/>
        <w:spacing w:before="0" w:beforeAutospacing="0" w:after="0" w:afterAutospacing="0"/>
        <w:jc w:val="both"/>
        <w:rPr>
          <w:sz w:val="20"/>
          <w:szCs w:val="20"/>
        </w:rPr>
      </w:pPr>
      <w:r>
        <w:rPr>
          <w:rStyle w:val="a4"/>
          <w:sz w:val="20"/>
          <w:szCs w:val="20"/>
        </w:rPr>
        <w:t>“Anticline”</w:t>
      </w:r>
      <w:r>
        <w:rPr>
          <w:sz w:val="20"/>
          <w:szCs w:val="20"/>
        </w:rPr>
        <w:t xml:space="preserve"> means folds in which each half of the fold dips away from the crest. </w:t>
      </w:r>
    </w:p>
    <w:p w14:paraId="3024A7FB" w14:textId="77777777" w:rsidR="00000000" w:rsidRDefault="0015578C">
      <w:pPr>
        <w:pStyle w:val="a3"/>
        <w:spacing w:before="0" w:beforeAutospacing="0" w:after="0" w:afterAutospacing="0"/>
        <w:jc w:val="both"/>
        <w:rPr>
          <w:sz w:val="20"/>
          <w:szCs w:val="20"/>
        </w:rPr>
      </w:pPr>
      <w:r>
        <w:rPr>
          <w:sz w:val="20"/>
          <w:szCs w:val="20"/>
        </w:rPr>
        <w:t> </w:t>
      </w:r>
    </w:p>
    <w:p w14:paraId="094D2446" w14:textId="77777777" w:rsidR="00000000" w:rsidRDefault="0015578C">
      <w:pPr>
        <w:pStyle w:val="a3"/>
        <w:spacing w:before="0" w:beforeAutospacing="0" w:after="0" w:afterAutospacing="0"/>
        <w:jc w:val="both"/>
        <w:rPr>
          <w:sz w:val="20"/>
          <w:szCs w:val="20"/>
        </w:rPr>
      </w:pPr>
      <w:r>
        <w:rPr>
          <w:rStyle w:val="a4"/>
          <w:sz w:val="20"/>
          <w:szCs w:val="20"/>
        </w:rPr>
        <w:t xml:space="preserve">“Biotite” </w:t>
      </w:r>
      <w:r>
        <w:rPr>
          <w:sz w:val="20"/>
          <w:szCs w:val="20"/>
        </w:rPr>
        <w:t>means a black, dark brown, or greenish black variety of mica, occurring in many igneous and metamorphic rocks.</w:t>
      </w:r>
    </w:p>
    <w:p w14:paraId="6F754DF8" w14:textId="77777777" w:rsidR="00000000" w:rsidRDefault="0015578C">
      <w:pPr>
        <w:pStyle w:val="a3"/>
        <w:spacing w:before="0" w:beforeAutospacing="0" w:after="0" w:afterAutospacing="0"/>
        <w:jc w:val="both"/>
        <w:rPr>
          <w:sz w:val="20"/>
          <w:szCs w:val="20"/>
        </w:rPr>
      </w:pPr>
      <w:r>
        <w:rPr>
          <w:sz w:val="20"/>
          <w:szCs w:val="20"/>
        </w:rPr>
        <w:t> </w:t>
      </w:r>
    </w:p>
    <w:p w14:paraId="023D1A4F" w14:textId="77777777" w:rsidR="00000000" w:rsidRDefault="0015578C">
      <w:pPr>
        <w:pStyle w:val="a3"/>
        <w:spacing w:before="0" w:beforeAutospacing="0" w:after="0" w:afterAutospacing="0"/>
        <w:jc w:val="both"/>
        <w:rPr>
          <w:sz w:val="20"/>
          <w:szCs w:val="20"/>
        </w:rPr>
      </w:pPr>
      <w:r>
        <w:rPr>
          <w:rStyle w:val="a4"/>
          <w:sz w:val="20"/>
          <w:szCs w:val="20"/>
        </w:rPr>
        <w:t>“Breccia”</w:t>
      </w:r>
      <w:r>
        <w:rPr>
          <w:sz w:val="20"/>
          <w:szCs w:val="20"/>
        </w:rPr>
        <w:t xml:space="preserve"> means rock consisting of fragments, more or less angular, in a matrix of finer-grained material or of cementing material. </w:t>
      </w:r>
    </w:p>
    <w:p w14:paraId="7D26FBDF" w14:textId="77777777" w:rsidR="00000000" w:rsidRDefault="0015578C">
      <w:pPr>
        <w:pStyle w:val="a3"/>
        <w:spacing w:before="0" w:beforeAutospacing="0" w:after="0" w:afterAutospacing="0"/>
        <w:jc w:val="both"/>
        <w:rPr>
          <w:sz w:val="20"/>
          <w:szCs w:val="20"/>
        </w:rPr>
      </w:pPr>
      <w:r>
        <w:rPr>
          <w:sz w:val="20"/>
          <w:szCs w:val="20"/>
        </w:rPr>
        <w:t> </w:t>
      </w:r>
    </w:p>
    <w:p w14:paraId="5B999C8A" w14:textId="77777777" w:rsidR="00000000" w:rsidRDefault="0015578C">
      <w:pPr>
        <w:pStyle w:val="a3"/>
        <w:spacing w:before="0" w:beforeAutospacing="0" w:after="0" w:afterAutospacing="0"/>
        <w:jc w:val="both"/>
        <w:rPr>
          <w:sz w:val="20"/>
          <w:szCs w:val="20"/>
        </w:rPr>
      </w:pPr>
      <w:r>
        <w:rPr>
          <w:rStyle w:val="a4"/>
          <w:sz w:val="20"/>
          <w:szCs w:val="20"/>
        </w:rPr>
        <w:t>“Carbona</w:t>
      </w:r>
      <w:r>
        <w:rPr>
          <w:rStyle w:val="a4"/>
          <w:sz w:val="20"/>
          <w:szCs w:val="20"/>
        </w:rPr>
        <w:t>ceous”</w:t>
      </w:r>
      <w:r>
        <w:rPr>
          <w:sz w:val="20"/>
          <w:szCs w:val="20"/>
        </w:rPr>
        <w:t xml:space="preserve"> means a compound relating to or containing carbon.  </w:t>
      </w:r>
    </w:p>
    <w:p w14:paraId="2F1734B9" w14:textId="77777777" w:rsidR="00000000" w:rsidRDefault="0015578C">
      <w:pPr>
        <w:pStyle w:val="a3"/>
        <w:spacing w:before="0" w:beforeAutospacing="0" w:after="0" w:afterAutospacing="0"/>
        <w:jc w:val="both"/>
        <w:rPr>
          <w:sz w:val="20"/>
          <w:szCs w:val="20"/>
        </w:rPr>
      </w:pPr>
      <w:r>
        <w:rPr>
          <w:sz w:val="20"/>
          <w:szCs w:val="20"/>
        </w:rPr>
        <w:t> </w:t>
      </w:r>
    </w:p>
    <w:p w14:paraId="284E67D6" w14:textId="77777777" w:rsidR="00000000" w:rsidRDefault="0015578C">
      <w:pPr>
        <w:pStyle w:val="a3"/>
        <w:spacing w:before="0" w:beforeAutospacing="0" w:after="0" w:afterAutospacing="0"/>
        <w:jc w:val="both"/>
        <w:rPr>
          <w:sz w:val="20"/>
          <w:szCs w:val="20"/>
        </w:rPr>
      </w:pPr>
      <w:r>
        <w:rPr>
          <w:rStyle w:val="a4"/>
          <w:sz w:val="20"/>
          <w:szCs w:val="20"/>
        </w:rPr>
        <w:t>“Chert”</w:t>
      </w:r>
      <w:r>
        <w:rPr>
          <w:sz w:val="20"/>
          <w:szCs w:val="20"/>
        </w:rPr>
        <w:t xml:space="preserve"> means a sedimentary rock of microcrystalline quartz (the mineral form Silicon dioxide - SiO2).  </w:t>
      </w:r>
    </w:p>
    <w:p w14:paraId="62F25348" w14:textId="77777777" w:rsidR="00000000" w:rsidRDefault="0015578C">
      <w:pPr>
        <w:pStyle w:val="a3"/>
        <w:spacing w:before="0" w:beforeAutospacing="0" w:after="0" w:afterAutospacing="0"/>
        <w:jc w:val="both"/>
        <w:rPr>
          <w:sz w:val="20"/>
          <w:szCs w:val="20"/>
        </w:rPr>
      </w:pPr>
      <w:r>
        <w:rPr>
          <w:sz w:val="20"/>
          <w:szCs w:val="20"/>
        </w:rPr>
        <w:t> </w:t>
      </w:r>
    </w:p>
    <w:p w14:paraId="0571E97F" w14:textId="77777777" w:rsidR="00000000" w:rsidRDefault="0015578C">
      <w:pPr>
        <w:pStyle w:val="a3"/>
        <w:spacing w:before="0" w:beforeAutospacing="0" w:after="0" w:afterAutospacing="0"/>
        <w:jc w:val="both"/>
        <w:rPr>
          <w:sz w:val="20"/>
          <w:szCs w:val="20"/>
        </w:rPr>
      </w:pPr>
      <w:r>
        <w:rPr>
          <w:rStyle w:val="a4"/>
          <w:sz w:val="20"/>
          <w:szCs w:val="20"/>
        </w:rPr>
        <w:t>“Claim” or “Concession</w:t>
      </w:r>
      <w:r>
        <w:rPr>
          <w:sz w:val="20"/>
          <w:szCs w:val="20"/>
        </w:rPr>
        <w:t xml:space="preserve">” </w:t>
      </w:r>
      <w:r>
        <w:rPr>
          <w:sz w:val="20"/>
          <w:szCs w:val="20"/>
        </w:rPr>
        <w:t xml:space="preserve">means a mining interest giving its holder the right to prospect, explore for and exploit minerals within a defined area.  </w:t>
      </w:r>
    </w:p>
    <w:p w14:paraId="7E1755AB" w14:textId="77777777" w:rsidR="00000000" w:rsidRDefault="0015578C">
      <w:pPr>
        <w:pStyle w:val="a3"/>
        <w:spacing w:before="0" w:beforeAutospacing="0" w:after="0" w:afterAutospacing="0"/>
        <w:jc w:val="both"/>
        <w:rPr>
          <w:sz w:val="20"/>
          <w:szCs w:val="20"/>
        </w:rPr>
      </w:pPr>
      <w:r>
        <w:rPr>
          <w:sz w:val="20"/>
          <w:szCs w:val="20"/>
        </w:rPr>
        <w:t> </w:t>
      </w:r>
    </w:p>
    <w:p w14:paraId="603E8B96" w14:textId="77777777" w:rsidR="00000000" w:rsidRDefault="0015578C">
      <w:pPr>
        <w:pStyle w:val="a3"/>
        <w:spacing w:before="0" w:beforeAutospacing="0" w:after="0" w:afterAutospacing="0"/>
        <w:jc w:val="both"/>
        <w:rPr>
          <w:sz w:val="20"/>
          <w:szCs w:val="20"/>
        </w:rPr>
      </w:pPr>
      <w:r>
        <w:rPr>
          <w:rStyle w:val="a4"/>
          <w:sz w:val="20"/>
          <w:szCs w:val="20"/>
        </w:rPr>
        <w:t>“Clastic”</w:t>
      </w:r>
      <w:r>
        <w:rPr>
          <w:sz w:val="20"/>
          <w:szCs w:val="20"/>
        </w:rPr>
        <w:t xml:space="preserve"> means pertaining to rock or rocks composed of fragments or particles of older rocks or previously existing solid matter; </w:t>
      </w:r>
      <w:r>
        <w:rPr>
          <w:sz w:val="20"/>
          <w:szCs w:val="20"/>
        </w:rPr>
        <w:t>fragmental.</w:t>
      </w:r>
    </w:p>
    <w:p w14:paraId="5A7DED1B" w14:textId="77777777" w:rsidR="00000000" w:rsidRDefault="0015578C">
      <w:pPr>
        <w:pStyle w:val="a3"/>
        <w:spacing w:before="0" w:beforeAutospacing="0" w:after="0" w:afterAutospacing="0"/>
        <w:jc w:val="both"/>
        <w:rPr>
          <w:sz w:val="20"/>
          <w:szCs w:val="20"/>
        </w:rPr>
      </w:pPr>
      <w:r>
        <w:rPr>
          <w:sz w:val="20"/>
          <w:szCs w:val="20"/>
        </w:rPr>
        <w:t> </w:t>
      </w:r>
    </w:p>
    <w:p w14:paraId="2BFE0910" w14:textId="77777777" w:rsidR="00000000" w:rsidRDefault="0015578C">
      <w:pPr>
        <w:pStyle w:val="a3"/>
        <w:spacing w:before="0" w:beforeAutospacing="0" w:after="0" w:afterAutospacing="0"/>
        <w:jc w:val="both"/>
        <w:rPr>
          <w:sz w:val="20"/>
          <w:szCs w:val="20"/>
        </w:rPr>
      </w:pPr>
      <w:r>
        <w:rPr>
          <w:sz w:val="20"/>
          <w:szCs w:val="20"/>
        </w:rPr>
        <w:t>“</w:t>
      </w:r>
      <w:r>
        <w:rPr>
          <w:rStyle w:val="a4"/>
          <w:sz w:val="20"/>
          <w:szCs w:val="20"/>
        </w:rPr>
        <w:t>Deposit</w:t>
      </w:r>
      <w:r>
        <w:rPr>
          <w:sz w:val="20"/>
          <w:szCs w:val="20"/>
        </w:rPr>
        <w:t xml:space="preserve">” means an informal term for an accumulation of mineral ores. </w:t>
      </w:r>
    </w:p>
    <w:p w14:paraId="4BAE8600" w14:textId="77777777" w:rsidR="00000000" w:rsidRDefault="0015578C">
      <w:pPr>
        <w:pStyle w:val="a3"/>
        <w:spacing w:before="0" w:beforeAutospacing="0" w:after="0" w:afterAutospacing="0"/>
        <w:jc w:val="both"/>
        <w:rPr>
          <w:sz w:val="20"/>
          <w:szCs w:val="20"/>
        </w:rPr>
      </w:pPr>
      <w:r>
        <w:rPr>
          <w:sz w:val="20"/>
          <w:szCs w:val="20"/>
        </w:rPr>
        <w:t> </w:t>
      </w:r>
    </w:p>
    <w:p w14:paraId="01578A04" w14:textId="77777777" w:rsidR="00000000" w:rsidRDefault="0015578C">
      <w:pPr>
        <w:pStyle w:val="a3"/>
        <w:spacing w:before="0" w:beforeAutospacing="0" w:after="0" w:afterAutospacing="0"/>
        <w:jc w:val="both"/>
        <w:rPr>
          <w:sz w:val="20"/>
          <w:szCs w:val="20"/>
        </w:rPr>
      </w:pPr>
      <w:r>
        <w:rPr>
          <w:rStyle w:val="a4"/>
          <w:sz w:val="20"/>
          <w:szCs w:val="20"/>
        </w:rPr>
        <w:t xml:space="preserve">“Development” </w:t>
      </w:r>
      <w:r>
        <w:rPr>
          <w:sz w:val="20"/>
          <w:szCs w:val="20"/>
        </w:rPr>
        <w:t xml:space="preserve">means work carried out for the purpose of opening up a mineral deposit and making the actual ore extraction possible.  </w:t>
      </w:r>
    </w:p>
    <w:p w14:paraId="16567108" w14:textId="77777777" w:rsidR="00000000" w:rsidRDefault="0015578C">
      <w:pPr>
        <w:pStyle w:val="a3"/>
        <w:spacing w:before="0" w:beforeAutospacing="0" w:after="0" w:afterAutospacing="0"/>
        <w:jc w:val="both"/>
        <w:rPr>
          <w:sz w:val="20"/>
          <w:szCs w:val="20"/>
        </w:rPr>
      </w:pPr>
      <w:r>
        <w:rPr>
          <w:sz w:val="20"/>
          <w:szCs w:val="20"/>
        </w:rPr>
        <w:t> </w:t>
      </w:r>
    </w:p>
    <w:p w14:paraId="0D3AEE84" w14:textId="77777777" w:rsidR="00000000" w:rsidRDefault="0015578C">
      <w:pPr>
        <w:pStyle w:val="a3"/>
        <w:spacing w:before="0" w:beforeAutospacing="0" w:after="0" w:afterAutospacing="0"/>
        <w:jc w:val="both"/>
        <w:rPr>
          <w:sz w:val="20"/>
          <w:szCs w:val="20"/>
        </w:rPr>
      </w:pPr>
      <w:r>
        <w:rPr>
          <w:rStyle w:val="a4"/>
          <w:sz w:val="20"/>
          <w:szCs w:val="20"/>
        </w:rPr>
        <w:t xml:space="preserve">“Domal” </w:t>
      </w:r>
      <w:r>
        <w:rPr>
          <w:sz w:val="20"/>
          <w:szCs w:val="20"/>
        </w:rPr>
        <w:t>means of a dome shape.</w:t>
      </w:r>
    </w:p>
    <w:p w14:paraId="28DCFC2F" w14:textId="77777777" w:rsidR="00000000" w:rsidRDefault="0015578C">
      <w:pPr>
        <w:pStyle w:val="a3"/>
        <w:spacing w:before="0" w:beforeAutospacing="0" w:after="0" w:afterAutospacing="0"/>
        <w:jc w:val="both"/>
        <w:rPr>
          <w:sz w:val="20"/>
          <w:szCs w:val="20"/>
        </w:rPr>
      </w:pPr>
      <w:r>
        <w:rPr>
          <w:sz w:val="20"/>
          <w:szCs w:val="20"/>
        </w:rPr>
        <w:t> </w:t>
      </w:r>
    </w:p>
    <w:p w14:paraId="40C35813" w14:textId="77777777" w:rsidR="00000000" w:rsidRDefault="0015578C">
      <w:pPr>
        <w:pStyle w:val="a3"/>
        <w:spacing w:before="0" w:beforeAutospacing="0" w:after="0" w:afterAutospacing="0"/>
        <w:jc w:val="both"/>
        <w:rPr>
          <w:sz w:val="20"/>
          <w:szCs w:val="20"/>
        </w:rPr>
      </w:pPr>
      <w:r>
        <w:rPr>
          <w:rStyle w:val="a4"/>
          <w:sz w:val="20"/>
          <w:szCs w:val="20"/>
        </w:rPr>
        <w:t>“Dolomite”</w:t>
      </w:r>
      <w:r>
        <w:rPr>
          <w:sz w:val="20"/>
          <w:szCs w:val="20"/>
        </w:rPr>
        <w:t xml:space="preserve"> means calcium magnesium carbonate, CaMg (CO</w:t>
      </w:r>
      <w:r>
        <w:rPr>
          <w:sz w:val="20"/>
          <w:szCs w:val="20"/>
          <w:vertAlign w:val="subscript"/>
        </w:rPr>
        <w:t>3</w:t>
      </w:r>
      <w:r>
        <w:rPr>
          <w:sz w:val="20"/>
          <w:szCs w:val="20"/>
        </w:rPr>
        <w:t>)</w:t>
      </w:r>
      <w:r>
        <w:rPr>
          <w:sz w:val="20"/>
          <w:szCs w:val="20"/>
          <w:vertAlign w:val="subscript"/>
        </w:rPr>
        <w:t>2</w:t>
      </w:r>
      <w:r>
        <w:rPr>
          <w:sz w:val="20"/>
          <w:szCs w:val="20"/>
        </w:rPr>
        <w:t>, occurring in crystals and in masses.</w:t>
      </w:r>
    </w:p>
    <w:p w14:paraId="2116AD8E" w14:textId="77777777" w:rsidR="00000000" w:rsidRDefault="0015578C">
      <w:pPr>
        <w:pStyle w:val="a3"/>
        <w:spacing w:before="0" w:beforeAutospacing="0" w:after="0" w:afterAutospacing="0"/>
        <w:jc w:val="both"/>
        <w:rPr>
          <w:sz w:val="20"/>
          <w:szCs w:val="20"/>
        </w:rPr>
      </w:pPr>
      <w:r>
        <w:rPr>
          <w:sz w:val="20"/>
          <w:szCs w:val="20"/>
        </w:rPr>
        <w:t> </w:t>
      </w:r>
    </w:p>
    <w:p w14:paraId="7E0CD7E1" w14:textId="77777777" w:rsidR="00000000" w:rsidRDefault="0015578C">
      <w:pPr>
        <w:pStyle w:val="a3"/>
        <w:spacing w:before="0" w:beforeAutospacing="0" w:after="0" w:afterAutospacing="0"/>
        <w:jc w:val="both"/>
        <w:rPr>
          <w:sz w:val="20"/>
          <w:szCs w:val="20"/>
        </w:rPr>
      </w:pPr>
      <w:r>
        <w:rPr>
          <w:rStyle w:val="a4"/>
          <w:sz w:val="20"/>
          <w:szCs w:val="20"/>
        </w:rPr>
        <w:t>“Facies”</w:t>
      </w:r>
      <w:r>
        <w:rPr>
          <w:sz w:val="20"/>
          <w:szCs w:val="20"/>
        </w:rPr>
        <w:t xml:space="preserve"> means the appearance and characteristics of a sedimentary deposit, especially as they reflect the conditions and environment of deposition and serve </w:t>
      </w:r>
      <w:r>
        <w:rPr>
          <w:sz w:val="20"/>
          <w:szCs w:val="20"/>
        </w:rPr>
        <w:t xml:space="preserve">to distinguish the deposit from contiguous deposits.  </w:t>
      </w:r>
    </w:p>
    <w:p w14:paraId="4DC2D4E3" w14:textId="77777777" w:rsidR="00000000" w:rsidRDefault="0015578C">
      <w:pPr>
        <w:pStyle w:val="a3"/>
        <w:spacing w:before="0" w:beforeAutospacing="0" w:after="0" w:afterAutospacing="0"/>
        <w:jc w:val="both"/>
        <w:rPr>
          <w:sz w:val="20"/>
          <w:szCs w:val="20"/>
        </w:rPr>
      </w:pPr>
      <w:r>
        <w:rPr>
          <w:sz w:val="20"/>
          <w:szCs w:val="20"/>
        </w:rPr>
        <w:t> </w:t>
      </w:r>
    </w:p>
    <w:p w14:paraId="466DF5EF" w14:textId="77777777" w:rsidR="00000000" w:rsidRDefault="0015578C">
      <w:pPr>
        <w:pStyle w:val="a3"/>
        <w:spacing w:before="0" w:beforeAutospacing="0" w:after="0" w:afterAutospacing="0"/>
        <w:jc w:val="both"/>
        <w:rPr>
          <w:sz w:val="20"/>
          <w:szCs w:val="20"/>
        </w:rPr>
      </w:pPr>
      <w:r>
        <w:rPr>
          <w:rStyle w:val="a4"/>
          <w:sz w:val="20"/>
          <w:szCs w:val="20"/>
        </w:rPr>
        <w:t>“Fault”</w:t>
      </w:r>
      <w:r>
        <w:rPr>
          <w:sz w:val="20"/>
          <w:szCs w:val="20"/>
        </w:rPr>
        <w:t xml:space="preserve"> means a fracture in rock along which there has been displacement of the two sides parallel to the fracture. </w:t>
      </w:r>
    </w:p>
    <w:p w14:paraId="0380BA21" w14:textId="77777777" w:rsidR="00000000" w:rsidRDefault="0015578C">
      <w:pPr>
        <w:pStyle w:val="a3"/>
        <w:spacing w:before="0" w:beforeAutospacing="0" w:after="0" w:afterAutospacing="0"/>
        <w:jc w:val="both"/>
        <w:rPr>
          <w:sz w:val="20"/>
          <w:szCs w:val="20"/>
        </w:rPr>
      </w:pPr>
      <w:r>
        <w:rPr>
          <w:sz w:val="20"/>
          <w:szCs w:val="20"/>
        </w:rPr>
        <w:t> </w:t>
      </w:r>
    </w:p>
    <w:p w14:paraId="7C713177" w14:textId="77777777" w:rsidR="00000000" w:rsidRDefault="0015578C">
      <w:pPr>
        <w:pStyle w:val="a3"/>
        <w:spacing w:before="0" w:beforeAutospacing="0" w:after="0" w:afterAutospacing="0"/>
        <w:jc w:val="both"/>
        <w:rPr>
          <w:sz w:val="20"/>
          <w:szCs w:val="20"/>
        </w:rPr>
      </w:pPr>
      <w:r>
        <w:rPr>
          <w:rStyle w:val="a4"/>
          <w:sz w:val="20"/>
          <w:szCs w:val="20"/>
        </w:rPr>
        <w:t>“Float”</w:t>
      </w:r>
      <w:r>
        <w:rPr>
          <w:sz w:val="20"/>
          <w:szCs w:val="20"/>
        </w:rPr>
        <w:t xml:space="preserve"> means pieces of rock that have been broken off and moved from their orig</w:t>
      </w:r>
      <w:r>
        <w:rPr>
          <w:sz w:val="20"/>
          <w:szCs w:val="20"/>
        </w:rPr>
        <w:t xml:space="preserve">inal location by natural forces such as frost or glacial action. </w:t>
      </w:r>
    </w:p>
    <w:p w14:paraId="1D83AC40" w14:textId="77777777" w:rsidR="00000000" w:rsidRDefault="0015578C">
      <w:pPr>
        <w:pStyle w:val="a3"/>
        <w:spacing w:before="0" w:beforeAutospacing="0" w:after="0" w:afterAutospacing="0"/>
        <w:jc w:val="both"/>
        <w:rPr>
          <w:sz w:val="20"/>
          <w:szCs w:val="20"/>
        </w:rPr>
      </w:pPr>
      <w:r>
        <w:rPr>
          <w:sz w:val="20"/>
          <w:szCs w:val="20"/>
        </w:rPr>
        <w:t> </w:t>
      </w:r>
    </w:p>
    <w:p w14:paraId="5F73DD34" w14:textId="77777777" w:rsidR="00000000" w:rsidRDefault="0015578C">
      <w:pPr>
        <w:pStyle w:val="a3"/>
        <w:spacing w:before="0" w:beforeAutospacing="0" w:after="0" w:afterAutospacing="0"/>
        <w:jc w:val="both"/>
        <w:rPr>
          <w:sz w:val="20"/>
          <w:szCs w:val="20"/>
        </w:rPr>
      </w:pPr>
      <w:r>
        <w:rPr>
          <w:rStyle w:val="a4"/>
          <w:sz w:val="20"/>
          <w:szCs w:val="20"/>
        </w:rPr>
        <w:t>“Galena”</w:t>
      </w:r>
      <w:r>
        <w:rPr>
          <w:sz w:val="20"/>
          <w:szCs w:val="20"/>
        </w:rPr>
        <w:t xml:space="preserve"> means a bluish gray or black mineral of metallic appearance, generally the chief ore of lead sulfide. </w:t>
      </w:r>
    </w:p>
    <w:p w14:paraId="7AF9F871" w14:textId="77777777" w:rsidR="00000000" w:rsidRDefault="0015578C">
      <w:pPr>
        <w:pStyle w:val="a3"/>
        <w:spacing w:before="0" w:beforeAutospacing="0" w:after="0" w:afterAutospacing="0"/>
        <w:jc w:val="both"/>
        <w:rPr>
          <w:sz w:val="20"/>
          <w:szCs w:val="20"/>
        </w:rPr>
      </w:pPr>
      <w:r>
        <w:rPr>
          <w:sz w:val="20"/>
          <w:szCs w:val="20"/>
        </w:rPr>
        <w:t> </w:t>
      </w:r>
    </w:p>
    <w:p w14:paraId="62BCFE1C" w14:textId="77777777" w:rsidR="00000000" w:rsidRDefault="0015578C">
      <w:pPr>
        <w:pStyle w:val="a3"/>
        <w:spacing w:before="0" w:beforeAutospacing="0" w:after="0" w:afterAutospacing="0"/>
        <w:jc w:val="both"/>
        <w:rPr>
          <w:sz w:val="20"/>
          <w:szCs w:val="20"/>
        </w:rPr>
      </w:pPr>
      <w:r>
        <w:rPr>
          <w:rStyle w:val="a4"/>
          <w:sz w:val="20"/>
          <w:szCs w:val="20"/>
        </w:rPr>
        <w:t xml:space="preserve">“Gabbros” </w:t>
      </w:r>
      <w:r>
        <w:rPr>
          <w:sz w:val="20"/>
          <w:szCs w:val="20"/>
        </w:rPr>
        <w:t>means a granular igneous rock composed essentially of calcic pla</w:t>
      </w:r>
      <w:r>
        <w:rPr>
          <w:sz w:val="20"/>
          <w:szCs w:val="20"/>
        </w:rPr>
        <w:t>gioclase, a ferromagnesian mineral, and accessory minerals.</w:t>
      </w:r>
    </w:p>
    <w:p w14:paraId="076D6A24" w14:textId="77777777" w:rsidR="00000000" w:rsidRDefault="0015578C">
      <w:pPr>
        <w:pStyle w:val="a3"/>
        <w:spacing w:before="0" w:beforeAutospacing="0" w:after="0" w:afterAutospacing="0"/>
        <w:jc w:val="both"/>
        <w:rPr>
          <w:sz w:val="20"/>
          <w:szCs w:val="20"/>
        </w:rPr>
      </w:pPr>
      <w:r>
        <w:rPr>
          <w:sz w:val="20"/>
          <w:szCs w:val="20"/>
        </w:rPr>
        <w:t> </w:t>
      </w:r>
    </w:p>
    <w:p w14:paraId="0B8DA51F" w14:textId="77777777" w:rsidR="00000000" w:rsidRDefault="0015578C">
      <w:pPr>
        <w:pStyle w:val="a3"/>
        <w:spacing w:before="0" w:beforeAutospacing="0" w:after="0" w:afterAutospacing="0"/>
        <w:jc w:val="both"/>
        <w:rPr>
          <w:sz w:val="20"/>
          <w:szCs w:val="20"/>
        </w:rPr>
      </w:pPr>
      <w:r>
        <w:rPr>
          <w:rStyle w:val="a4"/>
          <w:sz w:val="20"/>
          <w:szCs w:val="20"/>
        </w:rPr>
        <w:t xml:space="preserve">“gpt” </w:t>
      </w:r>
      <w:r>
        <w:rPr>
          <w:sz w:val="20"/>
          <w:szCs w:val="20"/>
        </w:rPr>
        <w:t xml:space="preserve">means grams per tonne. </w:t>
      </w:r>
    </w:p>
    <w:p w14:paraId="54045906" w14:textId="77777777" w:rsidR="00000000" w:rsidRDefault="0015578C">
      <w:pPr>
        <w:pStyle w:val="a3"/>
        <w:spacing w:before="0" w:beforeAutospacing="0" w:after="0" w:afterAutospacing="0"/>
        <w:jc w:val="both"/>
        <w:rPr>
          <w:sz w:val="20"/>
          <w:szCs w:val="20"/>
        </w:rPr>
      </w:pPr>
      <w:r>
        <w:rPr>
          <w:sz w:val="20"/>
          <w:szCs w:val="20"/>
        </w:rPr>
        <w:t> </w:t>
      </w:r>
    </w:p>
    <w:p w14:paraId="45D80EF3" w14:textId="77777777" w:rsidR="00000000" w:rsidRDefault="0015578C">
      <w:pPr>
        <w:pStyle w:val="a3"/>
        <w:spacing w:before="0" w:beforeAutospacing="0" w:after="0" w:afterAutospacing="0"/>
        <w:jc w:val="both"/>
        <w:rPr>
          <w:sz w:val="20"/>
          <w:szCs w:val="20"/>
        </w:rPr>
      </w:pPr>
      <w:r>
        <w:rPr>
          <w:rStyle w:val="a4"/>
          <w:sz w:val="20"/>
          <w:szCs w:val="20"/>
        </w:rPr>
        <w:t>“Indicated Mineral Resource”</w:t>
      </w:r>
      <w:r>
        <w:rPr>
          <w:sz w:val="20"/>
          <w:szCs w:val="20"/>
        </w:rPr>
        <w:t xml:space="preserve"> means that part of a mineral resource for which quantity and grade or quality are estimated on the basis of adequate geological evide</w:t>
      </w:r>
      <w:r>
        <w:rPr>
          <w:sz w:val="20"/>
          <w:szCs w:val="20"/>
        </w:rPr>
        <w:t>nce and sampling.</w:t>
      </w:r>
    </w:p>
    <w:p w14:paraId="0CC25CF8" w14:textId="77777777" w:rsidR="00000000" w:rsidRDefault="0015578C">
      <w:pPr>
        <w:pStyle w:val="a3"/>
        <w:spacing w:before="0" w:beforeAutospacing="0" w:after="0" w:afterAutospacing="0"/>
        <w:jc w:val="both"/>
        <w:rPr>
          <w:sz w:val="20"/>
          <w:szCs w:val="20"/>
        </w:rPr>
      </w:pPr>
      <w:r>
        <w:rPr>
          <w:sz w:val="20"/>
          <w:szCs w:val="20"/>
        </w:rPr>
        <w:t> </w:t>
      </w:r>
    </w:p>
    <w:p w14:paraId="17753DA9" w14:textId="77777777" w:rsidR="00000000" w:rsidRDefault="0015578C">
      <w:pPr>
        <w:pStyle w:val="a3"/>
        <w:spacing w:before="0" w:beforeAutospacing="0" w:after="0" w:afterAutospacing="0"/>
        <w:jc w:val="both"/>
        <w:rPr>
          <w:sz w:val="20"/>
          <w:szCs w:val="20"/>
        </w:rPr>
      </w:pPr>
      <w:r>
        <w:rPr>
          <w:rStyle w:val="a4"/>
          <w:sz w:val="20"/>
          <w:szCs w:val="20"/>
        </w:rPr>
        <w:t>“Inferred Mineral Resource”</w:t>
      </w:r>
      <w:r>
        <w:rPr>
          <w:sz w:val="20"/>
          <w:szCs w:val="20"/>
        </w:rPr>
        <w:t xml:space="preserve"> means that part of a mineral resource for which quantity and grade or quality are estimated on the basis of limited geological evidence and sampling.</w:t>
      </w:r>
    </w:p>
    <w:p w14:paraId="07CB2C47" w14:textId="77777777" w:rsidR="00000000" w:rsidRDefault="0015578C">
      <w:pPr>
        <w:pStyle w:val="a3"/>
        <w:spacing w:before="0" w:beforeAutospacing="0" w:after="0" w:afterAutospacing="0"/>
        <w:jc w:val="both"/>
        <w:rPr>
          <w:sz w:val="20"/>
          <w:szCs w:val="20"/>
        </w:rPr>
      </w:pPr>
      <w:r>
        <w:rPr>
          <w:sz w:val="20"/>
          <w:szCs w:val="20"/>
        </w:rPr>
        <w:t> </w:t>
      </w:r>
    </w:p>
    <w:p w14:paraId="186E55E5" w14:textId="77777777" w:rsidR="00000000" w:rsidRDefault="0015578C">
      <w:pPr>
        <w:pStyle w:val="a3"/>
        <w:spacing w:before="0" w:beforeAutospacing="0" w:after="0" w:afterAutospacing="0"/>
        <w:jc w:val="both"/>
        <w:rPr>
          <w:sz w:val="20"/>
          <w:szCs w:val="20"/>
        </w:rPr>
      </w:pPr>
      <w:r>
        <w:rPr>
          <w:rStyle w:val="a4"/>
          <w:sz w:val="20"/>
          <w:szCs w:val="20"/>
        </w:rPr>
        <w:t>“Karst”</w:t>
      </w:r>
      <w:r>
        <w:rPr>
          <w:sz w:val="20"/>
          <w:szCs w:val="20"/>
        </w:rPr>
        <w:t xml:space="preserve"> </w:t>
      </w:r>
      <w:r>
        <w:rPr>
          <w:sz w:val="20"/>
          <w:szCs w:val="20"/>
        </w:rPr>
        <w:t>means a landscape that is characterized by the features of solution weathering and erosion in the subsurface. These features include caves, sinkholes, disappearing streams, subsurface drainage and deeply incised narrow canyons.</w:t>
      </w:r>
    </w:p>
    <w:p w14:paraId="5BE1EB36" w14:textId="77777777" w:rsidR="00000000" w:rsidRDefault="0015578C">
      <w:pPr>
        <w:pStyle w:val="a3"/>
        <w:spacing w:before="0" w:beforeAutospacing="0" w:after="0" w:afterAutospacing="0"/>
        <w:jc w:val="both"/>
        <w:rPr>
          <w:sz w:val="20"/>
          <w:szCs w:val="20"/>
        </w:rPr>
      </w:pPr>
      <w:r>
        <w:rPr>
          <w:sz w:val="20"/>
          <w:szCs w:val="20"/>
        </w:rPr>
        <w:t> </w:t>
      </w:r>
    </w:p>
    <w:p w14:paraId="0509593A" w14:textId="77777777" w:rsidR="00000000" w:rsidRDefault="0015578C">
      <w:pPr>
        <w:pStyle w:val="a3"/>
        <w:spacing w:before="0" w:beforeAutospacing="0" w:after="0" w:afterAutospacing="0"/>
        <w:jc w:val="both"/>
        <w:rPr>
          <w:sz w:val="20"/>
          <w:szCs w:val="20"/>
        </w:rPr>
      </w:pPr>
      <w:r>
        <w:rPr>
          <w:rStyle w:val="a4"/>
          <w:sz w:val="20"/>
          <w:szCs w:val="20"/>
        </w:rPr>
        <w:t xml:space="preserve">“Limestone” </w:t>
      </w:r>
      <w:r>
        <w:rPr>
          <w:sz w:val="20"/>
          <w:szCs w:val="20"/>
        </w:rPr>
        <w:t>means a bedded</w:t>
      </w:r>
      <w:r>
        <w:rPr>
          <w:sz w:val="20"/>
          <w:szCs w:val="20"/>
        </w:rPr>
        <w:t xml:space="preserve">, sedimentary deposit consisting chiefly of calcium carbonate. </w:t>
      </w:r>
    </w:p>
    <w:p w14:paraId="52B0BB0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486DD9D" w14:textId="77777777">
        <w:trPr>
          <w:trHeight w:val="225"/>
          <w:tblCellSpacing w:w="15" w:type="dxa"/>
        </w:trPr>
        <w:tc>
          <w:tcPr>
            <w:tcW w:w="0" w:type="auto"/>
            <w:vAlign w:val="center"/>
            <w:hideMark/>
          </w:tcPr>
          <w:p w14:paraId="61047EF1" w14:textId="77777777" w:rsidR="00000000" w:rsidRDefault="0015578C">
            <w:pPr>
              <w:rPr>
                <w:rFonts w:eastAsia="Times New Roman"/>
                <w:sz w:val="20"/>
                <w:szCs w:val="20"/>
              </w:rPr>
            </w:pPr>
            <w:r>
              <w:rPr>
                <w:rFonts w:eastAsia="Times New Roman"/>
                <w:sz w:val="20"/>
                <w:szCs w:val="20"/>
              </w:rPr>
              <w:t> </w:t>
            </w:r>
          </w:p>
        </w:tc>
      </w:tr>
      <w:tr w:rsidR="00000000" w14:paraId="5953F160" w14:textId="77777777">
        <w:trPr>
          <w:trHeight w:val="225"/>
          <w:tblCellSpacing w:w="15" w:type="dxa"/>
        </w:trPr>
        <w:tc>
          <w:tcPr>
            <w:tcW w:w="0" w:type="auto"/>
            <w:tcBorders>
              <w:bottom w:val="single" w:sz="6" w:space="0" w:color="000000"/>
            </w:tcBorders>
            <w:vAlign w:val="center"/>
            <w:hideMark/>
          </w:tcPr>
          <w:p w14:paraId="44F07F64" w14:textId="77777777" w:rsidR="00000000" w:rsidRDefault="0015578C">
            <w:pPr>
              <w:jc w:val="center"/>
              <w:rPr>
                <w:rFonts w:eastAsia="Times New Roman"/>
                <w:sz w:val="20"/>
                <w:szCs w:val="20"/>
              </w:rPr>
            </w:pPr>
            <w:r>
              <w:rPr>
                <w:rFonts w:eastAsia="Times New Roman"/>
                <w:sz w:val="20"/>
                <w:szCs w:val="20"/>
              </w:rPr>
              <w:t>35</w:t>
            </w:r>
          </w:p>
        </w:tc>
      </w:tr>
      <w:tr w:rsidR="00000000" w14:paraId="6931EA01" w14:textId="77777777">
        <w:trPr>
          <w:trHeight w:val="225"/>
          <w:tblCellSpacing w:w="15" w:type="dxa"/>
        </w:trPr>
        <w:tc>
          <w:tcPr>
            <w:tcW w:w="0" w:type="auto"/>
            <w:vAlign w:val="center"/>
            <w:hideMark/>
          </w:tcPr>
          <w:p w14:paraId="045FC5BF" w14:textId="77777777" w:rsidR="00000000" w:rsidRDefault="0015578C">
            <w:pPr>
              <w:rPr>
                <w:rFonts w:eastAsia="Times New Roman"/>
                <w:sz w:val="20"/>
                <w:szCs w:val="20"/>
              </w:rPr>
            </w:pPr>
          </w:p>
        </w:tc>
      </w:tr>
      <w:tr w:rsidR="00000000" w14:paraId="68AB896D" w14:textId="77777777">
        <w:trPr>
          <w:trHeight w:val="225"/>
          <w:tblCellSpacing w:w="15" w:type="dxa"/>
        </w:trPr>
        <w:tc>
          <w:tcPr>
            <w:tcW w:w="0" w:type="auto"/>
            <w:vAlign w:val="center"/>
            <w:hideMark/>
          </w:tcPr>
          <w:p w14:paraId="3AEB1C5A"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17C4078C" w14:textId="77777777" w:rsidR="00000000" w:rsidRDefault="0015578C">
      <w:pPr>
        <w:pStyle w:val="a3"/>
        <w:spacing w:before="0" w:beforeAutospacing="0" w:after="0" w:afterAutospacing="0"/>
        <w:jc w:val="both"/>
        <w:rPr>
          <w:sz w:val="20"/>
          <w:szCs w:val="20"/>
        </w:rPr>
      </w:pPr>
      <w:r>
        <w:rPr>
          <w:sz w:val="20"/>
          <w:szCs w:val="20"/>
        </w:rPr>
        <w:t> </w:t>
      </w:r>
    </w:p>
    <w:p w14:paraId="56623D61" w14:textId="77777777" w:rsidR="00000000" w:rsidRDefault="0015578C">
      <w:pPr>
        <w:pStyle w:val="a3"/>
        <w:spacing w:before="0" w:beforeAutospacing="0" w:after="0" w:afterAutospacing="0"/>
        <w:jc w:val="both"/>
        <w:rPr>
          <w:sz w:val="20"/>
          <w:szCs w:val="20"/>
        </w:rPr>
      </w:pPr>
      <w:r>
        <w:rPr>
          <w:rStyle w:val="a4"/>
          <w:sz w:val="20"/>
          <w:szCs w:val="20"/>
        </w:rPr>
        <w:t>“Manto deposits”</w:t>
      </w:r>
      <w:r>
        <w:rPr>
          <w:sz w:val="20"/>
          <w:szCs w:val="20"/>
        </w:rPr>
        <w:t xml:space="preserve"> means replacement ore bodies that are strata bound, irregular to rod shaped ore occurrences usually horizontal or ne</w:t>
      </w:r>
      <w:r>
        <w:rPr>
          <w:sz w:val="20"/>
          <w:szCs w:val="20"/>
        </w:rPr>
        <w:t>ar horizontal in attitude.</w:t>
      </w:r>
    </w:p>
    <w:p w14:paraId="11D9A2EF" w14:textId="77777777" w:rsidR="00000000" w:rsidRDefault="0015578C">
      <w:pPr>
        <w:pStyle w:val="a3"/>
        <w:spacing w:before="0" w:beforeAutospacing="0" w:after="0" w:afterAutospacing="0"/>
        <w:jc w:val="both"/>
        <w:rPr>
          <w:sz w:val="20"/>
          <w:szCs w:val="20"/>
        </w:rPr>
      </w:pPr>
      <w:r>
        <w:rPr>
          <w:sz w:val="20"/>
          <w:szCs w:val="20"/>
        </w:rPr>
        <w:t> </w:t>
      </w:r>
    </w:p>
    <w:p w14:paraId="654C657E" w14:textId="77777777" w:rsidR="00000000" w:rsidRDefault="0015578C">
      <w:pPr>
        <w:pStyle w:val="a3"/>
        <w:spacing w:before="0" w:beforeAutospacing="0" w:after="0" w:afterAutospacing="0"/>
        <w:jc w:val="both"/>
        <w:rPr>
          <w:sz w:val="20"/>
          <w:szCs w:val="20"/>
        </w:rPr>
      </w:pPr>
      <w:r>
        <w:rPr>
          <w:rStyle w:val="a4"/>
          <w:sz w:val="20"/>
          <w:szCs w:val="20"/>
        </w:rPr>
        <w:t xml:space="preserve">“Metabasalts” </w:t>
      </w:r>
      <w:r>
        <w:rPr>
          <w:sz w:val="20"/>
          <w:szCs w:val="20"/>
        </w:rPr>
        <w:t>means generally fine to medium grained basalts, dominated by plagioclase, quartz, amphibole, and biotite rock.</w:t>
      </w:r>
    </w:p>
    <w:p w14:paraId="3EDE753B" w14:textId="77777777" w:rsidR="00000000" w:rsidRDefault="0015578C">
      <w:pPr>
        <w:pStyle w:val="a3"/>
        <w:spacing w:before="0" w:beforeAutospacing="0" w:after="0" w:afterAutospacing="0"/>
        <w:jc w:val="both"/>
        <w:rPr>
          <w:sz w:val="20"/>
          <w:szCs w:val="20"/>
        </w:rPr>
      </w:pPr>
      <w:r>
        <w:rPr>
          <w:sz w:val="20"/>
          <w:szCs w:val="20"/>
        </w:rPr>
        <w:t> </w:t>
      </w:r>
    </w:p>
    <w:p w14:paraId="774425D5" w14:textId="77777777" w:rsidR="00000000" w:rsidRDefault="0015578C">
      <w:pPr>
        <w:pStyle w:val="a3"/>
        <w:spacing w:before="0" w:beforeAutospacing="0" w:after="0" w:afterAutospacing="0"/>
        <w:jc w:val="both"/>
        <w:rPr>
          <w:sz w:val="20"/>
          <w:szCs w:val="20"/>
        </w:rPr>
      </w:pPr>
      <w:r>
        <w:rPr>
          <w:rStyle w:val="a4"/>
          <w:sz w:val="20"/>
          <w:szCs w:val="20"/>
        </w:rPr>
        <w:t>“Measured Mineral Resource”</w:t>
      </w:r>
      <w:r>
        <w:rPr>
          <w:sz w:val="20"/>
          <w:szCs w:val="20"/>
        </w:rPr>
        <w:t xml:space="preserve"> means that part of a mineral resource for which quantity and grade or qu</w:t>
      </w:r>
      <w:r>
        <w:rPr>
          <w:sz w:val="20"/>
          <w:szCs w:val="20"/>
        </w:rPr>
        <w:t>ality are estimated on the basis of conclusive geological evidence and sampling.</w:t>
      </w:r>
    </w:p>
    <w:p w14:paraId="0C6C4E93" w14:textId="77777777" w:rsidR="00000000" w:rsidRDefault="0015578C">
      <w:pPr>
        <w:pStyle w:val="a3"/>
        <w:spacing w:before="0" w:beforeAutospacing="0" w:after="0" w:afterAutospacing="0"/>
        <w:jc w:val="both"/>
        <w:rPr>
          <w:sz w:val="20"/>
          <w:szCs w:val="20"/>
        </w:rPr>
      </w:pPr>
      <w:r>
        <w:rPr>
          <w:sz w:val="20"/>
          <w:szCs w:val="20"/>
        </w:rPr>
        <w:t> </w:t>
      </w:r>
    </w:p>
    <w:p w14:paraId="320F09FC" w14:textId="77777777" w:rsidR="00000000" w:rsidRDefault="0015578C">
      <w:pPr>
        <w:pStyle w:val="a3"/>
        <w:spacing w:before="0" w:beforeAutospacing="0" w:after="0" w:afterAutospacing="0"/>
        <w:jc w:val="both"/>
        <w:rPr>
          <w:sz w:val="20"/>
          <w:szCs w:val="20"/>
        </w:rPr>
      </w:pPr>
      <w:r>
        <w:rPr>
          <w:rStyle w:val="a4"/>
          <w:sz w:val="20"/>
          <w:szCs w:val="20"/>
        </w:rPr>
        <w:t>“Mineral Resource”</w:t>
      </w:r>
      <w:r>
        <w:rPr>
          <w:sz w:val="20"/>
          <w:szCs w:val="20"/>
        </w:rPr>
        <w:t xml:space="preserve"> </w:t>
      </w:r>
      <w:r>
        <w:rPr>
          <w:sz w:val="20"/>
          <w:szCs w:val="20"/>
        </w:rPr>
        <w:t>means as a concentration or occurrence of material of economic interest in or on the earth’s crust in such form, grade or quality, and quantity that there are reasonable prospects for its economic extraction.</w:t>
      </w:r>
    </w:p>
    <w:p w14:paraId="05FEE550" w14:textId="77777777" w:rsidR="00000000" w:rsidRDefault="0015578C">
      <w:pPr>
        <w:pStyle w:val="a3"/>
        <w:spacing w:before="0" w:beforeAutospacing="0" w:after="0" w:afterAutospacing="0"/>
        <w:jc w:val="both"/>
        <w:rPr>
          <w:sz w:val="20"/>
          <w:szCs w:val="20"/>
        </w:rPr>
      </w:pPr>
      <w:r>
        <w:rPr>
          <w:sz w:val="20"/>
          <w:szCs w:val="20"/>
        </w:rPr>
        <w:t> </w:t>
      </w:r>
    </w:p>
    <w:p w14:paraId="1EAFDC98" w14:textId="77777777" w:rsidR="00000000" w:rsidRDefault="0015578C">
      <w:pPr>
        <w:pStyle w:val="a3"/>
        <w:spacing w:before="0" w:beforeAutospacing="0" w:after="0" w:afterAutospacing="0"/>
        <w:jc w:val="both"/>
        <w:rPr>
          <w:sz w:val="20"/>
          <w:szCs w:val="20"/>
        </w:rPr>
      </w:pPr>
      <w:r>
        <w:rPr>
          <w:rStyle w:val="a4"/>
          <w:sz w:val="20"/>
          <w:szCs w:val="20"/>
        </w:rPr>
        <w:t xml:space="preserve">“Minnelusa” </w:t>
      </w:r>
      <w:r>
        <w:rPr>
          <w:sz w:val="20"/>
          <w:szCs w:val="20"/>
        </w:rPr>
        <w:t>means a formation as a geologic u</w:t>
      </w:r>
      <w:r>
        <w:rPr>
          <w:sz w:val="20"/>
          <w:szCs w:val="20"/>
        </w:rPr>
        <w:t>nit of primarily limestone and dolomite found in the Black hills of South Dakota of the Permian to Pennsylvanian aged limestones and dolomites.</w:t>
      </w:r>
    </w:p>
    <w:p w14:paraId="5BAE8557" w14:textId="77777777" w:rsidR="00000000" w:rsidRDefault="0015578C">
      <w:pPr>
        <w:pStyle w:val="a3"/>
        <w:spacing w:before="0" w:beforeAutospacing="0" w:after="0" w:afterAutospacing="0"/>
        <w:jc w:val="both"/>
        <w:rPr>
          <w:sz w:val="20"/>
          <w:szCs w:val="20"/>
        </w:rPr>
      </w:pPr>
      <w:r>
        <w:rPr>
          <w:sz w:val="20"/>
          <w:szCs w:val="20"/>
        </w:rPr>
        <w:t> </w:t>
      </w:r>
    </w:p>
    <w:p w14:paraId="513E3771" w14:textId="77777777" w:rsidR="00000000" w:rsidRDefault="0015578C">
      <w:pPr>
        <w:pStyle w:val="a3"/>
        <w:spacing w:before="0" w:beforeAutospacing="0" w:after="0" w:afterAutospacing="0"/>
        <w:jc w:val="both"/>
        <w:rPr>
          <w:sz w:val="20"/>
          <w:szCs w:val="20"/>
        </w:rPr>
      </w:pPr>
      <w:r>
        <w:rPr>
          <w:rStyle w:val="a4"/>
          <w:sz w:val="20"/>
          <w:szCs w:val="20"/>
        </w:rPr>
        <w:t>“Mineralization”</w:t>
      </w:r>
      <w:r>
        <w:rPr>
          <w:sz w:val="20"/>
          <w:szCs w:val="20"/>
        </w:rPr>
        <w:t xml:space="preserve"> means the concentration of metals within a body of rock. </w:t>
      </w:r>
    </w:p>
    <w:p w14:paraId="5AE1C5E9" w14:textId="77777777" w:rsidR="00000000" w:rsidRDefault="0015578C">
      <w:pPr>
        <w:pStyle w:val="a3"/>
        <w:spacing w:before="0" w:beforeAutospacing="0" w:after="0" w:afterAutospacing="0"/>
        <w:jc w:val="both"/>
        <w:rPr>
          <w:sz w:val="20"/>
          <w:szCs w:val="20"/>
        </w:rPr>
      </w:pPr>
      <w:r>
        <w:rPr>
          <w:sz w:val="20"/>
          <w:szCs w:val="20"/>
        </w:rPr>
        <w:t> </w:t>
      </w:r>
    </w:p>
    <w:p w14:paraId="22727003" w14:textId="77777777" w:rsidR="00000000" w:rsidRDefault="0015578C">
      <w:pPr>
        <w:pStyle w:val="a3"/>
        <w:spacing w:before="0" w:beforeAutospacing="0" w:after="0" w:afterAutospacing="0"/>
        <w:jc w:val="both"/>
        <w:rPr>
          <w:sz w:val="20"/>
          <w:szCs w:val="20"/>
        </w:rPr>
      </w:pPr>
      <w:r>
        <w:rPr>
          <w:rStyle w:val="a4"/>
          <w:sz w:val="20"/>
          <w:szCs w:val="20"/>
        </w:rPr>
        <w:t>“NSR”</w:t>
      </w:r>
      <w:r>
        <w:rPr>
          <w:sz w:val="20"/>
          <w:szCs w:val="20"/>
        </w:rPr>
        <w:t xml:space="preserve"> means net smelter return ro</w:t>
      </w:r>
      <w:r>
        <w:rPr>
          <w:sz w:val="20"/>
          <w:szCs w:val="20"/>
        </w:rPr>
        <w:t xml:space="preserve">yalty. </w:t>
      </w:r>
    </w:p>
    <w:p w14:paraId="1B3FD9F1" w14:textId="77777777" w:rsidR="00000000" w:rsidRDefault="0015578C">
      <w:pPr>
        <w:pStyle w:val="a3"/>
        <w:spacing w:before="0" w:beforeAutospacing="0" w:after="0" w:afterAutospacing="0"/>
        <w:jc w:val="both"/>
        <w:rPr>
          <w:sz w:val="20"/>
          <w:szCs w:val="20"/>
        </w:rPr>
      </w:pPr>
      <w:r>
        <w:rPr>
          <w:sz w:val="20"/>
          <w:szCs w:val="20"/>
        </w:rPr>
        <w:t> </w:t>
      </w:r>
    </w:p>
    <w:p w14:paraId="7B98A486" w14:textId="77777777" w:rsidR="00000000" w:rsidRDefault="0015578C">
      <w:pPr>
        <w:pStyle w:val="a3"/>
        <w:spacing w:before="0" w:beforeAutospacing="0" w:after="0" w:afterAutospacing="0"/>
        <w:jc w:val="both"/>
        <w:rPr>
          <w:sz w:val="20"/>
          <w:szCs w:val="20"/>
        </w:rPr>
      </w:pPr>
      <w:r>
        <w:rPr>
          <w:rStyle w:val="a4"/>
          <w:sz w:val="20"/>
          <w:szCs w:val="20"/>
        </w:rPr>
        <w:t>“Ore”</w:t>
      </w:r>
      <w:r>
        <w:rPr>
          <w:sz w:val="20"/>
          <w:szCs w:val="20"/>
        </w:rPr>
        <w:t xml:space="preserve"> means material containing minerals that can be economically extracted. </w:t>
      </w:r>
    </w:p>
    <w:p w14:paraId="29ECAECE" w14:textId="77777777" w:rsidR="00000000" w:rsidRDefault="0015578C">
      <w:pPr>
        <w:pStyle w:val="a3"/>
        <w:spacing w:before="0" w:beforeAutospacing="0" w:after="0" w:afterAutospacing="0"/>
        <w:jc w:val="both"/>
        <w:rPr>
          <w:sz w:val="20"/>
          <w:szCs w:val="20"/>
        </w:rPr>
      </w:pPr>
      <w:r>
        <w:rPr>
          <w:sz w:val="20"/>
          <w:szCs w:val="20"/>
        </w:rPr>
        <w:t> </w:t>
      </w:r>
    </w:p>
    <w:p w14:paraId="77FACDB4" w14:textId="77777777" w:rsidR="00000000" w:rsidRDefault="0015578C">
      <w:pPr>
        <w:pStyle w:val="a3"/>
        <w:spacing w:before="0" w:beforeAutospacing="0" w:after="0" w:afterAutospacing="0"/>
        <w:jc w:val="both"/>
        <w:rPr>
          <w:sz w:val="20"/>
          <w:szCs w:val="20"/>
        </w:rPr>
      </w:pPr>
      <w:r>
        <w:rPr>
          <w:rStyle w:val="a4"/>
          <w:sz w:val="20"/>
          <w:szCs w:val="20"/>
        </w:rPr>
        <w:t>“Ounce”</w:t>
      </w:r>
      <w:r>
        <w:rPr>
          <w:sz w:val="20"/>
          <w:szCs w:val="20"/>
        </w:rPr>
        <w:t xml:space="preserve"> means a troy ounce. </w:t>
      </w:r>
    </w:p>
    <w:p w14:paraId="6BB26D6C" w14:textId="77777777" w:rsidR="00000000" w:rsidRDefault="0015578C">
      <w:pPr>
        <w:pStyle w:val="a3"/>
        <w:spacing w:before="0" w:beforeAutospacing="0" w:after="0" w:afterAutospacing="0"/>
        <w:jc w:val="both"/>
        <w:rPr>
          <w:sz w:val="20"/>
          <w:szCs w:val="20"/>
        </w:rPr>
      </w:pPr>
      <w:r>
        <w:rPr>
          <w:sz w:val="20"/>
          <w:szCs w:val="20"/>
        </w:rPr>
        <w:t> </w:t>
      </w:r>
    </w:p>
    <w:p w14:paraId="371CABF7" w14:textId="77777777" w:rsidR="00000000" w:rsidRDefault="0015578C">
      <w:pPr>
        <w:pStyle w:val="a3"/>
        <w:spacing w:before="0" w:beforeAutospacing="0" w:after="0" w:afterAutospacing="0"/>
        <w:jc w:val="both"/>
        <w:rPr>
          <w:sz w:val="20"/>
          <w:szCs w:val="20"/>
        </w:rPr>
      </w:pPr>
      <w:r>
        <w:rPr>
          <w:rStyle w:val="a4"/>
          <w:sz w:val="20"/>
          <w:szCs w:val="20"/>
        </w:rPr>
        <w:t>“Oxide”</w:t>
      </w:r>
      <w:r>
        <w:rPr>
          <w:sz w:val="20"/>
          <w:szCs w:val="20"/>
        </w:rPr>
        <w:t xml:space="preserve"> means a mineral class in which the chemical compound typically contains an 0 -2 oxygen atom in its chemical formula.</w:t>
      </w:r>
    </w:p>
    <w:p w14:paraId="61FDF394" w14:textId="77777777" w:rsidR="00000000" w:rsidRDefault="0015578C">
      <w:pPr>
        <w:pStyle w:val="a3"/>
        <w:spacing w:before="0" w:beforeAutospacing="0" w:after="0" w:afterAutospacing="0"/>
        <w:jc w:val="both"/>
        <w:rPr>
          <w:sz w:val="20"/>
          <w:szCs w:val="20"/>
        </w:rPr>
      </w:pPr>
      <w:r>
        <w:rPr>
          <w:sz w:val="20"/>
          <w:szCs w:val="20"/>
        </w:rPr>
        <w:t> </w:t>
      </w:r>
    </w:p>
    <w:p w14:paraId="66764E3A" w14:textId="77777777" w:rsidR="00000000" w:rsidRDefault="0015578C">
      <w:pPr>
        <w:pStyle w:val="a3"/>
        <w:spacing w:before="0" w:beforeAutospacing="0" w:after="0" w:afterAutospacing="0"/>
        <w:jc w:val="both"/>
        <w:rPr>
          <w:sz w:val="20"/>
          <w:szCs w:val="20"/>
        </w:rPr>
      </w:pPr>
      <w:r>
        <w:rPr>
          <w:rStyle w:val="a4"/>
          <w:sz w:val="20"/>
          <w:szCs w:val="20"/>
        </w:rPr>
        <w:t>“Pahasap</w:t>
      </w:r>
      <w:r>
        <w:rPr>
          <w:rStyle w:val="a4"/>
          <w:sz w:val="20"/>
          <w:szCs w:val="20"/>
        </w:rPr>
        <w:t xml:space="preserve">a” </w:t>
      </w:r>
      <w:r>
        <w:rPr>
          <w:sz w:val="20"/>
          <w:szCs w:val="20"/>
        </w:rPr>
        <w:t>means a formation as a geologic unit of primarily limestone and dolomite that is exposed in the Black hills of South Dakota of Mississippian aged limestones and dolomites.</w:t>
      </w:r>
    </w:p>
    <w:p w14:paraId="63A402A0" w14:textId="77777777" w:rsidR="00000000" w:rsidRDefault="0015578C">
      <w:pPr>
        <w:pStyle w:val="a3"/>
        <w:spacing w:before="0" w:beforeAutospacing="0" w:after="0" w:afterAutospacing="0"/>
        <w:jc w:val="both"/>
        <w:rPr>
          <w:sz w:val="20"/>
          <w:szCs w:val="20"/>
        </w:rPr>
      </w:pPr>
      <w:r>
        <w:rPr>
          <w:sz w:val="20"/>
          <w:szCs w:val="20"/>
        </w:rPr>
        <w:t> </w:t>
      </w:r>
    </w:p>
    <w:p w14:paraId="2605A21F" w14:textId="77777777" w:rsidR="00000000" w:rsidRDefault="0015578C">
      <w:pPr>
        <w:pStyle w:val="a3"/>
        <w:spacing w:before="0" w:beforeAutospacing="0" w:after="0" w:afterAutospacing="0"/>
        <w:jc w:val="both"/>
        <w:rPr>
          <w:sz w:val="20"/>
          <w:szCs w:val="20"/>
        </w:rPr>
      </w:pPr>
      <w:r>
        <w:rPr>
          <w:rStyle w:val="a4"/>
          <w:sz w:val="20"/>
          <w:szCs w:val="20"/>
        </w:rPr>
        <w:t xml:space="preserve">”Plagioclaste” </w:t>
      </w:r>
      <w:r>
        <w:rPr>
          <w:sz w:val="20"/>
          <w:szCs w:val="20"/>
        </w:rPr>
        <w:t>means a group of feldspar minerals that form a solid solution se</w:t>
      </w:r>
      <w:r>
        <w:rPr>
          <w:sz w:val="20"/>
          <w:szCs w:val="20"/>
        </w:rPr>
        <w:t>ries ranging from pure albite, Na(AlSi</w:t>
      </w:r>
      <w:r>
        <w:rPr>
          <w:sz w:val="20"/>
          <w:szCs w:val="20"/>
          <w:vertAlign w:val="subscript"/>
        </w:rPr>
        <w:t>3</w:t>
      </w:r>
      <w:r>
        <w:rPr>
          <w:sz w:val="20"/>
          <w:szCs w:val="20"/>
        </w:rPr>
        <w:t>O</w:t>
      </w:r>
      <w:r>
        <w:rPr>
          <w:sz w:val="20"/>
          <w:szCs w:val="20"/>
          <w:vertAlign w:val="subscript"/>
        </w:rPr>
        <w:t>8</w:t>
      </w:r>
      <w:r>
        <w:rPr>
          <w:sz w:val="20"/>
          <w:szCs w:val="20"/>
        </w:rPr>
        <w:t>), to pure anorthite, Ca(Al</w:t>
      </w:r>
      <w:r>
        <w:rPr>
          <w:sz w:val="20"/>
          <w:szCs w:val="20"/>
          <w:vertAlign w:val="subscript"/>
        </w:rPr>
        <w:t>2</w:t>
      </w:r>
      <w:r>
        <w:rPr>
          <w:sz w:val="20"/>
          <w:szCs w:val="20"/>
        </w:rPr>
        <w:t>Si</w:t>
      </w:r>
      <w:r>
        <w:rPr>
          <w:sz w:val="20"/>
          <w:szCs w:val="20"/>
          <w:vertAlign w:val="subscript"/>
        </w:rPr>
        <w:t>2</w:t>
      </w:r>
      <w:r>
        <w:rPr>
          <w:sz w:val="20"/>
          <w:szCs w:val="20"/>
        </w:rPr>
        <w:t>O</w:t>
      </w:r>
      <w:r>
        <w:rPr>
          <w:sz w:val="20"/>
          <w:szCs w:val="20"/>
          <w:vertAlign w:val="subscript"/>
        </w:rPr>
        <w:t>8</w:t>
      </w:r>
      <w:r>
        <w:rPr>
          <w:sz w:val="20"/>
          <w:szCs w:val="20"/>
        </w:rPr>
        <w:t>). </w:t>
      </w:r>
    </w:p>
    <w:p w14:paraId="41294B9D" w14:textId="77777777" w:rsidR="00000000" w:rsidRDefault="0015578C">
      <w:pPr>
        <w:pStyle w:val="a3"/>
        <w:spacing w:before="0" w:beforeAutospacing="0" w:after="0" w:afterAutospacing="0"/>
        <w:jc w:val="both"/>
        <w:rPr>
          <w:sz w:val="20"/>
          <w:szCs w:val="20"/>
        </w:rPr>
      </w:pPr>
      <w:r>
        <w:rPr>
          <w:sz w:val="20"/>
          <w:szCs w:val="20"/>
        </w:rPr>
        <w:t> </w:t>
      </w:r>
    </w:p>
    <w:p w14:paraId="6846A365" w14:textId="77777777" w:rsidR="00000000" w:rsidRDefault="0015578C">
      <w:pPr>
        <w:pStyle w:val="a3"/>
        <w:spacing w:before="0" w:beforeAutospacing="0" w:after="0" w:afterAutospacing="0"/>
        <w:jc w:val="both"/>
        <w:rPr>
          <w:sz w:val="20"/>
          <w:szCs w:val="20"/>
        </w:rPr>
      </w:pPr>
      <w:r>
        <w:rPr>
          <w:rStyle w:val="a4"/>
          <w:sz w:val="20"/>
          <w:szCs w:val="20"/>
        </w:rPr>
        <w:t>“Pyrite”</w:t>
      </w:r>
      <w:r>
        <w:rPr>
          <w:sz w:val="20"/>
          <w:szCs w:val="20"/>
        </w:rPr>
        <w:t xml:space="preserve"> means a compound of iron sulfide (FeSO2) commonly found in mineral rich areas.   </w:t>
      </w:r>
    </w:p>
    <w:p w14:paraId="78F73FF7" w14:textId="77777777" w:rsidR="00000000" w:rsidRDefault="0015578C">
      <w:pPr>
        <w:pStyle w:val="a3"/>
        <w:spacing w:before="0" w:beforeAutospacing="0" w:after="0" w:afterAutospacing="0"/>
        <w:jc w:val="both"/>
        <w:rPr>
          <w:sz w:val="20"/>
          <w:szCs w:val="20"/>
        </w:rPr>
      </w:pPr>
      <w:r>
        <w:rPr>
          <w:sz w:val="20"/>
          <w:szCs w:val="20"/>
        </w:rPr>
        <w:t> </w:t>
      </w:r>
    </w:p>
    <w:p w14:paraId="405DE49C" w14:textId="77777777" w:rsidR="00000000" w:rsidRDefault="0015578C">
      <w:pPr>
        <w:pStyle w:val="a3"/>
        <w:spacing w:before="0" w:beforeAutospacing="0" w:after="0" w:afterAutospacing="0"/>
        <w:jc w:val="both"/>
        <w:rPr>
          <w:sz w:val="20"/>
          <w:szCs w:val="20"/>
        </w:rPr>
      </w:pPr>
      <w:r>
        <w:rPr>
          <w:rStyle w:val="a4"/>
          <w:sz w:val="20"/>
          <w:szCs w:val="20"/>
        </w:rPr>
        <w:t>“Reserves”</w:t>
      </w:r>
      <w:r>
        <w:rPr>
          <w:sz w:val="20"/>
          <w:szCs w:val="20"/>
        </w:rPr>
        <w:t xml:space="preserve"> or </w:t>
      </w:r>
      <w:r>
        <w:rPr>
          <w:rStyle w:val="a4"/>
          <w:sz w:val="20"/>
          <w:szCs w:val="20"/>
        </w:rPr>
        <w:t>“Mineral Reserve”</w:t>
      </w:r>
      <w:r>
        <w:rPr>
          <w:sz w:val="20"/>
          <w:szCs w:val="20"/>
        </w:rPr>
        <w:t xml:space="preserve"> </w:t>
      </w:r>
      <w:r>
        <w:rPr>
          <w:sz w:val="20"/>
          <w:szCs w:val="20"/>
        </w:rPr>
        <w:t xml:space="preserve">means that part of a mineral deposit, which could be economically and legally extracted or produced at the time of the reserve determination. </w:t>
      </w:r>
    </w:p>
    <w:p w14:paraId="6D181481" w14:textId="77777777" w:rsidR="00000000" w:rsidRDefault="0015578C">
      <w:pPr>
        <w:pStyle w:val="a3"/>
        <w:spacing w:before="0" w:beforeAutospacing="0" w:after="0" w:afterAutospacing="0"/>
        <w:jc w:val="both"/>
        <w:rPr>
          <w:sz w:val="20"/>
          <w:szCs w:val="20"/>
        </w:rPr>
      </w:pPr>
      <w:r>
        <w:rPr>
          <w:sz w:val="20"/>
          <w:szCs w:val="20"/>
        </w:rPr>
        <w:t> </w:t>
      </w:r>
    </w:p>
    <w:p w14:paraId="4FD77EEA" w14:textId="77777777" w:rsidR="00000000" w:rsidRDefault="0015578C">
      <w:pPr>
        <w:pStyle w:val="a3"/>
        <w:spacing w:before="0" w:beforeAutospacing="0" w:after="0" w:afterAutospacing="0"/>
        <w:jc w:val="both"/>
        <w:rPr>
          <w:sz w:val="20"/>
          <w:szCs w:val="20"/>
        </w:rPr>
      </w:pPr>
      <w:r>
        <w:rPr>
          <w:rStyle w:val="a4"/>
          <w:sz w:val="20"/>
          <w:szCs w:val="20"/>
        </w:rPr>
        <w:t>“Sampling”</w:t>
      </w:r>
      <w:r>
        <w:rPr>
          <w:sz w:val="20"/>
          <w:szCs w:val="20"/>
        </w:rPr>
        <w:t xml:space="preserve"> means selecting a fractional, but representative, part of a mineral deposit for analysis. </w:t>
      </w:r>
    </w:p>
    <w:p w14:paraId="192CC023" w14:textId="77777777" w:rsidR="00000000" w:rsidRDefault="0015578C">
      <w:pPr>
        <w:pStyle w:val="a3"/>
        <w:spacing w:before="0" w:beforeAutospacing="0" w:after="0" w:afterAutospacing="0"/>
        <w:jc w:val="both"/>
        <w:rPr>
          <w:sz w:val="20"/>
          <w:szCs w:val="20"/>
        </w:rPr>
      </w:pPr>
      <w:r>
        <w:rPr>
          <w:sz w:val="20"/>
          <w:szCs w:val="20"/>
        </w:rPr>
        <w:t> </w:t>
      </w:r>
    </w:p>
    <w:p w14:paraId="64D3AC1F" w14:textId="77777777" w:rsidR="00000000" w:rsidRDefault="0015578C">
      <w:pPr>
        <w:pStyle w:val="a3"/>
        <w:spacing w:before="0" w:beforeAutospacing="0" w:after="0" w:afterAutospacing="0"/>
        <w:jc w:val="both"/>
        <w:rPr>
          <w:sz w:val="20"/>
          <w:szCs w:val="20"/>
        </w:rPr>
      </w:pPr>
      <w:r>
        <w:rPr>
          <w:rStyle w:val="a4"/>
          <w:sz w:val="20"/>
          <w:szCs w:val="20"/>
        </w:rPr>
        <w:t>“Shale”</w:t>
      </w:r>
      <w:r>
        <w:rPr>
          <w:sz w:val="20"/>
          <w:szCs w:val="20"/>
        </w:rPr>
        <w:t xml:space="preserve"> means a fine-grained sedimentary rock that forms from the compaction of silt and clay commonly referred to as mud. </w:t>
      </w:r>
    </w:p>
    <w:p w14:paraId="277EFDF3" w14:textId="77777777" w:rsidR="00000000" w:rsidRDefault="0015578C">
      <w:pPr>
        <w:pStyle w:val="a3"/>
        <w:spacing w:before="0" w:beforeAutospacing="0" w:after="0" w:afterAutospacing="0"/>
        <w:jc w:val="both"/>
        <w:rPr>
          <w:sz w:val="20"/>
          <w:szCs w:val="20"/>
        </w:rPr>
      </w:pPr>
      <w:r>
        <w:rPr>
          <w:sz w:val="20"/>
          <w:szCs w:val="20"/>
        </w:rPr>
        <w:t> </w:t>
      </w:r>
    </w:p>
    <w:p w14:paraId="4DE12134" w14:textId="77777777" w:rsidR="00000000" w:rsidRDefault="0015578C">
      <w:pPr>
        <w:pStyle w:val="a3"/>
        <w:spacing w:before="0" w:beforeAutospacing="0" w:after="0" w:afterAutospacing="0"/>
        <w:jc w:val="both"/>
        <w:rPr>
          <w:sz w:val="20"/>
          <w:szCs w:val="20"/>
        </w:rPr>
      </w:pPr>
      <w:r>
        <w:rPr>
          <w:rStyle w:val="a4"/>
          <w:sz w:val="20"/>
          <w:szCs w:val="20"/>
        </w:rPr>
        <w:t>“Sediment”</w:t>
      </w:r>
      <w:r>
        <w:rPr>
          <w:sz w:val="20"/>
          <w:szCs w:val="20"/>
        </w:rPr>
        <w:t xml:space="preserve"> means solid material settled from suspension in a liquid. </w:t>
      </w:r>
    </w:p>
    <w:p w14:paraId="50C39E22" w14:textId="77777777" w:rsidR="00000000" w:rsidRDefault="0015578C">
      <w:pPr>
        <w:pStyle w:val="a3"/>
        <w:spacing w:before="0" w:beforeAutospacing="0" w:after="0" w:afterAutospacing="0"/>
        <w:jc w:val="both"/>
        <w:rPr>
          <w:sz w:val="20"/>
          <w:szCs w:val="20"/>
        </w:rPr>
      </w:pPr>
      <w:r>
        <w:rPr>
          <w:sz w:val="20"/>
          <w:szCs w:val="20"/>
        </w:rPr>
        <w:t> </w:t>
      </w:r>
    </w:p>
    <w:p w14:paraId="7B965ACF" w14:textId="77777777" w:rsidR="00000000" w:rsidRDefault="0015578C">
      <w:pPr>
        <w:pStyle w:val="a3"/>
        <w:spacing w:before="0" w:beforeAutospacing="0" w:after="0" w:afterAutospacing="0"/>
        <w:jc w:val="both"/>
        <w:rPr>
          <w:sz w:val="20"/>
          <w:szCs w:val="20"/>
        </w:rPr>
      </w:pPr>
      <w:r>
        <w:rPr>
          <w:rStyle w:val="a4"/>
          <w:sz w:val="20"/>
          <w:szCs w:val="20"/>
        </w:rPr>
        <w:t>“</w:t>
      </w:r>
      <w:r>
        <w:rPr>
          <w:rStyle w:val="a4"/>
          <w:sz w:val="20"/>
          <w:szCs w:val="20"/>
        </w:rPr>
        <w:t xml:space="preserve">Sedimentary Exhalative Deposits (SEDEX)” </w:t>
      </w:r>
      <w:r>
        <w:rPr>
          <w:sz w:val="20"/>
          <w:szCs w:val="20"/>
        </w:rPr>
        <w:t>means ore deposits which have been formed by the release of ore-bearing hydrothermal fluids into a water reservoir.</w:t>
      </w:r>
    </w:p>
    <w:p w14:paraId="5226BCF2" w14:textId="77777777" w:rsidR="00000000" w:rsidRDefault="0015578C">
      <w:pPr>
        <w:pStyle w:val="a3"/>
        <w:spacing w:before="0" w:beforeAutospacing="0" w:after="0" w:afterAutospacing="0"/>
        <w:jc w:val="both"/>
        <w:rPr>
          <w:sz w:val="20"/>
          <w:szCs w:val="20"/>
        </w:rPr>
      </w:pPr>
      <w:r>
        <w:rPr>
          <w:sz w:val="20"/>
          <w:szCs w:val="20"/>
        </w:rPr>
        <w:t> </w:t>
      </w:r>
    </w:p>
    <w:p w14:paraId="332B7299" w14:textId="77777777" w:rsidR="00000000" w:rsidRDefault="0015578C">
      <w:pPr>
        <w:pStyle w:val="a3"/>
        <w:spacing w:before="0" w:beforeAutospacing="0" w:after="0" w:afterAutospacing="0"/>
        <w:jc w:val="both"/>
        <w:rPr>
          <w:sz w:val="20"/>
          <w:szCs w:val="20"/>
        </w:rPr>
      </w:pPr>
      <w:r>
        <w:rPr>
          <w:rStyle w:val="a4"/>
          <w:sz w:val="20"/>
          <w:szCs w:val="20"/>
        </w:rPr>
        <w:t xml:space="preserve">“Silicification” </w:t>
      </w:r>
      <w:r>
        <w:rPr>
          <w:sz w:val="20"/>
          <w:szCs w:val="20"/>
        </w:rPr>
        <w:t>means the process in which organic matter becomes saturated with silica (silicon</w:t>
      </w:r>
      <w:r>
        <w:rPr>
          <w:sz w:val="20"/>
          <w:szCs w:val="20"/>
        </w:rPr>
        <w:t xml:space="preserve"> dioxide).</w:t>
      </w:r>
    </w:p>
    <w:p w14:paraId="24D81387" w14:textId="77777777" w:rsidR="00000000" w:rsidRDefault="0015578C">
      <w:pPr>
        <w:pStyle w:val="a3"/>
        <w:spacing w:before="0" w:beforeAutospacing="0" w:after="0" w:afterAutospacing="0"/>
        <w:jc w:val="both"/>
        <w:rPr>
          <w:sz w:val="20"/>
          <w:szCs w:val="20"/>
        </w:rPr>
      </w:pPr>
      <w:r>
        <w:rPr>
          <w:sz w:val="20"/>
          <w:szCs w:val="20"/>
        </w:rPr>
        <w:t> </w:t>
      </w:r>
    </w:p>
    <w:p w14:paraId="1071E183" w14:textId="77777777" w:rsidR="00000000" w:rsidRDefault="0015578C">
      <w:pPr>
        <w:pStyle w:val="a3"/>
        <w:spacing w:before="0" w:beforeAutospacing="0" w:after="0" w:afterAutospacing="0"/>
        <w:jc w:val="both"/>
        <w:rPr>
          <w:sz w:val="20"/>
          <w:szCs w:val="20"/>
        </w:rPr>
      </w:pPr>
      <w:r>
        <w:rPr>
          <w:rStyle w:val="a4"/>
          <w:sz w:val="20"/>
          <w:szCs w:val="20"/>
        </w:rPr>
        <w:t>“Sphalerite”</w:t>
      </w:r>
      <w:r>
        <w:rPr>
          <w:sz w:val="20"/>
          <w:szCs w:val="20"/>
        </w:rPr>
        <w:t xml:space="preserve"> means a very common mineral, zinc sulfide, usually containing some iron and a little cadmium, occurring in yellow, brown, or black crystals or cleavable masses with resinous luster and it is the principal ore of zinc. </w:t>
      </w:r>
    </w:p>
    <w:p w14:paraId="7BE50C4B" w14:textId="77777777" w:rsidR="00000000" w:rsidRDefault="0015578C">
      <w:pPr>
        <w:pStyle w:val="a3"/>
        <w:spacing w:before="0" w:beforeAutospacing="0" w:after="0" w:afterAutospacing="0"/>
        <w:jc w:val="both"/>
        <w:rPr>
          <w:sz w:val="20"/>
          <w:szCs w:val="20"/>
        </w:rPr>
      </w:pPr>
      <w:r>
        <w:rPr>
          <w:sz w:val="20"/>
          <w:szCs w:val="20"/>
        </w:rPr>
        <w:t> </w:t>
      </w:r>
    </w:p>
    <w:p w14:paraId="1D1591CF" w14:textId="77777777" w:rsidR="00000000" w:rsidRDefault="0015578C">
      <w:pPr>
        <w:pStyle w:val="a3"/>
        <w:spacing w:before="0" w:beforeAutospacing="0" w:after="0" w:afterAutospacing="0"/>
        <w:jc w:val="both"/>
        <w:rPr>
          <w:sz w:val="20"/>
          <w:szCs w:val="20"/>
        </w:rPr>
      </w:pPr>
      <w:r>
        <w:rPr>
          <w:rStyle w:val="a4"/>
          <w:sz w:val="20"/>
          <w:szCs w:val="20"/>
        </w:rPr>
        <w:t>“Spectrop</w:t>
      </w:r>
      <w:r>
        <w:rPr>
          <w:rStyle w:val="a4"/>
          <w:sz w:val="20"/>
          <w:szCs w:val="20"/>
        </w:rPr>
        <w:t xml:space="preserve">hotometry” </w:t>
      </w:r>
      <w:r>
        <w:rPr>
          <w:sz w:val="20"/>
          <w:szCs w:val="20"/>
        </w:rPr>
        <w:t xml:space="preserve">means the quantitative measurement of the reflection properties of a material as a function of its wavelength.  </w:t>
      </w:r>
    </w:p>
    <w:p w14:paraId="5F876FB7" w14:textId="77777777" w:rsidR="00000000" w:rsidRDefault="0015578C">
      <w:pPr>
        <w:pStyle w:val="a3"/>
        <w:spacing w:before="0" w:beforeAutospacing="0" w:after="0" w:afterAutospacing="0"/>
        <w:jc w:val="both"/>
        <w:rPr>
          <w:sz w:val="20"/>
          <w:szCs w:val="20"/>
        </w:rPr>
      </w:pPr>
      <w:r>
        <w:rPr>
          <w:sz w:val="20"/>
          <w:szCs w:val="20"/>
        </w:rPr>
        <w:t> </w:t>
      </w:r>
    </w:p>
    <w:p w14:paraId="69D59E30" w14:textId="77777777" w:rsidR="00000000" w:rsidRDefault="0015578C">
      <w:pPr>
        <w:pStyle w:val="a3"/>
        <w:spacing w:before="0" w:beforeAutospacing="0" w:after="0" w:afterAutospacing="0"/>
        <w:jc w:val="both"/>
        <w:rPr>
          <w:sz w:val="20"/>
          <w:szCs w:val="20"/>
        </w:rPr>
      </w:pPr>
      <w:r>
        <w:rPr>
          <w:rStyle w:val="a4"/>
          <w:sz w:val="20"/>
          <w:szCs w:val="20"/>
        </w:rPr>
        <w:t xml:space="preserve">“Stratiform” </w:t>
      </w:r>
      <w:r>
        <w:rPr>
          <w:sz w:val="20"/>
          <w:szCs w:val="20"/>
        </w:rPr>
        <w:t>means formed parallel to the bedding places of surrounding rock.</w:t>
      </w:r>
    </w:p>
    <w:p w14:paraId="4322880E" w14:textId="77777777" w:rsidR="00000000" w:rsidRDefault="0015578C">
      <w:pPr>
        <w:pStyle w:val="a3"/>
        <w:spacing w:before="0" w:beforeAutospacing="0" w:after="0" w:afterAutospacing="0"/>
        <w:jc w:val="both"/>
        <w:rPr>
          <w:sz w:val="20"/>
          <w:szCs w:val="20"/>
        </w:rPr>
      </w:pPr>
      <w:r>
        <w:rPr>
          <w:sz w:val="20"/>
          <w:szCs w:val="20"/>
        </w:rPr>
        <w:t> </w:t>
      </w:r>
    </w:p>
    <w:p w14:paraId="1ECA5B27" w14:textId="77777777" w:rsidR="00000000" w:rsidRDefault="0015578C">
      <w:pPr>
        <w:pStyle w:val="a3"/>
        <w:spacing w:before="0" w:beforeAutospacing="0" w:after="0" w:afterAutospacing="0"/>
        <w:jc w:val="both"/>
        <w:rPr>
          <w:sz w:val="20"/>
          <w:szCs w:val="20"/>
        </w:rPr>
      </w:pPr>
      <w:r>
        <w:rPr>
          <w:rStyle w:val="a4"/>
          <w:sz w:val="20"/>
          <w:szCs w:val="20"/>
        </w:rPr>
        <w:t>“Stratigraphy”</w:t>
      </w:r>
      <w:r>
        <w:rPr>
          <w:sz w:val="20"/>
          <w:szCs w:val="20"/>
        </w:rPr>
        <w:t xml:space="preserve"> means the arrangement of rock strat</w:t>
      </w:r>
      <w:r>
        <w:rPr>
          <w:sz w:val="20"/>
          <w:szCs w:val="20"/>
        </w:rPr>
        <w:t>a, especially as to the geographic, chronologic order of sequence (age), classification, characteristics and formation.</w:t>
      </w:r>
    </w:p>
    <w:p w14:paraId="5417A761" w14:textId="77777777" w:rsidR="00000000" w:rsidRDefault="0015578C">
      <w:pPr>
        <w:pStyle w:val="a3"/>
        <w:spacing w:before="0" w:beforeAutospacing="0" w:after="0" w:afterAutospacing="0"/>
        <w:jc w:val="both"/>
        <w:rPr>
          <w:sz w:val="20"/>
          <w:szCs w:val="20"/>
        </w:rPr>
      </w:pPr>
      <w:r>
        <w:rPr>
          <w:sz w:val="20"/>
          <w:szCs w:val="20"/>
        </w:rPr>
        <w:t> </w:t>
      </w:r>
    </w:p>
    <w:p w14:paraId="2A7D27A1" w14:textId="77777777" w:rsidR="00000000" w:rsidRDefault="0015578C">
      <w:pPr>
        <w:pStyle w:val="a3"/>
        <w:spacing w:before="0" w:beforeAutospacing="0" w:after="0" w:afterAutospacing="0"/>
        <w:jc w:val="both"/>
        <w:rPr>
          <w:sz w:val="20"/>
          <w:szCs w:val="20"/>
        </w:rPr>
      </w:pPr>
      <w:r>
        <w:rPr>
          <w:rStyle w:val="a4"/>
          <w:sz w:val="20"/>
          <w:szCs w:val="20"/>
        </w:rPr>
        <w:t>“Strike”</w:t>
      </w:r>
      <w:r>
        <w:rPr>
          <w:sz w:val="20"/>
          <w:szCs w:val="20"/>
        </w:rPr>
        <w:t xml:space="preserve"> when used as a noun, means the direction, course or bearing of a vein or rock formation measured on a level surface and, when</w:t>
      </w:r>
      <w:r>
        <w:rPr>
          <w:sz w:val="20"/>
          <w:szCs w:val="20"/>
        </w:rPr>
        <w:t xml:space="preserve"> used as a verb, means to take such direction, course or bearing. </w:t>
      </w:r>
    </w:p>
    <w:p w14:paraId="1E661AD7" w14:textId="77777777" w:rsidR="00000000" w:rsidRDefault="0015578C">
      <w:pPr>
        <w:pStyle w:val="a3"/>
        <w:spacing w:before="0" w:beforeAutospacing="0" w:after="0" w:afterAutospacing="0"/>
        <w:jc w:val="both"/>
        <w:rPr>
          <w:sz w:val="20"/>
          <w:szCs w:val="20"/>
        </w:rPr>
      </w:pPr>
      <w:r>
        <w:rPr>
          <w:sz w:val="20"/>
          <w:szCs w:val="20"/>
        </w:rPr>
        <w:t> </w:t>
      </w:r>
    </w:p>
    <w:p w14:paraId="4E206B4B" w14:textId="77777777" w:rsidR="00000000" w:rsidRDefault="0015578C">
      <w:pPr>
        <w:pStyle w:val="a3"/>
        <w:spacing w:before="0" w:beforeAutospacing="0" w:after="0" w:afterAutospacing="0"/>
        <w:jc w:val="both"/>
        <w:rPr>
          <w:sz w:val="20"/>
          <w:szCs w:val="20"/>
        </w:rPr>
      </w:pPr>
      <w:r>
        <w:rPr>
          <w:rStyle w:val="a4"/>
          <w:sz w:val="20"/>
          <w:szCs w:val="20"/>
        </w:rPr>
        <w:t>“Subcrop” means an</w:t>
      </w:r>
      <w:r>
        <w:rPr>
          <w:sz w:val="20"/>
          <w:szCs w:val="20"/>
        </w:rPr>
        <w:t xml:space="preserve"> occurrence of strata beneath the subsurface of an inclusive stratigraphic unit that succeeds an unconformity on which there is marked overstep.</w:t>
      </w:r>
    </w:p>
    <w:p w14:paraId="4CC0F722" w14:textId="77777777" w:rsidR="00000000" w:rsidRDefault="0015578C">
      <w:pPr>
        <w:pStyle w:val="a3"/>
        <w:spacing w:before="0" w:beforeAutospacing="0" w:after="0" w:afterAutospacing="0"/>
        <w:jc w:val="both"/>
        <w:rPr>
          <w:sz w:val="20"/>
          <w:szCs w:val="20"/>
        </w:rPr>
      </w:pPr>
      <w:r>
        <w:rPr>
          <w:sz w:val="20"/>
          <w:szCs w:val="20"/>
        </w:rPr>
        <w:t> </w:t>
      </w:r>
    </w:p>
    <w:p w14:paraId="21D5B9DB" w14:textId="77777777" w:rsidR="00000000" w:rsidRDefault="0015578C">
      <w:pPr>
        <w:pStyle w:val="a3"/>
        <w:spacing w:before="0" w:beforeAutospacing="0" w:after="0" w:afterAutospacing="0"/>
        <w:jc w:val="both"/>
        <w:rPr>
          <w:sz w:val="20"/>
          <w:szCs w:val="20"/>
        </w:rPr>
      </w:pPr>
      <w:r>
        <w:rPr>
          <w:rStyle w:val="a4"/>
          <w:sz w:val="20"/>
          <w:szCs w:val="20"/>
        </w:rPr>
        <w:t>“Sulfide”</w:t>
      </w:r>
      <w:r>
        <w:rPr>
          <w:sz w:val="20"/>
          <w:szCs w:val="20"/>
        </w:rPr>
        <w:t xml:space="preserve"> means a comp</w:t>
      </w:r>
      <w:r>
        <w:rPr>
          <w:sz w:val="20"/>
          <w:szCs w:val="20"/>
        </w:rPr>
        <w:t xml:space="preserve">ound of sulfur and some other element. </w:t>
      </w:r>
    </w:p>
    <w:p w14:paraId="1F47CC9E" w14:textId="77777777" w:rsidR="00000000" w:rsidRDefault="0015578C">
      <w:pPr>
        <w:pStyle w:val="a3"/>
        <w:spacing w:before="0" w:beforeAutospacing="0" w:after="0" w:afterAutospacing="0"/>
        <w:jc w:val="both"/>
        <w:rPr>
          <w:sz w:val="20"/>
          <w:szCs w:val="20"/>
        </w:rPr>
      </w:pPr>
      <w:r>
        <w:rPr>
          <w:sz w:val="20"/>
          <w:szCs w:val="20"/>
        </w:rPr>
        <w:t> </w:t>
      </w:r>
    </w:p>
    <w:p w14:paraId="20819CDF" w14:textId="77777777" w:rsidR="00000000" w:rsidRDefault="0015578C">
      <w:pPr>
        <w:pStyle w:val="a3"/>
        <w:spacing w:before="0" w:beforeAutospacing="0" w:after="0" w:afterAutospacing="0"/>
        <w:jc w:val="both"/>
        <w:rPr>
          <w:sz w:val="20"/>
          <w:szCs w:val="20"/>
        </w:rPr>
      </w:pPr>
      <w:r>
        <w:rPr>
          <w:rStyle w:val="a4"/>
          <w:sz w:val="20"/>
          <w:szCs w:val="20"/>
        </w:rPr>
        <w:t xml:space="preserve">“Synform” </w:t>
      </w:r>
      <w:r>
        <w:rPr>
          <w:sz w:val="20"/>
          <w:szCs w:val="20"/>
        </w:rPr>
        <w:t>means A topographic feature which is composed of sedimentary layers in a concave formation.</w:t>
      </w:r>
    </w:p>
    <w:p w14:paraId="276BD7D4" w14:textId="77777777" w:rsidR="00000000" w:rsidRDefault="0015578C">
      <w:pPr>
        <w:pStyle w:val="a3"/>
        <w:spacing w:before="0" w:beforeAutospacing="0" w:after="0" w:afterAutospacing="0"/>
        <w:jc w:val="both"/>
        <w:rPr>
          <w:sz w:val="20"/>
          <w:szCs w:val="20"/>
        </w:rPr>
      </w:pPr>
      <w:r>
        <w:rPr>
          <w:sz w:val="20"/>
          <w:szCs w:val="20"/>
        </w:rPr>
        <w:t> </w:t>
      </w:r>
    </w:p>
    <w:p w14:paraId="6F43980F" w14:textId="77777777" w:rsidR="00000000" w:rsidRDefault="0015578C">
      <w:pPr>
        <w:pStyle w:val="a3"/>
        <w:spacing w:before="0" w:beforeAutospacing="0" w:after="0" w:afterAutospacing="0"/>
        <w:jc w:val="both"/>
        <w:rPr>
          <w:sz w:val="20"/>
          <w:szCs w:val="20"/>
        </w:rPr>
      </w:pPr>
      <w:r>
        <w:rPr>
          <w:rStyle w:val="a4"/>
          <w:sz w:val="20"/>
          <w:szCs w:val="20"/>
        </w:rPr>
        <w:t xml:space="preserve">“Syngenetic” </w:t>
      </w:r>
      <w:r>
        <w:rPr>
          <w:sz w:val="20"/>
          <w:szCs w:val="20"/>
        </w:rPr>
        <w:t>means a mineral deposit that forms at the same time as the surrounding rock.</w:t>
      </w:r>
    </w:p>
    <w:p w14:paraId="0F2D728F" w14:textId="77777777" w:rsidR="00000000" w:rsidRDefault="0015578C">
      <w:pPr>
        <w:pStyle w:val="a3"/>
        <w:spacing w:before="0" w:beforeAutospacing="0" w:after="0" w:afterAutospacing="0"/>
        <w:jc w:val="both"/>
        <w:rPr>
          <w:sz w:val="20"/>
          <w:szCs w:val="20"/>
        </w:rPr>
      </w:pPr>
      <w:r>
        <w:rPr>
          <w:sz w:val="20"/>
          <w:szCs w:val="20"/>
        </w:rPr>
        <w:t> </w:t>
      </w:r>
    </w:p>
    <w:p w14:paraId="5D909C35" w14:textId="77777777" w:rsidR="00000000" w:rsidRDefault="0015578C">
      <w:pPr>
        <w:pStyle w:val="a3"/>
        <w:spacing w:before="0" w:beforeAutospacing="0" w:after="0" w:afterAutospacing="0"/>
        <w:jc w:val="both"/>
        <w:rPr>
          <w:sz w:val="20"/>
          <w:szCs w:val="20"/>
        </w:rPr>
      </w:pPr>
      <w:r>
        <w:rPr>
          <w:rStyle w:val="a4"/>
          <w:sz w:val="20"/>
          <w:szCs w:val="20"/>
        </w:rPr>
        <w:t>“Ton”</w:t>
      </w:r>
      <w:r>
        <w:rPr>
          <w:sz w:val="20"/>
          <w:szCs w:val="20"/>
        </w:rPr>
        <w:t xml:space="preserve"> means a shor</w:t>
      </w:r>
      <w:r>
        <w:rPr>
          <w:sz w:val="20"/>
          <w:szCs w:val="20"/>
        </w:rPr>
        <w:t xml:space="preserve">t ton (2,000 pounds). </w:t>
      </w:r>
    </w:p>
    <w:p w14:paraId="0FC5894E" w14:textId="77777777" w:rsidR="00000000" w:rsidRDefault="0015578C">
      <w:pPr>
        <w:pStyle w:val="a3"/>
        <w:spacing w:before="0" w:beforeAutospacing="0" w:after="0" w:afterAutospacing="0"/>
        <w:jc w:val="both"/>
        <w:rPr>
          <w:sz w:val="20"/>
          <w:szCs w:val="20"/>
        </w:rPr>
      </w:pPr>
      <w:r>
        <w:rPr>
          <w:sz w:val="20"/>
          <w:szCs w:val="20"/>
        </w:rPr>
        <w:t> </w:t>
      </w:r>
    </w:p>
    <w:p w14:paraId="283125F7" w14:textId="77777777" w:rsidR="00000000" w:rsidRDefault="0015578C">
      <w:pPr>
        <w:pStyle w:val="a3"/>
        <w:spacing w:before="0" w:beforeAutospacing="0" w:after="0" w:afterAutospacing="0"/>
        <w:jc w:val="both"/>
        <w:rPr>
          <w:sz w:val="20"/>
          <w:szCs w:val="20"/>
        </w:rPr>
      </w:pPr>
      <w:r>
        <w:rPr>
          <w:rStyle w:val="a4"/>
          <w:sz w:val="20"/>
          <w:szCs w:val="20"/>
        </w:rPr>
        <w:t>“Tonne”</w:t>
      </w:r>
      <w:r>
        <w:rPr>
          <w:sz w:val="20"/>
          <w:szCs w:val="20"/>
        </w:rPr>
        <w:t xml:space="preserve"> means a metric measure that contains 2,204.6 pounds or 1,000 kilograms.</w:t>
      </w:r>
    </w:p>
    <w:p w14:paraId="008A4A27" w14:textId="77777777" w:rsidR="00000000" w:rsidRDefault="0015578C">
      <w:pPr>
        <w:pStyle w:val="a3"/>
        <w:spacing w:before="0" w:beforeAutospacing="0" w:after="0" w:afterAutospacing="0"/>
        <w:jc w:val="both"/>
        <w:rPr>
          <w:sz w:val="20"/>
          <w:szCs w:val="20"/>
        </w:rPr>
      </w:pPr>
      <w:r>
        <w:rPr>
          <w:sz w:val="20"/>
          <w:szCs w:val="20"/>
        </w:rPr>
        <w:t> </w:t>
      </w:r>
    </w:p>
    <w:p w14:paraId="544B7057" w14:textId="77777777" w:rsidR="00000000" w:rsidRDefault="0015578C">
      <w:pPr>
        <w:pStyle w:val="a3"/>
        <w:spacing w:before="0" w:beforeAutospacing="0" w:after="0" w:afterAutospacing="0"/>
        <w:jc w:val="both"/>
        <w:rPr>
          <w:sz w:val="20"/>
          <w:szCs w:val="20"/>
        </w:rPr>
      </w:pPr>
      <w:r>
        <w:rPr>
          <w:rStyle w:val="a4"/>
          <w:sz w:val="20"/>
          <w:szCs w:val="20"/>
        </w:rPr>
        <w:t>“Vein”</w:t>
      </w:r>
      <w:r>
        <w:rPr>
          <w:sz w:val="20"/>
          <w:szCs w:val="20"/>
        </w:rPr>
        <w:t xml:space="preserve"> means a fissure, fault or crack in a rock filled by minerals that have traveled upwards from some deep source. </w:t>
      </w:r>
    </w:p>
    <w:p w14:paraId="6D219FF5" w14:textId="77777777" w:rsidR="00000000" w:rsidRDefault="0015578C">
      <w:pPr>
        <w:pStyle w:val="a3"/>
        <w:spacing w:before="0" w:beforeAutospacing="0" w:after="0" w:afterAutospacing="0"/>
        <w:jc w:val="both"/>
        <w:rPr>
          <w:sz w:val="20"/>
          <w:szCs w:val="20"/>
        </w:rPr>
      </w:pPr>
      <w:r>
        <w:rPr>
          <w:sz w:val="20"/>
          <w:szCs w:val="20"/>
        </w:rPr>
        <w:t> </w:t>
      </w:r>
    </w:p>
    <w:p w14:paraId="3E0263F4" w14:textId="77777777" w:rsidR="00000000" w:rsidRDefault="0015578C">
      <w:pPr>
        <w:pStyle w:val="a3"/>
        <w:spacing w:before="0" w:beforeAutospacing="0" w:after="0" w:afterAutospacing="0"/>
        <w:jc w:val="both"/>
        <w:rPr>
          <w:sz w:val="20"/>
          <w:szCs w:val="20"/>
        </w:rPr>
      </w:pPr>
      <w:r>
        <w:rPr>
          <w:rStyle w:val="atag"/>
          <w:b/>
          <w:bCs/>
          <w:sz w:val="20"/>
          <w:szCs w:val="20"/>
        </w:rPr>
        <w:t xml:space="preserve">Item 3. </w:t>
      </w:r>
      <w:r>
        <w:rPr>
          <w:rStyle w:val="atag"/>
          <w:b/>
          <w:bCs/>
          <w:sz w:val="20"/>
          <w:szCs w:val="20"/>
        </w:rPr>
        <w:t> </w:t>
      </w:r>
      <w:r>
        <w:rPr>
          <w:rStyle w:val="a4"/>
          <w:sz w:val="20"/>
          <w:szCs w:val="20"/>
          <w:u w:val="single"/>
        </w:rPr>
        <w:t>Legal Proceedings</w:t>
      </w:r>
    </w:p>
    <w:p w14:paraId="7CC15B7B" w14:textId="77777777" w:rsidR="00000000" w:rsidRDefault="0015578C">
      <w:pPr>
        <w:pStyle w:val="a3"/>
        <w:spacing w:before="0" w:beforeAutospacing="0" w:after="0" w:afterAutospacing="0"/>
        <w:jc w:val="both"/>
        <w:rPr>
          <w:sz w:val="20"/>
          <w:szCs w:val="20"/>
        </w:rPr>
      </w:pPr>
      <w:r>
        <w:rPr>
          <w:sz w:val="20"/>
          <w:szCs w:val="20"/>
        </w:rPr>
        <w:t> </w:t>
      </w:r>
    </w:p>
    <w:p w14:paraId="20DF87B4" w14:textId="77777777" w:rsidR="00000000" w:rsidRDefault="0015578C">
      <w:pPr>
        <w:pStyle w:val="a3"/>
        <w:spacing w:before="0" w:beforeAutospacing="0" w:after="0" w:afterAutospacing="0"/>
        <w:ind w:firstLine="675"/>
        <w:jc w:val="both"/>
        <w:rPr>
          <w:sz w:val="20"/>
          <w:szCs w:val="20"/>
        </w:rPr>
      </w:pPr>
      <w:r>
        <w:rPr>
          <w:sz w:val="20"/>
          <w:szCs w:val="20"/>
        </w:rPr>
        <w:t>From time to time, we may become a party to various legal proceedings arising in the ordinary course of business. There can be no assurance that we will prevail in any such litigation. We believe that the amount of any reasonably possib</w:t>
      </w:r>
      <w:r>
        <w:rPr>
          <w:sz w:val="20"/>
          <w:szCs w:val="20"/>
        </w:rPr>
        <w:t>le or probable loss for known matters would not be material to our financial statements; however, the outcome of these actions is inherently difficult to predict. In the event of an adverse outcome, the ultimate potential loss could have a material adverse</w:t>
      </w:r>
      <w:r>
        <w:rPr>
          <w:sz w:val="20"/>
          <w:szCs w:val="20"/>
        </w:rPr>
        <w:t xml:space="preserve"> effect on our financial condition, results of operations or cash flows in a particular period.</w:t>
      </w:r>
    </w:p>
    <w:p w14:paraId="3A65CE58" w14:textId="77777777" w:rsidR="00000000" w:rsidRDefault="0015578C">
      <w:pPr>
        <w:pStyle w:val="a3"/>
        <w:spacing w:before="0" w:beforeAutospacing="0" w:after="0" w:afterAutospacing="0"/>
        <w:jc w:val="both"/>
        <w:rPr>
          <w:sz w:val="20"/>
          <w:szCs w:val="20"/>
        </w:rPr>
      </w:pPr>
      <w:r>
        <w:rPr>
          <w:sz w:val="20"/>
          <w:szCs w:val="20"/>
        </w:rPr>
        <w:t> </w:t>
      </w:r>
    </w:p>
    <w:p w14:paraId="6EA9EA85" w14:textId="77777777" w:rsidR="00000000" w:rsidRDefault="0015578C">
      <w:pPr>
        <w:pStyle w:val="a3"/>
        <w:spacing w:before="0" w:beforeAutospacing="0" w:after="0" w:afterAutospacing="0"/>
        <w:jc w:val="both"/>
        <w:rPr>
          <w:sz w:val="20"/>
          <w:szCs w:val="20"/>
        </w:rPr>
      </w:pPr>
      <w:r>
        <w:rPr>
          <w:rStyle w:val="atag"/>
          <w:b/>
          <w:bCs/>
          <w:sz w:val="20"/>
          <w:szCs w:val="20"/>
        </w:rPr>
        <w:t>Item 4.  </w:t>
      </w:r>
      <w:r>
        <w:rPr>
          <w:rStyle w:val="atag"/>
          <w:b/>
          <w:bCs/>
          <w:sz w:val="20"/>
          <w:szCs w:val="20"/>
          <w:u w:val="single"/>
        </w:rPr>
        <w:t>Mine Safety Disclosure</w:t>
      </w:r>
      <w:r>
        <w:rPr>
          <w:rStyle w:val="atag"/>
          <w:b/>
          <w:bCs/>
          <w:sz w:val="20"/>
          <w:szCs w:val="20"/>
          <w:u w:val="single"/>
        </w:rPr>
        <w:t>s</w:t>
      </w:r>
    </w:p>
    <w:p w14:paraId="0796E762" w14:textId="77777777" w:rsidR="00000000" w:rsidRDefault="0015578C">
      <w:pPr>
        <w:pStyle w:val="a3"/>
        <w:spacing w:before="0" w:beforeAutospacing="0" w:after="0" w:afterAutospacing="0"/>
        <w:jc w:val="both"/>
        <w:rPr>
          <w:sz w:val="20"/>
          <w:szCs w:val="20"/>
        </w:rPr>
      </w:pPr>
      <w:r>
        <w:rPr>
          <w:sz w:val="20"/>
          <w:szCs w:val="20"/>
        </w:rPr>
        <w:t> </w:t>
      </w:r>
    </w:p>
    <w:p w14:paraId="43373FD7" w14:textId="77777777" w:rsidR="00000000" w:rsidRDefault="0015578C">
      <w:pPr>
        <w:pStyle w:val="a3"/>
        <w:spacing w:before="0" w:beforeAutospacing="0" w:after="0" w:afterAutospacing="0"/>
        <w:ind w:firstLine="675"/>
        <w:jc w:val="both"/>
        <w:rPr>
          <w:sz w:val="20"/>
          <w:szCs w:val="20"/>
        </w:rPr>
      </w:pPr>
      <w:r>
        <w:rPr>
          <w:sz w:val="20"/>
          <w:szCs w:val="20"/>
        </w:rPr>
        <w:t xml:space="preserve">Not applicable </w:t>
      </w:r>
    </w:p>
    <w:p w14:paraId="3998FF83"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319DB77" w14:textId="77777777">
        <w:trPr>
          <w:trHeight w:val="225"/>
          <w:tblCellSpacing w:w="15" w:type="dxa"/>
        </w:trPr>
        <w:tc>
          <w:tcPr>
            <w:tcW w:w="0" w:type="auto"/>
            <w:vAlign w:val="center"/>
            <w:hideMark/>
          </w:tcPr>
          <w:p w14:paraId="3D8F075A" w14:textId="77777777" w:rsidR="00000000" w:rsidRDefault="0015578C">
            <w:pPr>
              <w:rPr>
                <w:rFonts w:eastAsia="Times New Roman"/>
                <w:sz w:val="20"/>
                <w:szCs w:val="20"/>
              </w:rPr>
            </w:pPr>
            <w:r>
              <w:rPr>
                <w:rFonts w:eastAsia="Times New Roman"/>
                <w:sz w:val="20"/>
                <w:szCs w:val="20"/>
              </w:rPr>
              <w:t> </w:t>
            </w:r>
          </w:p>
        </w:tc>
      </w:tr>
      <w:tr w:rsidR="00000000" w14:paraId="1E98454D" w14:textId="77777777">
        <w:trPr>
          <w:trHeight w:val="225"/>
          <w:tblCellSpacing w:w="15" w:type="dxa"/>
        </w:trPr>
        <w:tc>
          <w:tcPr>
            <w:tcW w:w="0" w:type="auto"/>
            <w:tcBorders>
              <w:bottom w:val="single" w:sz="6" w:space="0" w:color="000000"/>
            </w:tcBorders>
            <w:vAlign w:val="center"/>
            <w:hideMark/>
          </w:tcPr>
          <w:p w14:paraId="020540EC" w14:textId="77777777" w:rsidR="00000000" w:rsidRDefault="0015578C">
            <w:pPr>
              <w:jc w:val="center"/>
              <w:rPr>
                <w:rFonts w:eastAsia="Times New Roman"/>
                <w:sz w:val="20"/>
                <w:szCs w:val="20"/>
              </w:rPr>
            </w:pPr>
            <w:r>
              <w:rPr>
                <w:rFonts w:eastAsia="Times New Roman"/>
                <w:sz w:val="20"/>
                <w:szCs w:val="20"/>
              </w:rPr>
              <w:t>36</w:t>
            </w:r>
          </w:p>
        </w:tc>
      </w:tr>
      <w:tr w:rsidR="00000000" w14:paraId="76EF80A8" w14:textId="77777777">
        <w:trPr>
          <w:trHeight w:val="225"/>
          <w:tblCellSpacing w:w="15" w:type="dxa"/>
        </w:trPr>
        <w:tc>
          <w:tcPr>
            <w:tcW w:w="0" w:type="auto"/>
            <w:vAlign w:val="center"/>
            <w:hideMark/>
          </w:tcPr>
          <w:p w14:paraId="52A74ADA" w14:textId="77777777" w:rsidR="00000000" w:rsidRDefault="0015578C">
            <w:pPr>
              <w:rPr>
                <w:rFonts w:eastAsia="Times New Roman"/>
                <w:sz w:val="20"/>
                <w:szCs w:val="20"/>
              </w:rPr>
            </w:pPr>
          </w:p>
        </w:tc>
      </w:tr>
      <w:tr w:rsidR="00000000" w14:paraId="55A68E8C" w14:textId="77777777">
        <w:trPr>
          <w:trHeight w:val="225"/>
          <w:tblCellSpacing w:w="15" w:type="dxa"/>
        </w:trPr>
        <w:tc>
          <w:tcPr>
            <w:tcW w:w="0" w:type="auto"/>
            <w:vAlign w:val="center"/>
            <w:hideMark/>
          </w:tcPr>
          <w:p w14:paraId="5D27A9B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71B76C1F" w14:textId="77777777" w:rsidR="00000000" w:rsidRDefault="0015578C">
      <w:pPr>
        <w:pStyle w:val="a3"/>
        <w:spacing w:before="0" w:beforeAutospacing="0" w:after="0" w:afterAutospacing="0"/>
        <w:jc w:val="both"/>
        <w:rPr>
          <w:sz w:val="20"/>
          <w:szCs w:val="20"/>
        </w:rPr>
      </w:pPr>
      <w:r>
        <w:rPr>
          <w:sz w:val="20"/>
          <w:szCs w:val="20"/>
        </w:rPr>
        <w:t> </w:t>
      </w:r>
    </w:p>
    <w:p w14:paraId="24BBC43E" w14:textId="77777777" w:rsidR="00000000" w:rsidRDefault="0015578C">
      <w:pPr>
        <w:pStyle w:val="a3"/>
        <w:spacing w:before="0" w:beforeAutospacing="0" w:after="0" w:afterAutospacing="0"/>
        <w:jc w:val="center"/>
        <w:rPr>
          <w:sz w:val="20"/>
          <w:szCs w:val="20"/>
        </w:rPr>
      </w:pPr>
      <w:r>
        <w:rPr>
          <w:rStyle w:val="atag"/>
          <w:b/>
          <w:bCs/>
          <w:sz w:val="20"/>
          <w:szCs w:val="20"/>
          <w:u w:val="single"/>
        </w:rPr>
        <w:t>PART I</w:t>
      </w:r>
      <w:r>
        <w:rPr>
          <w:rStyle w:val="atag"/>
          <w:b/>
          <w:bCs/>
          <w:sz w:val="20"/>
          <w:szCs w:val="20"/>
          <w:u w:val="single"/>
        </w:rPr>
        <w:t>I</w:t>
      </w:r>
    </w:p>
    <w:p w14:paraId="5264566A" w14:textId="77777777" w:rsidR="00000000" w:rsidRDefault="0015578C">
      <w:pPr>
        <w:pStyle w:val="a3"/>
        <w:spacing w:before="0" w:beforeAutospacing="0" w:after="0" w:afterAutospacing="0"/>
        <w:jc w:val="both"/>
        <w:rPr>
          <w:sz w:val="20"/>
          <w:szCs w:val="20"/>
        </w:rPr>
      </w:pPr>
      <w:r>
        <w:rPr>
          <w:sz w:val="20"/>
          <w:szCs w:val="20"/>
        </w:rPr>
        <w:t> </w:t>
      </w:r>
    </w:p>
    <w:p w14:paraId="6E53FCD1" w14:textId="77777777" w:rsidR="00000000" w:rsidRDefault="0015578C">
      <w:pPr>
        <w:pStyle w:val="a3"/>
        <w:spacing w:before="0" w:beforeAutospacing="0" w:after="0" w:afterAutospacing="0"/>
        <w:jc w:val="both"/>
        <w:rPr>
          <w:sz w:val="20"/>
          <w:szCs w:val="20"/>
        </w:rPr>
      </w:pPr>
      <w:r>
        <w:rPr>
          <w:rStyle w:val="atag"/>
          <w:b/>
          <w:bCs/>
          <w:sz w:val="20"/>
          <w:szCs w:val="20"/>
        </w:rPr>
        <w:t xml:space="preserve">Item 5. </w:t>
      </w:r>
      <w:r>
        <w:rPr>
          <w:rStyle w:val="atag"/>
          <w:b/>
          <w:bCs/>
          <w:sz w:val="20"/>
          <w:szCs w:val="20"/>
          <w:u w:val="single"/>
        </w:rPr>
        <w:t xml:space="preserve">Market </w:t>
      </w:r>
      <w:r>
        <w:rPr>
          <w:rStyle w:val="atag"/>
          <w:b/>
          <w:bCs/>
          <w:sz w:val="20"/>
          <w:szCs w:val="20"/>
          <w:u w:val="single"/>
        </w:rPr>
        <w:t>for Registrant's Common Equity, Related Stockholder Matters and Issuer Purchases of Equity Securitie</w:t>
      </w:r>
      <w:r>
        <w:rPr>
          <w:rStyle w:val="atag"/>
          <w:b/>
          <w:bCs/>
          <w:sz w:val="20"/>
          <w:szCs w:val="20"/>
          <w:u w:val="single"/>
        </w:rPr>
        <w:t>s</w:t>
      </w:r>
    </w:p>
    <w:p w14:paraId="2716D5BD" w14:textId="77777777" w:rsidR="00000000" w:rsidRDefault="0015578C">
      <w:pPr>
        <w:pStyle w:val="a3"/>
        <w:spacing w:before="0" w:beforeAutospacing="0" w:after="0" w:afterAutospacing="0"/>
        <w:jc w:val="both"/>
        <w:rPr>
          <w:sz w:val="20"/>
          <w:szCs w:val="20"/>
        </w:rPr>
      </w:pPr>
      <w:r>
        <w:rPr>
          <w:sz w:val="20"/>
          <w:szCs w:val="20"/>
        </w:rPr>
        <w:t> </w:t>
      </w:r>
    </w:p>
    <w:p w14:paraId="32127839" w14:textId="77777777" w:rsidR="00000000" w:rsidRDefault="0015578C">
      <w:pPr>
        <w:pStyle w:val="a3"/>
        <w:spacing w:before="0" w:beforeAutospacing="0" w:after="0" w:afterAutospacing="0"/>
        <w:ind w:firstLine="675"/>
        <w:jc w:val="both"/>
        <w:rPr>
          <w:sz w:val="20"/>
          <w:szCs w:val="20"/>
        </w:rPr>
      </w:pPr>
      <w:r>
        <w:rPr>
          <w:sz w:val="20"/>
          <w:szCs w:val="20"/>
        </w:rPr>
        <w:t xml:space="preserve">Our common stock trades on the NYSE American exchange under the symbol “XPL” and on the TSX under the symbol “SLR.” </w:t>
      </w:r>
      <w:r>
        <w:rPr>
          <w:sz w:val="20"/>
          <w:szCs w:val="20"/>
        </w:rPr>
        <w:t>Since 2008 trading volume of our common stock on the NYSE American exchange has exceeded the trading volume of our stock on the TSX by a substantial margin.</w:t>
      </w:r>
    </w:p>
    <w:p w14:paraId="099ADDE7" w14:textId="77777777" w:rsidR="00000000" w:rsidRDefault="0015578C">
      <w:pPr>
        <w:pStyle w:val="a3"/>
        <w:spacing w:before="0" w:beforeAutospacing="0" w:after="0" w:afterAutospacing="0"/>
        <w:jc w:val="both"/>
        <w:rPr>
          <w:sz w:val="20"/>
          <w:szCs w:val="20"/>
        </w:rPr>
      </w:pPr>
      <w:r>
        <w:rPr>
          <w:sz w:val="20"/>
          <w:szCs w:val="20"/>
        </w:rPr>
        <w:t> </w:t>
      </w:r>
    </w:p>
    <w:p w14:paraId="153FAD6E" w14:textId="77777777" w:rsidR="00000000" w:rsidRDefault="0015578C">
      <w:pPr>
        <w:pStyle w:val="a3"/>
        <w:spacing w:before="0" w:beforeAutospacing="0" w:after="0" w:afterAutospacing="0"/>
        <w:jc w:val="both"/>
        <w:rPr>
          <w:sz w:val="20"/>
          <w:szCs w:val="20"/>
        </w:rPr>
      </w:pPr>
      <w:r>
        <w:rPr>
          <w:sz w:val="20"/>
          <w:szCs w:val="20"/>
          <w:u w:val="single"/>
        </w:rPr>
        <w:t>Holders of our common stock</w:t>
      </w:r>
    </w:p>
    <w:p w14:paraId="46ED0584" w14:textId="77777777" w:rsidR="00000000" w:rsidRDefault="0015578C">
      <w:pPr>
        <w:pStyle w:val="a3"/>
        <w:spacing w:before="0" w:beforeAutospacing="0" w:after="0" w:afterAutospacing="0"/>
        <w:jc w:val="both"/>
        <w:rPr>
          <w:sz w:val="20"/>
          <w:szCs w:val="20"/>
        </w:rPr>
      </w:pPr>
      <w:r>
        <w:rPr>
          <w:sz w:val="20"/>
          <w:szCs w:val="20"/>
        </w:rPr>
        <w:t> </w:t>
      </w:r>
    </w:p>
    <w:p w14:paraId="0DF96768" w14:textId="77777777" w:rsidR="00000000" w:rsidRDefault="0015578C">
      <w:pPr>
        <w:pStyle w:val="a3"/>
        <w:spacing w:before="0" w:beforeAutospacing="0" w:after="0" w:afterAutospacing="0"/>
        <w:ind w:firstLine="675"/>
        <w:jc w:val="both"/>
        <w:rPr>
          <w:sz w:val="20"/>
          <w:szCs w:val="20"/>
        </w:rPr>
      </w:pPr>
      <w:r>
        <w:rPr>
          <w:sz w:val="20"/>
          <w:szCs w:val="20"/>
        </w:rPr>
        <w:t>As of March 15, 2023, we have approximately 246 holders of record o</w:t>
      </w:r>
      <w:r>
        <w:rPr>
          <w:sz w:val="20"/>
          <w:szCs w:val="20"/>
        </w:rPr>
        <w:t>f our common stock.</w:t>
      </w:r>
    </w:p>
    <w:p w14:paraId="3400BB14" w14:textId="77777777" w:rsidR="00000000" w:rsidRDefault="0015578C">
      <w:pPr>
        <w:pStyle w:val="a3"/>
        <w:spacing w:before="0" w:beforeAutospacing="0" w:after="0" w:afterAutospacing="0"/>
        <w:jc w:val="both"/>
        <w:rPr>
          <w:sz w:val="20"/>
          <w:szCs w:val="20"/>
        </w:rPr>
      </w:pPr>
      <w:r>
        <w:rPr>
          <w:sz w:val="20"/>
          <w:szCs w:val="20"/>
        </w:rPr>
        <w:t> </w:t>
      </w:r>
    </w:p>
    <w:p w14:paraId="1B15ADE2" w14:textId="77777777" w:rsidR="00000000" w:rsidRDefault="0015578C">
      <w:pPr>
        <w:pStyle w:val="a3"/>
        <w:spacing w:before="0" w:beforeAutospacing="0" w:after="0" w:afterAutospacing="0"/>
        <w:jc w:val="both"/>
        <w:rPr>
          <w:sz w:val="20"/>
          <w:szCs w:val="20"/>
        </w:rPr>
      </w:pPr>
      <w:r>
        <w:rPr>
          <w:sz w:val="20"/>
          <w:szCs w:val="20"/>
          <w:u w:val="single"/>
        </w:rPr>
        <w:t>Dividend policy</w:t>
      </w:r>
    </w:p>
    <w:p w14:paraId="29BC72BF" w14:textId="77777777" w:rsidR="00000000" w:rsidRDefault="0015578C">
      <w:pPr>
        <w:pStyle w:val="a3"/>
        <w:spacing w:before="0" w:beforeAutospacing="0" w:after="0" w:afterAutospacing="0"/>
        <w:jc w:val="both"/>
        <w:rPr>
          <w:sz w:val="20"/>
          <w:szCs w:val="20"/>
        </w:rPr>
      </w:pPr>
      <w:r>
        <w:rPr>
          <w:sz w:val="20"/>
          <w:szCs w:val="20"/>
        </w:rPr>
        <w:t> </w:t>
      </w:r>
    </w:p>
    <w:p w14:paraId="3D8AD357" w14:textId="77777777" w:rsidR="00000000" w:rsidRDefault="0015578C">
      <w:pPr>
        <w:pStyle w:val="a3"/>
        <w:spacing w:before="0" w:beforeAutospacing="0" w:after="0" w:afterAutospacing="0"/>
        <w:ind w:firstLine="675"/>
        <w:jc w:val="both"/>
        <w:rPr>
          <w:sz w:val="20"/>
          <w:szCs w:val="20"/>
        </w:rPr>
      </w:pPr>
      <w:r>
        <w:rPr>
          <w:sz w:val="20"/>
          <w:szCs w:val="20"/>
        </w:rPr>
        <w:t>We have not paid a dividend in our history and do not anticipate paying a dividend in the foreseeable future.</w:t>
      </w:r>
    </w:p>
    <w:p w14:paraId="11DA952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10490BF" w14:textId="77777777">
        <w:trPr>
          <w:trHeight w:val="225"/>
          <w:tblCellSpacing w:w="15" w:type="dxa"/>
        </w:trPr>
        <w:tc>
          <w:tcPr>
            <w:tcW w:w="0" w:type="auto"/>
            <w:vAlign w:val="center"/>
            <w:hideMark/>
          </w:tcPr>
          <w:p w14:paraId="09991699" w14:textId="77777777" w:rsidR="00000000" w:rsidRDefault="0015578C">
            <w:pPr>
              <w:rPr>
                <w:rFonts w:eastAsia="Times New Roman"/>
                <w:sz w:val="20"/>
                <w:szCs w:val="20"/>
              </w:rPr>
            </w:pPr>
            <w:r>
              <w:rPr>
                <w:rFonts w:eastAsia="Times New Roman"/>
                <w:sz w:val="20"/>
                <w:szCs w:val="20"/>
              </w:rPr>
              <w:t> </w:t>
            </w:r>
          </w:p>
        </w:tc>
      </w:tr>
      <w:tr w:rsidR="00000000" w14:paraId="0C8B818A" w14:textId="77777777">
        <w:trPr>
          <w:trHeight w:val="225"/>
          <w:tblCellSpacing w:w="15" w:type="dxa"/>
        </w:trPr>
        <w:tc>
          <w:tcPr>
            <w:tcW w:w="0" w:type="auto"/>
            <w:tcBorders>
              <w:bottom w:val="single" w:sz="6" w:space="0" w:color="000000"/>
            </w:tcBorders>
            <w:vAlign w:val="center"/>
            <w:hideMark/>
          </w:tcPr>
          <w:p w14:paraId="3731CCD3" w14:textId="77777777" w:rsidR="00000000" w:rsidRDefault="0015578C">
            <w:pPr>
              <w:jc w:val="center"/>
              <w:rPr>
                <w:rFonts w:eastAsia="Times New Roman"/>
                <w:sz w:val="20"/>
                <w:szCs w:val="20"/>
              </w:rPr>
            </w:pPr>
            <w:r>
              <w:rPr>
                <w:rFonts w:eastAsia="Times New Roman"/>
                <w:sz w:val="20"/>
                <w:szCs w:val="20"/>
              </w:rPr>
              <w:t>37</w:t>
            </w:r>
          </w:p>
        </w:tc>
      </w:tr>
      <w:tr w:rsidR="00000000" w14:paraId="00788378" w14:textId="77777777">
        <w:trPr>
          <w:trHeight w:val="225"/>
          <w:tblCellSpacing w:w="15" w:type="dxa"/>
        </w:trPr>
        <w:tc>
          <w:tcPr>
            <w:tcW w:w="0" w:type="auto"/>
            <w:vAlign w:val="center"/>
            <w:hideMark/>
          </w:tcPr>
          <w:p w14:paraId="5EF5382A" w14:textId="77777777" w:rsidR="00000000" w:rsidRDefault="0015578C">
            <w:pPr>
              <w:rPr>
                <w:rFonts w:eastAsia="Times New Roman"/>
                <w:sz w:val="20"/>
                <w:szCs w:val="20"/>
              </w:rPr>
            </w:pPr>
          </w:p>
        </w:tc>
      </w:tr>
      <w:tr w:rsidR="00000000" w14:paraId="18D26337" w14:textId="77777777">
        <w:trPr>
          <w:trHeight w:val="225"/>
          <w:tblCellSpacing w:w="15" w:type="dxa"/>
        </w:trPr>
        <w:tc>
          <w:tcPr>
            <w:tcW w:w="0" w:type="auto"/>
            <w:vAlign w:val="center"/>
            <w:hideMark/>
          </w:tcPr>
          <w:p w14:paraId="2A584EC3"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A34E1D3" w14:textId="77777777" w:rsidR="00000000" w:rsidRDefault="0015578C">
      <w:pPr>
        <w:pStyle w:val="a3"/>
        <w:spacing w:before="0" w:beforeAutospacing="0" w:after="0" w:afterAutospacing="0"/>
        <w:jc w:val="both"/>
        <w:rPr>
          <w:sz w:val="20"/>
          <w:szCs w:val="20"/>
        </w:rPr>
      </w:pPr>
      <w:r>
        <w:rPr>
          <w:sz w:val="20"/>
          <w:szCs w:val="20"/>
        </w:rPr>
        <w:t> </w:t>
      </w:r>
    </w:p>
    <w:p w14:paraId="39C83D9F" w14:textId="77777777" w:rsidR="00000000" w:rsidRDefault="0015578C">
      <w:pPr>
        <w:pStyle w:val="a3"/>
        <w:spacing w:before="0" w:beforeAutospacing="0" w:after="0" w:afterAutospacing="0"/>
        <w:jc w:val="both"/>
        <w:rPr>
          <w:sz w:val="20"/>
          <w:szCs w:val="20"/>
        </w:rPr>
      </w:pPr>
      <w:r>
        <w:rPr>
          <w:rStyle w:val="atag"/>
          <w:b/>
          <w:bCs/>
          <w:sz w:val="20"/>
          <w:szCs w:val="20"/>
        </w:rPr>
        <w:t xml:space="preserve">Item 6. </w:t>
      </w:r>
      <w:r>
        <w:rPr>
          <w:rStyle w:val="atag"/>
          <w:b/>
          <w:bCs/>
          <w:sz w:val="20"/>
          <w:szCs w:val="20"/>
          <w:u w:val="single"/>
        </w:rPr>
        <w:t>[Reserved</w:t>
      </w:r>
      <w:r>
        <w:rPr>
          <w:rStyle w:val="atag"/>
          <w:b/>
          <w:bCs/>
          <w:sz w:val="20"/>
          <w:szCs w:val="20"/>
          <w:u w:val="single"/>
        </w:rPr>
        <w:t>]</w:t>
      </w:r>
    </w:p>
    <w:p w14:paraId="51F0D660" w14:textId="77777777" w:rsidR="00000000" w:rsidRDefault="0015578C">
      <w:pPr>
        <w:pStyle w:val="a3"/>
        <w:spacing w:before="0" w:beforeAutospacing="0" w:after="0" w:afterAutospacing="0"/>
        <w:jc w:val="both"/>
        <w:rPr>
          <w:sz w:val="20"/>
          <w:szCs w:val="20"/>
        </w:rPr>
      </w:pPr>
      <w:r>
        <w:rPr>
          <w:sz w:val="20"/>
          <w:szCs w:val="20"/>
        </w:rPr>
        <w:t> </w:t>
      </w:r>
    </w:p>
    <w:p w14:paraId="1F5D0402" w14:textId="77777777" w:rsidR="00000000" w:rsidRDefault="0015578C">
      <w:pPr>
        <w:pStyle w:val="a3"/>
        <w:spacing w:before="0" w:beforeAutospacing="0" w:after="0" w:afterAutospacing="0"/>
        <w:jc w:val="both"/>
        <w:rPr>
          <w:sz w:val="20"/>
          <w:szCs w:val="20"/>
        </w:rPr>
      </w:pPr>
      <w:r>
        <w:rPr>
          <w:rStyle w:val="a4"/>
          <w:sz w:val="20"/>
          <w:szCs w:val="20"/>
        </w:rPr>
        <w:t>Item 7.</w:t>
      </w:r>
      <w:r>
        <w:rPr>
          <w:rStyle w:val="atag"/>
          <w:sz w:val="20"/>
          <w:szCs w:val="20"/>
        </w:rPr>
        <w:t xml:space="preserve"> </w:t>
      </w:r>
      <w:r>
        <w:rPr>
          <w:rStyle w:val="a4"/>
          <w:sz w:val="20"/>
          <w:szCs w:val="20"/>
          <w:u w:val="single"/>
        </w:rPr>
        <w:t>Management's Discussion and Analysis of Financial Condition and Results of Operation</w:t>
      </w:r>
      <w:r>
        <w:rPr>
          <w:rStyle w:val="a4"/>
          <w:sz w:val="20"/>
          <w:szCs w:val="20"/>
          <w:u w:val="single"/>
        </w:rPr>
        <w:t>s</w:t>
      </w:r>
    </w:p>
    <w:p w14:paraId="4E6F801E" w14:textId="77777777" w:rsidR="00000000" w:rsidRDefault="0015578C">
      <w:pPr>
        <w:pStyle w:val="a3"/>
        <w:spacing w:before="0" w:beforeAutospacing="0" w:after="0" w:afterAutospacing="0"/>
        <w:jc w:val="both"/>
        <w:rPr>
          <w:sz w:val="20"/>
          <w:szCs w:val="20"/>
        </w:rPr>
      </w:pPr>
      <w:r>
        <w:rPr>
          <w:sz w:val="20"/>
          <w:szCs w:val="20"/>
        </w:rPr>
        <w:t> </w:t>
      </w:r>
    </w:p>
    <w:p w14:paraId="2692CC00" w14:textId="77777777" w:rsidR="00000000" w:rsidRDefault="0015578C">
      <w:pPr>
        <w:pStyle w:val="a3"/>
        <w:spacing w:before="0" w:beforeAutospacing="0" w:after="0" w:afterAutospacing="0"/>
        <w:jc w:val="both"/>
        <w:rPr>
          <w:sz w:val="20"/>
          <w:szCs w:val="20"/>
        </w:rPr>
      </w:pPr>
      <w:r>
        <w:rPr>
          <w:sz w:val="20"/>
          <w:szCs w:val="20"/>
        </w:rPr>
        <w:t>The following discussion should be read in conjunction with the information contained in the consolidated financial statements and notes thereto included in Item 8, "Fi</w:t>
      </w:r>
      <w:r>
        <w:rPr>
          <w:sz w:val="20"/>
          <w:szCs w:val="20"/>
        </w:rPr>
        <w:t>nancial Statements and Supplementary Data." Our financial condition and results of operations are not necessarily indicative of what may be expected in future years.</w:t>
      </w:r>
    </w:p>
    <w:p w14:paraId="68A8F251" w14:textId="77777777" w:rsidR="00000000" w:rsidRDefault="0015578C">
      <w:pPr>
        <w:pStyle w:val="a3"/>
        <w:spacing w:before="0" w:beforeAutospacing="0" w:after="0" w:afterAutospacing="0"/>
        <w:jc w:val="both"/>
        <w:rPr>
          <w:sz w:val="20"/>
          <w:szCs w:val="20"/>
        </w:rPr>
      </w:pPr>
      <w:r>
        <w:rPr>
          <w:sz w:val="20"/>
          <w:szCs w:val="20"/>
        </w:rPr>
        <w:t> </w:t>
      </w:r>
    </w:p>
    <w:p w14:paraId="3464F0DB" w14:textId="77777777" w:rsidR="00000000" w:rsidRDefault="0015578C">
      <w:pPr>
        <w:pStyle w:val="a3"/>
        <w:spacing w:before="0" w:beforeAutospacing="0" w:after="0" w:afterAutospacing="0"/>
        <w:jc w:val="both"/>
        <w:rPr>
          <w:sz w:val="20"/>
          <w:szCs w:val="20"/>
        </w:rPr>
      </w:pPr>
      <w:r>
        <w:rPr>
          <w:rStyle w:val="a4"/>
          <w:sz w:val="20"/>
          <w:szCs w:val="20"/>
        </w:rPr>
        <w:t>(a). Effects of COVID-19</w:t>
      </w:r>
    </w:p>
    <w:p w14:paraId="1F78DCD3" w14:textId="77777777" w:rsidR="00000000" w:rsidRDefault="0015578C">
      <w:pPr>
        <w:pStyle w:val="a3"/>
        <w:spacing w:before="0" w:beforeAutospacing="0" w:after="0" w:afterAutospacing="0"/>
        <w:jc w:val="both"/>
        <w:rPr>
          <w:sz w:val="20"/>
          <w:szCs w:val="20"/>
        </w:rPr>
      </w:pPr>
      <w:r>
        <w:rPr>
          <w:sz w:val="20"/>
          <w:szCs w:val="20"/>
        </w:rPr>
        <w:t> </w:t>
      </w:r>
    </w:p>
    <w:p w14:paraId="7ABC4744" w14:textId="77777777" w:rsidR="00000000" w:rsidRDefault="0015578C">
      <w:pPr>
        <w:pStyle w:val="a3"/>
        <w:spacing w:before="0" w:beforeAutospacing="0" w:after="0" w:afterAutospacing="0"/>
        <w:ind w:firstLine="675"/>
        <w:jc w:val="both"/>
        <w:rPr>
          <w:sz w:val="20"/>
          <w:szCs w:val="20"/>
        </w:rPr>
      </w:pPr>
      <w:r>
        <w:rPr>
          <w:sz w:val="20"/>
          <w:szCs w:val="20"/>
        </w:rPr>
        <w:t>As of December 31, 2022, the effects of COVID-19 have not had</w:t>
      </w:r>
      <w:r>
        <w:rPr>
          <w:sz w:val="20"/>
          <w:szCs w:val="20"/>
        </w:rPr>
        <w:t xml:space="preserve"> a material adverse effect on Solitario’s administrative activities as we have three full-time employees, all of whom can work remotely, and are not required to meet in person on a regular basis. We use part-time employees and contract geologists at our Go</w:t>
      </w:r>
      <w:r>
        <w:rPr>
          <w:sz w:val="20"/>
          <w:szCs w:val="20"/>
        </w:rPr>
        <w:t>lden Crest project in South Dakota and to date, the effects of COVID-19 have not had a material impact on our operations at the Golden Crest project. However, as a result of the pandemic our joint-venture partners, Teck at our Lik project and Nexa at our F</w:t>
      </w:r>
      <w:r>
        <w:rPr>
          <w:sz w:val="20"/>
          <w:szCs w:val="20"/>
        </w:rPr>
        <w:t xml:space="preserve">lorida Canyon project, reduced, with our concurrence, the planned exploration activities on these projects for 2021 and during 2022 implemented safety and operational protocols for COVID-19 and are reviewing their 2023 exploration plans on our projects to </w:t>
      </w:r>
      <w:r>
        <w:rPr>
          <w:sz w:val="20"/>
          <w:szCs w:val="20"/>
        </w:rPr>
        <w:t>comply with these protocols. These protocols include, but are not limited, to; (i) our partners’ limited exploration staffing; (ii) certain safety and operational guidelines for COVID-19 and other potential pandemics related to their exploration activities</w:t>
      </w:r>
      <w:r>
        <w:rPr>
          <w:sz w:val="20"/>
          <w:szCs w:val="20"/>
        </w:rPr>
        <w:t>; (iii) the reallocation of exploration resources to non-site specific tasks, such as data and resource review, and planning for future drilling; and (iv) the ability to modify and or postpone 2023 exploration activities if necessary. Solitario has discuss</w:t>
      </w:r>
      <w:r>
        <w:rPr>
          <w:sz w:val="20"/>
          <w:szCs w:val="20"/>
        </w:rPr>
        <w:t xml:space="preserve">ed these operational and safety measures with our joint venture partners and currently does not believe these measures are expected to have a major impact on planned 2023 exploration activities and does not believe these measures negatively reflect on the </w:t>
      </w:r>
      <w:r>
        <w:rPr>
          <w:sz w:val="20"/>
          <w:szCs w:val="20"/>
        </w:rPr>
        <w:t>long-term economic potential of either its Lik or Florida Canyon projects.</w:t>
      </w:r>
    </w:p>
    <w:p w14:paraId="2406F9E2" w14:textId="77777777" w:rsidR="00000000" w:rsidRDefault="0015578C">
      <w:pPr>
        <w:pStyle w:val="a3"/>
        <w:spacing w:before="0" w:beforeAutospacing="0" w:after="0" w:afterAutospacing="0"/>
        <w:jc w:val="both"/>
        <w:rPr>
          <w:sz w:val="20"/>
          <w:szCs w:val="20"/>
        </w:rPr>
      </w:pPr>
      <w:r>
        <w:rPr>
          <w:sz w:val="20"/>
          <w:szCs w:val="20"/>
        </w:rPr>
        <w:t> </w:t>
      </w:r>
    </w:p>
    <w:p w14:paraId="3AAD2872" w14:textId="77777777" w:rsidR="00000000" w:rsidRDefault="0015578C">
      <w:pPr>
        <w:pStyle w:val="a3"/>
        <w:spacing w:before="0" w:beforeAutospacing="0" w:after="0" w:afterAutospacing="0"/>
        <w:ind w:firstLine="675"/>
        <w:jc w:val="both"/>
        <w:rPr>
          <w:sz w:val="20"/>
          <w:szCs w:val="20"/>
        </w:rPr>
      </w:pPr>
      <w:r>
        <w:rPr>
          <w:sz w:val="20"/>
          <w:szCs w:val="20"/>
        </w:rPr>
        <w:t>The extent to which the COVID-19 pandemic impacts our business, including our exploration and other activities and the market for our securities, will depend on future development</w:t>
      </w:r>
      <w:r>
        <w:rPr>
          <w:sz w:val="20"/>
          <w:szCs w:val="20"/>
        </w:rPr>
        <w:t>s, which are highly uncertain and cannot be predicted at this time. Please see Item 1A, “Risk Factors,” in this Annual Report on Form 10-K for the year ended December 31, 2022.</w:t>
      </w:r>
    </w:p>
    <w:p w14:paraId="1FF572FC" w14:textId="77777777" w:rsidR="00000000" w:rsidRDefault="0015578C">
      <w:pPr>
        <w:pStyle w:val="a3"/>
        <w:spacing w:before="0" w:beforeAutospacing="0" w:after="0" w:afterAutospacing="0"/>
        <w:jc w:val="both"/>
        <w:rPr>
          <w:sz w:val="20"/>
          <w:szCs w:val="20"/>
        </w:rPr>
      </w:pPr>
      <w:r>
        <w:rPr>
          <w:sz w:val="20"/>
          <w:szCs w:val="20"/>
        </w:rPr>
        <w:t> </w:t>
      </w:r>
    </w:p>
    <w:p w14:paraId="2648F1A9" w14:textId="77777777" w:rsidR="00000000" w:rsidRDefault="0015578C">
      <w:pPr>
        <w:pStyle w:val="a3"/>
        <w:spacing w:before="0" w:beforeAutospacing="0" w:after="0" w:afterAutospacing="0"/>
        <w:ind w:firstLine="675"/>
        <w:jc w:val="both"/>
        <w:rPr>
          <w:sz w:val="20"/>
          <w:szCs w:val="20"/>
        </w:rPr>
      </w:pPr>
      <w:r>
        <w:rPr>
          <w:sz w:val="20"/>
          <w:szCs w:val="20"/>
        </w:rPr>
        <w:t>Solitario believes its current cash and short-term assets together with poten</w:t>
      </w:r>
      <w:r>
        <w:rPr>
          <w:sz w:val="20"/>
          <w:szCs w:val="20"/>
        </w:rPr>
        <w:t>tial access to capital under its ATM Program (defined below) or otherwise, provide Solitario with the flexibility to continue its short and mid-term operations.</w:t>
      </w:r>
    </w:p>
    <w:p w14:paraId="576B9824" w14:textId="77777777" w:rsidR="00000000" w:rsidRDefault="0015578C">
      <w:pPr>
        <w:pStyle w:val="a3"/>
        <w:spacing w:before="0" w:beforeAutospacing="0" w:after="0" w:afterAutospacing="0"/>
        <w:jc w:val="both"/>
        <w:rPr>
          <w:sz w:val="20"/>
          <w:szCs w:val="20"/>
        </w:rPr>
      </w:pPr>
      <w:r>
        <w:rPr>
          <w:sz w:val="20"/>
          <w:szCs w:val="20"/>
        </w:rPr>
        <w:t> </w:t>
      </w:r>
    </w:p>
    <w:p w14:paraId="55B87C50" w14:textId="77777777" w:rsidR="00000000" w:rsidRDefault="0015578C">
      <w:pPr>
        <w:pStyle w:val="a3"/>
        <w:spacing w:before="0" w:beforeAutospacing="0" w:after="0" w:afterAutospacing="0"/>
        <w:jc w:val="both"/>
        <w:rPr>
          <w:sz w:val="20"/>
          <w:szCs w:val="20"/>
        </w:rPr>
      </w:pPr>
      <w:r>
        <w:rPr>
          <w:rStyle w:val="a4"/>
          <w:sz w:val="20"/>
          <w:szCs w:val="20"/>
        </w:rPr>
        <w:t>(b). Business Overview and Summary</w:t>
      </w:r>
    </w:p>
    <w:p w14:paraId="2185DDBC" w14:textId="77777777" w:rsidR="00000000" w:rsidRDefault="0015578C">
      <w:pPr>
        <w:pStyle w:val="a3"/>
        <w:spacing w:before="0" w:beforeAutospacing="0" w:after="0" w:afterAutospacing="0"/>
        <w:jc w:val="both"/>
        <w:rPr>
          <w:sz w:val="20"/>
          <w:szCs w:val="20"/>
        </w:rPr>
      </w:pPr>
      <w:r>
        <w:rPr>
          <w:sz w:val="20"/>
          <w:szCs w:val="20"/>
        </w:rPr>
        <w:t> </w:t>
      </w:r>
    </w:p>
    <w:p w14:paraId="27983284" w14:textId="77777777" w:rsidR="00000000" w:rsidRDefault="0015578C">
      <w:pPr>
        <w:pStyle w:val="a3"/>
        <w:spacing w:before="0" w:beforeAutospacing="0" w:after="0" w:afterAutospacing="0"/>
        <w:ind w:firstLine="675"/>
        <w:jc w:val="both"/>
        <w:rPr>
          <w:sz w:val="20"/>
          <w:szCs w:val="20"/>
        </w:rPr>
      </w:pPr>
      <w:r>
        <w:rPr>
          <w:sz w:val="20"/>
          <w:szCs w:val="20"/>
        </w:rPr>
        <w:t xml:space="preserve">We are an exploration stage company as defined by rules </w:t>
      </w:r>
      <w:r>
        <w:rPr>
          <w:sz w:val="20"/>
          <w:szCs w:val="20"/>
        </w:rPr>
        <w:t>issued by the SEC. We were incorporated in the state of Colorado on November 15, 1984 as a wholly owned subsidiary of Crown. In July 1994, we became a publicly traded company on the TSX through our initial public offering. We have been actively involved in</w:t>
      </w:r>
      <w:r>
        <w:rPr>
          <w:sz w:val="20"/>
          <w:szCs w:val="20"/>
        </w:rPr>
        <w:t xml:space="preserve"> mineral exploration since 1993. Our primary focus is the acquisition and exploration of precious metals and zinc-related exploration mineral properties. We have historically held a portfolio of mineral exploration properties and assets for future sale, fo</w:t>
      </w:r>
      <w:r>
        <w:rPr>
          <w:sz w:val="20"/>
          <w:szCs w:val="20"/>
        </w:rPr>
        <w:t>r joint venture or to create a royalty up to the development stage of the project (development activities include, among other things, completion of a feasibility study for the identification of proven and probable reserves, as well as permitting and prepa</w:t>
      </w:r>
      <w:r>
        <w:rPr>
          <w:sz w:val="20"/>
          <w:szCs w:val="20"/>
        </w:rPr>
        <w:t>ring a deposit for mining). At that point, or sometime prior to that point, we would likely attempt to sell a given mineral property, pursue its development either on our own or through a joint venture with a partner that has expertise in mining operations</w:t>
      </w:r>
      <w:r>
        <w:rPr>
          <w:sz w:val="20"/>
          <w:szCs w:val="20"/>
        </w:rPr>
        <w:t>, or obtain a royalty from a third party that continues to advance the property. Although our mineral properties may be developed in the future by us, through a joint venture or by a third party, we have never developed a mineral property. In addition to f</w:t>
      </w:r>
      <w:r>
        <w:rPr>
          <w:sz w:val="20"/>
          <w:szCs w:val="20"/>
        </w:rPr>
        <w:t>ocusing on our current mineral exploration properties, we also from time to time evaluate potential strategic transactions for the acquisition of new precious and base metal properties and assets with exploration potential.</w:t>
      </w:r>
    </w:p>
    <w:p w14:paraId="14D6B4CB" w14:textId="77777777" w:rsidR="00000000" w:rsidRDefault="0015578C">
      <w:pPr>
        <w:pStyle w:val="a3"/>
        <w:spacing w:before="0" w:beforeAutospacing="0" w:after="0" w:afterAutospacing="0"/>
        <w:jc w:val="both"/>
        <w:rPr>
          <w:sz w:val="20"/>
          <w:szCs w:val="20"/>
        </w:rPr>
      </w:pPr>
      <w:r>
        <w:rPr>
          <w:sz w:val="20"/>
          <w:szCs w:val="20"/>
        </w:rPr>
        <w:t> </w:t>
      </w:r>
    </w:p>
    <w:p w14:paraId="0BE28420" w14:textId="77777777" w:rsidR="00000000" w:rsidRDefault="0015578C">
      <w:pPr>
        <w:pStyle w:val="a3"/>
        <w:spacing w:before="0" w:beforeAutospacing="0" w:after="0" w:afterAutospacing="0"/>
        <w:ind w:firstLine="675"/>
        <w:jc w:val="both"/>
        <w:rPr>
          <w:sz w:val="20"/>
          <w:szCs w:val="20"/>
        </w:rPr>
      </w:pPr>
      <w:r>
        <w:rPr>
          <w:sz w:val="20"/>
          <w:szCs w:val="20"/>
        </w:rPr>
        <w:t>Our current geographic focus for the evaluation of potential mineral properties is in North and South America; however, we have conducted property evaluations for potential acquisition in other parts of the world. At December 31, 2022, we consider our Gold</w:t>
      </w:r>
      <w:r>
        <w:rPr>
          <w:sz w:val="20"/>
          <w:szCs w:val="20"/>
        </w:rPr>
        <w:t>en Crest project in South Dakota, our carried interest in our Florida Canyon project in Peru, and our interest in the Lik project in Alaska to be our core mineral property assets. We are conducting independent exploration activities in Peru and through joi</w:t>
      </w:r>
      <w:r>
        <w:rPr>
          <w:sz w:val="20"/>
          <w:szCs w:val="20"/>
        </w:rPr>
        <w:t>nt ventures operated by our partners in Peru and the United States. We conduct potential acquisition evaluations in other countries of both North and South America.</w:t>
      </w:r>
    </w:p>
    <w:p w14:paraId="0BF371D5" w14:textId="77777777" w:rsidR="00000000" w:rsidRDefault="0015578C">
      <w:pPr>
        <w:pStyle w:val="a3"/>
        <w:spacing w:before="0" w:beforeAutospacing="0" w:after="0" w:afterAutospacing="0"/>
        <w:jc w:val="both"/>
        <w:rPr>
          <w:sz w:val="20"/>
          <w:szCs w:val="20"/>
        </w:rPr>
      </w:pPr>
      <w:r>
        <w:rPr>
          <w:sz w:val="20"/>
          <w:szCs w:val="20"/>
        </w:rPr>
        <w:t> </w:t>
      </w:r>
    </w:p>
    <w:p w14:paraId="1562A052" w14:textId="77777777" w:rsidR="00000000" w:rsidRDefault="0015578C">
      <w:pPr>
        <w:pStyle w:val="a3"/>
        <w:spacing w:before="0" w:beforeAutospacing="0" w:after="0" w:afterAutospacing="0"/>
        <w:ind w:firstLine="675"/>
        <w:jc w:val="both"/>
        <w:rPr>
          <w:sz w:val="20"/>
          <w:szCs w:val="20"/>
        </w:rPr>
      </w:pPr>
      <w:r>
        <w:rPr>
          <w:sz w:val="20"/>
          <w:szCs w:val="20"/>
        </w:rPr>
        <w:t>As of December 31, 2022, we have balances of cash and short-term investments that we anti</w:t>
      </w:r>
      <w:r>
        <w:rPr>
          <w:sz w:val="20"/>
          <w:szCs w:val="20"/>
        </w:rPr>
        <w:t>cipate using, in part, to fund planned 2023 exploration, to further the exploration of our Lik and Golden Crest projects, conduct reconnaissance exploration and to potentially acquire additional mineral properties. The fluctuations in commodity prices of b</w:t>
      </w:r>
      <w:r>
        <w:rPr>
          <w:sz w:val="20"/>
          <w:szCs w:val="20"/>
        </w:rPr>
        <w:t>ase and precious metals have contributed to a challenging environment for mineral exploration and development, which has created opportunities as well as challenges for the potential acquisition of advanced mineral exploration projects or other related ass</w:t>
      </w:r>
      <w:r>
        <w:rPr>
          <w:sz w:val="20"/>
          <w:szCs w:val="20"/>
        </w:rPr>
        <w:t>ets at potentially attractive terms.</w:t>
      </w:r>
    </w:p>
    <w:p w14:paraId="03AD162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4F66FA7" w14:textId="77777777">
        <w:trPr>
          <w:trHeight w:val="225"/>
          <w:tblCellSpacing w:w="15" w:type="dxa"/>
        </w:trPr>
        <w:tc>
          <w:tcPr>
            <w:tcW w:w="0" w:type="auto"/>
            <w:vAlign w:val="center"/>
            <w:hideMark/>
          </w:tcPr>
          <w:p w14:paraId="223777AA" w14:textId="77777777" w:rsidR="00000000" w:rsidRDefault="0015578C">
            <w:pPr>
              <w:rPr>
                <w:rFonts w:eastAsia="Times New Roman"/>
                <w:sz w:val="20"/>
                <w:szCs w:val="20"/>
              </w:rPr>
            </w:pPr>
            <w:r>
              <w:rPr>
                <w:rFonts w:eastAsia="Times New Roman"/>
                <w:sz w:val="20"/>
                <w:szCs w:val="20"/>
              </w:rPr>
              <w:t> </w:t>
            </w:r>
          </w:p>
        </w:tc>
      </w:tr>
      <w:tr w:rsidR="00000000" w14:paraId="7C3FA328" w14:textId="77777777">
        <w:trPr>
          <w:trHeight w:val="225"/>
          <w:tblCellSpacing w:w="15" w:type="dxa"/>
        </w:trPr>
        <w:tc>
          <w:tcPr>
            <w:tcW w:w="0" w:type="auto"/>
            <w:tcBorders>
              <w:bottom w:val="single" w:sz="6" w:space="0" w:color="000000"/>
            </w:tcBorders>
            <w:vAlign w:val="center"/>
            <w:hideMark/>
          </w:tcPr>
          <w:p w14:paraId="3D262AAA" w14:textId="77777777" w:rsidR="00000000" w:rsidRDefault="0015578C">
            <w:pPr>
              <w:jc w:val="center"/>
              <w:rPr>
                <w:rFonts w:eastAsia="Times New Roman"/>
                <w:sz w:val="20"/>
                <w:szCs w:val="20"/>
              </w:rPr>
            </w:pPr>
            <w:r>
              <w:rPr>
                <w:rFonts w:eastAsia="Times New Roman"/>
                <w:sz w:val="20"/>
                <w:szCs w:val="20"/>
              </w:rPr>
              <w:t>38</w:t>
            </w:r>
          </w:p>
        </w:tc>
      </w:tr>
      <w:tr w:rsidR="00000000" w14:paraId="6722D549" w14:textId="77777777">
        <w:trPr>
          <w:trHeight w:val="225"/>
          <w:tblCellSpacing w:w="15" w:type="dxa"/>
        </w:trPr>
        <w:tc>
          <w:tcPr>
            <w:tcW w:w="0" w:type="auto"/>
            <w:vAlign w:val="center"/>
            <w:hideMark/>
          </w:tcPr>
          <w:p w14:paraId="306328D9" w14:textId="77777777" w:rsidR="00000000" w:rsidRDefault="0015578C">
            <w:pPr>
              <w:rPr>
                <w:rFonts w:eastAsia="Times New Roman"/>
                <w:sz w:val="20"/>
                <w:szCs w:val="20"/>
              </w:rPr>
            </w:pPr>
          </w:p>
        </w:tc>
      </w:tr>
      <w:tr w:rsidR="00000000" w14:paraId="1B0CAF4A" w14:textId="77777777">
        <w:trPr>
          <w:trHeight w:val="225"/>
          <w:tblCellSpacing w:w="15" w:type="dxa"/>
        </w:trPr>
        <w:tc>
          <w:tcPr>
            <w:tcW w:w="0" w:type="auto"/>
            <w:vAlign w:val="center"/>
            <w:hideMark/>
          </w:tcPr>
          <w:p w14:paraId="3E5D4429"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0AD6DEB" w14:textId="77777777" w:rsidR="00000000" w:rsidRDefault="0015578C">
      <w:pPr>
        <w:pStyle w:val="a3"/>
        <w:spacing w:before="0" w:beforeAutospacing="0" w:after="0" w:afterAutospacing="0"/>
        <w:jc w:val="both"/>
        <w:rPr>
          <w:sz w:val="20"/>
          <w:szCs w:val="20"/>
        </w:rPr>
      </w:pPr>
      <w:r>
        <w:rPr>
          <w:sz w:val="20"/>
          <w:szCs w:val="20"/>
        </w:rPr>
        <w:t> </w:t>
      </w:r>
    </w:p>
    <w:p w14:paraId="285EA784" w14:textId="77777777" w:rsidR="00000000" w:rsidRDefault="0015578C">
      <w:pPr>
        <w:pStyle w:val="a3"/>
        <w:spacing w:before="0" w:beforeAutospacing="0" w:after="0" w:afterAutospacing="0"/>
        <w:ind w:firstLine="675"/>
        <w:jc w:val="both"/>
        <w:rPr>
          <w:sz w:val="20"/>
          <w:szCs w:val="20"/>
        </w:rPr>
      </w:pPr>
      <w:r>
        <w:rPr>
          <w:sz w:val="20"/>
          <w:szCs w:val="20"/>
        </w:rPr>
        <w:t>In analyzing our activities, the most significant aspect relates to the results of our exploration and potential development activities and those of our joint v</w:t>
      </w:r>
      <w:r>
        <w:rPr>
          <w:sz w:val="20"/>
          <w:szCs w:val="20"/>
        </w:rPr>
        <w:t>enture partners on a property-by-property basis. When our exploration or potential development activities, including drilling, sampling and geologic testing, indicate a project may not be economically feasible or contain sufficient geologic or economic pot</w:t>
      </w:r>
      <w:r>
        <w:rPr>
          <w:sz w:val="20"/>
          <w:szCs w:val="20"/>
        </w:rPr>
        <w:t>ential we may impair or completely write-off the property. Another significant factor in the success or failure of our activities is the price of commodities. For example, when the price of zinc or gold is down, the value of zinc, gold or other precious me</w:t>
      </w:r>
      <w:r>
        <w:rPr>
          <w:sz w:val="20"/>
          <w:szCs w:val="20"/>
        </w:rPr>
        <w:t>tal-bearing mineral properties decreases; however, when the price of zinc or gold is up it may become more difficult and expensive to locate and acquire new zinc, gold or other precious metal-bearing mineral properties with potential to have economic depos</w:t>
      </w:r>
      <w:r>
        <w:rPr>
          <w:sz w:val="20"/>
          <w:szCs w:val="20"/>
        </w:rPr>
        <w:t>its.</w:t>
      </w:r>
    </w:p>
    <w:p w14:paraId="524D2FF2" w14:textId="77777777" w:rsidR="00000000" w:rsidRDefault="0015578C">
      <w:pPr>
        <w:pStyle w:val="a3"/>
        <w:spacing w:before="0" w:beforeAutospacing="0" w:after="0" w:afterAutospacing="0"/>
        <w:jc w:val="both"/>
        <w:rPr>
          <w:sz w:val="20"/>
          <w:szCs w:val="20"/>
        </w:rPr>
      </w:pPr>
      <w:r>
        <w:rPr>
          <w:sz w:val="20"/>
          <w:szCs w:val="20"/>
        </w:rPr>
        <w:t> </w:t>
      </w:r>
    </w:p>
    <w:p w14:paraId="76352B35" w14:textId="77777777" w:rsidR="00000000" w:rsidRDefault="0015578C">
      <w:pPr>
        <w:pStyle w:val="a3"/>
        <w:spacing w:before="0" w:beforeAutospacing="0" w:after="0" w:afterAutospacing="0"/>
        <w:ind w:firstLine="675"/>
        <w:jc w:val="both"/>
        <w:rPr>
          <w:sz w:val="20"/>
          <w:szCs w:val="20"/>
        </w:rPr>
      </w:pPr>
      <w:r>
        <w:rPr>
          <w:sz w:val="20"/>
          <w:szCs w:val="20"/>
        </w:rPr>
        <w:t>The potential sale, joint venture or development of our mineral properties will occur, if at all, on an infrequent basis. Historically, we have recorded revenues and met our need for capital in the past through (i) the issuance of common stock, (ii)</w:t>
      </w:r>
      <w:r>
        <w:rPr>
          <w:sz w:val="20"/>
          <w:szCs w:val="20"/>
        </w:rPr>
        <w:t xml:space="preserve"> the sale of properties and assets; (iii) a royalty sale on our former Mt. Hamilton property; (iv) the sale of shares of marketable equity securities we hold; (v) long-term debt secured by our mineral properties; (vi) short-term borrowing; and (vii) joint </w:t>
      </w:r>
      <w:r>
        <w:rPr>
          <w:sz w:val="20"/>
          <w:szCs w:val="20"/>
        </w:rPr>
        <w:t>venture payments, including delay rental payments. During 2022 we issued a total of 2,650,724 shares of common stock pursuant to our ATM Program for net proceeds of $2,023,000. We did not record any mineral property income from the sale of mineral properti</w:t>
      </w:r>
      <w:r>
        <w:rPr>
          <w:sz w:val="20"/>
          <w:szCs w:val="20"/>
        </w:rPr>
        <w:t>es during 2022 or 2021. Proceeds from the sale or joint venture of properties, although potentially significant when they occur, have not been a consistent annual source of cash and would occur in the future, if at all, on an infrequent basis. We have redu</w:t>
      </w:r>
      <w:r>
        <w:rPr>
          <w:sz w:val="20"/>
          <w:szCs w:val="20"/>
        </w:rPr>
        <w:t>ced our exposure to the costs of our exploration activities in the past through the use of joint ventures. Although we anticipate the use of joint venture funding for some of our exploration activities will continue for the foreseeable future, we can provi</w:t>
      </w:r>
      <w:r>
        <w:rPr>
          <w:sz w:val="20"/>
          <w:szCs w:val="20"/>
        </w:rPr>
        <w:t>de no assurance that these or other sources of capital will be available in sufficient amounts to meet our needs, if at all.</w:t>
      </w:r>
    </w:p>
    <w:p w14:paraId="70C7775A" w14:textId="77777777" w:rsidR="00000000" w:rsidRDefault="0015578C">
      <w:pPr>
        <w:pStyle w:val="a3"/>
        <w:spacing w:before="0" w:beforeAutospacing="0" w:after="0" w:afterAutospacing="0"/>
        <w:jc w:val="both"/>
        <w:rPr>
          <w:sz w:val="20"/>
          <w:szCs w:val="20"/>
        </w:rPr>
      </w:pPr>
      <w:r>
        <w:rPr>
          <w:sz w:val="20"/>
          <w:szCs w:val="20"/>
        </w:rPr>
        <w:t> </w:t>
      </w:r>
    </w:p>
    <w:p w14:paraId="2F3AB580" w14:textId="77777777" w:rsidR="00000000" w:rsidRDefault="0015578C">
      <w:pPr>
        <w:pStyle w:val="a3"/>
        <w:spacing w:before="0" w:beforeAutospacing="0" w:after="0" w:afterAutospacing="0"/>
        <w:jc w:val="both"/>
        <w:rPr>
          <w:sz w:val="20"/>
          <w:szCs w:val="20"/>
        </w:rPr>
      </w:pPr>
      <w:r>
        <w:rPr>
          <w:rStyle w:val="a4"/>
          <w:sz w:val="20"/>
          <w:szCs w:val="20"/>
        </w:rPr>
        <w:t>(c). Results of Operations</w:t>
      </w:r>
    </w:p>
    <w:p w14:paraId="7A51C870" w14:textId="77777777" w:rsidR="00000000" w:rsidRDefault="0015578C">
      <w:pPr>
        <w:pStyle w:val="a3"/>
        <w:spacing w:before="0" w:beforeAutospacing="0" w:after="0" w:afterAutospacing="0"/>
        <w:jc w:val="both"/>
        <w:rPr>
          <w:sz w:val="20"/>
          <w:szCs w:val="20"/>
        </w:rPr>
      </w:pPr>
      <w:r>
        <w:rPr>
          <w:sz w:val="20"/>
          <w:szCs w:val="20"/>
        </w:rPr>
        <w:t> </w:t>
      </w:r>
    </w:p>
    <w:p w14:paraId="2E8361D5" w14:textId="77777777" w:rsidR="00000000" w:rsidRDefault="0015578C">
      <w:pPr>
        <w:pStyle w:val="a3"/>
        <w:spacing w:before="0" w:beforeAutospacing="0" w:after="0" w:afterAutospacing="0"/>
        <w:jc w:val="both"/>
        <w:rPr>
          <w:sz w:val="20"/>
          <w:szCs w:val="20"/>
        </w:rPr>
      </w:pPr>
      <w:r>
        <w:rPr>
          <w:sz w:val="20"/>
          <w:szCs w:val="20"/>
          <w:u w:val="single"/>
        </w:rPr>
        <w:t>Comparison of the year ended December 31, 2022 to the year ended December 31, 2021</w:t>
      </w:r>
    </w:p>
    <w:p w14:paraId="014CE6A6" w14:textId="77777777" w:rsidR="00000000" w:rsidRDefault="0015578C">
      <w:pPr>
        <w:pStyle w:val="a3"/>
        <w:spacing w:before="0" w:beforeAutospacing="0" w:after="0" w:afterAutospacing="0"/>
        <w:jc w:val="both"/>
        <w:rPr>
          <w:sz w:val="20"/>
          <w:szCs w:val="20"/>
        </w:rPr>
      </w:pPr>
      <w:r>
        <w:rPr>
          <w:sz w:val="20"/>
          <w:szCs w:val="20"/>
        </w:rPr>
        <w:t> </w:t>
      </w:r>
    </w:p>
    <w:p w14:paraId="7E391F9B" w14:textId="77777777" w:rsidR="00000000" w:rsidRDefault="0015578C">
      <w:pPr>
        <w:pStyle w:val="a3"/>
        <w:spacing w:before="0" w:beforeAutospacing="0" w:after="0" w:afterAutospacing="0"/>
        <w:ind w:firstLine="675"/>
        <w:jc w:val="both"/>
        <w:rPr>
          <w:sz w:val="20"/>
          <w:szCs w:val="20"/>
        </w:rPr>
      </w:pPr>
      <w:r>
        <w:rPr>
          <w:sz w:val="20"/>
          <w:szCs w:val="20"/>
        </w:rPr>
        <w:t>We had a net loss of $3,928,000 or $0.06 per basic and diluted share for the year ended December 31, 2022 compared to a net loss of $2,367,000 or $0.04 per basic and dilut</w:t>
      </w:r>
      <w:r>
        <w:rPr>
          <w:sz w:val="20"/>
          <w:szCs w:val="20"/>
        </w:rPr>
        <w:t>ed share for the year ended December 31, 2021. As explained in more detail below, the primary reasons for the increase in net loss during 2022 compared to 2021 was (i) an increase in exploration expense to $2,283,000 during 2022 compared to exploration exp</w:t>
      </w:r>
      <w:r>
        <w:rPr>
          <w:sz w:val="20"/>
          <w:szCs w:val="20"/>
        </w:rPr>
        <w:t>ense of $1,198,000 during 2021; (ii) an increase in general and administrative expense to $1,360,000 during 2022 compared to general and administrative expense of $952,000 during 2021; and (iii) the recording of an unrealized loss on marketable equity secu</w:t>
      </w:r>
      <w:r>
        <w:rPr>
          <w:sz w:val="20"/>
          <w:szCs w:val="20"/>
        </w:rPr>
        <w:t>rities during 2022 of $94,000 compared to an unrealized gain on marketable equity securities of $82,000 during 2021. Partially offsetting these factors that contributed to the increase in our net loss in 2022 were the following (i) a decrease in the loss o</w:t>
      </w:r>
      <w:r>
        <w:rPr>
          <w:sz w:val="20"/>
          <w:szCs w:val="20"/>
        </w:rPr>
        <w:t>n sale of marketable equity securities to $201,000 during 2022 compared to a loss on the sale of marketable equity securities of $248,000 during 2021; (ii) an increase in interest and dividend income to $131,000 during 2022 compared to interest and dividen</w:t>
      </w:r>
      <w:r>
        <w:rPr>
          <w:sz w:val="20"/>
          <w:szCs w:val="20"/>
        </w:rPr>
        <w:t>d income of $123,000 during 2021; (iii) an increase in other income to $20,000 during 2022 compared to other income of $10,000 during 2021; and (iv) a decrease in the loss on derivative instruments to $4,000 during 2022 compared to a loss on derivative ins</w:t>
      </w:r>
      <w:r>
        <w:rPr>
          <w:sz w:val="20"/>
          <w:szCs w:val="20"/>
        </w:rPr>
        <w:t>truments of $38,000 during 2021. Each of these items is discussed in greater detail below.</w:t>
      </w:r>
    </w:p>
    <w:p w14:paraId="707E6B14" w14:textId="77777777" w:rsidR="00000000" w:rsidRDefault="0015578C">
      <w:pPr>
        <w:pStyle w:val="a3"/>
        <w:spacing w:before="0" w:beforeAutospacing="0" w:after="0" w:afterAutospacing="0"/>
        <w:jc w:val="both"/>
        <w:rPr>
          <w:sz w:val="20"/>
          <w:szCs w:val="20"/>
        </w:rPr>
      </w:pPr>
      <w:r>
        <w:rPr>
          <w:sz w:val="20"/>
          <w:szCs w:val="20"/>
        </w:rPr>
        <w:t> </w:t>
      </w:r>
    </w:p>
    <w:p w14:paraId="3CDEC7B1" w14:textId="77777777" w:rsidR="00000000" w:rsidRDefault="0015578C">
      <w:pPr>
        <w:pStyle w:val="a3"/>
        <w:spacing w:before="0" w:beforeAutospacing="0" w:after="0" w:afterAutospacing="0"/>
        <w:ind w:firstLine="675"/>
        <w:jc w:val="both"/>
        <w:rPr>
          <w:sz w:val="20"/>
          <w:szCs w:val="20"/>
        </w:rPr>
      </w:pPr>
      <w:r>
        <w:rPr>
          <w:sz w:val="20"/>
          <w:szCs w:val="20"/>
        </w:rPr>
        <w:t>Our primary exploration activities during 2022 were related to our Golden Crest project in South Dakota and our Lik project in Alaska. We recorded $1,505,000 of ex</w:t>
      </w:r>
      <w:r>
        <w:rPr>
          <w:sz w:val="20"/>
          <w:szCs w:val="20"/>
        </w:rPr>
        <w:t xml:space="preserve">ploration costs at Golden Crest during 2022 compared to $420,000 during 2021. The Golden Crest expenditures during 2022 and 2021 consisted primarily of geologic evaluation of claims for staking, mapping and soil and rock sampling with related assay costs. </w:t>
      </w:r>
      <w:r>
        <w:rPr>
          <w:sz w:val="20"/>
          <w:szCs w:val="20"/>
        </w:rPr>
        <w:t>In addition to these exploration costs, we also capitalized $340,000 and 695,000 of mineral acquisition costs at Golden Crest for our initial acquisition costs related to leasing, staking and filings on claims acquired during 2022 and 2021, respectively. A</w:t>
      </w:r>
      <w:r>
        <w:rPr>
          <w:sz w:val="20"/>
          <w:szCs w:val="20"/>
        </w:rPr>
        <w:t>ll future exploration and filing costs related to these claims will be expensed as incurred. Solitario’s share of exploration expenses at our Lik project in Alaska was $668,000 during 2022 compared to $362,000 of exploration expense at the Lik project 2021</w:t>
      </w:r>
      <w:r>
        <w:rPr>
          <w:sz w:val="20"/>
          <w:szCs w:val="20"/>
        </w:rPr>
        <w:t>. Teck completed a three-hole drilling program during 2022 which accounted for the increase in expenses during 2022 compared to 2021. This was the first drilling program conducted since 2011. Drill hole Lik-231 intersected 3.5 meters (11.5 feet) grading 9%</w:t>
      </w:r>
      <w:r>
        <w:rPr>
          <w:sz w:val="20"/>
          <w:szCs w:val="20"/>
        </w:rPr>
        <w:t xml:space="preserve"> zinc and 3% lead. Holes Lik-230 and 232 did not intersect significant mineralization. In addition, Teck performed on-going geologic evaluation of the Lik project during both 2022 and 2021, which included on-site geophysics, mapping and analysis of prior d</w:t>
      </w:r>
      <w:r>
        <w:rPr>
          <w:sz w:val="20"/>
          <w:szCs w:val="20"/>
        </w:rPr>
        <w:t>rilling and permitting as part of a 50/50 exploration program managed by Teck. The geophysical survey was successful in defining a low-amplitude gravity anomaly that requires further follow-up work. We are evaluating, along with Teck, the completed 2022 dr</w:t>
      </w:r>
      <w:r>
        <w:rPr>
          <w:sz w:val="20"/>
          <w:szCs w:val="20"/>
        </w:rPr>
        <w:t>illing program for planned exploration including potential drilling in 2023. The decision to drill at Lik during 2023 is expected to be made prior to the end of the second quarter of 2023. Given that the exploration program at our Florida Canyon project in</w:t>
      </w:r>
      <w:r>
        <w:rPr>
          <w:sz w:val="20"/>
          <w:szCs w:val="20"/>
        </w:rPr>
        <w:t xml:space="preserve"> Peru is fully funded by our joint venture partner, Nexa, we had relatively small exploration expenses at Florida Canyon of $16,000 during 2022 compared to $85,000 in 2021. During 2021 we made the decision to abandon our Gold Coin project in Arizona after </w:t>
      </w:r>
      <w:r>
        <w:rPr>
          <w:sz w:val="20"/>
          <w:szCs w:val="20"/>
        </w:rPr>
        <w:t>initial exploration efforts did not provide sufficient encouragement to move the project forward. The remaining exploration expenditures during 2022 and 2021 were reconnaissance work, including the evaluation of potential mineral properties for acquisition</w:t>
      </w:r>
      <w:r>
        <w:rPr>
          <w:sz w:val="20"/>
          <w:szCs w:val="20"/>
        </w:rPr>
        <w:t>, including work during 2021 at Golden Crest, prior to its acquisition. Our 2023 total exploration and development budget, excluding any new projects, in which we may acquire an interest, is approximately $2,000,000, which reflects planned work at the Gold</w:t>
      </w:r>
      <w:r>
        <w:rPr>
          <w:sz w:val="20"/>
          <w:szCs w:val="20"/>
        </w:rPr>
        <w:t xml:space="preserve">en Crest project as well as the Lik project. Our planned exploration activities in 2023 may be modified, as necessary for any drilling programs we may undertake at Golden Crest or projects we may acquire, changes related to any number of factors including </w:t>
      </w:r>
      <w:r>
        <w:rPr>
          <w:sz w:val="20"/>
          <w:szCs w:val="20"/>
        </w:rPr>
        <w:t>COVID-19 adjustments and delays, potential acquisition of new properties, joint venture funding, commodity prices and changes in the deployment of our capital.</w:t>
      </w:r>
    </w:p>
    <w:p w14:paraId="499F9AA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4E48032" w14:textId="77777777">
        <w:trPr>
          <w:trHeight w:val="225"/>
          <w:tblCellSpacing w:w="15" w:type="dxa"/>
        </w:trPr>
        <w:tc>
          <w:tcPr>
            <w:tcW w:w="0" w:type="auto"/>
            <w:vAlign w:val="center"/>
            <w:hideMark/>
          </w:tcPr>
          <w:p w14:paraId="0AFCF235" w14:textId="77777777" w:rsidR="00000000" w:rsidRDefault="0015578C">
            <w:pPr>
              <w:rPr>
                <w:rFonts w:eastAsia="Times New Roman"/>
                <w:sz w:val="20"/>
                <w:szCs w:val="20"/>
              </w:rPr>
            </w:pPr>
            <w:r>
              <w:rPr>
                <w:rFonts w:eastAsia="Times New Roman"/>
                <w:sz w:val="20"/>
                <w:szCs w:val="20"/>
              </w:rPr>
              <w:t> </w:t>
            </w:r>
          </w:p>
        </w:tc>
      </w:tr>
      <w:tr w:rsidR="00000000" w14:paraId="1DD16DE9" w14:textId="77777777">
        <w:trPr>
          <w:trHeight w:val="225"/>
          <w:tblCellSpacing w:w="15" w:type="dxa"/>
        </w:trPr>
        <w:tc>
          <w:tcPr>
            <w:tcW w:w="0" w:type="auto"/>
            <w:tcBorders>
              <w:bottom w:val="single" w:sz="6" w:space="0" w:color="000000"/>
            </w:tcBorders>
            <w:vAlign w:val="center"/>
            <w:hideMark/>
          </w:tcPr>
          <w:p w14:paraId="6D16C6B1" w14:textId="77777777" w:rsidR="00000000" w:rsidRDefault="0015578C">
            <w:pPr>
              <w:jc w:val="center"/>
              <w:rPr>
                <w:rFonts w:eastAsia="Times New Roman"/>
                <w:sz w:val="20"/>
                <w:szCs w:val="20"/>
              </w:rPr>
            </w:pPr>
            <w:r>
              <w:rPr>
                <w:rFonts w:eastAsia="Times New Roman"/>
                <w:sz w:val="20"/>
                <w:szCs w:val="20"/>
              </w:rPr>
              <w:t>39</w:t>
            </w:r>
          </w:p>
        </w:tc>
      </w:tr>
      <w:tr w:rsidR="00000000" w14:paraId="6B59BCA6" w14:textId="77777777">
        <w:trPr>
          <w:trHeight w:val="225"/>
          <w:tblCellSpacing w:w="15" w:type="dxa"/>
        </w:trPr>
        <w:tc>
          <w:tcPr>
            <w:tcW w:w="0" w:type="auto"/>
            <w:vAlign w:val="center"/>
            <w:hideMark/>
          </w:tcPr>
          <w:p w14:paraId="067255FF" w14:textId="77777777" w:rsidR="00000000" w:rsidRDefault="0015578C">
            <w:pPr>
              <w:rPr>
                <w:rFonts w:eastAsia="Times New Roman"/>
                <w:sz w:val="20"/>
                <w:szCs w:val="20"/>
              </w:rPr>
            </w:pPr>
          </w:p>
        </w:tc>
      </w:tr>
      <w:tr w:rsidR="00000000" w14:paraId="62D69AD2" w14:textId="77777777">
        <w:trPr>
          <w:trHeight w:val="225"/>
          <w:tblCellSpacing w:w="15" w:type="dxa"/>
        </w:trPr>
        <w:tc>
          <w:tcPr>
            <w:tcW w:w="0" w:type="auto"/>
            <w:vAlign w:val="center"/>
            <w:hideMark/>
          </w:tcPr>
          <w:p w14:paraId="6CA7222A"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DFE43FA" w14:textId="77777777" w:rsidR="00000000" w:rsidRDefault="0015578C">
      <w:pPr>
        <w:pStyle w:val="a3"/>
        <w:spacing w:before="0" w:beforeAutospacing="0" w:after="0" w:afterAutospacing="0"/>
        <w:jc w:val="both"/>
        <w:rPr>
          <w:sz w:val="20"/>
          <w:szCs w:val="20"/>
        </w:rPr>
      </w:pPr>
      <w:r>
        <w:rPr>
          <w:sz w:val="20"/>
          <w:szCs w:val="20"/>
        </w:rPr>
        <w:t> </w:t>
      </w:r>
    </w:p>
    <w:p w14:paraId="7E82B7EA" w14:textId="77777777" w:rsidR="00000000" w:rsidRDefault="0015578C">
      <w:pPr>
        <w:pStyle w:val="a3"/>
        <w:spacing w:before="0" w:beforeAutospacing="0" w:after="0" w:afterAutospacing="0"/>
        <w:ind w:firstLine="675"/>
        <w:jc w:val="both"/>
        <w:rPr>
          <w:sz w:val="20"/>
          <w:szCs w:val="20"/>
        </w:rPr>
      </w:pPr>
      <w:r>
        <w:rPr>
          <w:sz w:val="20"/>
          <w:szCs w:val="20"/>
        </w:rPr>
        <w:t>Exploration expense (in thousands) by property consisted of the following:</w:t>
      </w:r>
    </w:p>
    <w:p w14:paraId="77D6940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6482140F" w14:textId="77777777">
        <w:trPr>
          <w:trHeight w:val="225"/>
          <w:tblCellSpacing w:w="15" w:type="dxa"/>
        </w:trPr>
        <w:tc>
          <w:tcPr>
            <w:tcW w:w="0" w:type="auto"/>
            <w:vAlign w:val="bottom"/>
            <w:hideMark/>
          </w:tcPr>
          <w:p w14:paraId="7DF8B7E9" w14:textId="77777777" w:rsidR="00000000" w:rsidRDefault="0015578C">
            <w:pPr>
              <w:pStyle w:val="a3"/>
              <w:spacing w:before="0" w:beforeAutospacing="0" w:after="0" w:afterAutospacing="0"/>
              <w:rPr>
                <w:sz w:val="20"/>
                <w:szCs w:val="20"/>
              </w:rPr>
            </w:pPr>
            <w:r>
              <w:rPr>
                <w:sz w:val="20"/>
                <w:szCs w:val="20"/>
              </w:rPr>
              <w:t>(in thousands of dollars)</w:t>
            </w:r>
          </w:p>
        </w:tc>
        <w:tc>
          <w:tcPr>
            <w:tcW w:w="0" w:type="auto"/>
            <w:noWrap/>
            <w:vAlign w:val="center"/>
            <w:hideMark/>
          </w:tcPr>
          <w:p w14:paraId="49B465D9"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28B40795" w14:textId="77777777" w:rsidR="00000000" w:rsidRDefault="0015578C">
            <w:pPr>
              <w:pStyle w:val="a3"/>
              <w:spacing w:before="0" w:beforeAutospacing="0" w:after="0" w:afterAutospacing="0"/>
              <w:jc w:val="center"/>
              <w:rPr>
                <w:sz w:val="20"/>
                <w:szCs w:val="20"/>
              </w:rPr>
            </w:pPr>
            <w:r>
              <w:rPr>
                <w:sz w:val="20"/>
                <w:szCs w:val="20"/>
              </w:rPr>
              <w:t>Year ended</w:t>
            </w:r>
          </w:p>
          <w:p w14:paraId="1D939920"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42662ABB" w14:textId="77777777" w:rsidR="00000000" w:rsidRDefault="0015578C">
            <w:pPr>
              <w:pStyle w:val="a3"/>
              <w:spacing w:before="0" w:beforeAutospacing="0" w:after="0" w:afterAutospacing="0"/>
              <w:rPr>
                <w:sz w:val="20"/>
                <w:szCs w:val="20"/>
              </w:rPr>
            </w:pPr>
            <w:r>
              <w:rPr>
                <w:sz w:val="20"/>
                <w:szCs w:val="20"/>
              </w:rPr>
              <w:t> </w:t>
            </w:r>
          </w:p>
        </w:tc>
      </w:tr>
      <w:tr w:rsidR="00000000" w14:paraId="3CE1BCA6" w14:textId="77777777">
        <w:trPr>
          <w:trHeight w:val="225"/>
          <w:tblCellSpacing w:w="15" w:type="dxa"/>
        </w:trPr>
        <w:tc>
          <w:tcPr>
            <w:tcW w:w="0" w:type="auto"/>
            <w:vAlign w:val="bottom"/>
            <w:hideMark/>
          </w:tcPr>
          <w:p w14:paraId="6D487244" w14:textId="77777777" w:rsidR="00000000" w:rsidRDefault="0015578C">
            <w:pPr>
              <w:pStyle w:val="a3"/>
              <w:spacing w:before="0" w:beforeAutospacing="0" w:after="0" w:afterAutospacing="0"/>
              <w:rPr>
                <w:sz w:val="20"/>
                <w:szCs w:val="20"/>
              </w:rPr>
            </w:pPr>
            <w:r>
              <w:rPr>
                <w:sz w:val="20"/>
                <w:szCs w:val="20"/>
                <w:u w:val="single"/>
              </w:rPr>
              <w:t>Property Name</w:t>
            </w:r>
          </w:p>
        </w:tc>
        <w:tc>
          <w:tcPr>
            <w:tcW w:w="0" w:type="auto"/>
            <w:noWrap/>
            <w:vAlign w:val="center"/>
            <w:hideMark/>
          </w:tcPr>
          <w:p w14:paraId="0F548D5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39BF3F83"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78F4568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0A9A136"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69A78CD"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3F18FE54" w14:textId="77777777" w:rsidR="00000000" w:rsidRDefault="0015578C">
            <w:pPr>
              <w:pStyle w:val="a3"/>
              <w:spacing w:before="0" w:beforeAutospacing="0" w:after="0" w:afterAutospacing="0"/>
              <w:rPr>
                <w:sz w:val="20"/>
                <w:szCs w:val="20"/>
              </w:rPr>
            </w:pPr>
            <w:r>
              <w:rPr>
                <w:sz w:val="20"/>
                <w:szCs w:val="20"/>
              </w:rPr>
              <w:t> </w:t>
            </w:r>
          </w:p>
        </w:tc>
      </w:tr>
      <w:tr w:rsidR="00000000" w14:paraId="3812F1F6" w14:textId="77777777">
        <w:trPr>
          <w:trHeight w:val="225"/>
          <w:tblCellSpacing w:w="15" w:type="dxa"/>
        </w:trPr>
        <w:tc>
          <w:tcPr>
            <w:tcW w:w="0" w:type="auto"/>
            <w:shd w:val="clear" w:color="auto" w:fill="CCEEFF"/>
            <w:hideMark/>
          </w:tcPr>
          <w:p w14:paraId="3B0F07DE" w14:textId="77777777" w:rsidR="00000000" w:rsidRDefault="0015578C">
            <w:pPr>
              <w:pStyle w:val="a3"/>
              <w:spacing w:before="0" w:beforeAutospacing="0" w:after="0" w:afterAutospacing="0"/>
              <w:rPr>
                <w:sz w:val="20"/>
                <w:szCs w:val="20"/>
              </w:rPr>
            </w:pPr>
            <w:r>
              <w:rPr>
                <w:sz w:val="20"/>
                <w:szCs w:val="20"/>
              </w:rPr>
              <w:t>Golden Crest</w:t>
            </w:r>
          </w:p>
        </w:tc>
        <w:tc>
          <w:tcPr>
            <w:tcW w:w="50" w:type="pct"/>
            <w:shd w:val="clear" w:color="auto" w:fill="CCEEFF"/>
            <w:noWrap/>
            <w:vAlign w:val="center"/>
            <w:hideMark/>
          </w:tcPr>
          <w:p w14:paraId="4AADA82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318346A"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29F76FC" w14:textId="77777777" w:rsidR="00000000" w:rsidRDefault="0015578C">
            <w:pPr>
              <w:jc w:val="right"/>
              <w:rPr>
                <w:rFonts w:eastAsia="Times New Roman"/>
                <w:sz w:val="20"/>
                <w:szCs w:val="20"/>
              </w:rPr>
            </w:pPr>
            <w:r>
              <w:rPr>
                <w:rFonts w:eastAsia="Times New Roman"/>
                <w:sz w:val="20"/>
                <w:szCs w:val="20"/>
              </w:rPr>
              <w:t>1,505</w:t>
            </w:r>
          </w:p>
        </w:tc>
        <w:tc>
          <w:tcPr>
            <w:tcW w:w="50" w:type="pct"/>
            <w:shd w:val="clear" w:color="auto" w:fill="CCEEFF"/>
            <w:noWrap/>
            <w:vAlign w:val="center"/>
            <w:hideMark/>
          </w:tcPr>
          <w:p w14:paraId="4AA48F6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1DEB1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4D16DB5"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16A9F1B" w14:textId="77777777" w:rsidR="00000000" w:rsidRDefault="0015578C">
            <w:pPr>
              <w:jc w:val="right"/>
              <w:rPr>
                <w:rFonts w:eastAsia="Times New Roman"/>
                <w:sz w:val="20"/>
                <w:szCs w:val="20"/>
              </w:rPr>
            </w:pPr>
            <w:r>
              <w:rPr>
                <w:rFonts w:eastAsia="Times New Roman"/>
                <w:sz w:val="20"/>
                <w:szCs w:val="20"/>
              </w:rPr>
              <w:t>420</w:t>
            </w:r>
          </w:p>
        </w:tc>
        <w:tc>
          <w:tcPr>
            <w:tcW w:w="50" w:type="pct"/>
            <w:shd w:val="clear" w:color="auto" w:fill="CCEEFF"/>
            <w:noWrap/>
            <w:vAlign w:val="center"/>
            <w:hideMark/>
          </w:tcPr>
          <w:p w14:paraId="0266AD4C" w14:textId="77777777" w:rsidR="00000000" w:rsidRDefault="0015578C">
            <w:pPr>
              <w:pStyle w:val="a3"/>
              <w:spacing w:before="0" w:beforeAutospacing="0" w:after="0" w:afterAutospacing="0"/>
              <w:rPr>
                <w:sz w:val="20"/>
                <w:szCs w:val="20"/>
              </w:rPr>
            </w:pPr>
            <w:r>
              <w:rPr>
                <w:sz w:val="20"/>
                <w:szCs w:val="20"/>
              </w:rPr>
              <w:t> </w:t>
            </w:r>
          </w:p>
        </w:tc>
      </w:tr>
      <w:tr w:rsidR="00000000" w14:paraId="77CC8DFF" w14:textId="77777777">
        <w:trPr>
          <w:trHeight w:val="225"/>
          <w:tblCellSpacing w:w="15" w:type="dxa"/>
        </w:trPr>
        <w:tc>
          <w:tcPr>
            <w:tcW w:w="0" w:type="auto"/>
            <w:shd w:val="clear" w:color="auto" w:fill="FFFFFF"/>
            <w:hideMark/>
          </w:tcPr>
          <w:p w14:paraId="49D92A6F" w14:textId="77777777" w:rsidR="00000000" w:rsidRDefault="0015578C">
            <w:pPr>
              <w:pStyle w:val="a3"/>
              <w:spacing w:before="0" w:beforeAutospacing="0" w:after="0" w:afterAutospacing="0"/>
              <w:rPr>
                <w:sz w:val="20"/>
                <w:szCs w:val="20"/>
              </w:rPr>
            </w:pPr>
            <w:r>
              <w:rPr>
                <w:sz w:val="20"/>
                <w:szCs w:val="20"/>
              </w:rPr>
              <w:t>Florida Canyon</w:t>
            </w:r>
          </w:p>
        </w:tc>
        <w:tc>
          <w:tcPr>
            <w:tcW w:w="50" w:type="pct"/>
            <w:shd w:val="clear" w:color="auto" w:fill="FFFFFF"/>
            <w:noWrap/>
            <w:vAlign w:val="center"/>
            <w:hideMark/>
          </w:tcPr>
          <w:p w14:paraId="2B3DBA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A25696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8492F52" w14:textId="77777777" w:rsidR="00000000" w:rsidRDefault="0015578C">
            <w:pPr>
              <w:jc w:val="right"/>
              <w:rPr>
                <w:rFonts w:eastAsia="Times New Roman"/>
                <w:sz w:val="20"/>
                <w:szCs w:val="20"/>
              </w:rPr>
            </w:pPr>
            <w:r>
              <w:rPr>
                <w:rFonts w:eastAsia="Times New Roman"/>
                <w:sz w:val="20"/>
                <w:szCs w:val="20"/>
              </w:rPr>
              <w:t>16</w:t>
            </w:r>
          </w:p>
        </w:tc>
        <w:tc>
          <w:tcPr>
            <w:tcW w:w="50" w:type="pct"/>
            <w:shd w:val="clear" w:color="auto" w:fill="FFFFFF"/>
            <w:noWrap/>
            <w:vAlign w:val="center"/>
            <w:hideMark/>
          </w:tcPr>
          <w:p w14:paraId="7AA9185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418446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205329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C734291" w14:textId="77777777" w:rsidR="00000000" w:rsidRDefault="0015578C">
            <w:pPr>
              <w:jc w:val="right"/>
              <w:rPr>
                <w:rFonts w:eastAsia="Times New Roman"/>
                <w:sz w:val="20"/>
                <w:szCs w:val="20"/>
              </w:rPr>
            </w:pPr>
            <w:r>
              <w:rPr>
                <w:rFonts w:eastAsia="Times New Roman"/>
                <w:sz w:val="20"/>
                <w:szCs w:val="20"/>
              </w:rPr>
              <w:t>85</w:t>
            </w:r>
          </w:p>
        </w:tc>
        <w:tc>
          <w:tcPr>
            <w:tcW w:w="50" w:type="pct"/>
            <w:shd w:val="clear" w:color="auto" w:fill="FFFFFF"/>
            <w:noWrap/>
            <w:vAlign w:val="center"/>
            <w:hideMark/>
          </w:tcPr>
          <w:p w14:paraId="7CCDA1FE" w14:textId="77777777" w:rsidR="00000000" w:rsidRDefault="0015578C">
            <w:pPr>
              <w:pStyle w:val="a3"/>
              <w:spacing w:before="0" w:beforeAutospacing="0" w:after="0" w:afterAutospacing="0"/>
              <w:rPr>
                <w:sz w:val="20"/>
                <w:szCs w:val="20"/>
              </w:rPr>
            </w:pPr>
            <w:r>
              <w:rPr>
                <w:sz w:val="20"/>
                <w:szCs w:val="20"/>
              </w:rPr>
              <w:t> </w:t>
            </w:r>
          </w:p>
        </w:tc>
      </w:tr>
      <w:tr w:rsidR="00000000" w14:paraId="1DCFBA98" w14:textId="77777777">
        <w:trPr>
          <w:trHeight w:val="225"/>
          <w:tblCellSpacing w:w="15" w:type="dxa"/>
        </w:trPr>
        <w:tc>
          <w:tcPr>
            <w:tcW w:w="0" w:type="auto"/>
            <w:shd w:val="clear" w:color="auto" w:fill="CCEEFF"/>
            <w:hideMark/>
          </w:tcPr>
          <w:p w14:paraId="7D70723C" w14:textId="77777777" w:rsidR="00000000" w:rsidRDefault="0015578C">
            <w:pPr>
              <w:pStyle w:val="a3"/>
              <w:spacing w:before="0" w:beforeAutospacing="0" w:after="0" w:afterAutospacing="0"/>
              <w:rPr>
                <w:sz w:val="20"/>
                <w:szCs w:val="20"/>
              </w:rPr>
            </w:pPr>
            <w:r>
              <w:rPr>
                <w:sz w:val="20"/>
                <w:szCs w:val="20"/>
              </w:rPr>
              <w:t>Lik project</w:t>
            </w:r>
          </w:p>
        </w:tc>
        <w:tc>
          <w:tcPr>
            <w:tcW w:w="50" w:type="pct"/>
            <w:shd w:val="clear" w:color="auto" w:fill="CCEEFF"/>
            <w:noWrap/>
            <w:vAlign w:val="center"/>
            <w:hideMark/>
          </w:tcPr>
          <w:p w14:paraId="5DDB58B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2E7342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AC7B30D" w14:textId="77777777" w:rsidR="00000000" w:rsidRDefault="0015578C">
            <w:pPr>
              <w:jc w:val="right"/>
              <w:rPr>
                <w:rFonts w:eastAsia="Times New Roman"/>
                <w:sz w:val="20"/>
                <w:szCs w:val="20"/>
              </w:rPr>
            </w:pPr>
            <w:r>
              <w:rPr>
                <w:rFonts w:eastAsia="Times New Roman"/>
                <w:sz w:val="20"/>
                <w:szCs w:val="20"/>
              </w:rPr>
              <w:t>668</w:t>
            </w:r>
          </w:p>
        </w:tc>
        <w:tc>
          <w:tcPr>
            <w:tcW w:w="50" w:type="pct"/>
            <w:shd w:val="clear" w:color="auto" w:fill="CCEEFF"/>
            <w:noWrap/>
            <w:vAlign w:val="center"/>
            <w:hideMark/>
          </w:tcPr>
          <w:p w14:paraId="1A2CC42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26CE7A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6FEC37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69D53A4" w14:textId="77777777" w:rsidR="00000000" w:rsidRDefault="0015578C">
            <w:pPr>
              <w:jc w:val="right"/>
              <w:rPr>
                <w:rFonts w:eastAsia="Times New Roman"/>
                <w:sz w:val="20"/>
                <w:szCs w:val="20"/>
              </w:rPr>
            </w:pPr>
            <w:r>
              <w:rPr>
                <w:rFonts w:eastAsia="Times New Roman"/>
                <w:sz w:val="20"/>
                <w:szCs w:val="20"/>
              </w:rPr>
              <w:t>362</w:t>
            </w:r>
          </w:p>
        </w:tc>
        <w:tc>
          <w:tcPr>
            <w:tcW w:w="50" w:type="pct"/>
            <w:shd w:val="clear" w:color="auto" w:fill="CCEEFF"/>
            <w:noWrap/>
            <w:vAlign w:val="center"/>
            <w:hideMark/>
          </w:tcPr>
          <w:p w14:paraId="6C9EA93F" w14:textId="77777777" w:rsidR="00000000" w:rsidRDefault="0015578C">
            <w:pPr>
              <w:pStyle w:val="a3"/>
              <w:spacing w:before="0" w:beforeAutospacing="0" w:after="0" w:afterAutospacing="0"/>
              <w:rPr>
                <w:sz w:val="20"/>
                <w:szCs w:val="20"/>
              </w:rPr>
            </w:pPr>
            <w:r>
              <w:rPr>
                <w:sz w:val="20"/>
                <w:szCs w:val="20"/>
              </w:rPr>
              <w:t> </w:t>
            </w:r>
          </w:p>
        </w:tc>
      </w:tr>
      <w:tr w:rsidR="00000000" w14:paraId="3B255604" w14:textId="77777777">
        <w:trPr>
          <w:trHeight w:val="225"/>
          <w:tblCellSpacing w:w="15" w:type="dxa"/>
        </w:trPr>
        <w:tc>
          <w:tcPr>
            <w:tcW w:w="0" w:type="auto"/>
            <w:shd w:val="clear" w:color="auto" w:fill="FFFFFF"/>
            <w:hideMark/>
          </w:tcPr>
          <w:p w14:paraId="4536117D" w14:textId="77777777" w:rsidR="00000000" w:rsidRDefault="0015578C">
            <w:pPr>
              <w:pStyle w:val="a3"/>
              <w:spacing w:before="0" w:beforeAutospacing="0" w:after="0" w:afterAutospacing="0"/>
              <w:rPr>
                <w:sz w:val="20"/>
                <w:szCs w:val="20"/>
              </w:rPr>
            </w:pPr>
            <w:r>
              <w:rPr>
                <w:sz w:val="20"/>
                <w:szCs w:val="20"/>
              </w:rPr>
              <w:t>Gold Coin</w:t>
            </w:r>
          </w:p>
        </w:tc>
        <w:tc>
          <w:tcPr>
            <w:tcW w:w="50" w:type="pct"/>
            <w:shd w:val="clear" w:color="auto" w:fill="FFFFFF"/>
            <w:noWrap/>
            <w:vAlign w:val="center"/>
            <w:hideMark/>
          </w:tcPr>
          <w:p w14:paraId="4649D20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90C67A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BF0980F"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80621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E4527C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E14EF8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4356116" w14:textId="77777777" w:rsidR="00000000" w:rsidRDefault="0015578C">
            <w:pPr>
              <w:jc w:val="right"/>
              <w:rPr>
                <w:rFonts w:eastAsia="Times New Roman"/>
                <w:sz w:val="20"/>
                <w:szCs w:val="20"/>
              </w:rPr>
            </w:pPr>
            <w:r>
              <w:rPr>
                <w:rFonts w:eastAsia="Times New Roman"/>
                <w:sz w:val="20"/>
                <w:szCs w:val="20"/>
              </w:rPr>
              <w:t>25</w:t>
            </w:r>
          </w:p>
        </w:tc>
        <w:tc>
          <w:tcPr>
            <w:tcW w:w="50" w:type="pct"/>
            <w:shd w:val="clear" w:color="auto" w:fill="FFFFFF"/>
            <w:noWrap/>
            <w:vAlign w:val="center"/>
            <w:hideMark/>
          </w:tcPr>
          <w:p w14:paraId="1EDA636F" w14:textId="77777777" w:rsidR="00000000" w:rsidRDefault="0015578C">
            <w:pPr>
              <w:pStyle w:val="a3"/>
              <w:spacing w:before="0" w:beforeAutospacing="0" w:after="0" w:afterAutospacing="0"/>
              <w:rPr>
                <w:sz w:val="20"/>
                <w:szCs w:val="20"/>
              </w:rPr>
            </w:pPr>
            <w:r>
              <w:rPr>
                <w:sz w:val="20"/>
                <w:szCs w:val="20"/>
              </w:rPr>
              <w:t> </w:t>
            </w:r>
          </w:p>
        </w:tc>
      </w:tr>
      <w:tr w:rsidR="00000000" w14:paraId="013A3CAE" w14:textId="77777777">
        <w:trPr>
          <w:trHeight w:val="225"/>
          <w:tblCellSpacing w:w="15" w:type="dxa"/>
        </w:trPr>
        <w:tc>
          <w:tcPr>
            <w:tcW w:w="0" w:type="auto"/>
            <w:shd w:val="clear" w:color="auto" w:fill="CCEEFF"/>
            <w:hideMark/>
          </w:tcPr>
          <w:p w14:paraId="2261B63D" w14:textId="77777777" w:rsidR="00000000" w:rsidRDefault="0015578C">
            <w:pPr>
              <w:pStyle w:val="a3"/>
              <w:spacing w:before="0" w:beforeAutospacing="0" w:after="0" w:afterAutospacing="0"/>
              <w:rPr>
                <w:sz w:val="20"/>
                <w:szCs w:val="20"/>
              </w:rPr>
            </w:pPr>
            <w:r>
              <w:rPr>
                <w:sz w:val="20"/>
                <w:szCs w:val="20"/>
              </w:rPr>
              <w:t>Reconnaissance exploration activity</w:t>
            </w:r>
          </w:p>
        </w:tc>
        <w:tc>
          <w:tcPr>
            <w:tcW w:w="50" w:type="pct"/>
            <w:shd w:val="clear" w:color="auto" w:fill="CCEEFF"/>
            <w:noWrap/>
            <w:vAlign w:val="center"/>
            <w:hideMark/>
          </w:tcPr>
          <w:p w14:paraId="1999136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20896C8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315F772" w14:textId="77777777" w:rsidR="00000000" w:rsidRDefault="0015578C">
            <w:pPr>
              <w:jc w:val="right"/>
              <w:rPr>
                <w:rFonts w:eastAsia="Times New Roman"/>
                <w:sz w:val="20"/>
                <w:szCs w:val="20"/>
              </w:rPr>
            </w:pPr>
            <w:r>
              <w:rPr>
                <w:rFonts w:eastAsia="Times New Roman"/>
                <w:sz w:val="20"/>
                <w:szCs w:val="20"/>
              </w:rPr>
              <w:t>94</w:t>
            </w:r>
          </w:p>
        </w:tc>
        <w:tc>
          <w:tcPr>
            <w:tcW w:w="50" w:type="pct"/>
            <w:shd w:val="clear" w:color="auto" w:fill="CCEEFF"/>
            <w:noWrap/>
            <w:tcMar>
              <w:top w:w="0" w:type="dxa"/>
              <w:left w:w="0" w:type="dxa"/>
              <w:bottom w:w="15" w:type="dxa"/>
              <w:right w:w="0" w:type="dxa"/>
            </w:tcMar>
            <w:vAlign w:val="center"/>
            <w:hideMark/>
          </w:tcPr>
          <w:p w14:paraId="0CC2C04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576B4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2BAD2C5"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434727B" w14:textId="77777777" w:rsidR="00000000" w:rsidRDefault="0015578C">
            <w:pPr>
              <w:jc w:val="right"/>
              <w:rPr>
                <w:rFonts w:eastAsia="Times New Roman"/>
                <w:sz w:val="20"/>
                <w:szCs w:val="20"/>
              </w:rPr>
            </w:pPr>
            <w:r>
              <w:rPr>
                <w:rFonts w:eastAsia="Times New Roman"/>
                <w:sz w:val="20"/>
                <w:szCs w:val="20"/>
              </w:rPr>
              <w:t>306</w:t>
            </w:r>
          </w:p>
        </w:tc>
        <w:tc>
          <w:tcPr>
            <w:tcW w:w="50" w:type="pct"/>
            <w:shd w:val="clear" w:color="auto" w:fill="CCEEFF"/>
            <w:noWrap/>
            <w:tcMar>
              <w:top w:w="0" w:type="dxa"/>
              <w:left w:w="0" w:type="dxa"/>
              <w:bottom w:w="15" w:type="dxa"/>
              <w:right w:w="0" w:type="dxa"/>
            </w:tcMar>
            <w:vAlign w:val="center"/>
            <w:hideMark/>
          </w:tcPr>
          <w:p w14:paraId="7B18CB3F" w14:textId="77777777" w:rsidR="00000000" w:rsidRDefault="0015578C">
            <w:pPr>
              <w:pStyle w:val="a3"/>
              <w:spacing w:before="0" w:beforeAutospacing="0" w:after="0" w:afterAutospacing="0"/>
              <w:rPr>
                <w:sz w:val="20"/>
                <w:szCs w:val="20"/>
              </w:rPr>
            </w:pPr>
            <w:r>
              <w:rPr>
                <w:sz w:val="20"/>
                <w:szCs w:val="20"/>
              </w:rPr>
              <w:t> </w:t>
            </w:r>
          </w:p>
        </w:tc>
      </w:tr>
      <w:tr w:rsidR="00000000" w14:paraId="732EAEE8" w14:textId="77777777">
        <w:trPr>
          <w:trHeight w:val="225"/>
          <w:tblCellSpacing w:w="15" w:type="dxa"/>
        </w:trPr>
        <w:tc>
          <w:tcPr>
            <w:tcW w:w="0" w:type="auto"/>
            <w:shd w:val="clear" w:color="auto" w:fill="FFFFFF"/>
            <w:hideMark/>
          </w:tcPr>
          <w:p w14:paraId="32369E60" w14:textId="77777777" w:rsidR="00000000" w:rsidRDefault="0015578C">
            <w:pPr>
              <w:pStyle w:val="a3"/>
              <w:spacing w:before="0" w:beforeAutospacing="0" w:after="0" w:afterAutospacing="0"/>
              <w:ind w:left="225"/>
              <w:rPr>
                <w:sz w:val="20"/>
                <w:szCs w:val="20"/>
              </w:rPr>
            </w:pPr>
            <w:r>
              <w:rPr>
                <w:sz w:val="20"/>
                <w:szCs w:val="20"/>
              </w:rPr>
              <w:t>Total exploration expense</w:t>
            </w:r>
          </w:p>
        </w:tc>
        <w:tc>
          <w:tcPr>
            <w:tcW w:w="50" w:type="pct"/>
            <w:shd w:val="clear" w:color="auto" w:fill="FFFFFF"/>
            <w:noWrap/>
            <w:vAlign w:val="center"/>
            <w:hideMark/>
          </w:tcPr>
          <w:p w14:paraId="7466A76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21323B82"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1F21B4EF" w14:textId="77777777" w:rsidR="00000000" w:rsidRDefault="0015578C">
            <w:pPr>
              <w:jc w:val="right"/>
              <w:rPr>
                <w:rFonts w:eastAsia="Times New Roman"/>
                <w:sz w:val="20"/>
                <w:szCs w:val="20"/>
              </w:rPr>
            </w:pPr>
            <w:r>
              <w:rPr>
                <w:rFonts w:eastAsia="Times New Roman"/>
                <w:sz w:val="20"/>
                <w:szCs w:val="20"/>
              </w:rPr>
              <w:t>2,283</w:t>
            </w:r>
          </w:p>
        </w:tc>
        <w:tc>
          <w:tcPr>
            <w:tcW w:w="50" w:type="pct"/>
            <w:shd w:val="clear" w:color="auto" w:fill="FFFFFF"/>
            <w:noWrap/>
            <w:tcMar>
              <w:top w:w="0" w:type="dxa"/>
              <w:left w:w="0" w:type="dxa"/>
              <w:bottom w:w="15" w:type="dxa"/>
              <w:right w:w="0" w:type="dxa"/>
            </w:tcMar>
            <w:vAlign w:val="center"/>
            <w:hideMark/>
          </w:tcPr>
          <w:p w14:paraId="6B26EBF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F377D4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1ECF0F0D"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088126EA" w14:textId="77777777" w:rsidR="00000000" w:rsidRDefault="0015578C">
            <w:pPr>
              <w:jc w:val="right"/>
              <w:rPr>
                <w:rFonts w:eastAsia="Times New Roman"/>
                <w:sz w:val="20"/>
                <w:szCs w:val="20"/>
              </w:rPr>
            </w:pPr>
            <w:r>
              <w:rPr>
                <w:rFonts w:eastAsia="Times New Roman"/>
                <w:sz w:val="20"/>
                <w:szCs w:val="20"/>
              </w:rPr>
              <w:t>1,198</w:t>
            </w:r>
          </w:p>
        </w:tc>
        <w:tc>
          <w:tcPr>
            <w:tcW w:w="50" w:type="pct"/>
            <w:shd w:val="clear" w:color="auto" w:fill="FFFFFF"/>
            <w:noWrap/>
            <w:tcMar>
              <w:top w:w="0" w:type="dxa"/>
              <w:left w:w="0" w:type="dxa"/>
              <w:bottom w:w="15" w:type="dxa"/>
              <w:right w:w="0" w:type="dxa"/>
            </w:tcMar>
            <w:vAlign w:val="center"/>
            <w:hideMark/>
          </w:tcPr>
          <w:p w14:paraId="5DBE9388" w14:textId="77777777" w:rsidR="00000000" w:rsidRDefault="0015578C">
            <w:pPr>
              <w:pStyle w:val="a3"/>
              <w:spacing w:before="0" w:beforeAutospacing="0" w:after="0" w:afterAutospacing="0"/>
              <w:rPr>
                <w:sz w:val="20"/>
                <w:szCs w:val="20"/>
              </w:rPr>
            </w:pPr>
            <w:r>
              <w:rPr>
                <w:sz w:val="20"/>
                <w:szCs w:val="20"/>
              </w:rPr>
              <w:t> </w:t>
            </w:r>
          </w:p>
        </w:tc>
      </w:tr>
    </w:tbl>
    <w:p w14:paraId="60F8E6B3" w14:textId="77777777" w:rsidR="00000000" w:rsidRDefault="0015578C">
      <w:pPr>
        <w:pStyle w:val="a3"/>
        <w:spacing w:before="0" w:beforeAutospacing="0" w:after="0" w:afterAutospacing="0"/>
        <w:jc w:val="both"/>
        <w:rPr>
          <w:sz w:val="20"/>
          <w:szCs w:val="20"/>
        </w:rPr>
      </w:pPr>
      <w:r>
        <w:rPr>
          <w:sz w:val="20"/>
          <w:szCs w:val="20"/>
        </w:rPr>
        <w:t> </w:t>
      </w:r>
    </w:p>
    <w:p w14:paraId="47B75AEF" w14:textId="77777777" w:rsidR="00000000" w:rsidRDefault="0015578C">
      <w:pPr>
        <w:pStyle w:val="a3"/>
        <w:spacing w:before="0" w:beforeAutospacing="0" w:after="0" w:afterAutospacing="0"/>
        <w:ind w:firstLine="675"/>
        <w:jc w:val="both"/>
        <w:rPr>
          <w:sz w:val="20"/>
          <w:szCs w:val="20"/>
        </w:rPr>
      </w:pPr>
      <w:r>
        <w:rPr>
          <w:sz w:val="20"/>
          <w:szCs w:val="20"/>
        </w:rPr>
        <w:t>We believe a discussion of our general and administrative costs should be viewed without the non-cash stock option compensation expense (discussed below). Excluding these costs, general and administrative costs were $1,022,000 during 2022 compared to $828,</w:t>
      </w:r>
      <w:r>
        <w:rPr>
          <w:sz w:val="20"/>
          <w:szCs w:val="20"/>
        </w:rPr>
        <w:t>000 during 2021. The major components of our general and administrative costs were (i) salary and benefits expense which increased to $411,000 during 2022 compared to $301,000 during 2021;(ii) legal and accounting costs which increased to $287,000 during 2</w:t>
      </w:r>
      <w:r>
        <w:rPr>
          <w:sz w:val="20"/>
          <w:szCs w:val="20"/>
        </w:rPr>
        <w:t>022 compared to $199,000 during 2021 primarily due to increased exploration activity, as well as initial costs to comply with initial SK-1300 disclosure requirements during 2022; (iii) travel and investor relation costs which decreased to $205,000 during 2</w:t>
      </w:r>
      <w:r>
        <w:rPr>
          <w:sz w:val="20"/>
          <w:szCs w:val="20"/>
        </w:rPr>
        <w:t>022 compared to $234,000 during 2021 as a result of less travel and fewer investor conferences attended during 2022 compared to 2021, despite some increased investor relations costs related to the Golden Crest project during 2022; and (iv) other costs rela</w:t>
      </w:r>
      <w:r>
        <w:rPr>
          <w:sz w:val="20"/>
          <w:szCs w:val="20"/>
        </w:rPr>
        <w:t>ted to office, insurance and miscellaneous costs which increased to $119,000 during 2022 compared to $94,000 during 2021 as a result of additional activity and general cost increases. We anticipate general and administrative costs for 2023 to be $1,085,000</w:t>
      </w:r>
      <w:r>
        <w:rPr>
          <w:sz w:val="20"/>
          <w:szCs w:val="20"/>
        </w:rPr>
        <w:t xml:space="preserve"> which will be somewhat higher than the costs incurred during 2022; however, this amount may vary significantly during 2023 depending on the outcome of our exploration activity at Golden Crest and Lik and any strategic transactions we may attempt to execut</w:t>
      </w:r>
      <w:r>
        <w:rPr>
          <w:sz w:val="20"/>
          <w:szCs w:val="20"/>
        </w:rPr>
        <w:t>e upon.</w:t>
      </w:r>
    </w:p>
    <w:p w14:paraId="602870F8" w14:textId="77777777" w:rsidR="00000000" w:rsidRDefault="0015578C">
      <w:pPr>
        <w:pStyle w:val="a3"/>
        <w:spacing w:before="0" w:beforeAutospacing="0" w:after="0" w:afterAutospacing="0"/>
        <w:jc w:val="both"/>
        <w:rPr>
          <w:sz w:val="20"/>
          <w:szCs w:val="20"/>
        </w:rPr>
      </w:pPr>
      <w:r>
        <w:rPr>
          <w:sz w:val="20"/>
          <w:szCs w:val="20"/>
        </w:rPr>
        <w:t> </w:t>
      </w:r>
    </w:p>
    <w:p w14:paraId="0A82B463" w14:textId="77777777" w:rsidR="00000000" w:rsidRDefault="0015578C">
      <w:pPr>
        <w:pStyle w:val="a3"/>
        <w:spacing w:before="0" w:beforeAutospacing="0" w:after="0" w:afterAutospacing="0"/>
        <w:ind w:firstLine="675"/>
        <w:jc w:val="both"/>
        <w:rPr>
          <w:sz w:val="20"/>
          <w:szCs w:val="20"/>
        </w:rPr>
      </w:pPr>
      <w:r>
        <w:rPr>
          <w:sz w:val="20"/>
          <w:szCs w:val="20"/>
        </w:rPr>
        <w:t>We account for our employee stock options under the provisions of Accounting Standards Codification No. 718 (“ASC No. 718”). We recognize stock option compensation expense on the date of grant for 25% of the grant date fair value, and subsequentl</w:t>
      </w:r>
      <w:r>
        <w:rPr>
          <w:sz w:val="20"/>
          <w:szCs w:val="20"/>
        </w:rPr>
        <w:t>y, based upon a straight-line amortization of the grant date fair value of each of our outstanding options. During the year ended December 31, 2022, we recorded $338,000 of non-cash stock option expense for the amortization of our outstanding options grant</w:t>
      </w:r>
      <w:r>
        <w:rPr>
          <w:sz w:val="20"/>
          <w:szCs w:val="20"/>
        </w:rPr>
        <w:t xml:space="preserve"> date fair value with a credit to additional paid-in-capital compared to $124,000 of non-cash stock option compensation expense during 2021. The amount was higher during 2022 primarily due the grant of 2,360,000 options with a total grant date fair value o</w:t>
      </w:r>
      <w:r>
        <w:rPr>
          <w:sz w:val="20"/>
          <w:szCs w:val="20"/>
        </w:rPr>
        <w:t>f $876,000, of which Solitario recognized 25% on the grant date or $218,000 compared to expense of $23,000 for the amortization of 25% of the grant date fair value of the 140,000 new options granted during 2021. The remaining compensation expense was relat</w:t>
      </w:r>
      <w:r>
        <w:rPr>
          <w:sz w:val="20"/>
          <w:szCs w:val="20"/>
        </w:rPr>
        <w:t>ed to the straight-line amortization of our outstanding options in 2022 and 2021. See Note 10, “Employee Stock Compensation Plans,” to our consolidated financial statements in Item 8, “Financial Statements and Supplementary Data to this Annual Report on Fo</w:t>
      </w:r>
      <w:r>
        <w:rPr>
          <w:sz w:val="20"/>
          <w:szCs w:val="20"/>
        </w:rPr>
        <w:t>rm 10-K” for an analysis of the changes in the fair value of our outstanding stock options and the components that are used to determine the fair value.</w:t>
      </w:r>
    </w:p>
    <w:p w14:paraId="534EE8B8" w14:textId="77777777" w:rsidR="00000000" w:rsidRDefault="0015578C">
      <w:pPr>
        <w:pStyle w:val="a3"/>
        <w:spacing w:before="0" w:beforeAutospacing="0" w:after="0" w:afterAutospacing="0"/>
        <w:jc w:val="both"/>
        <w:rPr>
          <w:sz w:val="20"/>
          <w:szCs w:val="20"/>
        </w:rPr>
      </w:pPr>
      <w:r>
        <w:rPr>
          <w:sz w:val="20"/>
          <w:szCs w:val="20"/>
        </w:rPr>
        <w:t> </w:t>
      </w:r>
    </w:p>
    <w:p w14:paraId="1542C1E0" w14:textId="77777777" w:rsidR="00000000" w:rsidRDefault="0015578C">
      <w:pPr>
        <w:pStyle w:val="a3"/>
        <w:spacing w:before="0" w:beforeAutospacing="0" w:after="0" w:afterAutospacing="0"/>
        <w:ind w:firstLine="675"/>
        <w:jc w:val="both"/>
        <w:rPr>
          <w:sz w:val="20"/>
          <w:szCs w:val="20"/>
        </w:rPr>
      </w:pPr>
      <w:r>
        <w:rPr>
          <w:sz w:val="20"/>
          <w:szCs w:val="20"/>
        </w:rPr>
        <w:t>We recorded an unrealized loss on marketable equity securities of $94,000 during 2022 compared to a g</w:t>
      </w:r>
      <w:r>
        <w:rPr>
          <w:sz w:val="20"/>
          <w:szCs w:val="20"/>
        </w:rPr>
        <w:t>ain on marketable equity securities of $82,000 during 2021. The net loss on marketable equity securities during 2022 was primarily related to a $172,000 unrealized loss related to a decrease in the value of our holdings of Kinross common stock and a decrea</w:t>
      </w:r>
      <w:r>
        <w:rPr>
          <w:sz w:val="20"/>
          <w:szCs w:val="20"/>
        </w:rPr>
        <w:t>se of $59,000 in the value of our holdings of Vox common stock, which was partially offset by an unrealized gain related to the increase of $137,000 in the value of our holdings of Vendetta stock. The net gain during 2021 was primarily related to an unreal</w:t>
      </w:r>
      <w:r>
        <w:rPr>
          <w:sz w:val="20"/>
          <w:szCs w:val="20"/>
        </w:rPr>
        <w:t>ized gain on marketable equity securities of $193,000 due to an increase in the value of our holdings of shares of Vendetta common stock, and an unrealized gain on marketable equity securities of $53,000 on our holdings of Vox common stock offset by an unr</w:t>
      </w:r>
      <w:r>
        <w:rPr>
          <w:sz w:val="20"/>
          <w:szCs w:val="20"/>
        </w:rPr>
        <w:t>ealized loss on marketable equity securities of $153,000 in the value of our holdings of Kinross common stock and an unrealized loss on the value of our holdings of TNR Gold Corp. (“TNR”) of $11,000 during 2021. Changes in the unrealized value of our holdi</w:t>
      </w:r>
      <w:r>
        <w:rPr>
          <w:sz w:val="20"/>
          <w:szCs w:val="20"/>
        </w:rPr>
        <w:t>ngs of marketable equity securities are related to the changes in the fair values of those holdings which are dependent on the market prices of the individual securities.</w:t>
      </w:r>
    </w:p>
    <w:p w14:paraId="3D14587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2579EB5" w14:textId="77777777">
        <w:trPr>
          <w:trHeight w:val="225"/>
          <w:tblCellSpacing w:w="15" w:type="dxa"/>
        </w:trPr>
        <w:tc>
          <w:tcPr>
            <w:tcW w:w="0" w:type="auto"/>
            <w:vAlign w:val="center"/>
            <w:hideMark/>
          </w:tcPr>
          <w:p w14:paraId="50936A08" w14:textId="77777777" w:rsidR="00000000" w:rsidRDefault="0015578C">
            <w:pPr>
              <w:rPr>
                <w:rFonts w:eastAsia="Times New Roman"/>
                <w:sz w:val="20"/>
                <w:szCs w:val="20"/>
              </w:rPr>
            </w:pPr>
            <w:r>
              <w:rPr>
                <w:rFonts w:eastAsia="Times New Roman"/>
                <w:sz w:val="20"/>
                <w:szCs w:val="20"/>
              </w:rPr>
              <w:t> </w:t>
            </w:r>
          </w:p>
        </w:tc>
      </w:tr>
      <w:tr w:rsidR="00000000" w14:paraId="0D0DBE8E" w14:textId="77777777">
        <w:trPr>
          <w:trHeight w:val="225"/>
          <w:tblCellSpacing w:w="15" w:type="dxa"/>
        </w:trPr>
        <w:tc>
          <w:tcPr>
            <w:tcW w:w="0" w:type="auto"/>
            <w:tcBorders>
              <w:bottom w:val="single" w:sz="6" w:space="0" w:color="000000"/>
            </w:tcBorders>
            <w:vAlign w:val="center"/>
            <w:hideMark/>
          </w:tcPr>
          <w:p w14:paraId="36704B83" w14:textId="77777777" w:rsidR="00000000" w:rsidRDefault="0015578C">
            <w:pPr>
              <w:jc w:val="center"/>
              <w:rPr>
                <w:rFonts w:eastAsia="Times New Roman"/>
                <w:sz w:val="20"/>
                <w:szCs w:val="20"/>
              </w:rPr>
            </w:pPr>
            <w:r>
              <w:rPr>
                <w:rFonts w:eastAsia="Times New Roman"/>
                <w:sz w:val="20"/>
                <w:szCs w:val="20"/>
              </w:rPr>
              <w:t>40</w:t>
            </w:r>
          </w:p>
        </w:tc>
      </w:tr>
      <w:tr w:rsidR="00000000" w14:paraId="2771E33B" w14:textId="77777777">
        <w:trPr>
          <w:trHeight w:val="225"/>
          <w:tblCellSpacing w:w="15" w:type="dxa"/>
        </w:trPr>
        <w:tc>
          <w:tcPr>
            <w:tcW w:w="0" w:type="auto"/>
            <w:vAlign w:val="center"/>
            <w:hideMark/>
          </w:tcPr>
          <w:p w14:paraId="6353F885" w14:textId="77777777" w:rsidR="00000000" w:rsidRDefault="0015578C">
            <w:pPr>
              <w:rPr>
                <w:rFonts w:eastAsia="Times New Roman"/>
                <w:sz w:val="20"/>
                <w:szCs w:val="20"/>
              </w:rPr>
            </w:pPr>
          </w:p>
        </w:tc>
      </w:tr>
      <w:tr w:rsidR="00000000" w14:paraId="0FDA09CD" w14:textId="77777777">
        <w:trPr>
          <w:trHeight w:val="225"/>
          <w:tblCellSpacing w:w="15" w:type="dxa"/>
        </w:trPr>
        <w:tc>
          <w:tcPr>
            <w:tcW w:w="0" w:type="auto"/>
            <w:vAlign w:val="center"/>
            <w:hideMark/>
          </w:tcPr>
          <w:p w14:paraId="57270AE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3AB6B4B2" w14:textId="77777777" w:rsidR="00000000" w:rsidRDefault="0015578C">
      <w:pPr>
        <w:pStyle w:val="a3"/>
        <w:spacing w:before="0" w:beforeAutospacing="0" w:after="0" w:afterAutospacing="0"/>
        <w:jc w:val="both"/>
        <w:rPr>
          <w:sz w:val="20"/>
          <w:szCs w:val="20"/>
        </w:rPr>
      </w:pPr>
      <w:r>
        <w:rPr>
          <w:sz w:val="20"/>
          <w:szCs w:val="20"/>
        </w:rPr>
        <w:t> </w:t>
      </w:r>
    </w:p>
    <w:p w14:paraId="0E3EE57C" w14:textId="77777777" w:rsidR="00000000" w:rsidRDefault="0015578C">
      <w:pPr>
        <w:pStyle w:val="a3"/>
        <w:spacing w:before="0" w:beforeAutospacing="0" w:after="0" w:afterAutospacing="0"/>
        <w:ind w:firstLine="675"/>
        <w:jc w:val="both"/>
        <w:rPr>
          <w:sz w:val="20"/>
          <w:szCs w:val="20"/>
        </w:rPr>
      </w:pPr>
      <w:r>
        <w:rPr>
          <w:sz w:val="20"/>
          <w:szCs w:val="20"/>
        </w:rPr>
        <w:t xml:space="preserve">During 2022 we sold 1,250,000 shares of Vendetta common stock for proceeds of $63,000 and recorded a realized loss on the sales of $201,000. During 2021 we sold (i) 2,550,000 shares of Vendetta common stock for proceeds of $112,000 and recorded a realized </w:t>
      </w:r>
      <w:r>
        <w:rPr>
          <w:sz w:val="20"/>
          <w:szCs w:val="20"/>
        </w:rPr>
        <w:t>loss on the sales of $269,000; (ii) 430,000 shares of TNR common stock for proceeds of $27,000 and recorded a gain on the sale of $19,000 and (iii) 3,200 shares of Vox for proceeds of $8,000 and recorded a gain on the sale of $2,000. See Note 3, “Marketabl</w:t>
      </w:r>
      <w:r>
        <w:rPr>
          <w:sz w:val="20"/>
          <w:szCs w:val="20"/>
        </w:rPr>
        <w:t>e Equity Securities” to our consolidated financial statements in Item 8, “Financial Statements and Supplementary Data” of this Annual Report on Form 10-K for additional discussion of our marketable equity securities. We may sell some of our marketable equi</w:t>
      </w:r>
      <w:r>
        <w:rPr>
          <w:sz w:val="20"/>
          <w:szCs w:val="20"/>
        </w:rPr>
        <w:t>ty securities from time to time during 2023 for working capital needs; however, we do not expect to sell all of our holdings of marketable equity securities during 2023. Any proceeds we may receive from sales of marketable equity securities during 2023 wil</w:t>
      </w:r>
      <w:r>
        <w:rPr>
          <w:sz w:val="20"/>
          <w:szCs w:val="20"/>
        </w:rPr>
        <w:t>l be dependent on the quoted market price of the securities sold on the date of sale and may be at prices below the fair value at December 31, 2022. See “Liquidity and Capital Resources” below.</w:t>
      </w:r>
    </w:p>
    <w:p w14:paraId="1DF69134" w14:textId="77777777" w:rsidR="00000000" w:rsidRDefault="0015578C">
      <w:pPr>
        <w:pStyle w:val="a3"/>
        <w:spacing w:before="0" w:beforeAutospacing="0" w:after="0" w:afterAutospacing="0"/>
        <w:jc w:val="both"/>
        <w:rPr>
          <w:sz w:val="20"/>
          <w:szCs w:val="20"/>
        </w:rPr>
      </w:pPr>
      <w:r>
        <w:rPr>
          <w:sz w:val="20"/>
          <w:szCs w:val="20"/>
        </w:rPr>
        <w:t> </w:t>
      </w:r>
    </w:p>
    <w:p w14:paraId="172D327D" w14:textId="77777777" w:rsidR="00000000" w:rsidRDefault="0015578C">
      <w:pPr>
        <w:pStyle w:val="a3"/>
        <w:spacing w:before="0" w:beforeAutospacing="0" w:after="0" w:afterAutospacing="0"/>
        <w:ind w:firstLine="675"/>
        <w:jc w:val="both"/>
        <w:rPr>
          <w:sz w:val="20"/>
          <w:szCs w:val="20"/>
        </w:rPr>
      </w:pPr>
      <w:r>
        <w:rPr>
          <w:sz w:val="20"/>
          <w:szCs w:val="20"/>
        </w:rPr>
        <w:t>We recorded a loss on derivative instruments of $4,000 durin</w:t>
      </w:r>
      <w:r>
        <w:rPr>
          <w:sz w:val="20"/>
          <w:szCs w:val="20"/>
        </w:rPr>
        <w:t>g 2022 compared to a loss on derivative instruments of $38,000 during 2021. During 2022, our warrants to acquire Vendetta common stock (“Vendetta Warrants”) expired unexercised, which resulted in the $4,000 loss on derivative instruments. The loss during 2</w:t>
      </w:r>
      <w:r>
        <w:rPr>
          <w:sz w:val="20"/>
          <w:szCs w:val="20"/>
        </w:rPr>
        <w:t>021 was primarily related to a $46,000 loss on our Vendetta Warrants offset by a gain on certain Kinross calls we sold for $8,000, which expired unexercised. See Note 7, “Derivative Instruments” to our consolidated financial statements in Item 8, “Financia</w:t>
      </w:r>
      <w:r>
        <w:rPr>
          <w:sz w:val="20"/>
          <w:szCs w:val="20"/>
        </w:rPr>
        <w:t>l Statements and Supplementary Data” of this Annual Report on Form 10-K for additional discussion of our derivative instruments. We anticipate we may write calls against our holdings of Kinross common stock in 2023 to provide additional income on a limited</w:t>
      </w:r>
      <w:r>
        <w:rPr>
          <w:sz w:val="20"/>
          <w:szCs w:val="20"/>
        </w:rPr>
        <w:t xml:space="preserve"> portion of shares of Kinross that Solitario may sell in the near term, which is generally defined as less than one year.</w:t>
      </w:r>
    </w:p>
    <w:p w14:paraId="3BF69A89" w14:textId="77777777" w:rsidR="00000000" w:rsidRDefault="0015578C">
      <w:pPr>
        <w:pStyle w:val="a3"/>
        <w:spacing w:before="0" w:beforeAutospacing="0" w:after="0" w:afterAutospacing="0"/>
        <w:jc w:val="both"/>
        <w:rPr>
          <w:sz w:val="20"/>
          <w:szCs w:val="20"/>
        </w:rPr>
      </w:pPr>
      <w:r>
        <w:rPr>
          <w:sz w:val="20"/>
          <w:szCs w:val="20"/>
        </w:rPr>
        <w:t> </w:t>
      </w:r>
    </w:p>
    <w:p w14:paraId="7E934B4A" w14:textId="77777777" w:rsidR="00000000" w:rsidRDefault="0015578C">
      <w:pPr>
        <w:pStyle w:val="a3"/>
        <w:spacing w:before="0" w:beforeAutospacing="0" w:after="0" w:afterAutospacing="0"/>
        <w:ind w:firstLine="675"/>
        <w:jc w:val="both"/>
        <w:rPr>
          <w:sz w:val="20"/>
          <w:szCs w:val="20"/>
        </w:rPr>
      </w:pPr>
      <w:r>
        <w:rPr>
          <w:sz w:val="20"/>
          <w:szCs w:val="20"/>
        </w:rPr>
        <w:t>We recorded $29,000 of depreciation and amortization during 2022 compared to $27,000 of depreciation and amortization during 2021. W</w:t>
      </w:r>
      <w:r>
        <w:rPr>
          <w:sz w:val="20"/>
          <w:szCs w:val="20"/>
        </w:rPr>
        <w:t>e added approximately $50,000 of equipment for use at our Golden Crest project which accounted for the majority of the increase in our depreciation between 2022 and 2021. We amortize our equipment over a five-year period. We anticipate our 2023 depreciatio</w:t>
      </w:r>
      <w:r>
        <w:rPr>
          <w:sz w:val="20"/>
          <w:szCs w:val="20"/>
        </w:rPr>
        <w:t>n and amortization expense will be similar to our 2022 depreciation expense.</w:t>
      </w:r>
    </w:p>
    <w:p w14:paraId="73BC47B2" w14:textId="77777777" w:rsidR="00000000" w:rsidRDefault="0015578C">
      <w:pPr>
        <w:pStyle w:val="a3"/>
        <w:spacing w:before="0" w:beforeAutospacing="0" w:after="0" w:afterAutospacing="0"/>
        <w:jc w:val="both"/>
        <w:rPr>
          <w:sz w:val="20"/>
          <w:szCs w:val="20"/>
        </w:rPr>
      </w:pPr>
      <w:r>
        <w:rPr>
          <w:sz w:val="20"/>
          <w:szCs w:val="20"/>
        </w:rPr>
        <w:t> </w:t>
      </w:r>
    </w:p>
    <w:p w14:paraId="19177492" w14:textId="77777777" w:rsidR="00000000" w:rsidRDefault="0015578C">
      <w:pPr>
        <w:pStyle w:val="a3"/>
        <w:spacing w:before="0" w:beforeAutospacing="0" w:after="0" w:afterAutospacing="0"/>
        <w:ind w:firstLine="675"/>
        <w:jc w:val="both"/>
        <w:rPr>
          <w:sz w:val="20"/>
          <w:szCs w:val="20"/>
        </w:rPr>
      </w:pPr>
      <w:r>
        <w:rPr>
          <w:sz w:val="20"/>
          <w:szCs w:val="20"/>
        </w:rPr>
        <w:t>We recorded interest income of $131,000 during 2022 compared to interest income of $123,000 during 2021. The increase during 2022 was primarily related to an increase in the out</w:t>
      </w:r>
      <w:r>
        <w:rPr>
          <w:sz w:val="20"/>
          <w:szCs w:val="20"/>
        </w:rPr>
        <w:t>standing balances of our investments in United States Treasury securities during the majority of the year as a result of the $2,036,000 received from sales of our common stock under our ATM Program effected in the first quarter of 2022. In addition, during</w:t>
      </w:r>
      <w:r>
        <w:rPr>
          <w:sz w:val="20"/>
          <w:szCs w:val="20"/>
        </w:rPr>
        <w:t xml:space="preserve"> 2022we recorded an unrealized loss of $108,000related to the value of our mark-to-market short term investments in United States Treasury securities compared to an unrealized loss of $102,000 during 2021 as a result of changing interest rates. We anticipa</w:t>
      </w:r>
      <w:r>
        <w:rPr>
          <w:sz w:val="20"/>
          <w:szCs w:val="20"/>
        </w:rPr>
        <w:t>te our interest income will decrease in 2023 compared to 2022 as a result of the use of our short-term investments and our cash balances for ordinary overhead, operational costs, and the exploration, evaluation and or acquisition of mineral properties disc</w:t>
      </w:r>
      <w:r>
        <w:rPr>
          <w:sz w:val="20"/>
          <w:szCs w:val="20"/>
        </w:rPr>
        <w:t>ussed above. See “Liquidity and Capital Resources,” below, for further discussion of our cash and cash equivalent balances.</w:t>
      </w:r>
    </w:p>
    <w:p w14:paraId="33DFD716" w14:textId="77777777" w:rsidR="00000000" w:rsidRDefault="0015578C">
      <w:pPr>
        <w:pStyle w:val="a3"/>
        <w:spacing w:before="0" w:beforeAutospacing="0" w:after="0" w:afterAutospacing="0"/>
        <w:jc w:val="both"/>
        <w:rPr>
          <w:sz w:val="20"/>
          <w:szCs w:val="20"/>
        </w:rPr>
      </w:pPr>
      <w:r>
        <w:rPr>
          <w:sz w:val="20"/>
          <w:szCs w:val="20"/>
        </w:rPr>
        <w:t> </w:t>
      </w:r>
    </w:p>
    <w:p w14:paraId="2D4B3CDD" w14:textId="77777777" w:rsidR="00000000" w:rsidRDefault="0015578C">
      <w:pPr>
        <w:pStyle w:val="a3"/>
        <w:spacing w:before="0" w:beforeAutospacing="0" w:after="0" w:afterAutospacing="0"/>
        <w:ind w:firstLine="675"/>
        <w:jc w:val="both"/>
        <w:rPr>
          <w:sz w:val="20"/>
          <w:szCs w:val="20"/>
        </w:rPr>
      </w:pPr>
      <w:r>
        <w:rPr>
          <w:sz w:val="20"/>
          <w:szCs w:val="20"/>
        </w:rPr>
        <w:t>Our other income of $20,000 during 2022 was from the sale of certain exploration data on a non-owned mineral property upon which S</w:t>
      </w:r>
      <w:r>
        <w:rPr>
          <w:sz w:val="20"/>
          <w:szCs w:val="20"/>
        </w:rPr>
        <w:t>olitario had previously done exploration activities. Our other income of $10,000 during 2021 related to the forgiveness of $10,000 remaining balance on our Paycheck Protection Program loan (the “PPP Loan”) that originated in 2019 with an original balance o</w:t>
      </w:r>
      <w:r>
        <w:rPr>
          <w:sz w:val="20"/>
          <w:szCs w:val="20"/>
        </w:rPr>
        <w:t>f $70,000. We do not anticipate other income will be a significant source of cash in 2023, if at all.</w:t>
      </w:r>
    </w:p>
    <w:p w14:paraId="3A6AA3E8" w14:textId="77777777" w:rsidR="00000000" w:rsidRDefault="0015578C">
      <w:pPr>
        <w:pStyle w:val="a3"/>
        <w:spacing w:before="0" w:beforeAutospacing="0" w:after="0" w:afterAutospacing="0"/>
        <w:jc w:val="both"/>
        <w:rPr>
          <w:sz w:val="20"/>
          <w:szCs w:val="20"/>
        </w:rPr>
      </w:pPr>
      <w:r>
        <w:rPr>
          <w:sz w:val="20"/>
          <w:szCs w:val="20"/>
        </w:rPr>
        <w:t> </w:t>
      </w:r>
    </w:p>
    <w:p w14:paraId="281EC8E9" w14:textId="77777777" w:rsidR="00000000" w:rsidRDefault="0015578C">
      <w:pPr>
        <w:pStyle w:val="a3"/>
        <w:spacing w:before="0" w:beforeAutospacing="0" w:after="0" w:afterAutospacing="0"/>
        <w:ind w:firstLine="675"/>
        <w:jc w:val="both"/>
        <w:rPr>
          <w:sz w:val="20"/>
          <w:szCs w:val="20"/>
        </w:rPr>
      </w:pPr>
      <w:r>
        <w:rPr>
          <w:sz w:val="20"/>
          <w:szCs w:val="20"/>
        </w:rPr>
        <w:t>We recorded no deferred tax expense or benefit in either 2022 or 2021 as we provide a valuation allowance for the tax benefit arising out of our net operating losses for all periods presented. See Note 6, “Income Taxes” to our consolidated financial statem</w:t>
      </w:r>
      <w:r>
        <w:rPr>
          <w:sz w:val="20"/>
          <w:szCs w:val="20"/>
        </w:rPr>
        <w:t>ents in Item 8, “Financial Statements and Supplementary Data” of this Annual Report on Form 10-K for additional discussion of our income tax valuation allowance, deferred tax assets and our net operating losses for 2022 and 2021. We anticipate we will cont</w:t>
      </w:r>
      <w:r>
        <w:rPr>
          <w:sz w:val="20"/>
          <w:szCs w:val="20"/>
        </w:rPr>
        <w:t>inue to provide a valuation allowance for these net operating losses until we are in a net tax liability position with regards to those countries where we operate or until it is more likely than not that we will be able to realize those net operating losse</w:t>
      </w:r>
      <w:r>
        <w:rPr>
          <w:sz w:val="20"/>
          <w:szCs w:val="20"/>
        </w:rPr>
        <w:t>s in the future.</w:t>
      </w:r>
    </w:p>
    <w:p w14:paraId="400E4D04" w14:textId="77777777" w:rsidR="00000000" w:rsidRDefault="0015578C">
      <w:pPr>
        <w:pStyle w:val="a3"/>
        <w:spacing w:before="0" w:beforeAutospacing="0" w:after="0" w:afterAutospacing="0"/>
        <w:jc w:val="both"/>
        <w:rPr>
          <w:sz w:val="20"/>
          <w:szCs w:val="20"/>
        </w:rPr>
      </w:pPr>
      <w:r>
        <w:rPr>
          <w:sz w:val="20"/>
          <w:szCs w:val="20"/>
        </w:rPr>
        <w:t> </w:t>
      </w:r>
    </w:p>
    <w:p w14:paraId="7FAD5908" w14:textId="77777777" w:rsidR="00000000" w:rsidRDefault="0015578C">
      <w:pPr>
        <w:pStyle w:val="a3"/>
        <w:spacing w:before="0" w:beforeAutospacing="0" w:after="0" w:afterAutospacing="0"/>
        <w:ind w:firstLine="675"/>
        <w:jc w:val="both"/>
        <w:rPr>
          <w:sz w:val="20"/>
          <w:szCs w:val="20"/>
        </w:rPr>
      </w:pPr>
      <w:r>
        <w:rPr>
          <w:sz w:val="20"/>
          <w:szCs w:val="20"/>
        </w:rPr>
        <w:t>We regularly perform evaluations of our mineral property assets to assess the recoverability of our investments in these assets. All long-lived assets are reviewed for impairment whenever events or circumstances change which indicate the</w:t>
      </w:r>
      <w:r>
        <w:rPr>
          <w:sz w:val="20"/>
          <w:szCs w:val="20"/>
        </w:rPr>
        <w:t xml:space="preserve"> carrying amount of an asset may not be recoverable utilizing guidelines based upon future net cash flows from the asset as well as our estimates of the geologic potential of early-stage mineral property and its related value for future sale, joint venture</w:t>
      </w:r>
      <w:r>
        <w:rPr>
          <w:sz w:val="20"/>
          <w:szCs w:val="20"/>
        </w:rPr>
        <w:t xml:space="preserve"> or development by us or others. During 2022 we recorded no mineral property impairments. During 2021 we recorded $17,000 of mineral property impairment related to our decision to abandon our Gold Coin project in Arizona.</w:t>
      </w:r>
    </w:p>
    <w:p w14:paraId="383D8C28" w14:textId="77777777" w:rsidR="00000000" w:rsidRDefault="0015578C">
      <w:pPr>
        <w:pStyle w:val="a3"/>
        <w:spacing w:before="0" w:beforeAutospacing="0" w:after="0" w:afterAutospacing="0"/>
        <w:jc w:val="both"/>
        <w:rPr>
          <w:sz w:val="20"/>
          <w:szCs w:val="20"/>
        </w:rPr>
      </w:pPr>
      <w:r>
        <w:rPr>
          <w:sz w:val="20"/>
          <w:szCs w:val="20"/>
        </w:rPr>
        <w:t> </w:t>
      </w:r>
    </w:p>
    <w:p w14:paraId="2C36A4F0" w14:textId="77777777" w:rsidR="00000000" w:rsidRDefault="0015578C">
      <w:pPr>
        <w:pStyle w:val="a3"/>
        <w:spacing w:before="0" w:beforeAutospacing="0" w:after="0" w:afterAutospacing="0"/>
        <w:jc w:val="both"/>
        <w:rPr>
          <w:sz w:val="20"/>
          <w:szCs w:val="20"/>
        </w:rPr>
      </w:pPr>
      <w:r>
        <w:rPr>
          <w:rStyle w:val="a4"/>
          <w:sz w:val="20"/>
          <w:szCs w:val="20"/>
        </w:rPr>
        <w:t>(d). Liquidity and Capital Resou</w:t>
      </w:r>
      <w:r>
        <w:rPr>
          <w:rStyle w:val="a4"/>
          <w:sz w:val="20"/>
          <w:szCs w:val="20"/>
        </w:rPr>
        <w:t>rces</w:t>
      </w:r>
    </w:p>
    <w:p w14:paraId="47624CD3" w14:textId="77777777" w:rsidR="00000000" w:rsidRDefault="0015578C">
      <w:pPr>
        <w:pStyle w:val="a3"/>
        <w:spacing w:before="0" w:beforeAutospacing="0" w:after="0" w:afterAutospacing="0"/>
        <w:jc w:val="both"/>
        <w:rPr>
          <w:sz w:val="20"/>
          <w:szCs w:val="20"/>
        </w:rPr>
      </w:pPr>
      <w:r>
        <w:rPr>
          <w:sz w:val="20"/>
          <w:szCs w:val="20"/>
        </w:rPr>
        <w:t> </w:t>
      </w:r>
    </w:p>
    <w:p w14:paraId="212A18FD" w14:textId="77777777" w:rsidR="00000000" w:rsidRDefault="0015578C">
      <w:pPr>
        <w:pStyle w:val="a3"/>
        <w:spacing w:before="0" w:beforeAutospacing="0" w:after="0" w:afterAutospacing="0"/>
        <w:jc w:val="both"/>
        <w:rPr>
          <w:sz w:val="20"/>
          <w:szCs w:val="20"/>
        </w:rPr>
      </w:pPr>
      <w:r>
        <w:rPr>
          <w:sz w:val="20"/>
          <w:szCs w:val="20"/>
          <w:u w:val="single"/>
        </w:rPr>
        <w:t>Cash</w:t>
      </w:r>
    </w:p>
    <w:p w14:paraId="670D6FAF" w14:textId="77777777" w:rsidR="00000000" w:rsidRDefault="0015578C">
      <w:pPr>
        <w:pStyle w:val="a3"/>
        <w:spacing w:before="0" w:beforeAutospacing="0" w:after="0" w:afterAutospacing="0"/>
        <w:jc w:val="both"/>
        <w:rPr>
          <w:sz w:val="20"/>
          <w:szCs w:val="20"/>
        </w:rPr>
      </w:pPr>
      <w:r>
        <w:rPr>
          <w:sz w:val="20"/>
          <w:szCs w:val="20"/>
        </w:rPr>
        <w:t> </w:t>
      </w:r>
    </w:p>
    <w:p w14:paraId="09827B3F" w14:textId="77777777" w:rsidR="00000000" w:rsidRDefault="0015578C">
      <w:pPr>
        <w:pStyle w:val="a3"/>
        <w:spacing w:before="0" w:beforeAutospacing="0" w:after="0" w:afterAutospacing="0"/>
        <w:ind w:firstLine="675"/>
        <w:jc w:val="both"/>
        <w:rPr>
          <w:sz w:val="20"/>
          <w:szCs w:val="20"/>
        </w:rPr>
      </w:pPr>
      <w:r>
        <w:rPr>
          <w:sz w:val="20"/>
          <w:szCs w:val="20"/>
        </w:rPr>
        <w:t>As of December 31, 2022, we had $316,000 in cash. We intend to utilize a portion of this cash and a portion of our short-term investments, discussed below, to fund our ordinary overhead, operational costs, exploration activities and for the p</w:t>
      </w:r>
      <w:r>
        <w:rPr>
          <w:sz w:val="20"/>
          <w:szCs w:val="20"/>
        </w:rPr>
        <w:t>otential acquisition of additional mineral properties and other assets over the next several years.</w:t>
      </w:r>
    </w:p>
    <w:p w14:paraId="6DBEDE39"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BF9241D" w14:textId="77777777">
        <w:trPr>
          <w:trHeight w:val="225"/>
          <w:tblCellSpacing w:w="15" w:type="dxa"/>
        </w:trPr>
        <w:tc>
          <w:tcPr>
            <w:tcW w:w="0" w:type="auto"/>
            <w:vAlign w:val="center"/>
            <w:hideMark/>
          </w:tcPr>
          <w:p w14:paraId="4E6035B4" w14:textId="77777777" w:rsidR="00000000" w:rsidRDefault="0015578C">
            <w:pPr>
              <w:rPr>
                <w:rFonts w:eastAsia="Times New Roman"/>
                <w:sz w:val="20"/>
                <w:szCs w:val="20"/>
              </w:rPr>
            </w:pPr>
            <w:r>
              <w:rPr>
                <w:rFonts w:eastAsia="Times New Roman"/>
                <w:sz w:val="20"/>
                <w:szCs w:val="20"/>
              </w:rPr>
              <w:t> </w:t>
            </w:r>
          </w:p>
        </w:tc>
      </w:tr>
      <w:tr w:rsidR="00000000" w14:paraId="01A9AF06" w14:textId="77777777">
        <w:trPr>
          <w:trHeight w:val="225"/>
          <w:tblCellSpacing w:w="15" w:type="dxa"/>
        </w:trPr>
        <w:tc>
          <w:tcPr>
            <w:tcW w:w="0" w:type="auto"/>
            <w:tcBorders>
              <w:bottom w:val="single" w:sz="6" w:space="0" w:color="000000"/>
            </w:tcBorders>
            <w:vAlign w:val="center"/>
            <w:hideMark/>
          </w:tcPr>
          <w:p w14:paraId="7FEB51AF" w14:textId="77777777" w:rsidR="00000000" w:rsidRDefault="0015578C">
            <w:pPr>
              <w:jc w:val="center"/>
              <w:rPr>
                <w:rFonts w:eastAsia="Times New Roman"/>
                <w:sz w:val="20"/>
                <w:szCs w:val="20"/>
              </w:rPr>
            </w:pPr>
            <w:r>
              <w:rPr>
                <w:rFonts w:eastAsia="Times New Roman"/>
                <w:sz w:val="20"/>
                <w:szCs w:val="20"/>
              </w:rPr>
              <w:t>41</w:t>
            </w:r>
          </w:p>
        </w:tc>
      </w:tr>
      <w:tr w:rsidR="00000000" w14:paraId="17E6C9F8" w14:textId="77777777">
        <w:trPr>
          <w:trHeight w:val="225"/>
          <w:tblCellSpacing w:w="15" w:type="dxa"/>
        </w:trPr>
        <w:tc>
          <w:tcPr>
            <w:tcW w:w="0" w:type="auto"/>
            <w:vAlign w:val="center"/>
            <w:hideMark/>
          </w:tcPr>
          <w:p w14:paraId="65AC23D0" w14:textId="77777777" w:rsidR="00000000" w:rsidRDefault="0015578C">
            <w:pPr>
              <w:rPr>
                <w:rFonts w:eastAsia="Times New Roman"/>
                <w:sz w:val="20"/>
                <w:szCs w:val="20"/>
              </w:rPr>
            </w:pPr>
          </w:p>
        </w:tc>
      </w:tr>
      <w:tr w:rsidR="00000000" w14:paraId="00702F2C" w14:textId="77777777">
        <w:trPr>
          <w:trHeight w:val="225"/>
          <w:tblCellSpacing w:w="15" w:type="dxa"/>
        </w:trPr>
        <w:tc>
          <w:tcPr>
            <w:tcW w:w="0" w:type="auto"/>
            <w:vAlign w:val="center"/>
            <w:hideMark/>
          </w:tcPr>
          <w:p w14:paraId="0BDEE12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ACE5F95" w14:textId="77777777" w:rsidR="00000000" w:rsidRDefault="0015578C">
      <w:pPr>
        <w:pStyle w:val="a3"/>
        <w:spacing w:before="0" w:beforeAutospacing="0" w:after="0" w:afterAutospacing="0"/>
        <w:jc w:val="both"/>
        <w:rPr>
          <w:sz w:val="20"/>
          <w:szCs w:val="20"/>
        </w:rPr>
      </w:pPr>
      <w:r>
        <w:rPr>
          <w:sz w:val="20"/>
          <w:szCs w:val="20"/>
        </w:rPr>
        <w:t> </w:t>
      </w:r>
    </w:p>
    <w:p w14:paraId="0A35C49B" w14:textId="77777777" w:rsidR="00000000" w:rsidRDefault="0015578C">
      <w:pPr>
        <w:pStyle w:val="a3"/>
        <w:spacing w:before="0" w:beforeAutospacing="0" w:after="0" w:afterAutospacing="0"/>
        <w:jc w:val="both"/>
        <w:rPr>
          <w:sz w:val="20"/>
          <w:szCs w:val="20"/>
        </w:rPr>
      </w:pPr>
      <w:r>
        <w:rPr>
          <w:sz w:val="20"/>
          <w:szCs w:val="20"/>
          <w:u w:val="single"/>
        </w:rPr>
        <w:t>Short-term Investments</w:t>
      </w:r>
    </w:p>
    <w:p w14:paraId="4BC4157F" w14:textId="77777777" w:rsidR="00000000" w:rsidRDefault="0015578C">
      <w:pPr>
        <w:pStyle w:val="a3"/>
        <w:spacing w:before="0" w:beforeAutospacing="0" w:after="0" w:afterAutospacing="0"/>
        <w:jc w:val="both"/>
        <w:rPr>
          <w:sz w:val="20"/>
          <w:szCs w:val="20"/>
        </w:rPr>
      </w:pPr>
      <w:r>
        <w:rPr>
          <w:sz w:val="20"/>
          <w:szCs w:val="20"/>
        </w:rPr>
        <w:t> </w:t>
      </w:r>
    </w:p>
    <w:p w14:paraId="3C7982E7" w14:textId="77777777" w:rsidR="00000000" w:rsidRDefault="0015578C">
      <w:pPr>
        <w:pStyle w:val="a3"/>
        <w:spacing w:before="0" w:beforeAutospacing="0" w:after="0" w:afterAutospacing="0"/>
        <w:ind w:firstLine="675"/>
        <w:jc w:val="both"/>
        <w:rPr>
          <w:sz w:val="20"/>
          <w:szCs w:val="20"/>
        </w:rPr>
      </w:pPr>
      <w:r>
        <w:rPr>
          <w:sz w:val="20"/>
          <w:szCs w:val="20"/>
        </w:rPr>
        <w:t>As of December 31, 2022, we have USTS with maturities of 15 days to one year, recorded at their fair value of $3,951,000. Solitario has also held CD’s during 2021 and 2022 which matured during 2022 and Solitario has no outstanding CD’s at December 31, 2022</w:t>
      </w:r>
      <w:r>
        <w:rPr>
          <w:sz w:val="20"/>
          <w:szCs w:val="20"/>
        </w:rPr>
        <w:t>. The USTS and CD’s are recorded at their fair value based upon quoted market prices. Our short-term investments in USTS and CD’s are highly liquid and may be sold in their entirety at any time at their quoted market price and are classified as a current a</w:t>
      </w:r>
      <w:r>
        <w:rPr>
          <w:sz w:val="20"/>
          <w:szCs w:val="20"/>
        </w:rPr>
        <w:t>sset. We anticipate we will roll over that portion of our short-term investments not used for operating costs or mineral property acquisitions as they mature during 2023.</w:t>
      </w:r>
    </w:p>
    <w:p w14:paraId="1C9FA2A0" w14:textId="77777777" w:rsidR="00000000" w:rsidRDefault="0015578C">
      <w:pPr>
        <w:pStyle w:val="a3"/>
        <w:spacing w:before="0" w:beforeAutospacing="0" w:after="0" w:afterAutospacing="0"/>
        <w:jc w:val="both"/>
        <w:rPr>
          <w:sz w:val="20"/>
          <w:szCs w:val="20"/>
        </w:rPr>
      </w:pPr>
      <w:r>
        <w:rPr>
          <w:sz w:val="20"/>
          <w:szCs w:val="20"/>
        </w:rPr>
        <w:t> </w:t>
      </w:r>
    </w:p>
    <w:p w14:paraId="332E8B46" w14:textId="77777777" w:rsidR="00000000" w:rsidRDefault="0015578C">
      <w:pPr>
        <w:pStyle w:val="a3"/>
        <w:spacing w:before="0" w:beforeAutospacing="0" w:after="0" w:afterAutospacing="0"/>
        <w:jc w:val="both"/>
        <w:rPr>
          <w:sz w:val="20"/>
          <w:szCs w:val="20"/>
        </w:rPr>
      </w:pPr>
      <w:r>
        <w:rPr>
          <w:sz w:val="20"/>
          <w:szCs w:val="20"/>
          <w:u w:val="single"/>
        </w:rPr>
        <w:t>Marketable Equity Securities</w:t>
      </w:r>
    </w:p>
    <w:p w14:paraId="1BA1CA48" w14:textId="77777777" w:rsidR="00000000" w:rsidRDefault="0015578C">
      <w:pPr>
        <w:pStyle w:val="a3"/>
        <w:spacing w:before="0" w:beforeAutospacing="0" w:after="0" w:afterAutospacing="0"/>
        <w:jc w:val="both"/>
        <w:rPr>
          <w:sz w:val="20"/>
          <w:szCs w:val="20"/>
        </w:rPr>
      </w:pPr>
      <w:r>
        <w:rPr>
          <w:sz w:val="20"/>
          <w:szCs w:val="20"/>
        </w:rPr>
        <w:t> </w:t>
      </w:r>
    </w:p>
    <w:p w14:paraId="28D9FB6F" w14:textId="77777777" w:rsidR="00000000" w:rsidRDefault="0015578C">
      <w:pPr>
        <w:pStyle w:val="a3"/>
        <w:spacing w:before="0" w:beforeAutospacing="0" w:after="0" w:afterAutospacing="0"/>
        <w:ind w:firstLine="675"/>
        <w:jc w:val="both"/>
        <w:rPr>
          <w:sz w:val="20"/>
          <w:szCs w:val="20"/>
        </w:rPr>
      </w:pPr>
      <w:r>
        <w:rPr>
          <w:sz w:val="20"/>
          <w:szCs w:val="20"/>
        </w:rPr>
        <w:t>Our marketable equity securities are classified as a</w:t>
      </w:r>
      <w:r>
        <w:rPr>
          <w:sz w:val="20"/>
          <w:szCs w:val="20"/>
        </w:rPr>
        <w:t>vailable-for-sale and are carried at fair value, which is based upon market quotes of the underlying securities. We owned 100,000 shares of Kinross common stock as of December 31, 2022, which are recorded at their fair value of $409,000. As of December 31,</w:t>
      </w:r>
      <w:r>
        <w:rPr>
          <w:sz w:val="20"/>
          <w:szCs w:val="20"/>
        </w:rPr>
        <w:t xml:space="preserve"> 2022, we own 7,750,000 shares of Vendetta common stock recorded at their fair market value of $229,000 and we own 134,055 shares of Vox common stock recorded at their fair market value of $311,000. Changes in the fair value of marketable equity securities</w:t>
      </w:r>
      <w:r>
        <w:rPr>
          <w:sz w:val="20"/>
          <w:szCs w:val="20"/>
        </w:rPr>
        <w:t xml:space="preserve"> are recorded as gains and losses in the statements of operations. Solitario also holds 200,000 shares of Highlander Silver Corp. stock at December 31, 2022, which has a restrictive legend and has been recorded with a zero fair value until the restrictive </w:t>
      </w:r>
      <w:r>
        <w:rPr>
          <w:sz w:val="20"/>
          <w:szCs w:val="20"/>
        </w:rPr>
        <w:t>legend is removed.</w:t>
      </w:r>
    </w:p>
    <w:p w14:paraId="4D8F8B8B" w14:textId="77777777" w:rsidR="00000000" w:rsidRDefault="0015578C">
      <w:pPr>
        <w:pStyle w:val="a3"/>
        <w:spacing w:before="0" w:beforeAutospacing="0" w:after="0" w:afterAutospacing="0"/>
        <w:jc w:val="both"/>
        <w:rPr>
          <w:sz w:val="20"/>
          <w:szCs w:val="20"/>
        </w:rPr>
      </w:pPr>
      <w:r>
        <w:rPr>
          <w:sz w:val="20"/>
          <w:szCs w:val="20"/>
        </w:rPr>
        <w:t> </w:t>
      </w:r>
    </w:p>
    <w:p w14:paraId="16E93282" w14:textId="77777777" w:rsidR="00000000" w:rsidRDefault="0015578C">
      <w:pPr>
        <w:pStyle w:val="a3"/>
        <w:spacing w:before="0" w:beforeAutospacing="0" w:after="0" w:afterAutospacing="0"/>
        <w:jc w:val="both"/>
        <w:rPr>
          <w:sz w:val="20"/>
          <w:szCs w:val="20"/>
        </w:rPr>
      </w:pPr>
      <w:r>
        <w:rPr>
          <w:sz w:val="20"/>
          <w:szCs w:val="20"/>
          <w:u w:val="single"/>
        </w:rPr>
        <w:t>Working Capital</w:t>
      </w:r>
    </w:p>
    <w:p w14:paraId="0B4364FE" w14:textId="77777777" w:rsidR="00000000" w:rsidRDefault="0015578C">
      <w:pPr>
        <w:pStyle w:val="a3"/>
        <w:spacing w:before="0" w:beforeAutospacing="0" w:after="0" w:afterAutospacing="0"/>
        <w:jc w:val="both"/>
        <w:rPr>
          <w:sz w:val="20"/>
          <w:szCs w:val="20"/>
        </w:rPr>
      </w:pPr>
      <w:r>
        <w:rPr>
          <w:sz w:val="20"/>
          <w:szCs w:val="20"/>
        </w:rPr>
        <w:t> </w:t>
      </w:r>
    </w:p>
    <w:p w14:paraId="33862DDB" w14:textId="77777777" w:rsidR="00000000" w:rsidRDefault="0015578C">
      <w:pPr>
        <w:pStyle w:val="a3"/>
        <w:spacing w:before="0" w:beforeAutospacing="0" w:after="0" w:afterAutospacing="0"/>
        <w:ind w:firstLine="675"/>
        <w:jc w:val="both"/>
        <w:rPr>
          <w:sz w:val="20"/>
          <w:szCs w:val="20"/>
        </w:rPr>
      </w:pPr>
      <w:r>
        <w:rPr>
          <w:sz w:val="20"/>
          <w:szCs w:val="20"/>
        </w:rPr>
        <w:t>We had working capital of $4,991,000 at December 31, 2022 compared to working capital of $6,883,000 as of December 31, 2021. Our working capital at December 31, 2022 consists primarily of our cash and cash equivalents</w:t>
      </w:r>
      <w:r>
        <w:rPr>
          <w:sz w:val="20"/>
          <w:szCs w:val="20"/>
        </w:rPr>
        <w:t>, our investment in short-term investments and our marketable equity securities, less our current liabilities of $263,000. As of December 31, 2022, our cash balances along with our short-term investments and marketable equity securities are adequate to fun</w:t>
      </w:r>
      <w:r>
        <w:rPr>
          <w:sz w:val="20"/>
          <w:szCs w:val="20"/>
        </w:rPr>
        <w:t>d our expected expenditures over the next year.</w:t>
      </w:r>
    </w:p>
    <w:p w14:paraId="3D99EC45" w14:textId="77777777" w:rsidR="00000000" w:rsidRDefault="0015578C">
      <w:pPr>
        <w:pStyle w:val="a3"/>
        <w:spacing w:before="0" w:beforeAutospacing="0" w:after="0" w:afterAutospacing="0"/>
        <w:jc w:val="both"/>
        <w:rPr>
          <w:sz w:val="20"/>
          <w:szCs w:val="20"/>
        </w:rPr>
      </w:pPr>
      <w:r>
        <w:rPr>
          <w:sz w:val="20"/>
          <w:szCs w:val="20"/>
        </w:rPr>
        <w:t> </w:t>
      </w:r>
    </w:p>
    <w:p w14:paraId="5509F85E" w14:textId="77777777" w:rsidR="00000000" w:rsidRDefault="0015578C">
      <w:pPr>
        <w:pStyle w:val="a3"/>
        <w:spacing w:before="0" w:beforeAutospacing="0" w:after="0" w:afterAutospacing="0"/>
        <w:ind w:firstLine="675"/>
        <w:jc w:val="both"/>
        <w:rPr>
          <w:sz w:val="20"/>
          <w:szCs w:val="20"/>
        </w:rPr>
      </w:pPr>
      <w:r>
        <w:rPr>
          <w:sz w:val="20"/>
          <w:szCs w:val="20"/>
        </w:rPr>
        <w:t>The nature of the mineral exploration business requires significant sources of capital to fund exploration, development and operation of mining projects. We anticipate using our working capital and any addi</w:t>
      </w:r>
      <w:r>
        <w:rPr>
          <w:sz w:val="20"/>
          <w:szCs w:val="20"/>
        </w:rPr>
        <w:t xml:space="preserve">tional funds we might acquire to carry out our 2023 planned expenditures. Our existing resources are adequate to fund these expenditures. These expenditures include planned exploration for Golden Crest, including potential drilling, pending the receipt of </w:t>
      </w:r>
      <w:r>
        <w:rPr>
          <w:sz w:val="20"/>
          <w:szCs w:val="20"/>
        </w:rPr>
        <w:t>required permits, as well as planned exploration at our Lik project where we are in discussions with our joint venture partner, Teck regarding planned 2023 expenditures. We do not expect any significant exploration expenditures at our Florida Canyon projec</w:t>
      </w:r>
      <w:r>
        <w:rPr>
          <w:sz w:val="20"/>
          <w:szCs w:val="20"/>
        </w:rPr>
        <w:t>t where Nexa is responsible for all 2023 planned expenditures. We expect we will need additional capital if we decide to develop or operate any of our current exploration projects or any projects or assets we may acquire. We anticipate we would finance any</w:t>
      </w:r>
      <w:r>
        <w:rPr>
          <w:sz w:val="20"/>
          <w:szCs w:val="20"/>
        </w:rPr>
        <w:t xml:space="preserve"> such development through the use of our cash reserves, short-term investments, joint ventures, issuance of debt or equity, or the sale of other exploration projects or assets.</w:t>
      </w:r>
    </w:p>
    <w:p w14:paraId="7A8A1E2A" w14:textId="77777777" w:rsidR="00000000" w:rsidRDefault="0015578C">
      <w:pPr>
        <w:pStyle w:val="a3"/>
        <w:spacing w:before="0" w:beforeAutospacing="0" w:after="0" w:afterAutospacing="0"/>
        <w:jc w:val="both"/>
        <w:rPr>
          <w:sz w:val="20"/>
          <w:szCs w:val="20"/>
        </w:rPr>
      </w:pPr>
      <w:r>
        <w:rPr>
          <w:sz w:val="20"/>
          <w:szCs w:val="20"/>
        </w:rPr>
        <w:t> </w:t>
      </w:r>
    </w:p>
    <w:p w14:paraId="1FB4204E" w14:textId="77777777" w:rsidR="00000000" w:rsidRDefault="0015578C">
      <w:pPr>
        <w:pStyle w:val="a3"/>
        <w:spacing w:before="0" w:beforeAutospacing="0" w:after="0" w:afterAutospacing="0"/>
        <w:jc w:val="both"/>
        <w:rPr>
          <w:sz w:val="20"/>
          <w:szCs w:val="20"/>
        </w:rPr>
      </w:pPr>
      <w:r>
        <w:rPr>
          <w:sz w:val="20"/>
          <w:szCs w:val="20"/>
          <w:u w:val="single"/>
        </w:rPr>
        <w:t>Stock-Based Compensation Plans</w:t>
      </w:r>
    </w:p>
    <w:p w14:paraId="5C480B4E" w14:textId="77777777" w:rsidR="00000000" w:rsidRDefault="0015578C">
      <w:pPr>
        <w:pStyle w:val="a3"/>
        <w:spacing w:before="0" w:beforeAutospacing="0" w:after="0" w:afterAutospacing="0"/>
        <w:jc w:val="both"/>
        <w:rPr>
          <w:sz w:val="20"/>
          <w:szCs w:val="20"/>
        </w:rPr>
      </w:pPr>
      <w:r>
        <w:rPr>
          <w:sz w:val="20"/>
          <w:szCs w:val="20"/>
        </w:rPr>
        <w:t> </w:t>
      </w:r>
    </w:p>
    <w:p w14:paraId="52E6874D" w14:textId="77777777" w:rsidR="00000000" w:rsidRDefault="0015578C">
      <w:pPr>
        <w:pStyle w:val="a3"/>
        <w:spacing w:before="0" w:beforeAutospacing="0" w:after="0" w:afterAutospacing="0"/>
        <w:ind w:firstLine="675"/>
        <w:jc w:val="both"/>
        <w:rPr>
          <w:sz w:val="20"/>
          <w:szCs w:val="20"/>
        </w:rPr>
      </w:pPr>
      <w:r>
        <w:rPr>
          <w:sz w:val="20"/>
          <w:szCs w:val="20"/>
        </w:rPr>
        <w:t xml:space="preserve">As of December 31, 2022, options to acquire </w:t>
      </w:r>
      <w:r>
        <w:rPr>
          <w:sz w:val="20"/>
          <w:szCs w:val="20"/>
        </w:rPr>
        <w:t>5,390,000 shares of our common stock were outstanding. There are 3,227,500 options that are vested and exercisable at December 31, 2022. As of December 31, 2022, our outstanding options include 5,250,000 options that are in the money with a weighted averag</w:t>
      </w:r>
      <w:r>
        <w:rPr>
          <w:sz w:val="20"/>
          <w:szCs w:val="20"/>
        </w:rPr>
        <w:t xml:space="preserve">e exercise price of $0.41 per share, which is below the market price of a share of Solitario common stock at December 31, 2022 of $0.62 per share as quoted on the NYSE American exchange. See Note 10, “Employee Stock Compensation Plans” to our consolidated </w:t>
      </w:r>
      <w:r>
        <w:rPr>
          <w:sz w:val="20"/>
          <w:szCs w:val="20"/>
        </w:rPr>
        <w:t>financial statements in Item 8, “Financial Statements and Supplementary Data of this Annual Report on Form 10-K for a discussion of the activity in our 2013 Plan during 2022 and 2021. We anticipate that a portion of stock options for 1,561,500 shares of ou</w:t>
      </w:r>
      <w:r>
        <w:rPr>
          <w:sz w:val="20"/>
          <w:szCs w:val="20"/>
        </w:rPr>
        <w:t>r common stock, which expire in October 2023 with an exercise price of $0.31 per share may be exercised during 2023 if our stock price as quoted on the NYSE American exchange exceeds the exercise price prior to the expiration date.</w:t>
      </w:r>
    </w:p>
    <w:p w14:paraId="70E17840" w14:textId="77777777" w:rsidR="00000000" w:rsidRDefault="0015578C">
      <w:pPr>
        <w:pStyle w:val="a3"/>
        <w:spacing w:before="0" w:beforeAutospacing="0" w:after="0" w:afterAutospacing="0"/>
        <w:jc w:val="both"/>
        <w:rPr>
          <w:sz w:val="20"/>
          <w:szCs w:val="20"/>
        </w:rPr>
      </w:pPr>
      <w:r>
        <w:rPr>
          <w:sz w:val="20"/>
          <w:szCs w:val="20"/>
        </w:rPr>
        <w:t> </w:t>
      </w:r>
    </w:p>
    <w:p w14:paraId="14CF22F1" w14:textId="77777777" w:rsidR="00000000" w:rsidRDefault="0015578C">
      <w:pPr>
        <w:pStyle w:val="a3"/>
        <w:spacing w:before="0" w:beforeAutospacing="0" w:after="0" w:afterAutospacing="0"/>
        <w:jc w:val="both"/>
        <w:rPr>
          <w:sz w:val="20"/>
          <w:szCs w:val="20"/>
        </w:rPr>
      </w:pPr>
      <w:r>
        <w:rPr>
          <w:sz w:val="20"/>
          <w:szCs w:val="20"/>
          <w:u w:val="single"/>
        </w:rPr>
        <w:t>December 2021 Equity O</w:t>
      </w:r>
      <w:r>
        <w:rPr>
          <w:sz w:val="20"/>
          <w:szCs w:val="20"/>
          <w:u w:val="single"/>
        </w:rPr>
        <w:t>ffering</w:t>
      </w:r>
    </w:p>
    <w:p w14:paraId="697C3C68" w14:textId="77777777" w:rsidR="00000000" w:rsidRDefault="0015578C">
      <w:pPr>
        <w:pStyle w:val="a3"/>
        <w:spacing w:before="0" w:beforeAutospacing="0" w:after="0" w:afterAutospacing="0"/>
        <w:jc w:val="both"/>
        <w:rPr>
          <w:sz w:val="20"/>
          <w:szCs w:val="20"/>
        </w:rPr>
      </w:pPr>
      <w:r>
        <w:rPr>
          <w:sz w:val="20"/>
          <w:szCs w:val="20"/>
        </w:rPr>
        <w:t> </w:t>
      </w:r>
    </w:p>
    <w:p w14:paraId="5E265F36" w14:textId="77777777" w:rsidR="00000000" w:rsidRDefault="0015578C">
      <w:pPr>
        <w:pStyle w:val="a3"/>
        <w:spacing w:before="0" w:beforeAutospacing="0" w:after="0" w:afterAutospacing="0"/>
        <w:ind w:firstLine="675"/>
        <w:jc w:val="both"/>
        <w:rPr>
          <w:sz w:val="20"/>
          <w:szCs w:val="20"/>
        </w:rPr>
      </w:pPr>
      <w:r>
        <w:rPr>
          <w:sz w:val="20"/>
          <w:szCs w:val="20"/>
        </w:rPr>
        <w:t>On December 6, 2021 we completed the sale of 3,100,000 shares of common stock (the “Shares”), at a price of $0.50 per share (the “Offering”</w:t>
      </w:r>
      <w:r>
        <w:rPr>
          <w:sz w:val="20"/>
          <w:szCs w:val="20"/>
        </w:rPr>
        <w:t>) for net proceeds after expenses of $1,542,000. We did not engage an underwriter or placement agent for the Offering, and therefore there were no underwriter discounts or commissions or placement agent fees. The sale of the Shares was made through a subsc</w:t>
      </w:r>
      <w:r>
        <w:rPr>
          <w:sz w:val="20"/>
          <w:szCs w:val="20"/>
        </w:rPr>
        <w:t>ription agreement between Solitario and each respective investor. The Shares were offered and sold pursuant to our existing shelf registration statement on Form S-3 (File No. 333-249129). We filed a prospectus supplement, dated December 1, 2021, with the S</w:t>
      </w:r>
      <w:r>
        <w:rPr>
          <w:sz w:val="20"/>
          <w:szCs w:val="20"/>
        </w:rPr>
        <w:t>EC in connection with the sale of the Shares in the Offering. Three of our executive officers participated in the Offering, purchasing 50,000 Shares each, on the same terms as the other investors. The Offering was unanimously approved by our Board of Direc</w:t>
      </w:r>
      <w:r>
        <w:rPr>
          <w:sz w:val="20"/>
          <w:szCs w:val="20"/>
        </w:rPr>
        <w:t>tors and the participation by our executive officers was also unanimously approved by the Audit Committee of our Board of Directors.</w:t>
      </w:r>
    </w:p>
    <w:p w14:paraId="011F7702"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2266E05" w14:textId="77777777">
        <w:trPr>
          <w:trHeight w:val="225"/>
          <w:tblCellSpacing w:w="15" w:type="dxa"/>
        </w:trPr>
        <w:tc>
          <w:tcPr>
            <w:tcW w:w="0" w:type="auto"/>
            <w:vAlign w:val="center"/>
            <w:hideMark/>
          </w:tcPr>
          <w:p w14:paraId="2F2539C8" w14:textId="77777777" w:rsidR="00000000" w:rsidRDefault="0015578C">
            <w:pPr>
              <w:rPr>
                <w:rFonts w:eastAsia="Times New Roman"/>
                <w:sz w:val="20"/>
                <w:szCs w:val="20"/>
              </w:rPr>
            </w:pPr>
            <w:r>
              <w:rPr>
                <w:rFonts w:eastAsia="Times New Roman"/>
                <w:sz w:val="20"/>
                <w:szCs w:val="20"/>
              </w:rPr>
              <w:t> </w:t>
            </w:r>
          </w:p>
        </w:tc>
      </w:tr>
      <w:tr w:rsidR="00000000" w14:paraId="57134BE0" w14:textId="77777777">
        <w:trPr>
          <w:trHeight w:val="225"/>
          <w:tblCellSpacing w:w="15" w:type="dxa"/>
        </w:trPr>
        <w:tc>
          <w:tcPr>
            <w:tcW w:w="0" w:type="auto"/>
            <w:tcBorders>
              <w:bottom w:val="single" w:sz="6" w:space="0" w:color="000000"/>
            </w:tcBorders>
            <w:vAlign w:val="center"/>
            <w:hideMark/>
          </w:tcPr>
          <w:p w14:paraId="57579C48" w14:textId="77777777" w:rsidR="00000000" w:rsidRDefault="0015578C">
            <w:pPr>
              <w:jc w:val="center"/>
              <w:rPr>
                <w:rFonts w:eastAsia="Times New Roman"/>
                <w:sz w:val="20"/>
                <w:szCs w:val="20"/>
              </w:rPr>
            </w:pPr>
            <w:r>
              <w:rPr>
                <w:rFonts w:eastAsia="Times New Roman"/>
                <w:sz w:val="20"/>
                <w:szCs w:val="20"/>
              </w:rPr>
              <w:t>42</w:t>
            </w:r>
          </w:p>
        </w:tc>
      </w:tr>
      <w:tr w:rsidR="00000000" w14:paraId="6F2DDF1A" w14:textId="77777777">
        <w:trPr>
          <w:trHeight w:val="225"/>
          <w:tblCellSpacing w:w="15" w:type="dxa"/>
        </w:trPr>
        <w:tc>
          <w:tcPr>
            <w:tcW w:w="0" w:type="auto"/>
            <w:vAlign w:val="center"/>
            <w:hideMark/>
          </w:tcPr>
          <w:p w14:paraId="1A52A26D" w14:textId="77777777" w:rsidR="00000000" w:rsidRDefault="0015578C">
            <w:pPr>
              <w:rPr>
                <w:rFonts w:eastAsia="Times New Roman"/>
                <w:sz w:val="20"/>
                <w:szCs w:val="20"/>
              </w:rPr>
            </w:pPr>
          </w:p>
        </w:tc>
      </w:tr>
      <w:tr w:rsidR="00000000" w14:paraId="7719F1A9" w14:textId="77777777">
        <w:trPr>
          <w:trHeight w:val="225"/>
          <w:tblCellSpacing w:w="15" w:type="dxa"/>
        </w:trPr>
        <w:tc>
          <w:tcPr>
            <w:tcW w:w="0" w:type="auto"/>
            <w:vAlign w:val="center"/>
            <w:hideMark/>
          </w:tcPr>
          <w:p w14:paraId="4DD4C86E"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3958C819" w14:textId="77777777" w:rsidR="00000000" w:rsidRDefault="0015578C">
      <w:pPr>
        <w:pStyle w:val="a3"/>
        <w:spacing w:before="0" w:beforeAutospacing="0" w:after="0" w:afterAutospacing="0"/>
        <w:jc w:val="both"/>
        <w:rPr>
          <w:sz w:val="20"/>
          <w:szCs w:val="20"/>
        </w:rPr>
      </w:pPr>
      <w:r>
        <w:rPr>
          <w:sz w:val="20"/>
          <w:szCs w:val="20"/>
        </w:rPr>
        <w:t> </w:t>
      </w:r>
    </w:p>
    <w:p w14:paraId="1E01298C" w14:textId="77777777" w:rsidR="00000000" w:rsidRDefault="0015578C">
      <w:pPr>
        <w:pStyle w:val="a3"/>
        <w:spacing w:before="0" w:beforeAutospacing="0" w:after="0" w:afterAutospacing="0"/>
        <w:jc w:val="both"/>
        <w:rPr>
          <w:sz w:val="20"/>
          <w:szCs w:val="20"/>
        </w:rPr>
      </w:pPr>
      <w:r>
        <w:rPr>
          <w:sz w:val="20"/>
          <w:szCs w:val="20"/>
          <w:u w:val="single"/>
        </w:rPr>
        <w:t>At the Market Offering</w:t>
      </w:r>
    </w:p>
    <w:p w14:paraId="2DA397C2" w14:textId="77777777" w:rsidR="00000000" w:rsidRDefault="0015578C">
      <w:pPr>
        <w:pStyle w:val="a3"/>
        <w:spacing w:before="0" w:beforeAutospacing="0" w:after="0" w:afterAutospacing="0"/>
        <w:jc w:val="both"/>
        <w:rPr>
          <w:sz w:val="20"/>
          <w:szCs w:val="20"/>
        </w:rPr>
      </w:pPr>
      <w:r>
        <w:rPr>
          <w:sz w:val="20"/>
          <w:szCs w:val="20"/>
        </w:rPr>
        <w:t> </w:t>
      </w:r>
    </w:p>
    <w:p w14:paraId="7801B448" w14:textId="77777777" w:rsidR="00000000" w:rsidRDefault="0015578C">
      <w:pPr>
        <w:pStyle w:val="a3"/>
        <w:spacing w:before="0" w:beforeAutospacing="0" w:after="0" w:afterAutospacing="0"/>
        <w:ind w:firstLine="675"/>
        <w:jc w:val="both"/>
        <w:rPr>
          <w:sz w:val="20"/>
          <w:szCs w:val="20"/>
        </w:rPr>
      </w:pPr>
      <w:r>
        <w:rPr>
          <w:sz w:val="20"/>
          <w:szCs w:val="20"/>
        </w:rPr>
        <w:t>On February 2, 2021, we entered into an</w:t>
      </w:r>
      <w:r>
        <w:rPr>
          <w:sz w:val="20"/>
          <w:szCs w:val="20"/>
        </w:rPr>
        <w:t xml:space="preserve"> at-the-market offering agreement (the “ATM Agreement”) with H. C. Wainwright &amp; Co., LLC (“Wainwright”), under which we may, from time to time, issue and sell shares of our common stock through Wainwright as sales manager in an at-the-market offering under</w:t>
      </w:r>
      <w:r>
        <w:rPr>
          <w:sz w:val="20"/>
          <w:szCs w:val="20"/>
        </w:rPr>
        <w:t xml:space="preserve"> a prospectus supplement for aggregate sales proceeds of up to $9.0 million (the “ATM Program”). The common stock is distributed at the market prices prevailing at the time of sale. As a result, prices of the common stock sold under the ATM Program may var</w:t>
      </w:r>
      <w:r>
        <w:rPr>
          <w:sz w:val="20"/>
          <w:szCs w:val="20"/>
        </w:rPr>
        <w:t>y as between purchasers and during the period of distribution. The ATM Agreement provides that Wainwright is entitled to compensation for its services at a commission rate of 3.0% of the gross sales price per share of common stock sold. In March 2022, we s</w:t>
      </w:r>
      <w:r>
        <w:rPr>
          <w:sz w:val="20"/>
          <w:szCs w:val="20"/>
        </w:rPr>
        <w:t>old 2,650,724 shares of our common stock under the ATM Program at a price of $0.79 per share for net proceeds of $2,023,000 after commissions and sale expenses. During 2021, we recorded $144,000 as a charge to additional paid-in-capital for one-time expens</w:t>
      </w:r>
      <w:r>
        <w:rPr>
          <w:sz w:val="20"/>
          <w:szCs w:val="20"/>
        </w:rPr>
        <w:t xml:space="preserve">es related to entering into the ATM Agreement. During 2021, we sold an aggregate of 643,033 shares of our common stock under the ATM Program at an average price of $0.68 per share for net proceeds of $299,000 after commissions, sale expenses, and one-time </w:t>
      </w:r>
      <w:r>
        <w:rPr>
          <w:sz w:val="20"/>
          <w:szCs w:val="20"/>
        </w:rPr>
        <w:t>expenses.</w:t>
      </w:r>
    </w:p>
    <w:p w14:paraId="746E20F2" w14:textId="77777777" w:rsidR="00000000" w:rsidRDefault="0015578C">
      <w:pPr>
        <w:pStyle w:val="a3"/>
        <w:spacing w:before="0" w:beforeAutospacing="0" w:after="0" w:afterAutospacing="0"/>
        <w:jc w:val="both"/>
        <w:rPr>
          <w:sz w:val="20"/>
          <w:szCs w:val="20"/>
        </w:rPr>
      </w:pPr>
      <w:r>
        <w:rPr>
          <w:sz w:val="20"/>
          <w:szCs w:val="20"/>
        </w:rPr>
        <w:t> </w:t>
      </w:r>
    </w:p>
    <w:p w14:paraId="3FF2C83E" w14:textId="77777777" w:rsidR="00000000" w:rsidRDefault="0015578C">
      <w:pPr>
        <w:pStyle w:val="a3"/>
        <w:spacing w:before="0" w:beforeAutospacing="0" w:after="0" w:afterAutospacing="0"/>
        <w:jc w:val="both"/>
        <w:rPr>
          <w:sz w:val="20"/>
          <w:szCs w:val="20"/>
        </w:rPr>
      </w:pPr>
      <w:r>
        <w:rPr>
          <w:sz w:val="20"/>
          <w:szCs w:val="20"/>
          <w:u w:val="single"/>
        </w:rPr>
        <w:t>Off-balance sheet arrangements</w:t>
      </w:r>
    </w:p>
    <w:p w14:paraId="5FF8D4C1" w14:textId="77777777" w:rsidR="00000000" w:rsidRDefault="0015578C">
      <w:pPr>
        <w:pStyle w:val="a3"/>
        <w:spacing w:before="0" w:beforeAutospacing="0" w:after="0" w:afterAutospacing="0"/>
        <w:jc w:val="both"/>
        <w:rPr>
          <w:sz w:val="20"/>
          <w:szCs w:val="20"/>
        </w:rPr>
      </w:pPr>
      <w:r>
        <w:rPr>
          <w:sz w:val="20"/>
          <w:szCs w:val="20"/>
        </w:rPr>
        <w:t> </w:t>
      </w:r>
    </w:p>
    <w:p w14:paraId="6806CEF8" w14:textId="77777777" w:rsidR="00000000" w:rsidRDefault="0015578C">
      <w:pPr>
        <w:pStyle w:val="a3"/>
        <w:spacing w:before="0" w:beforeAutospacing="0" w:after="0" w:afterAutospacing="0"/>
        <w:ind w:firstLine="675"/>
        <w:jc w:val="both"/>
        <w:rPr>
          <w:sz w:val="20"/>
          <w:szCs w:val="20"/>
        </w:rPr>
      </w:pPr>
      <w:r>
        <w:rPr>
          <w:sz w:val="20"/>
          <w:szCs w:val="20"/>
        </w:rPr>
        <w:t>As of December 31, 2022 and 2021, we have no off-balance sheet arrangements.</w:t>
      </w:r>
    </w:p>
    <w:p w14:paraId="683EFEA5" w14:textId="77777777" w:rsidR="00000000" w:rsidRDefault="0015578C">
      <w:pPr>
        <w:pStyle w:val="a3"/>
        <w:spacing w:before="0" w:beforeAutospacing="0" w:after="0" w:afterAutospacing="0"/>
        <w:jc w:val="both"/>
        <w:rPr>
          <w:sz w:val="20"/>
          <w:szCs w:val="20"/>
        </w:rPr>
      </w:pPr>
      <w:r>
        <w:rPr>
          <w:sz w:val="20"/>
          <w:szCs w:val="20"/>
        </w:rPr>
        <w:t> </w:t>
      </w:r>
    </w:p>
    <w:p w14:paraId="53BBF820" w14:textId="77777777" w:rsidR="00000000" w:rsidRDefault="0015578C">
      <w:pPr>
        <w:pStyle w:val="a3"/>
        <w:spacing w:before="0" w:beforeAutospacing="0" w:after="0" w:afterAutospacing="0"/>
        <w:jc w:val="both"/>
        <w:rPr>
          <w:sz w:val="20"/>
          <w:szCs w:val="20"/>
        </w:rPr>
      </w:pPr>
      <w:r>
        <w:rPr>
          <w:rStyle w:val="a4"/>
          <w:sz w:val="20"/>
          <w:szCs w:val="20"/>
        </w:rPr>
        <w:t>(e). Cash Flows</w:t>
      </w:r>
    </w:p>
    <w:p w14:paraId="6D2ACAF3" w14:textId="77777777" w:rsidR="00000000" w:rsidRDefault="0015578C">
      <w:pPr>
        <w:pStyle w:val="a3"/>
        <w:spacing w:before="0" w:beforeAutospacing="0" w:after="0" w:afterAutospacing="0"/>
        <w:jc w:val="both"/>
        <w:rPr>
          <w:sz w:val="20"/>
          <w:szCs w:val="20"/>
        </w:rPr>
      </w:pPr>
      <w:r>
        <w:rPr>
          <w:sz w:val="20"/>
          <w:szCs w:val="20"/>
        </w:rPr>
        <w:t> </w:t>
      </w:r>
    </w:p>
    <w:p w14:paraId="1DB8B8A0" w14:textId="77777777" w:rsidR="00000000" w:rsidRDefault="0015578C">
      <w:pPr>
        <w:pStyle w:val="a3"/>
        <w:spacing w:before="0" w:beforeAutospacing="0" w:after="0" w:afterAutospacing="0"/>
        <w:ind w:firstLine="675"/>
        <w:jc w:val="both"/>
        <w:rPr>
          <w:sz w:val="20"/>
          <w:szCs w:val="20"/>
        </w:rPr>
      </w:pPr>
      <w:r>
        <w:rPr>
          <w:sz w:val="20"/>
          <w:szCs w:val="20"/>
        </w:rPr>
        <w:t>Net cash used in operations during the year ended December 31, 2022 increased to $2,900,000 compared to $2,157,000 for the year ended December 31, 2021 primarily as a result of (i) the increase in exploration expense at our Golden Crest project to $1,505,0</w:t>
      </w:r>
      <w:r>
        <w:rPr>
          <w:sz w:val="20"/>
          <w:szCs w:val="20"/>
        </w:rPr>
        <w:t>00 during 2022 compared to $420,000 of exploration expense incurred at our Golden Crest project during 2021, and the increase in exploration expense at our Lik project to $668,000 during 2022 compared to $362,000 expense incurred at Lik during 2021; and (i</w:t>
      </w:r>
      <w:r>
        <w:rPr>
          <w:sz w:val="20"/>
          <w:szCs w:val="20"/>
        </w:rPr>
        <w:t>i) an increase in the use of cash from the net change in accounts payable and other current liabilities to $51,000 during 2022 compared the a net use of cash of $17,000 from the net change in accounts payable and other current liabilities during 2021. Part</w:t>
      </w:r>
      <w:r>
        <w:rPr>
          <w:sz w:val="20"/>
          <w:szCs w:val="20"/>
        </w:rPr>
        <w:t>ially offsetting this increased use of cash in operations was (i) a net source of cash from changes in prepaid expenses and other current assets of $265,000 during 2022 compared to a net use of cash from changes in prepaid expenses and other current assets</w:t>
      </w:r>
      <w:r>
        <w:rPr>
          <w:sz w:val="20"/>
          <w:szCs w:val="20"/>
        </w:rPr>
        <w:t xml:space="preserve"> of $277,000 during 2021; (ii) a reduction in reconnaissance exploration expense to $94,000 during 2022 compared to reconnaissance exploration of $306,000 during 2021; and (iii) and increase in interest income to $131,000 during 2022 compared to interest i</w:t>
      </w:r>
      <w:r>
        <w:rPr>
          <w:sz w:val="20"/>
          <w:szCs w:val="20"/>
        </w:rPr>
        <w:t>ncome of $123,000 during 2021. These items are discussed in further detail above under “Results of Operations.”</w:t>
      </w:r>
    </w:p>
    <w:p w14:paraId="528F9EC7" w14:textId="77777777" w:rsidR="00000000" w:rsidRDefault="0015578C">
      <w:pPr>
        <w:pStyle w:val="a3"/>
        <w:spacing w:before="0" w:beforeAutospacing="0" w:after="0" w:afterAutospacing="0"/>
        <w:jc w:val="both"/>
        <w:rPr>
          <w:sz w:val="20"/>
          <w:szCs w:val="20"/>
        </w:rPr>
      </w:pPr>
      <w:r>
        <w:rPr>
          <w:sz w:val="20"/>
          <w:szCs w:val="20"/>
        </w:rPr>
        <w:t> </w:t>
      </w:r>
    </w:p>
    <w:p w14:paraId="6ACB0B29" w14:textId="77777777" w:rsidR="00000000" w:rsidRDefault="0015578C">
      <w:pPr>
        <w:pStyle w:val="a3"/>
        <w:spacing w:before="0" w:beforeAutospacing="0" w:after="0" w:afterAutospacing="0"/>
        <w:ind w:firstLine="675"/>
        <w:jc w:val="both"/>
        <w:rPr>
          <w:sz w:val="20"/>
          <w:szCs w:val="20"/>
        </w:rPr>
      </w:pPr>
      <w:r>
        <w:rPr>
          <w:sz w:val="20"/>
          <w:szCs w:val="20"/>
        </w:rPr>
        <w:t xml:space="preserve">Net cash provided by investing activities increased to $701,000 during 2022 compared to net cash provided of $90,000 during 2021. The primary </w:t>
      </w:r>
      <w:r>
        <w:rPr>
          <w:sz w:val="20"/>
          <w:szCs w:val="20"/>
        </w:rPr>
        <w:t>reasons for the increase in cash provided by investing activities are (i) an increase in the cash provided from the sale of short-term investments to $1,028,000 during 2022 compared to $609,000 during 2021; and (ii) a reduction in capitalized initial costs</w:t>
      </w:r>
      <w:r>
        <w:rPr>
          <w:sz w:val="20"/>
          <w:szCs w:val="20"/>
        </w:rPr>
        <w:t xml:space="preserve"> for new Golden Crest claims to $340,000 compared to the capitalization of initial costs on claims and lease acquisition costs at Golden Crest of $695,000 during 2021. Partially offsetting these net increases in cash provided by investing activities were (</w:t>
      </w:r>
      <w:r>
        <w:rPr>
          <w:sz w:val="20"/>
          <w:szCs w:val="20"/>
        </w:rPr>
        <w:t>i) an increase in acquired exploration related equipment classified as other assets related to the Golden Crest project to $50,000 during 2022 compared to additions to other assets of $39,000 during 2021, and (ii) a decrease in the cash from the sale of ma</w:t>
      </w:r>
      <w:r>
        <w:rPr>
          <w:sz w:val="20"/>
          <w:szCs w:val="20"/>
        </w:rPr>
        <w:t>rketable equity securities to $63,000 during 2022 compared to cash from the sale of marketable equity securities of $147,000 during 2021. We anticipate we will continue to utilize proceeds from the sale of our short-term investments and any proceeds we may</w:t>
      </w:r>
      <w:r>
        <w:rPr>
          <w:sz w:val="20"/>
          <w:szCs w:val="20"/>
        </w:rPr>
        <w:t xml:space="preserve"> derive from potential sales of marketable equity securities to fund our operations during 2023.</w:t>
      </w:r>
    </w:p>
    <w:p w14:paraId="0A78200E" w14:textId="77777777" w:rsidR="00000000" w:rsidRDefault="0015578C">
      <w:pPr>
        <w:pStyle w:val="a3"/>
        <w:spacing w:before="0" w:beforeAutospacing="0" w:after="0" w:afterAutospacing="0"/>
        <w:jc w:val="both"/>
        <w:rPr>
          <w:sz w:val="20"/>
          <w:szCs w:val="20"/>
        </w:rPr>
      </w:pPr>
      <w:r>
        <w:rPr>
          <w:sz w:val="20"/>
          <w:szCs w:val="20"/>
        </w:rPr>
        <w:t> </w:t>
      </w:r>
    </w:p>
    <w:p w14:paraId="3D726BD0" w14:textId="77777777" w:rsidR="00000000" w:rsidRDefault="0015578C">
      <w:pPr>
        <w:pStyle w:val="a3"/>
        <w:spacing w:before="0" w:beforeAutospacing="0" w:after="0" w:afterAutospacing="0"/>
        <w:ind w:firstLine="675"/>
        <w:jc w:val="both"/>
        <w:rPr>
          <w:sz w:val="20"/>
          <w:szCs w:val="20"/>
        </w:rPr>
      </w:pPr>
      <w:r>
        <w:rPr>
          <w:sz w:val="20"/>
          <w:szCs w:val="20"/>
        </w:rPr>
        <w:t>Our net cash provided by financing activities during 2022 was from (i) the sale of 2,650,724 shares of our common stock under the ATM Program at a price of $</w:t>
      </w:r>
      <w:r>
        <w:rPr>
          <w:sz w:val="20"/>
          <w:szCs w:val="20"/>
        </w:rPr>
        <w:t>0.79 per share for net proceeds of $2,023,000, and (ii) the exercise of options for 114,250 shares of our common stock for net proceeds of $30,000. Our net cash provided by financing activities during 2021 was from (i) the sale of 3,100,000 shares in Decem</w:t>
      </w:r>
      <w:r>
        <w:rPr>
          <w:sz w:val="20"/>
          <w:szCs w:val="20"/>
        </w:rPr>
        <w:t>ber 2021 of our common stock for net proceeds of $1,542,000; (ii) the issuance of 643,033 shares of our common stock under the ATM Program for net proceeds of $299,000 and (ii) the exercise of options for 185,000 shares of our common stock for net proceeds</w:t>
      </w:r>
      <w:r>
        <w:rPr>
          <w:sz w:val="20"/>
          <w:szCs w:val="20"/>
        </w:rPr>
        <w:t xml:space="preserve"> of $83,000. We may utilize the ATM Program during 2023 to supplement our existing cash resources, however we will only use the ATM Program when we believe the market conditions based upon the quoted price of a share of our common stock are appropriate.</w:t>
      </w:r>
    </w:p>
    <w:p w14:paraId="699EE346" w14:textId="77777777" w:rsidR="00000000" w:rsidRDefault="0015578C">
      <w:pPr>
        <w:pStyle w:val="a3"/>
        <w:spacing w:before="0" w:beforeAutospacing="0" w:after="0" w:afterAutospacing="0"/>
        <w:jc w:val="both"/>
        <w:rPr>
          <w:sz w:val="20"/>
          <w:szCs w:val="20"/>
        </w:rPr>
      </w:pPr>
      <w:r>
        <w:rPr>
          <w:sz w:val="20"/>
          <w:szCs w:val="20"/>
        </w:rPr>
        <w:t> </w:t>
      </w:r>
    </w:p>
    <w:p w14:paraId="0F81F708" w14:textId="77777777" w:rsidR="00000000" w:rsidRDefault="0015578C">
      <w:pPr>
        <w:pStyle w:val="a3"/>
        <w:spacing w:before="0" w:beforeAutospacing="0" w:after="0" w:afterAutospacing="0"/>
        <w:jc w:val="both"/>
        <w:rPr>
          <w:sz w:val="20"/>
          <w:szCs w:val="20"/>
        </w:rPr>
      </w:pPr>
      <w:r>
        <w:rPr>
          <w:rStyle w:val="a4"/>
          <w:sz w:val="20"/>
          <w:szCs w:val="20"/>
        </w:rPr>
        <w:t>(f). Development Activities, Exploration Activities, Environmental Compliance and Contractual Obligations</w:t>
      </w:r>
    </w:p>
    <w:p w14:paraId="07EEB864" w14:textId="77777777" w:rsidR="00000000" w:rsidRDefault="0015578C">
      <w:pPr>
        <w:pStyle w:val="a3"/>
        <w:spacing w:before="0" w:beforeAutospacing="0" w:after="0" w:afterAutospacing="0"/>
        <w:jc w:val="both"/>
        <w:rPr>
          <w:sz w:val="20"/>
          <w:szCs w:val="20"/>
        </w:rPr>
      </w:pPr>
      <w:r>
        <w:rPr>
          <w:sz w:val="20"/>
          <w:szCs w:val="20"/>
        </w:rPr>
        <w:t> </w:t>
      </w:r>
    </w:p>
    <w:p w14:paraId="6C247691" w14:textId="77777777" w:rsidR="00000000" w:rsidRDefault="0015578C">
      <w:pPr>
        <w:pStyle w:val="a3"/>
        <w:spacing w:before="0" w:beforeAutospacing="0" w:after="0" w:afterAutospacing="0"/>
        <w:jc w:val="both"/>
        <w:rPr>
          <w:sz w:val="20"/>
          <w:szCs w:val="20"/>
        </w:rPr>
      </w:pPr>
      <w:r>
        <w:rPr>
          <w:sz w:val="20"/>
          <w:szCs w:val="20"/>
          <w:u w:val="single"/>
        </w:rPr>
        <w:t>Development Activities</w:t>
      </w:r>
    </w:p>
    <w:p w14:paraId="4DE59941" w14:textId="77777777" w:rsidR="00000000" w:rsidRDefault="0015578C">
      <w:pPr>
        <w:pStyle w:val="a3"/>
        <w:spacing w:before="0" w:beforeAutospacing="0" w:after="0" w:afterAutospacing="0"/>
        <w:jc w:val="both"/>
        <w:rPr>
          <w:sz w:val="20"/>
          <w:szCs w:val="20"/>
        </w:rPr>
      </w:pPr>
      <w:r>
        <w:rPr>
          <w:sz w:val="20"/>
          <w:szCs w:val="20"/>
        </w:rPr>
        <w:t> </w:t>
      </w:r>
    </w:p>
    <w:p w14:paraId="7C3520C3" w14:textId="77777777" w:rsidR="00000000" w:rsidRDefault="0015578C">
      <w:pPr>
        <w:pStyle w:val="a3"/>
        <w:spacing w:before="0" w:beforeAutospacing="0" w:after="0" w:afterAutospacing="0"/>
        <w:ind w:firstLine="675"/>
        <w:jc w:val="both"/>
        <w:rPr>
          <w:sz w:val="20"/>
          <w:szCs w:val="20"/>
        </w:rPr>
      </w:pPr>
      <w:r>
        <w:rPr>
          <w:sz w:val="20"/>
          <w:szCs w:val="20"/>
        </w:rPr>
        <w:t>We do not have any ongoing mineral development activities, which are activities for the development of mineral properties w</w:t>
      </w:r>
      <w:r>
        <w:rPr>
          <w:sz w:val="20"/>
          <w:szCs w:val="20"/>
        </w:rPr>
        <w:t>ith reserves for potential mining.</w:t>
      </w:r>
    </w:p>
    <w:p w14:paraId="1D36C3F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F1299F9" w14:textId="77777777">
        <w:trPr>
          <w:trHeight w:val="225"/>
          <w:tblCellSpacing w:w="15" w:type="dxa"/>
        </w:trPr>
        <w:tc>
          <w:tcPr>
            <w:tcW w:w="0" w:type="auto"/>
            <w:vAlign w:val="center"/>
            <w:hideMark/>
          </w:tcPr>
          <w:p w14:paraId="59099128" w14:textId="77777777" w:rsidR="00000000" w:rsidRDefault="0015578C">
            <w:pPr>
              <w:rPr>
                <w:rFonts w:eastAsia="Times New Roman"/>
                <w:sz w:val="20"/>
                <w:szCs w:val="20"/>
              </w:rPr>
            </w:pPr>
            <w:r>
              <w:rPr>
                <w:rFonts w:eastAsia="Times New Roman"/>
                <w:sz w:val="20"/>
                <w:szCs w:val="20"/>
              </w:rPr>
              <w:t> </w:t>
            </w:r>
          </w:p>
        </w:tc>
      </w:tr>
      <w:tr w:rsidR="00000000" w14:paraId="7A5B2765" w14:textId="77777777">
        <w:trPr>
          <w:trHeight w:val="225"/>
          <w:tblCellSpacing w:w="15" w:type="dxa"/>
        </w:trPr>
        <w:tc>
          <w:tcPr>
            <w:tcW w:w="0" w:type="auto"/>
            <w:tcBorders>
              <w:bottom w:val="single" w:sz="6" w:space="0" w:color="000000"/>
            </w:tcBorders>
            <w:vAlign w:val="center"/>
            <w:hideMark/>
          </w:tcPr>
          <w:p w14:paraId="67A9DB9E" w14:textId="77777777" w:rsidR="00000000" w:rsidRDefault="0015578C">
            <w:pPr>
              <w:jc w:val="center"/>
              <w:rPr>
                <w:rFonts w:eastAsia="Times New Roman"/>
                <w:sz w:val="20"/>
                <w:szCs w:val="20"/>
              </w:rPr>
            </w:pPr>
            <w:r>
              <w:rPr>
                <w:rFonts w:eastAsia="Times New Roman"/>
                <w:sz w:val="20"/>
                <w:szCs w:val="20"/>
              </w:rPr>
              <w:t>43</w:t>
            </w:r>
          </w:p>
        </w:tc>
      </w:tr>
      <w:tr w:rsidR="00000000" w14:paraId="1443C4CF" w14:textId="77777777">
        <w:trPr>
          <w:trHeight w:val="225"/>
          <w:tblCellSpacing w:w="15" w:type="dxa"/>
        </w:trPr>
        <w:tc>
          <w:tcPr>
            <w:tcW w:w="0" w:type="auto"/>
            <w:vAlign w:val="center"/>
            <w:hideMark/>
          </w:tcPr>
          <w:p w14:paraId="16033638" w14:textId="77777777" w:rsidR="00000000" w:rsidRDefault="0015578C">
            <w:pPr>
              <w:rPr>
                <w:rFonts w:eastAsia="Times New Roman"/>
                <w:sz w:val="20"/>
                <w:szCs w:val="20"/>
              </w:rPr>
            </w:pPr>
          </w:p>
        </w:tc>
      </w:tr>
      <w:tr w:rsidR="00000000" w14:paraId="24EB12E4" w14:textId="77777777">
        <w:trPr>
          <w:trHeight w:val="225"/>
          <w:tblCellSpacing w:w="15" w:type="dxa"/>
        </w:trPr>
        <w:tc>
          <w:tcPr>
            <w:tcW w:w="0" w:type="auto"/>
            <w:vAlign w:val="center"/>
            <w:hideMark/>
          </w:tcPr>
          <w:p w14:paraId="06E1F119"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9408141" w14:textId="77777777" w:rsidR="00000000" w:rsidRDefault="0015578C">
      <w:pPr>
        <w:pStyle w:val="a3"/>
        <w:spacing w:before="0" w:beforeAutospacing="0" w:after="0" w:afterAutospacing="0"/>
        <w:jc w:val="both"/>
        <w:rPr>
          <w:sz w:val="20"/>
          <w:szCs w:val="20"/>
        </w:rPr>
      </w:pPr>
      <w:r>
        <w:rPr>
          <w:sz w:val="20"/>
          <w:szCs w:val="20"/>
        </w:rPr>
        <w:t> </w:t>
      </w:r>
    </w:p>
    <w:p w14:paraId="6AAB7EF1" w14:textId="77777777" w:rsidR="00000000" w:rsidRDefault="0015578C">
      <w:pPr>
        <w:pStyle w:val="a3"/>
        <w:spacing w:before="0" w:beforeAutospacing="0" w:after="0" w:afterAutospacing="0"/>
        <w:jc w:val="both"/>
        <w:rPr>
          <w:sz w:val="20"/>
          <w:szCs w:val="20"/>
        </w:rPr>
      </w:pPr>
      <w:r>
        <w:rPr>
          <w:sz w:val="20"/>
          <w:szCs w:val="20"/>
          <w:u w:val="single"/>
        </w:rPr>
        <w:t>Exploration Activities</w:t>
      </w:r>
    </w:p>
    <w:p w14:paraId="5031C5B5" w14:textId="77777777" w:rsidR="00000000" w:rsidRDefault="0015578C">
      <w:pPr>
        <w:pStyle w:val="a3"/>
        <w:spacing w:before="0" w:beforeAutospacing="0" w:after="0" w:afterAutospacing="0"/>
        <w:jc w:val="both"/>
        <w:rPr>
          <w:sz w:val="20"/>
          <w:szCs w:val="20"/>
        </w:rPr>
      </w:pPr>
      <w:r>
        <w:rPr>
          <w:sz w:val="20"/>
          <w:szCs w:val="20"/>
        </w:rPr>
        <w:t> </w:t>
      </w:r>
    </w:p>
    <w:p w14:paraId="207A88A6" w14:textId="77777777" w:rsidR="00000000" w:rsidRDefault="0015578C">
      <w:pPr>
        <w:pStyle w:val="a3"/>
        <w:spacing w:before="0" w:beforeAutospacing="0" w:after="0" w:afterAutospacing="0"/>
        <w:ind w:firstLine="675"/>
        <w:jc w:val="both"/>
        <w:rPr>
          <w:sz w:val="20"/>
          <w:szCs w:val="20"/>
        </w:rPr>
      </w:pPr>
      <w:r>
        <w:rPr>
          <w:sz w:val="20"/>
          <w:szCs w:val="20"/>
        </w:rPr>
        <w:t>A historically significant part of our business involves the review of potential property acquisitions and continuing review and analysis of properties in which we have an interest to determine the exploration and development potential of the properties. I</w:t>
      </w:r>
      <w:r>
        <w:rPr>
          <w:sz w:val="20"/>
          <w:szCs w:val="20"/>
        </w:rPr>
        <w:t>n analyzing expected levels of expenditures for work commitments and property payments, our obligations to make such payments fluctuate greatly depending on whether, among other things, we make a decision to sell a property interest, convey a property inte</w:t>
      </w:r>
      <w:r>
        <w:rPr>
          <w:sz w:val="20"/>
          <w:szCs w:val="20"/>
        </w:rPr>
        <w:t>rest to a joint venture, or allow our interest in a property to lapse by not making the work commitment or payment required. In acquiring many of our interests in mining claims and leases, we have entered into agreements, which generally may be canceled at</w:t>
      </w:r>
      <w:r>
        <w:rPr>
          <w:sz w:val="20"/>
          <w:szCs w:val="20"/>
        </w:rPr>
        <w:t xml:space="preserve"> our option. We are often required to make minimum rental and option payments in order to maintain our interest in certain claims and leases. Our net 2022 mineral and surface property filing rental and option payments, included in exploration expense, were</w:t>
      </w:r>
      <w:r>
        <w:rPr>
          <w:sz w:val="20"/>
          <w:szCs w:val="20"/>
        </w:rPr>
        <w:t xml:space="preserve"> $107,000. Our 2023 total exploration property rentals and option payments for properties we own, have under joint venture, or operate are estimated to be approximately $1,273,000. Assuming that our joint ventures continue in their current status and that </w:t>
      </w:r>
      <w:r>
        <w:rPr>
          <w:sz w:val="20"/>
          <w:szCs w:val="20"/>
        </w:rPr>
        <w:t>we do not appreciably change our property positions on existing properties, we estimate that our joint venture partners will pay on our behalf or reimburse us approximately $854,000 of these annual payments. These obligations are detailed below under “Cont</w:t>
      </w:r>
      <w:r>
        <w:rPr>
          <w:sz w:val="20"/>
          <w:szCs w:val="20"/>
        </w:rPr>
        <w:t>ractual Obligations.” In addition, we may be required to make further payments in the future if we elect to exercise our options under those agreements or if we enter into new agreements.</w:t>
      </w:r>
    </w:p>
    <w:p w14:paraId="17D8FE41" w14:textId="77777777" w:rsidR="00000000" w:rsidRDefault="0015578C">
      <w:pPr>
        <w:pStyle w:val="a3"/>
        <w:spacing w:before="0" w:beforeAutospacing="0" w:after="0" w:afterAutospacing="0"/>
        <w:jc w:val="both"/>
        <w:rPr>
          <w:sz w:val="20"/>
          <w:szCs w:val="20"/>
        </w:rPr>
      </w:pPr>
      <w:r>
        <w:rPr>
          <w:sz w:val="20"/>
          <w:szCs w:val="20"/>
        </w:rPr>
        <w:t> </w:t>
      </w:r>
    </w:p>
    <w:p w14:paraId="7A9ED50F" w14:textId="77777777" w:rsidR="00000000" w:rsidRDefault="0015578C">
      <w:pPr>
        <w:pStyle w:val="a3"/>
        <w:spacing w:before="0" w:beforeAutospacing="0" w:after="0" w:afterAutospacing="0"/>
        <w:jc w:val="both"/>
        <w:rPr>
          <w:sz w:val="20"/>
          <w:szCs w:val="20"/>
        </w:rPr>
      </w:pPr>
      <w:r>
        <w:rPr>
          <w:sz w:val="20"/>
          <w:szCs w:val="20"/>
          <w:u w:val="single"/>
        </w:rPr>
        <w:t>Environmental Compliance</w:t>
      </w:r>
    </w:p>
    <w:p w14:paraId="3A608B4C" w14:textId="77777777" w:rsidR="00000000" w:rsidRDefault="0015578C">
      <w:pPr>
        <w:pStyle w:val="a3"/>
        <w:spacing w:before="0" w:beforeAutospacing="0" w:after="0" w:afterAutospacing="0"/>
        <w:jc w:val="both"/>
        <w:rPr>
          <w:sz w:val="20"/>
          <w:szCs w:val="20"/>
        </w:rPr>
      </w:pPr>
      <w:r>
        <w:rPr>
          <w:sz w:val="20"/>
          <w:szCs w:val="20"/>
        </w:rPr>
        <w:t> </w:t>
      </w:r>
    </w:p>
    <w:p w14:paraId="24CCBD59" w14:textId="77777777" w:rsidR="00000000" w:rsidRDefault="0015578C">
      <w:pPr>
        <w:pStyle w:val="a3"/>
        <w:spacing w:before="0" w:beforeAutospacing="0" w:after="0" w:afterAutospacing="0"/>
        <w:ind w:firstLine="675"/>
        <w:jc w:val="both"/>
        <w:rPr>
          <w:sz w:val="20"/>
          <w:szCs w:val="20"/>
        </w:rPr>
      </w:pPr>
      <w:r>
        <w:rPr>
          <w:sz w:val="20"/>
          <w:szCs w:val="20"/>
        </w:rPr>
        <w:t>We are subject to various federal, stat</w:t>
      </w:r>
      <w:r>
        <w:rPr>
          <w:sz w:val="20"/>
          <w:szCs w:val="20"/>
        </w:rPr>
        <w:t xml:space="preserve">e and local environmental laws and regulations in the countries where we operate. We are required to obtain permits in advance of initiating certain of our exploration activities, to monitor and report on certain activities to appropriate authorities, and </w:t>
      </w:r>
      <w:r>
        <w:rPr>
          <w:sz w:val="20"/>
          <w:szCs w:val="20"/>
        </w:rPr>
        <w:t>to perform remediation of environmental disturbance as a result of certain of our activities. Historically, the nature of our activities of review, acquisition and exploration of properties prior to the establishment of reserves, which may include mapping,</w:t>
      </w:r>
      <w:r>
        <w:rPr>
          <w:sz w:val="20"/>
          <w:szCs w:val="20"/>
        </w:rPr>
        <w:t xml:space="preserve"> sampling, geochemistry and geophysical studies as well as some limited exploration drilling, has not resulted in significant environmental impacts in the past. We have historically carried on our required environmental remediation expenditures and activit</w:t>
      </w:r>
      <w:r>
        <w:rPr>
          <w:sz w:val="20"/>
          <w:szCs w:val="20"/>
        </w:rPr>
        <w:t xml:space="preserve">ies, if any, concurrently with our exploration activities and expenditures. The expenditures to comply with our environmental obligations are included in our exploration expenditures in the statement of operations and have not been material to our capital </w:t>
      </w:r>
      <w:r>
        <w:rPr>
          <w:sz w:val="20"/>
          <w:szCs w:val="20"/>
        </w:rPr>
        <w:t>or exploration expenditures and have not had a material effect on our financial position. For the years ended December 31, 2022 and 2021, we have not capitalized any costs related to environmental control facilities. We do not anticipate our exploration ac</w:t>
      </w:r>
      <w:r>
        <w:rPr>
          <w:sz w:val="20"/>
          <w:szCs w:val="20"/>
        </w:rPr>
        <w:t>tivities will result in any material new or additional environmental expenditures or liabilities in the near future.</w:t>
      </w:r>
    </w:p>
    <w:p w14:paraId="5D88D7E5" w14:textId="77777777" w:rsidR="00000000" w:rsidRDefault="0015578C">
      <w:pPr>
        <w:pStyle w:val="a3"/>
        <w:spacing w:before="0" w:beforeAutospacing="0" w:after="0" w:afterAutospacing="0"/>
        <w:jc w:val="both"/>
        <w:rPr>
          <w:sz w:val="20"/>
          <w:szCs w:val="20"/>
        </w:rPr>
      </w:pPr>
      <w:r>
        <w:rPr>
          <w:sz w:val="20"/>
          <w:szCs w:val="20"/>
        </w:rPr>
        <w:t> </w:t>
      </w:r>
    </w:p>
    <w:p w14:paraId="65CF60DA" w14:textId="77777777" w:rsidR="00000000" w:rsidRDefault="0015578C">
      <w:pPr>
        <w:pStyle w:val="a3"/>
        <w:spacing w:before="0" w:beforeAutospacing="0" w:after="0" w:afterAutospacing="0"/>
        <w:jc w:val="both"/>
        <w:rPr>
          <w:sz w:val="20"/>
          <w:szCs w:val="20"/>
        </w:rPr>
      </w:pPr>
      <w:r>
        <w:rPr>
          <w:sz w:val="20"/>
          <w:szCs w:val="20"/>
          <w:u w:val="single"/>
        </w:rPr>
        <w:t>Contractual Obligations</w:t>
      </w:r>
    </w:p>
    <w:p w14:paraId="5FC38447" w14:textId="77777777" w:rsidR="00000000" w:rsidRDefault="0015578C">
      <w:pPr>
        <w:pStyle w:val="a3"/>
        <w:spacing w:before="0" w:beforeAutospacing="0" w:after="0" w:afterAutospacing="0"/>
        <w:jc w:val="both"/>
        <w:rPr>
          <w:sz w:val="20"/>
          <w:szCs w:val="20"/>
        </w:rPr>
      </w:pPr>
      <w:r>
        <w:rPr>
          <w:sz w:val="20"/>
          <w:szCs w:val="20"/>
        </w:rPr>
        <w:t> </w:t>
      </w:r>
    </w:p>
    <w:p w14:paraId="6AB68603" w14:textId="77777777" w:rsidR="00000000" w:rsidRDefault="0015578C">
      <w:pPr>
        <w:pStyle w:val="a3"/>
        <w:spacing w:before="0" w:beforeAutospacing="0" w:after="0" w:afterAutospacing="0"/>
        <w:ind w:firstLine="675"/>
        <w:jc w:val="both"/>
        <w:rPr>
          <w:sz w:val="20"/>
          <w:szCs w:val="20"/>
        </w:rPr>
      </w:pPr>
      <w:r>
        <w:rPr>
          <w:sz w:val="20"/>
          <w:szCs w:val="20"/>
        </w:rPr>
        <w:t>The following table provides an analysis of our contractual obligations:</w:t>
      </w:r>
    </w:p>
    <w:p w14:paraId="77400258"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3095"/>
        <w:gridCol w:w="98"/>
        <w:gridCol w:w="131"/>
        <w:gridCol w:w="710"/>
        <w:gridCol w:w="98"/>
        <w:gridCol w:w="98"/>
        <w:gridCol w:w="131"/>
        <w:gridCol w:w="711"/>
        <w:gridCol w:w="99"/>
        <w:gridCol w:w="99"/>
        <w:gridCol w:w="131"/>
        <w:gridCol w:w="711"/>
        <w:gridCol w:w="99"/>
        <w:gridCol w:w="99"/>
        <w:gridCol w:w="131"/>
        <w:gridCol w:w="711"/>
        <w:gridCol w:w="99"/>
        <w:gridCol w:w="99"/>
        <w:gridCol w:w="131"/>
        <w:gridCol w:w="711"/>
        <w:gridCol w:w="114"/>
      </w:tblGrid>
      <w:tr w:rsidR="00000000" w14:paraId="758D6059" w14:textId="77777777">
        <w:trPr>
          <w:trHeight w:val="225"/>
          <w:tblCellSpacing w:w="15" w:type="dxa"/>
        </w:trPr>
        <w:tc>
          <w:tcPr>
            <w:tcW w:w="0" w:type="auto"/>
            <w:vAlign w:val="center"/>
            <w:hideMark/>
          </w:tcPr>
          <w:p w14:paraId="6DA6E15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61F3AFE"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18"/>
            <w:tcBorders>
              <w:bottom w:val="single" w:sz="6" w:space="0" w:color="auto"/>
            </w:tcBorders>
            <w:vAlign w:val="bottom"/>
            <w:hideMark/>
          </w:tcPr>
          <w:p w14:paraId="6726F644" w14:textId="77777777" w:rsidR="00000000" w:rsidRDefault="0015578C">
            <w:pPr>
              <w:pStyle w:val="a3"/>
              <w:spacing w:before="0" w:beforeAutospacing="0" w:after="0" w:afterAutospacing="0"/>
              <w:jc w:val="center"/>
              <w:rPr>
                <w:sz w:val="20"/>
                <w:szCs w:val="20"/>
              </w:rPr>
            </w:pPr>
            <w:r>
              <w:rPr>
                <w:rStyle w:val="a4"/>
                <w:sz w:val="20"/>
                <w:szCs w:val="20"/>
              </w:rPr>
              <w:t xml:space="preserve">      As of December 31, 2022 </w:t>
            </w:r>
          </w:p>
          <w:p w14:paraId="5CC2804B" w14:textId="77777777" w:rsidR="00000000" w:rsidRDefault="0015578C">
            <w:pPr>
              <w:pStyle w:val="a3"/>
              <w:spacing w:before="0" w:beforeAutospacing="0" w:after="0" w:afterAutospacing="0"/>
              <w:jc w:val="center"/>
              <w:rPr>
                <w:sz w:val="20"/>
                <w:szCs w:val="20"/>
              </w:rPr>
            </w:pPr>
            <w:r>
              <w:rPr>
                <w:rStyle w:val="a4"/>
                <w:sz w:val="20"/>
                <w:szCs w:val="20"/>
              </w:rPr>
              <w:t>      Payments due by period</w:t>
            </w:r>
          </w:p>
        </w:tc>
        <w:tc>
          <w:tcPr>
            <w:tcW w:w="0" w:type="auto"/>
            <w:noWrap/>
            <w:vAlign w:val="center"/>
            <w:hideMark/>
          </w:tcPr>
          <w:p w14:paraId="2CC0A52C" w14:textId="77777777" w:rsidR="00000000" w:rsidRDefault="0015578C">
            <w:pPr>
              <w:pStyle w:val="a3"/>
              <w:spacing w:before="0" w:beforeAutospacing="0" w:after="0" w:afterAutospacing="0"/>
              <w:rPr>
                <w:sz w:val="20"/>
                <w:szCs w:val="20"/>
              </w:rPr>
            </w:pPr>
            <w:r>
              <w:rPr>
                <w:rStyle w:val="a4"/>
                <w:sz w:val="20"/>
                <w:szCs w:val="20"/>
              </w:rPr>
              <w:t> </w:t>
            </w:r>
          </w:p>
        </w:tc>
      </w:tr>
      <w:tr w:rsidR="00000000" w14:paraId="71533134" w14:textId="77777777">
        <w:trPr>
          <w:trHeight w:val="225"/>
          <w:tblCellSpacing w:w="15" w:type="dxa"/>
        </w:trPr>
        <w:tc>
          <w:tcPr>
            <w:tcW w:w="0" w:type="auto"/>
            <w:vAlign w:val="bottom"/>
            <w:hideMark/>
          </w:tcPr>
          <w:p w14:paraId="4BB62E97" w14:textId="77777777" w:rsidR="00000000" w:rsidRDefault="0015578C">
            <w:pPr>
              <w:pStyle w:val="a3"/>
              <w:spacing w:before="0" w:beforeAutospacing="0" w:after="0" w:afterAutospacing="0"/>
              <w:rPr>
                <w:sz w:val="20"/>
                <w:szCs w:val="20"/>
              </w:rPr>
            </w:pPr>
            <w:r>
              <w:rPr>
                <w:rStyle w:val="a4"/>
                <w:sz w:val="20"/>
                <w:szCs w:val="20"/>
              </w:rPr>
              <w:t>(in thousands)</w:t>
            </w:r>
          </w:p>
        </w:tc>
        <w:tc>
          <w:tcPr>
            <w:tcW w:w="0" w:type="auto"/>
            <w:noWrap/>
            <w:vAlign w:val="center"/>
            <w:hideMark/>
          </w:tcPr>
          <w:p w14:paraId="2726453A"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14:paraId="023A8AE8" w14:textId="77777777" w:rsidR="00000000" w:rsidRDefault="0015578C">
            <w:pPr>
              <w:pStyle w:val="a3"/>
              <w:spacing w:before="0" w:beforeAutospacing="0" w:after="0" w:afterAutospacing="0"/>
              <w:jc w:val="center"/>
              <w:rPr>
                <w:sz w:val="20"/>
                <w:szCs w:val="20"/>
              </w:rPr>
            </w:pPr>
            <w:r>
              <w:rPr>
                <w:rStyle w:val="a4"/>
                <w:sz w:val="20"/>
                <w:szCs w:val="20"/>
              </w:rPr>
              <w:t>   </w:t>
            </w:r>
          </w:p>
          <w:p w14:paraId="1AEF88AD" w14:textId="77777777" w:rsidR="00000000" w:rsidRDefault="0015578C">
            <w:pPr>
              <w:pStyle w:val="a3"/>
              <w:spacing w:before="0" w:beforeAutospacing="0" w:after="0" w:afterAutospacing="0"/>
              <w:jc w:val="center"/>
              <w:rPr>
                <w:sz w:val="20"/>
                <w:szCs w:val="20"/>
              </w:rPr>
            </w:pPr>
            <w:r>
              <w:rPr>
                <w:rStyle w:val="a4"/>
                <w:sz w:val="20"/>
                <w:szCs w:val="20"/>
              </w:rPr>
              <w:t>     Total</w:t>
            </w:r>
          </w:p>
        </w:tc>
        <w:tc>
          <w:tcPr>
            <w:tcW w:w="0" w:type="auto"/>
            <w:noWrap/>
            <w:tcMar>
              <w:top w:w="0" w:type="dxa"/>
              <w:left w:w="0" w:type="dxa"/>
              <w:bottom w:w="15" w:type="dxa"/>
              <w:right w:w="0" w:type="dxa"/>
            </w:tcMar>
            <w:vAlign w:val="center"/>
            <w:hideMark/>
          </w:tcPr>
          <w:p w14:paraId="725B16A2" w14:textId="77777777" w:rsidR="00000000" w:rsidRDefault="0015578C">
            <w:pPr>
              <w:pStyle w:val="a3"/>
              <w:spacing w:before="0" w:beforeAutospacing="0" w:after="0" w:afterAutospacing="0"/>
              <w:rPr>
                <w:sz w:val="20"/>
                <w:szCs w:val="20"/>
              </w:rPr>
            </w:pPr>
            <w:r>
              <w:rPr>
                <w:rStyle w:val="a4"/>
                <w:sz w:val="20"/>
                <w:szCs w:val="20"/>
              </w:rPr>
              <w:t> </w:t>
            </w:r>
          </w:p>
        </w:tc>
        <w:tc>
          <w:tcPr>
            <w:tcW w:w="0" w:type="auto"/>
            <w:noWrap/>
            <w:vAlign w:val="center"/>
            <w:hideMark/>
          </w:tcPr>
          <w:p w14:paraId="2B804821"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14:paraId="735BD674" w14:textId="77777777" w:rsidR="00000000" w:rsidRDefault="0015578C">
            <w:pPr>
              <w:pStyle w:val="a3"/>
              <w:spacing w:before="0" w:beforeAutospacing="0" w:after="0" w:afterAutospacing="0"/>
              <w:jc w:val="center"/>
              <w:rPr>
                <w:sz w:val="20"/>
                <w:szCs w:val="20"/>
              </w:rPr>
            </w:pPr>
            <w:r>
              <w:rPr>
                <w:rStyle w:val="a4"/>
                <w:sz w:val="20"/>
                <w:szCs w:val="20"/>
              </w:rPr>
              <w:t xml:space="preserve">  Less than </w:t>
            </w:r>
          </w:p>
          <w:p w14:paraId="253F1063" w14:textId="77777777" w:rsidR="00000000" w:rsidRDefault="0015578C">
            <w:pPr>
              <w:pStyle w:val="a3"/>
              <w:spacing w:before="0" w:beforeAutospacing="0" w:after="0" w:afterAutospacing="0"/>
              <w:jc w:val="center"/>
              <w:rPr>
                <w:sz w:val="20"/>
                <w:szCs w:val="20"/>
              </w:rPr>
            </w:pPr>
            <w:r>
              <w:rPr>
                <w:rStyle w:val="a4"/>
                <w:sz w:val="20"/>
                <w:szCs w:val="20"/>
              </w:rPr>
              <w:t>1 year </w:t>
            </w:r>
          </w:p>
        </w:tc>
        <w:tc>
          <w:tcPr>
            <w:tcW w:w="0" w:type="auto"/>
            <w:noWrap/>
            <w:tcMar>
              <w:top w:w="0" w:type="dxa"/>
              <w:left w:w="0" w:type="dxa"/>
              <w:bottom w:w="15" w:type="dxa"/>
              <w:right w:w="0" w:type="dxa"/>
            </w:tcMar>
            <w:vAlign w:val="center"/>
            <w:hideMark/>
          </w:tcPr>
          <w:p w14:paraId="7F645D55" w14:textId="77777777" w:rsidR="00000000" w:rsidRDefault="0015578C">
            <w:pPr>
              <w:pStyle w:val="a3"/>
              <w:spacing w:before="0" w:beforeAutospacing="0" w:after="0" w:afterAutospacing="0"/>
              <w:rPr>
                <w:sz w:val="20"/>
                <w:szCs w:val="20"/>
              </w:rPr>
            </w:pPr>
            <w:r>
              <w:rPr>
                <w:rStyle w:val="a4"/>
                <w:sz w:val="20"/>
                <w:szCs w:val="20"/>
              </w:rPr>
              <w:t> </w:t>
            </w:r>
          </w:p>
        </w:tc>
        <w:tc>
          <w:tcPr>
            <w:tcW w:w="0" w:type="auto"/>
            <w:noWrap/>
            <w:vAlign w:val="center"/>
            <w:hideMark/>
          </w:tcPr>
          <w:p w14:paraId="485D8EFF"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14:paraId="4843B610" w14:textId="77777777" w:rsidR="00000000" w:rsidRDefault="0015578C">
            <w:pPr>
              <w:pStyle w:val="a3"/>
              <w:spacing w:before="0" w:beforeAutospacing="0" w:after="0" w:afterAutospacing="0"/>
              <w:jc w:val="center"/>
              <w:rPr>
                <w:sz w:val="20"/>
                <w:szCs w:val="20"/>
              </w:rPr>
            </w:pPr>
            <w:r>
              <w:rPr>
                <w:rStyle w:val="a4"/>
                <w:sz w:val="20"/>
                <w:szCs w:val="20"/>
              </w:rPr>
              <w:t>    1–3 years </w:t>
            </w:r>
          </w:p>
        </w:tc>
        <w:tc>
          <w:tcPr>
            <w:tcW w:w="0" w:type="auto"/>
            <w:noWrap/>
            <w:tcMar>
              <w:top w:w="0" w:type="dxa"/>
              <w:left w:w="0" w:type="dxa"/>
              <w:bottom w:w="15" w:type="dxa"/>
              <w:right w:w="0" w:type="dxa"/>
            </w:tcMar>
            <w:vAlign w:val="center"/>
            <w:hideMark/>
          </w:tcPr>
          <w:p w14:paraId="68AC4D17" w14:textId="77777777" w:rsidR="00000000" w:rsidRDefault="0015578C">
            <w:pPr>
              <w:pStyle w:val="a3"/>
              <w:spacing w:before="0" w:beforeAutospacing="0" w:after="0" w:afterAutospacing="0"/>
              <w:rPr>
                <w:sz w:val="20"/>
                <w:szCs w:val="20"/>
              </w:rPr>
            </w:pPr>
            <w:r>
              <w:rPr>
                <w:rStyle w:val="a4"/>
                <w:sz w:val="20"/>
                <w:szCs w:val="20"/>
              </w:rPr>
              <w:t> </w:t>
            </w:r>
          </w:p>
        </w:tc>
        <w:tc>
          <w:tcPr>
            <w:tcW w:w="0" w:type="auto"/>
            <w:noWrap/>
            <w:vAlign w:val="center"/>
            <w:hideMark/>
          </w:tcPr>
          <w:p w14:paraId="35165DEC"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14:paraId="361DF629" w14:textId="77777777" w:rsidR="00000000" w:rsidRDefault="0015578C">
            <w:pPr>
              <w:pStyle w:val="a3"/>
              <w:spacing w:before="0" w:beforeAutospacing="0" w:after="0" w:afterAutospacing="0"/>
              <w:jc w:val="center"/>
              <w:rPr>
                <w:sz w:val="20"/>
                <w:szCs w:val="20"/>
              </w:rPr>
            </w:pPr>
            <w:r>
              <w:rPr>
                <w:rStyle w:val="a4"/>
                <w:sz w:val="20"/>
                <w:szCs w:val="20"/>
              </w:rPr>
              <w:t>    4–5 years     </w:t>
            </w:r>
          </w:p>
        </w:tc>
        <w:tc>
          <w:tcPr>
            <w:tcW w:w="0" w:type="auto"/>
            <w:noWrap/>
            <w:tcMar>
              <w:top w:w="0" w:type="dxa"/>
              <w:left w:w="0" w:type="dxa"/>
              <w:bottom w:w="15" w:type="dxa"/>
              <w:right w:w="0" w:type="dxa"/>
            </w:tcMar>
            <w:vAlign w:val="center"/>
            <w:hideMark/>
          </w:tcPr>
          <w:p w14:paraId="36794B0D" w14:textId="77777777" w:rsidR="00000000" w:rsidRDefault="0015578C">
            <w:pPr>
              <w:pStyle w:val="a3"/>
              <w:spacing w:before="0" w:beforeAutospacing="0" w:after="0" w:afterAutospacing="0"/>
              <w:rPr>
                <w:sz w:val="20"/>
                <w:szCs w:val="20"/>
              </w:rPr>
            </w:pPr>
            <w:r>
              <w:rPr>
                <w:rStyle w:val="a4"/>
                <w:sz w:val="20"/>
                <w:szCs w:val="20"/>
              </w:rPr>
              <w:t> </w:t>
            </w:r>
          </w:p>
        </w:tc>
        <w:tc>
          <w:tcPr>
            <w:tcW w:w="0" w:type="auto"/>
            <w:noWrap/>
            <w:vAlign w:val="center"/>
            <w:hideMark/>
          </w:tcPr>
          <w:p w14:paraId="6641087D" w14:textId="77777777" w:rsidR="00000000" w:rsidRDefault="0015578C">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14:paraId="67EF8A49" w14:textId="77777777" w:rsidR="00000000" w:rsidRDefault="0015578C">
            <w:pPr>
              <w:jc w:val="center"/>
              <w:rPr>
                <w:rFonts w:eastAsia="Times New Roman"/>
                <w:sz w:val="20"/>
                <w:szCs w:val="20"/>
              </w:rPr>
            </w:pPr>
            <w:r>
              <w:rPr>
                <w:rStyle w:val="a4"/>
                <w:rFonts w:eastAsia="Times New Roman"/>
                <w:sz w:val="20"/>
                <w:szCs w:val="20"/>
              </w:rPr>
              <w:t xml:space="preserve">More than </w:t>
            </w:r>
          </w:p>
          <w:p w14:paraId="6B98FB6B" w14:textId="77777777" w:rsidR="00000000" w:rsidRDefault="0015578C">
            <w:pPr>
              <w:pStyle w:val="a3"/>
              <w:spacing w:before="0" w:beforeAutospacing="0" w:after="0" w:afterAutospacing="0"/>
              <w:jc w:val="center"/>
              <w:rPr>
                <w:sz w:val="20"/>
                <w:szCs w:val="20"/>
              </w:rPr>
            </w:pPr>
            <w:r>
              <w:rPr>
                <w:rStyle w:val="a4"/>
                <w:sz w:val="20"/>
                <w:szCs w:val="20"/>
              </w:rPr>
              <w:t>     5 years</w:t>
            </w:r>
          </w:p>
        </w:tc>
        <w:tc>
          <w:tcPr>
            <w:tcW w:w="0" w:type="auto"/>
            <w:noWrap/>
            <w:vAlign w:val="center"/>
            <w:hideMark/>
          </w:tcPr>
          <w:p w14:paraId="66F21D19" w14:textId="77777777" w:rsidR="00000000" w:rsidRDefault="0015578C">
            <w:pPr>
              <w:pStyle w:val="a3"/>
              <w:spacing w:before="0" w:beforeAutospacing="0" w:after="0" w:afterAutospacing="0"/>
              <w:rPr>
                <w:sz w:val="20"/>
                <w:szCs w:val="20"/>
              </w:rPr>
            </w:pPr>
            <w:r>
              <w:rPr>
                <w:rStyle w:val="a4"/>
                <w:sz w:val="20"/>
                <w:szCs w:val="20"/>
              </w:rPr>
              <w:t> </w:t>
            </w:r>
          </w:p>
        </w:tc>
      </w:tr>
      <w:tr w:rsidR="00000000" w14:paraId="3B3D7AC6" w14:textId="77777777">
        <w:trPr>
          <w:trHeight w:val="225"/>
          <w:tblCellSpacing w:w="15" w:type="dxa"/>
        </w:trPr>
        <w:tc>
          <w:tcPr>
            <w:tcW w:w="0" w:type="auto"/>
            <w:shd w:val="clear" w:color="auto" w:fill="CCEEFF"/>
            <w:hideMark/>
          </w:tcPr>
          <w:p w14:paraId="1F939207" w14:textId="77777777" w:rsidR="00000000" w:rsidRDefault="0015578C">
            <w:pPr>
              <w:pStyle w:val="a3"/>
              <w:spacing w:before="0" w:beforeAutospacing="0" w:after="0" w:afterAutospacing="0"/>
              <w:rPr>
                <w:sz w:val="20"/>
                <w:szCs w:val="20"/>
              </w:rPr>
            </w:pPr>
            <w:r>
              <w:rPr>
                <w:sz w:val="20"/>
                <w:szCs w:val="20"/>
              </w:rPr>
              <w:t>Operating Lease Obligations (1)</w:t>
            </w:r>
          </w:p>
        </w:tc>
        <w:tc>
          <w:tcPr>
            <w:tcW w:w="50" w:type="pct"/>
            <w:shd w:val="clear" w:color="auto" w:fill="CCEEFF"/>
            <w:noWrap/>
            <w:vAlign w:val="center"/>
            <w:hideMark/>
          </w:tcPr>
          <w:p w14:paraId="7B55CD0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25A6EE51"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10116794" w14:textId="77777777" w:rsidR="00000000" w:rsidRDefault="0015578C">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14:paraId="06BF5D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74BA5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771CBC4B"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247087A7" w14:textId="77777777" w:rsidR="00000000" w:rsidRDefault="0015578C">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14:paraId="0C10D5A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CE051A8"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44A9A7DF"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3B99EA02"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1AB319F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3F78D9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2AFECB0B"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BC036E5"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6806B71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4AC087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36CE704A"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28B6884C"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7D979509" w14:textId="77777777" w:rsidR="00000000" w:rsidRDefault="0015578C">
            <w:pPr>
              <w:pStyle w:val="a3"/>
              <w:spacing w:before="0" w:beforeAutospacing="0" w:after="0" w:afterAutospacing="0"/>
              <w:rPr>
                <w:sz w:val="20"/>
                <w:szCs w:val="20"/>
              </w:rPr>
            </w:pPr>
            <w:r>
              <w:rPr>
                <w:sz w:val="20"/>
                <w:szCs w:val="20"/>
              </w:rPr>
              <w:t> </w:t>
            </w:r>
          </w:p>
        </w:tc>
      </w:tr>
      <w:tr w:rsidR="00000000" w14:paraId="203DC4B5" w14:textId="77777777">
        <w:trPr>
          <w:trHeight w:val="225"/>
          <w:tblCellSpacing w:w="15" w:type="dxa"/>
        </w:trPr>
        <w:tc>
          <w:tcPr>
            <w:tcW w:w="0" w:type="auto"/>
            <w:shd w:val="clear" w:color="auto" w:fill="FFFFFF"/>
            <w:hideMark/>
          </w:tcPr>
          <w:p w14:paraId="409BC530" w14:textId="77777777" w:rsidR="00000000" w:rsidRDefault="0015578C">
            <w:pPr>
              <w:pStyle w:val="a3"/>
              <w:spacing w:before="0" w:beforeAutospacing="0" w:after="0" w:afterAutospacing="0"/>
              <w:rPr>
                <w:sz w:val="20"/>
                <w:szCs w:val="20"/>
              </w:rPr>
            </w:pPr>
            <w:r>
              <w:rPr>
                <w:sz w:val="20"/>
                <w:szCs w:val="20"/>
              </w:rPr>
              <w:t>Mineral property option and lease payments (2)</w:t>
            </w:r>
          </w:p>
        </w:tc>
        <w:tc>
          <w:tcPr>
            <w:tcW w:w="50" w:type="pct"/>
            <w:shd w:val="clear" w:color="auto" w:fill="FFFFFF"/>
            <w:noWrap/>
            <w:vAlign w:val="center"/>
            <w:hideMark/>
          </w:tcPr>
          <w:p w14:paraId="32E8925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1F41D2AB"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3B3BA82A" w14:textId="77777777" w:rsidR="00000000" w:rsidRDefault="0015578C">
            <w:pPr>
              <w:jc w:val="right"/>
              <w:rPr>
                <w:rFonts w:eastAsia="Times New Roman"/>
                <w:sz w:val="20"/>
                <w:szCs w:val="20"/>
              </w:rPr>
            </w:pPr>
            <w:r>
              <w:rPr>
                <w:rFonts w:eastAsia="Times New Roman"/>
                <w:sz w:val="20"/>
                <w:szCs w:val="20"/>
              </w:rPr>
              <w:t>419</w:t>
            </w:r>
          </w:p>
        </w:tc>
        <w:tc>
          <w:tcPr>
            <w:tcW w:w="50" w:type="pct"/>
            <w:shd w:val="clear" w:color="auto" w:fill="FFFFFF"/>
            <w:noWrap/>
            <w:vAlign w:val="center"/>
            <w:hideMark/>
          </w:tcPr>
          <w:p w14:paraId="7AAF160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EC91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39A0453"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76A4E660" w14:textId="77777777" w:rsidR="00000000" w:rsidRDefault="0015578C">
            <w:pPr>
              <w:jc w:val="right"/>
              <w:rPr>
                <w:rFonts w:eastAsia="Times New Roman"/>
                <w:sz w:val="20"/>
                <w:szCs w:val="20"/>
              </w:rPr>
            </w:pPr>
            <w:r>
              <w:rPr>
                <w:rFonts w:eastAsia="Times New Roman"/>
                <w:sz w:val="20"/>
                <w:szCs w:val="20"/>
              </w:rPr>
              <w:t>419</w:t>
            </w:r>
          </w:p>
        </w:tc>
        <w:tc>
          <w:tcPr>
            <w:tcW w:w="50" w:type="pct"/>
            <w:shd w:val="clear" w:color="auto" w:fill="FFFFFF"/>
            <w:noWrap/>
            <w:vAlign w:val="center"/>
            <w:hideMark/>
          </w:tcPr>
          <w:p w14:paraId="2F26E5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23AF23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2A69F281"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3D891B41"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FE755A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8CE5EC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2016FA7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2C92AE86"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123E0C9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176DD3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812772D"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7772E9AA"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0E7B0364" w14:textId="77777777" w:rsidR="00000000" w:rsidRDefault="0015578C">
            <w:pPr>
              <w:pStyle w:val="a3"/>
              <w:spacing w:before="0" w:beforeAutospacing="0" w:after="0" w:afterAutospacing="0"/>
              <w:rPr>
                <w:sz w:val="20"/>
                <w:szCs w:val="20"/>
              </w:rPr>
            </w:pPr>
            <w:r>
              <w:rPr>
                <w:sz w:val="20"/>
                <w:szCs w:val="20"/>
              </w:rPr>
              <w:t> </w:t>
            </w:r>
          </w:p>
        </w:tc>
      </w:tr>
    </w:tbl>
    <w:p w14:paraId="7CB02220" w14:textId="77777777" w:rsidR="00000000" w:rsidRDefault="0015578C">
      <w:pPr>
        <w:pStyle w:val="a3"/>
        <w:spacing w:before="0" w:beforeAutospacing="0" w:after="0" w:afterAutospacing="0"/>
        <w:jc w:val="both"/>
        <w:rPr>
          <w:sz w:val="20"/>
          <w:szCs w:val="20"/>
        </w:rPr>
      </w:pPr>
      <w:r>
        <w:rPr>
          <w:sz w:val="20"/>
          <w:szCs w:val="20"/>
        </w:rPr>
        <w:t> </w:t>
      </w:r>
    </w:p>
    <w:p w14:paraId="0C1A25AE" w14:textId="77777777" w:rsidR="00000000" w:rsidRDefault="0015578C">
      <w:pPr>
        <w:pStyle w:val="a3"/>
        <w:spacing w:before="0" w:beforeAutospacing="0" w:after="0" w:afterAutospacing="0"/>
        <w:ind w:left="675"/>
        <w:jc w:val="both"/>
        <w:rPr>
          <w:sz w:val="20"/>
          <w:szCs w:val="20"/>
        </w:rPr>
      </w:pPr>
      <w:r>
        <w:rPr>
          <w:rStyle w:val="a7"/>
          <w:sz w:val="20"/>
          <w:szCs w:val="20"/>
        </w:rPr>
        <w:t>(1) Lease obligation on our Wheat Ridge, Colorado office.</w:t>
      </w:r>
    </w:p>
    <w:p w14:paraId="62244805" w14:textId="77777777" w:rsidR="00000000" w:rsidRDefault="0015578C">
      <w:pPr>
        <w:pStyle w:val="a3"/>
        <w:spacing w:before="0" w:beforeAutospacing="0" w:after="0" w:afterAutospacing="0"/>
        <w:ind w:left="675"/>
        <w:jc w:val="both"/>
        <w:rPr>
          <w:sz w:val="20"/>
          <w:szCs w:val="20"/>
        </w:rPr>
      </w:pPr>
      <w:r>
        <w:rPr>
          <w:rStyle w:val="a7"/>
          <w:sz w:val="20"/>
          <w:szCs w:val="20"/>
        </w:rPr>
        <w:t xml:space="preserve">(2) </w:t>
      </w:r>
      <w:r>
        <w:rPr>
          <w:rStyle w:val="a7"/>
          <w:sz w:val="20"/>
          <w:szCs w:val="20"/>
        </w:rPr>
        <w:t>Mineral property payments under lease and property claim and concession payments for the next year, net of joint venture payments.</w:t>
      </w:r>
    </w:p>
    <w:p w14:paraId="24EBD06B" w14:textId="77777777" w:rsidR="00000000" w:rsidRDefault="0015578C">
      <w:pPr>
        <w:pStyle w:val="a3"/>
        <w:spacing w:before="0" w:beforeAutospacing="0" w:after="0" w:afterAutospacing="0"/>
        <w:ind w:left="675"/>
        <w:jc w:val="both"/>
        <w:rPr>
          <w:sz w:val="20"/>
          <w:szCs w:val="20"/>
        </w:rPr>
      </w:pPr>
      <w:r>
        <w:rPr>
          <w:sz w:val="20"/>
          <w:szCs w:val="20"/>
        </w:rPr>
        <w:t> </w:t>
      </w:r>
    </w:p>
    <w:p w14:paraId="05A7623B" w14:textId="77777777" w:rsidR="00000000" w:rsidRDefault="0015578C">
      <w:pPr>
        <w:pStyle w:val="a3"/>
        <w:spacing w:before="0" w:beforeAutospacing="0" w:after="0" w:afterAutospacing="0"/>
        <w:jc w:val="both"/>
        <w:rPr>
          <w:sz w:val="20"/>
          <w:szCs w:val="20"/>
        </w:rPr>
      </w:pPr>
      <w:r>
        <w:rPr>
          <w:rStyle w:val="a4"/>
          <w:sz w:val="20"/>
          <w:szCs w:val="20"/>
        </w:rPr>
        <w:t>(g). Exploration Joint Ventures, Royalty and Other Properties</w:t>
      </w:r>
    </w:p>
    <w:p w14:paraId="01701E3F" w14:textId="77777777" w:rsidR="00000000" w:rsidRDefault="0015578C">
      <w:pPr>
        <w:pStyle w:val="a3"/>
        <w:spacing w:before="0" w:beforeAutospacing="0" w:after="0" w:afterAutospacing="0"/>
        <w:jc w:val="both"/>
        <w:rPr>
          <w:sz w:val="20"/>
          <w:szCs w:val="20"/>
        </w:rPr>
      </w:pPr>
      <w:r>
        <w:rPr>
          <w:sz w:val="20"/>
          <w:szCs w:val="20"/>
        </w:rPr>
        <w:t> </w:t>
      </w:r>
    </w:p>
    <w:p w14:paraId="4544FBD4" w14:textId="77777777" w:rsidR="00000000" w:rsidRDefault="0015578C">
      <w:pPr>
        <w:pStyle w:val="a3"/>
        <w:spacing w:before="0" w:beforeAutospacing="0" w:after="0" w:afterAutospacing="0"/>
        <w:ind w:firstLine="675"/>
        <w:jc w:val="both"/>
        <w:rPr>
          <w:sz w:val="20"/>
          <w:szCs w:val="20"/>
        </w:rPr>
      </w:pPr>
      <w:r>
        <w:rPr>
          <w:sz w:val="20"/>
          <w:szCs w:val="20"/>
        </w:rPr>
        <w:t>The following discussion relates to an analysis of our anti</w:t>
      </w:r>
      <w:r>
        <w:rPr>
          <w:sz w:val="20"/>
          <w:szCs w:val="20"/>
        </w:rPr>
        <w:t xml:space="preserve">cipated property exploration plans as of December 31, 2022. Please also see Note 2, “Mineral Properties,” to the consolidated financial statements in Item 8, “Financial Statements and Supplementary Data,” and our discussion of our properties under Item 2, </w:t>
      </w:r>
      <w:r>
        <w:rPr>
          <w:sz w:val="20"/>
          <w:szCs w:val="20"/>
        </w:rPr>
        <w:t>“Properties” of this Annual Report on Form 10-K for a more complete discussion of all of our mineral properties.</w:t>
      </w:r>
    </w:p>
    <w:p w14:paraId="027DBC8D" w14:textId="77777777" w:rsidR="00000000" w:rsidRDefault="0015578C">
      <w:pPr>
        <w:pStyle w:val="a3"/>
        <w:spacing w:before="0" w:beforeAutospacing="0" w:after="0" w:afterAutospacing="0"/>
        <w:jc w:val="both"/>
        <w:rPr>
          <w:sz w:val="20"/>
          <w:szCs w:val="20"/>
        </w:rPr>
      </w:pPr>
      <w:r>
        <w:rPr>
          <w:sz w:val="20"/>
          <w:szCs w:val="20"/>
        </w:rPr>
        <w:t> </w:t>
      </w:r>
    </w:p>
    <w:p w14:paraId="2CB72592" w14:textId="77777777" w:rsidR="00000000" w:rsidRDefault="0015578C">
      <w:pPr>
        <w:pStyle w:val="a3"/>
        <w:spacing w:before="0" w:beforeAutospacing="0" w:after="0" w:afterAutospacing="0"/>
        <w:jc w:val="both"/>
        <w:rPr>
          <w:sz w:val="20"/>
          <w:szCs w:val="20"/>
        </w:rPr>
      </w:pPr>
      <w:r>
        <w:rPr>
          <w:sz w:val="20"/>
          <w:szCs w:val="20"/>
          <w:u w:val="single"/>
        </w:rPr>
        <w:t>Golden Crest</w:t>
      </w:r>
    </w:p>
    <w:p w14:paraId="09291C4D" w14:textId="77777777" w:rsidR="00000000" w:rsidRDefault="0015578C">
      <w:pPr>
        <w:pStyle w:val="a3"/>
        <w:spacing w:before="0" w:beforeAutospacing="0" w:after="0" w:afterAutospacing="0"/>
        <w:jc w:val="both"/>
        <w:rPr>
          <w:sz w:val="20"/>
          <w:szCs w:val="20"/>
        </w:rPr>
      </w:pPr>
      <w:r>
        <w:rPr>
          <w:sz w:val="20"/>
          <w:szCs w:val="20"/>
        </w:rPr>
        <w:t> </w:t>
      </w:r>
    </w:p>
    <w:p w14:paraId="092F5A51" w14:textId="77777777" w:rsidR="00000000" w:rsidRDefault="0015578C">
      <w:pPr>
        <w:pStyle w:val="a3"/>
        <w:spacing w:before="0" w:beforeAutospacing="0" w:after="0" w:afterAutospacing="0"/>
        <w:ind w:firstLine="675"/>
        <w:jc w:val="both"/>
        <w:rPr>
          <w:sz w:val="20"/>
          <w:szCs w:val="20"/>
        </w:rPr>
      </w:pPr>
      <w:r>
        <w:rPr>
          <w:sz w:val="20"/>
          <w:szCs w:val="20"/>
        </w:rPr>
        <w:t>The Golden Crest project is 100%-owned early-stage exploration project located in the northern Black Hills of western South Da</w:t>
      </w:r>
      <w:r>
        <w:rPr>
          <w:sz w:val="20"/>
          <w:szCs w:val="20"/>
        </w:rPr>
        <w:t>kota in Lawrence County. The Golden Crest project is comprised of 1707 unpatented lode claims, with an associated area of approximately 33,000 acres. Solitario acquired its initial interest in the Golden Crest project during 2021.</w:t>
      </w:r>
    </w:p>
    <w:p w14:paraId="78A88C92" w14:textId="77777777" w:rsidR="00000000" w:rsidRDefault="0015578C">
      <w:pPr>
        <w:pStyle w:val="a3"/>
        <w:spacing w:before="0" w:beforeAutospacing="0" w:after="0" w:afterAutospacing="0"/>
        <w:jc w:val="both"/>
        <w:rPr>
          <w:sz w:val="20"/>
          <w:szCs w:val="20"/>
        </w:rPr>
      </w:pPr>
      <w:r>
        <w:rPr>
          <w:sz w:val="20"/>
          <w:szCs w:val="20"/>
        </w:rPr>
        <w:t> </w:t>
      </w:r>
    </w:p>
    <w:p w14:paraId="7525B140" w14:textId="77777777" w:rsidR="00000000" w:rsidRDefault="0015578C">
      <w:pPr>
        <w:pStyle w:val="a3"/>
        <w:spacing w:before="0" w:beforeAutospacing="0" w:after="0" w:afterAutospacing="0"/>
        <w:ind w:firstLine="675"/>
        <w:jc w:val="both"/>
        <w:rPr>
          <w:sz w:val="20"/>
          <w:szCs w:val="20"/>
        </w:rPr>
      </w:pPr>
      <w:r>
        <w:rPr>
          <w:sz w:val="20"/>
          <w:szCs w:val="20"/>
        </w:rPr>
        <w:t>During 2022 Solitario c</w:t>
      </w:r>
      <w:r>
        <w:rPr>
          <w:sz w:val="20"/>
          <w:szCs w:val="20"/>
        </w:rPr>
        <w:t>onducted exploration activities on the Golden Crest project including grid soil and grab rock sampling, hand trenching, mapping, induced polarization ground geophysics, permitting and geotechnical work. Over twenty gold-enriched target areas have been iden</w:t>
      </w:r>
      <w:r>
        <w:rPr>
          <w:sz w:val="20"/>
          <w:szCs w:val="20"/>
        </w:rPr>
        <w:t>tified, with fourteen of these areas containing multi-gram gold per tonne assays.</w:t>
      </w:r>
    </w:p>
    <w:p w14:paraId="420DD9F6"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C738721" w14:textId="77777777">
        <w:trPr>
          <w:trHeight w:val="225"/>
          <w:tblCellSpacing w:w="15" w:type="dxa"/>
        </w:trPr>
        <w:tc>
          <w:tcPr>
            <w:tcW w:w="0" w:type="auto"/>
            <w:vAlign w:val="center"/>
            <w:hideMark/>
          </w:tcPr>
          <w:p w14:paraId="286F99FF" w14:textId="77777777" w:rsidR="00000000" w:rsidRDefault="0015578C">
            <w:pPr>
              <w:rPr>
                <w:rFonts w:eastAsia="Times New Roman"/>
                <w:sz w:val="20"/>
                <w:szCs w:val="20"/>
              </w:rPr>
            </w:pPr>
            <w:r>
              <w:rPr>
                <w:rFonts w:eastAsia="Times New Roman"/>
                <w:sz w:val="20"/>
                <w:szCs w:val="20"/>
              </w:rPr>
              <w:t> </w:t>
            </w:r>
          </w:p>
        </w:tc>
      </w:tr>
      <w:tr w:rsidR="00000000" w14:paraId="306D05F2" w14:textId="77777777">
        <w:trPr>
          <w:trHeight w:val="225"/>
          <w:tblCellSpacing w:w="15" w:type="dxa"/>
        </w:trPr>
        <w:tc>
          <w:tcPr>
            <w:tcW w:w="0" w:type="auto"/>
            <w:tcBorders>
              <w:bottom w:val="single" w:sz="6" w:space="0" w:color="000000"/>
            </w:tcBorders>
            <w:vAlign w:val="center"/>
            <w:hideMark/>
          </w:tcPr>
          <w:p w14:paraId="5713DF5E" w14:textId="77777777" w:rsidR="00000000" w:rsidRDefault="0015578C">
            <w:pPr>
              <w:jc w:val="center"/>
              <w:rPr>
                <w:rFonts w:eastAsia="Times New Roman"/>
                <w:sz w:val="20"/>
                <w:szCs w:val="20"/>
              </w:rPr>
            </w:pPr>
            <w:r>
              <w:rPr>
                <w:rFonts w:eastAsia="Times New Roman"/>
                <w:sz w:val="20"/>
                <w:szCs w:val="20"/>
              </w:rPr>
              <w:t>44</w:t>
            </w:r>
          </w:p>
        </w:tc>
      </w:tr>
      <w:tr w:rsidR="00000000" w14:paraId="021DC4DC" w14:textId="77777777">
        <w:trPr>
          <w:trHeight w:val="225"/>
          <w:tblCellSpacing w:w="15" w:type="dxa"/>
        </w:trPr>
        <w:tc>
          <w:tcPr>
            <w:tcW w:w="0" w:type="auto"/>
            <w:vAlign w:val="center"/>
            <w:hideMark/>
          </w:tcPr>
          <w:p w14:paraId="6189E4DC" w14:textId="77777777" w:rsidR="00000000" w:rsidRDefault="0015578C">
            <w:pPr>
              <w:rPr>
                <w:rFonts w:eastAsia="Times New Roman"/>
                <w:sz w:val="20"/>
                <w:szCs w:val="20"/>
              </w:rPr>
            </w:pPr>
          </w:p>
        </w:tc>
      </w:tr>
      <w:tr w:rsidR="00000000" w14:paraId="221F529C" w14:textId="77777777">
        <w:trPr>
          <w:trHeight w:val="225"/>
          <w:tblCellSpacing w:w="15" w:type="dxa"/>
        </w:trPr>
        <w:tc>
          <w:tcPr>
            <w:tcW w:w="0" w:type="auto"/>
            <w:vAlign w:val="center"/>
            <w:hideMark/>
          </w:tcPr>
          <w:p w14:paraId="4B15E5D7"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26B0EB90" w14:textId="77777777" w:rsidR="00000000" w:rsidRDefault="0015578C">
      <w:pPr>
        <w:pStyle w:val="a3"/>
        <w:spacing w:before="0" w:beforeAutospacing="0" w:after="0" w:afterAutospacing="0"/>
        <w:jc w:val="both"/>
        <w:rPr>
          <w:sz w:val="20"/>
          <w:szCs w:val="20"/>
        </w:rPr>
      </w:pPr>
      <w:r>
        <w:rPr>
          <w:sz w:val="20"/>
          <w:szCs w:val="20"/>
        </w:rPr>
        <w:t> </w:t>
      </w:r>
    </w:p>
    <w:p w14:paraId="6C49B253" w14:textId="77777777" w:rsidR="00000000" w:rsidRDefault="0015578C">
      <w:pPr>
        <w:pStyle w:val="a3"/>
        <w:spacing w:before="0" w:beforeAutospacing="0" w:after="0" w:afterAutospacing="0"/>
        <w:ind w:firstLine="675"/>
        <w:jc w:val="both"/>
        <w:rPr>
          <w:sz w:val="20"/>
          <w:szCs w:val="20"/>
        </w:rPr>
      </w:pPr>
      <w:r>
        <w:rPr>
          <w:sz w:val="20"/>
          <w:szCs w:val="20"/>
        </w:rPr>
        <w:t>A Plan of Operations for drilling has been submitted to the USFS and is currently under review. If permits to drill are received during 2023 field season, Solitario will conduct a 4,000-5,000 meter drilling program. In addition, we will be continuing a sur</w:t>
      </w:r>
      <w:r>
        <w:rPr>
          <w:sz w:val="20"/>
          <w:szCs w:val="20"/>
        </w:rPr>
        <w:t>face exploration program during 2023 consisting of prospecting for new areas of mineralization through the collection of select rock grab samples, systematic soil sampling and geophysics.</w:t>
      </w:r>
    </w:p>
    <w:p w14:paraId="624B1123" w14:textId="77777777" w:rsidR="00000000" w:rsidRDefault="0015578C">
      <w:pPr>
        <w:pStyle w:val="a3"/>
        <w:spacing w:before="0" w:beforeAutospacing="0" w:after="0" w:afterAutospacing="0"/>
        <w:jc w:val="both"/>
        <w:rPr>
          <w:sz w:val="20"/>
          <w:szCs w:val="20"/>
        </w:rPr>
      </w:pPr>
      <w:r>
        <w:rPr>
          <w:sz w:val="20"/>
          <w:szCs w:val="20"/>
        </w:rPr>
        <w:t> </w:t>
      </w:r>
    </w:p>
    <w:p w14:paraId="74DD56A2" w14:textId="77777777" w:rsidR="00000000" w:rsidRDefault="0015578C">
      <w:pPr>
        <w:pStyle w:val="a3"/>
        <w:spacing w:before="0" w:beforeAutospacing="0" w:after="0" w:afterAutospacing="0"/>
        <w:jc w:val="both"/>
        <w:rPr>
          <w:sz w:val="20"/>
          <w:szCs w:val="20"/>
        </w:rPr>
      </w:pPr>
      <w:r>
        <w:rPr>
          <w:sz w:val="20"/>
          <w:szCs w:val="20"/>
          <w:u w:val="single"/>
        </w:rPr>
        <w:t>Florida Canyon</w:t>
      </w:r>
    </w:p>
    <w:p w14:paraId="6A518CC5" w14:textId="77777777" w:rsidR="00000000" w:rsidRDefault="0015578C">
      <w:pPr>
        <w:pStyle w:val="a3"/>
        <w:spacing w:before="0" w:beforeAutospacing="0" w:after="0" w:afterAutospacing="0"/>
        <w:jc w:val="both"/>
        <w:rPr>
          <w:sz w:val="20"/>
          <w:szCs w:val="20"/>
        </w:rPr>
      </w:pPr>
      <w:r>
        <w:rPr>
          <w:sz w:val="20"/>
          <w:szCs w:val="20"/>
        </w:rPr>
        <w:t> </w:t>
      </w:r>
    </w:p>
    <w:p w14:paraId="55924E96" w14:textId="77777777" w:rsidR="00000000" w:rsidRDefault="0015578C">
      <w:pPr>
        <w:pStyle w:val="a3"/>
        <w:spacing w:before="0" w:beforeAutospacing="0" w:after="0" w:afterAutospacing="0"/>
        <w:ind w:firstLine="675"/>
        <w:jc w:val="both"/>
        <w:rPr>
          <w:sz w:val="20"/>
          <w:szCs w:val="20"/>
        </w:rPr>
      </w:pPr>
      <w:r>
        <w:rPr>
          <w:sz w:val="20"/>
          <w:szCs w:val="20"/>
        </w:rPr>
        <w:t>The Florida Canyon project is an advanced-stage h</w:t>
      </w:r>
      <w:r>
        <w:rPr>
          <w:sz w:val="20"/>
          <w:szCs w:val="20"/>
        </w:rPr>
        <w:t xml:space="preserve">igh-grade zinc project in Peru. Based on extensive exploration and development work conducted to date, we believe the property has potential to be developed into a mine over the next several years. The project is held in a joint venture between Nexa (61%) </w:t>
      </w:r>
      <w:r>
        <w:rPr>
          <w:sz w:val="20"/>
          <w:szCs w:val="20"/>
        </w:rPr>
        <w:t>and Solitario (39%).</w:t>
      </w:r>
    </w:p>
    <w:p w14:paraId="68DDB558" w14:textId="77777777" w:rsidR="00000000" w:rsidRDefault="0015578C">
      <w:pPr>
        <w:pStyle w:val="a3"/>
        <w:spacing w:before="0" w:beforeAutospacing="0" w:after="0" w:afterAutospacing="0"/>
        <w:jc w:val="both"/>
        <w:rPr>
          <w:sz w:val="20"/>
          <w:szCs w:val="20"/>
        </w:rPr>
      </w:pPr>
      <w:r>
        <w:rPr>
          <w:sz w:val="20"/>
          <w:szCs w:val="20"/>
        </w:rPr>
        <w:t> </w:t>
      </w:r>
    </w:p>
    <w:p w14:paraId="1C82DD8B" w14:textId="77777777" w:rsidR="00000000" w:rsidRDefault="0015578C">
      <w:pPr>
        <w:pStyle w:val="a3"/>
        <w:spacing w:before="0" w:beforeAutospacing="0" w:after="0" w:afterAutospacing="0"/>
        <w:ind w:firstLine="675"/>
        <w:jc w:val="both"/>
        <w:rPr>
          <w:sz w:val="20"/>
          <w:szCs w:val="20"/>
        </w:rPr>
      </w:pPr>
      <w:r>
        <w:rPr>
          <w:sz w:val="20"/>
          <w:szCs w:val="20"/>
        </w:rPr>
        <w:t>Solitario and Nexa jointly completed a PEA in 2017 that incorporated a variety of Nexa-generated prefeasibility studies into the analysis. The PEA evaluation included resource estimation, mining and processing recovery estimates, a p</w:t>
      </w:r>
      <w:r>
        <w:rPr>
          <w:sz w:val="20"/>
          <w:szCs w:val="20"/>
        </w:rPr>
        <w:t>reliminary mining and processing plan, infrastructure layout, environmental considerations and an economic analysis based on certain base case parameters. The PEA envisioned an underground mining operation with a 2,500 tonne per day floatation mill for pro</w:t>
      </w:r>
      <w:r>
        <w:rPr>
          <w:sz w:val="20"/>
          <w:szCs w:val="20"/>
        </w:rPr>
        <w:t>cessing, resulting in a 12.5-year mine life. Concentrates would be trucked to Nexa’s Cajamarquilla zinc smelter facility in Lima, Peru.</w:t>
      </w:r>
    </w:p>
    <w:p w14:paraId="6379D88A" w14:textId="77777777" w:rsidR="00000000" w:rsidRDefault="0015578C">
      <w:pPr>
        <w:pStyle w:val="a3"/>
        <w:spacing w:before="0" w:beforeAutospacing="0" w:after="0" w:afterAutospacing="0"/>
        <w:jc w:val="both"/>
        <w:rPr>
          <w:sz w:val="20"/>
          <w:szCs w:val="20"/>
        </w:rPr>
      </w:pPr>
      <w:r>
        <w:rPr>
          <w:sz w:val="20"/>
          <w:szCs w:val="20"/>
        </w:rPr>
        <w:t> </w:t>
      </w:r>
    </w:p>
    <w:p w14:paraId="54750511" w14:textId="77777777" w:rsidR="00000000" w:rsidRDefault="0015578C">
      <w:pPr>
        <w:pStyle w:val="a3"/>
        <w:spacing w:before="0" w:beforeAutospacing="0" w:after="0" w:afterAutospacing="0"/>
        <w:ind w:firstLine="675"/>
        <w:jc w:val="both"/>
        <w:rPr>
          <w:sz w:val="20"/>
          <w:szCs w:val="20"/>
        </w:rPr>
      </w:pPr>
      <w:r>
        <w:rPr>
          <w:sz w:val="20"/>
          <w:szCs w:val="20"/>
        </w:rPr>
        <w:t>The terrain at Florida Canyon is steep and previous project access supporting surface and underground work programs wa</w:t>
      </w:r>
      <w:r>
        <w:rPr>
          <w:sz w:val="20"/>
          <w:szCs w:val="20"/>
        </w:rPr>
        <w:t>s conducted by helicopter. The lack of road access restricted the scope of field activities to further advance the project. During 2022 and 2021 limited work was undertaken on road access to the project, and Nexa expects to continue to work on completing t</w:t>
      </w:r>
      <w:r>
        <w:rPr>
          <w:sz w:val="20"/>
          <w:szCs w:val="20"/>
        </w:rPr>
        <w:t>he road access during 2023.</w:t>
      </w:r>
    </w:p>
    <w:p w14:paraId="28503C56" w14:textId="77777777" w:rsidR="00000000" w:rsidRDefault="0015578C">
      <w:pPr>
        <w:pStyle w:val="a3"/>
        <w:spacing w:before="0" w:beforeAutospacing="0" w:after="0" w:afterAutospacing="0"/>
        <w:jc w:val="both"/>
        <w:rPr>
          <w:sz w:val="20"/>
          <w:szCs w:val="20"/>
        </w:rPr>
      </w:pPr>
      <w:r>
        <w:rPr>
          <w:sz w:val="20"/>
          <w:szCs w:val="20"/>
        </w:rPr>
        <w:t> </w:t>
      </w:r>
    </w:p>
    <w:p w14:paraId="29277CF2" w14:textId="77777777" w:rsidR="00000000" w:rsidRDefault="0015578C">
      <w:pPr>
        <w:pStyle w:val="a3"/>
        <w:spacing w:before="0" w:beforeAutospacing="0" w:after="0" w:afterAutospacing="0"/>
        <w:ind w:firstLine="675"/>
        <w:jc w:val="both"/>
        <w:rPr>
          <w:sz w:val="20"/>
          <w:szCs w:val="20"/>
        </w:rPr>
      </w:pPr>
      <w:r>
        <w:rPr>
          <w:sz w:val="20"/>
          <w:szCs w:val="20"/>
        </w:rPr>
        <w:t>Nexa’s expenditures during 2022 were for the advancement of the access road, community outreach, and a metallurgical testing program. During 2021, Nexa worked on two separate drilling permits. The first of these permits (4MEIA</w:t>
      </w:r>
      <w:r>
        <w:rPr>
          <w:sz w:val="20"/>
          <w:szCs w:val="20"/>
        </w:rPr>
        <w:t>sd) was approved and allows additional drilling immediately to the south and east of the current Florida Canyon drilling footprint. The second permit (5MEIAsd) greatly expands the area in which drilling is permitted to the south and east. The metallurgical</w:t>
      </w:r>
      <w:r>
        <w:rPr>
          <w:sz w:val="20"/>
          <w:szCs w:val="20"/>
        </w:rPr>
        <w:t xml:space="preserve"> testing program was undertaken to better quantify recoveries of zinc, lead and silver and to more accurately determine the quality of concentrate that the Florida Canyon ores can produce. The results of the program were encouraging by increasing the estim</w:t>
      </w:r>
      <w:r>
        <w:rPr>
          <w:sz w:val="20"/>
          <w:szCs w:val="20"/>
        </w:rPr>
        <w:t>ated recoveries and concentration grades at Florida Canyon. Nexa has indicated during 2023 they will undertake a 4,000 to 5,000 meter drilling program to focus on the extension of the current resource, Nexa is also continuing to extend road construction to</w:t>
      </w:r>
      <w:r>
        <w:rPr>
          <w:sz w:val="20"/>
          <w:szCs w:val="20"/>
        </w:rPr>
        <w:t xml:space="preserve"> local communities that currently do not have vehicle access as part of their ESG commitment.</w:t>
      </w:r>
    </w:p>
    <w:p w14:paraId="6AF11140" w14:textId="77777777" w:rsidR="00000000" w:rsidRDefault="0015578C">
      <w:pPr>
        <w:pStyle w:val="a3"/>
        <w:spacing w:before="0" w:beforeAutospacing="0" w:after="0" w:afterAutospacing="0"/>
        <w:jc w:val="both"/>
        <w:rPr>
          <w:sz w:val="20"/>
          <w:szCs w:val="20"/>
        </w:rPr>
      </w:pPr>
      <w:r>
        <w:rPr>
          <w:sz w:val="20"/>
          <w:szCs w:val="20"/>
        </w:rPr>
        <w:t> </w:t>
      </w:r>
    </w:p>
    <w:p w14:paraId="3D2FAD13" w14:textId="77777777" w:rsidR="00000000" w:rsidRDefault="0015578C">
      <w:pPr>
        <w:pStyle w:val="a3"/>
        <w:spacing w:before="0" w:beforeAutospacing="0" w:after="0" w:afterAutospacing="0"/>
        <w:jc w:val="both"/>
        <w:rPr>
          <w:sz w:val="20"/>
          <w:szCs w:val="20"/>
        </w:rPr>
      </w:pPr>
      <w:r>
        <w:rPr>
          <w:sz w:val="20"/>
          <w:szCs w:val="20"/>
          <w:u w:val="single"/>
        </w:rPr>
        <w:t>Lik project</w:t>
      </w:r>
    </w:p>
    <w:p w14:paraId="690F903C" w14:textId="77777777" w:rsidR="00000000" w:rsidRDefault="0015578C">
      <w:pPr>
        <w:pStyle w:val="a3"/>
        <w:spacing w:before="0" w:beforeAutospacing="0" w:after="0" w:afterAutospacing="0"/>
        <w:jc w:val="both"/>
        <w:rPr>
          <w:sz w:val="20"/>
          <w:szCs w:val="20"/>
        </w:rPr>
      </w:pPr>
      <w:r>
        <w:rPr>
          <w:sz w:val="20"/>
          <w:szCs w:val="20"/>
        </w:rPr>
        <w:t> </w:t>
      </w:r>
    </w:p>
    <w:p w14:paraId="151D41F0" w14:textId="77777777" w:rsidR="00000000" w:rsidRDefault="0015578C">
      <w:pPr>
        <w:pStyle w:val="a3"/>
        <w:spacing w:before="0" w:beforeAutospacing="0" w:after="0" w:afterAutospacing="0"/>
        <w:ind w:firstLine="675"/>
        <w:jc w:val="both"/>
        <w:rPr>
          <w:sz w:val="20"/>
          <w:szCs w:val="20"/>
        </w:rPr>
      </w:pPr>
      <w:r>
        <w:rPr>
          <w:sz w:val="20"/>
          <w:szCs w:val="20"/>
        </w:rPr>
        <w:t>The Lik project is an advanced-staged high-grade zinc project. The project is held in a joint venture between Teck (50%) and Solitario (50%).</w:t>
      </w:r>
    </w:p>
    <w:p w14:paraId="1E775C7F" w14:textId="77777777" w:rsidR="00000000" w:rsidRDefault="0015578C">
      <w:pPr>
        <w:pStyle w:val="a3"/>
        <w:spacing w:before="0" w:beforeAutospacing="0" w:after="0" w:afterAutospacing="0"/>
        <w:jc w:val="both"/>
        <w:rPr>
          <w:sz w:val="20"/>
          <w:szCs w:val="20"/>
        </w:rPr>
      </w:pPr>
      <w:r>
        <w:rPr>
          <w:sz w:val="20"/>
          <w:szCs w:val="20"/>
        </w:rPr>
        <w:t> </w:t>
      </w:r>
    </w:p>
    <w:p w14:paraId="6424327A" w14:textId="77777777" w:rsidR="00000000" w:rsidRDefault="0015578C">
      <w:pPr>
        <w:pStyle w:val="a3"/>
        <w:spacing w:before="0" w:beforeAutospacing="0" w:after="0" w:afterAutospacing="0"/>
        <w:ind w:firstLine="675"/>
        <w:jc w:val="both"/>
        <w:rPr>
          <w:sz w:val="20"/>
          <w:szCs w:val="20"/>
        </w:rPr>
      </w:pPr>
      <w:r>
        <w:rPr>
          <w:sz w:val="20"/>
          <w:szCs w:val="20"/>
        </w:rPr>
        <w:t>Du</w:t>
      </w:r>
      <w:r>
        <w:rPr>
          <w:sz w:val="20"/>
          <w:szCs w:val="20"/>
        </w:rPr>
        <w:t>ring 2022 Teck completed a three-hole, 737-meter (2,415 feet) drilling program in 2022. Drill hole Lik-231 intersected 3.5 meters (11.5 feet) grading 9% zinc and 3% lead. In addition to the drilling, Teck also conducted traverse geologic mapping and a grou</w:t>
      </w:r>
      <w:r>
        <w:rPr>
          <w:sz w:val="20"/>
          <w:szCs w:val="20"/>
        </w:rPr>
        <w:t>nd gravity geophysics survey, which was successful in defining a low-amplitude gravity anomaly that requires further follow-up work.</w:t>
      </w:r>
    </w:p>
    <w:p w14:paraId="5BB150F4" w14:textId="77777777" w:rsidR="00000000" w:rsidRDefault="0015578C">
      <w:pPr>
        <w:pStyle w:val="a3"/>
        <w:spacing w:before="0" w:beforeAutospacing="0" w:after="0" w:afterAutospacing="0"/>
        <w:jc w:val="both"/>
        <w:rPr>
          <w:sz w:val="20"/>
          <w:szCs w:val="20"/>
        </w:rPr>
      </w:pPr>
      <w:r>
        <w:rPr>
          <w:sz w:val="20"/>
          <w:szCs w:val="20"/>
        </w:rPr>
        <w:t> </w:t>
      </w:r>
    </w:p>
    <w:p w14:paraId="3C7B8A4A" w14:textId="77777777" w:rsidR="00000000" w:rsidRDefault="0015578C">
      <w:pPr>
        <w:pStyle w:val="a3"/>
        <w:spacing w:before="0" w:beforeAutospacing="0" w:after="0" w:afterAutospacing="0"/>
        <w:ind w:firstLine="675"/>
        <w:jc w:val="both"/>
        <w:rPr>
          <w:sz w:val="20"/>
          <w:szCs w:val="20"/>
        </w:rPr>
      </w:pPr>
      <w:r>
        <w:rPr>
          <w:sz w:val="20"/>
          <w:szCs w:val="20"/>
        </w:rPr>
        <w:t>For 2023, Teck has submitted a drilling permit application to the Alaskan Department of Natural Resources for 70 core holes, including water sources for drilling. Drill hole location include step-out drilling surrounding the currently defined deposit as we</w:t>
      </w:r>
      <w:r>
        <w:rPr>
          <w:sz w:val="20"/>
          <w:szCs w:val="20"/>
        </w:rPr>
        <w:t>ll as location along strike to the northeast and theoretical targets more distant to the deposit. This robust permitting submission allows for significant flexibility for the next five years.</w:t>
      </w:r>
    </w:p>
    <w:p w14:paraId="6A751711" w14:textId="77777777" w:rsidR="00000000" w:rsidRDefault="0015578C">
      <w:pPr>
        <w:pStyle w:val="a3"/>
        <w:spacing w:before="0" w:beforeAutospacing="0" w:after="0" w:afterAutospacing="0"/>
        <w:jc w:val="both"/>
        <w:rPr>
          <w:sz w:val="20"/>
          <w:szCs w:val="20"/>
        </w:rPr>
      </w:pPr>
      <w:r>
        <w:rPr>
          <w:sz w:val="20"/>
          <w:szCs w:val="20"/>
        </w:rPr>
        <w:t> </w:t>
      </w:r>
    </w:p>
    <w:p w14:paraId="2902CD61" w14:textId="77777777" w:rsidR="00000000" w:rsidRDefault="0015578C">
      <w:pPr>
        <w:pStyle w:val="a3"/>
        <w:spacing w:before="0" w:beforeAutospacing="0" w:after="0" w:afterAutospacing="0"/>
        <w:ind w:firstLine="675"/>
        <w:jc w:val="both"/>
        <w:rPr>
          <w:sz w:val="20"/>
          <w:szCs w:val="20"/>
        </w:rPr>
      </w:pPr>
      <w:r>
        <w:rPr>
          <w:sz w:val="20"/>
          <w:szCs w:val="20"/>
        </w:rPr>
        <w:t>Solitario and Teck are in discussions to jointly fund a 2023 e</w:t>
      </w:r>
      <w:r>
        <w:rPr>
          <w:sz w:val="20"/>
          <w:szCs w:val="20"/>
        </w:rPr>
        <w:t>xploration program, with Teck acting as project manager. The program will include core analysis, mapping and other surface work, project maintenance and, if approved, a limited drilling program to follow-up on the results of the three core holes drilled du</w:t>
      </w:r>
      <w:r>
        <w:rPr>
          <w:sz w:val="20"/>
          <w:szCs w:val="20"/>
        </w:rPr>
        <w:t>ring 2022. No specific drill targets have been approved, which is expected to be decided prior to the end of the second quarter of 2023.</w:t>
      </w:r>
    </w:p>
    <w:p w14:paraId="6B8DD2C9" w14:textId="77777777" w:rsidR="00000000" w:rsidRDefault="0015578C">
      <w:pPr>
        <w:pStyle w:val="a3"/>
        <w:spacing w:before="0" w:beforeAutospacing="0" w:after="0" w:afterAutospacing="0"/>
        <w:jc w:val="both"/>
        <w:rPr>
          <w:sz w:val="20"/>
          <w:szCs w:val="20"/>
        </w:rPr>
      </w:pPr>
      <w:r>
        <w:rPr>
          <w:sz w:val="20"/>
          <w:szCs w:val="20"/>
        </w:rPr>
        <w:t> </w:t>
      </w:r>
    </w:p>
    <w:p w14:paraId="3ADC4CF9" w14:textId="77777777" w:rsidR="00000000" w:rsidRDefault="0015578C">
      <w:pPr>
        <w:pStyle w:val="a3"/>
        <w:spacing w:before="0" w:beforeAutospacing="0" w:after="0" w:afterAutospacing="0"/>
        <w:jc w:val="both"/>
        <w:rPr>
          <w:sz w:val="20"/>
          <w:szCs w:val="20"/>
        </w:rPr>
      </w:pPr>
      <w:r>
        <w:rPr>
          <w:sz w:val="20"/>
          <w:szCs w:val="20"/>
          <w:u w:val="single"/>
        </w:rPr>
        <w:t>Other Properties</w:t>
      </w:r>
    </w:p>
    <w:p w14:paraId="3081D249" w14:textId="77777777" w:rsidR="00000000" w:rsidRDefault="0015578C">
      <w:pPr>
        <w:pStyle w:val="a3"/>
        <w:spacing w:before="0" w:beforeAutospacing="0" w:after="0" w:afterAutospacing="0"/>
        <w:jc w:val="both"/>
        <w:rPr>
          <w:sz w:val="20"/>
          <w:szCs w:val="20"/>
        </w:rPr>
      </w:pPr>
      <w:r>
        <w:rPr>
          <w:sz w:val="20"/>
          <w:szCs w:val="20"/>
        </w:rPr>
        <w:t> </w:t>
      </w:r>
    </w:p>
    <w:p w14:paraId="7F6D0E96" w14:textId="77777777" w:rsidR="00000000" w:rsidRDefault="0015578C">
      <w:pPr>
        <w:pStyle w:val="a3"/>
        <w:spacing w:before="0" w:beforeAutospacing="0" w:after="0" w:afterAutospacing="0"/>
        <w:ind w:firstLine="675"/>
        <w:jc w:val="both"/>
        <w:rPr>
          <w:sz w:val="20"/>
          <w:szCs w:val="20"/>
        </w:rPr>
      </w:pPr>
      <w:r>
        <w:rPr>
          <w:rStyle w:val="a7"/>
          <w:sz w:val="20"/>
          <w:szCs w:val="20"/>
        </w:rPr>
        <w:t>Chambara</w:t>
      </w:r>
    </w:p>
    <w:p w14:paraId="15D5890E" w14:textId="77777777" w:rsidR="00000000" w:rsidRDefault="0015578C">
      <w:pPr>
        <w:pStyle w:val="a3"/>
        <w:spacing w:before="0" w:beforeAutospacing="0" w:after="0" w:afterAutospacing="0"/>
        <w:jc w:val="both"/>
        <w:rPr>
          <w:sz w:val="20"/>
          <w:szCs w:val="20"/>
        </w:rPr>
      </w:pPr>
      <w:r>
        <w:rPr>
          <w:sz w:val="20"/>
          <w:szCs w:val="20"/>
        </w:rPr>
        <w:t> </w:t>
      </w:r>
    </w:p>
    <w:p w14:paraId="3BF79B9A" w14:textId="77777777" w:rsidR="00000000" w:rsidRDefault="0015578C">
      <w:pPr>
        <w:pStyle w:val="a3"/>
        <w:spacing w:before="0" w:beforeAutospacing="0" w:after="0" w:afterAutospacing="0"/>
        <w:ind w:firstLine="675"/>
        <w:jc w:val="both"/>
        <w:rPr>
          <w:sz w:val="20"/>
          <w:szCs w:val="20"/>
        </w:rPr>
      </w:pPr>
      <w:r>
        <w:rPr>
          <w:sz w:val="20"/>
          <w:szCs w:val="20"/>
        </w:rPr>
        <w:t>The current claim holdings of Minera Chambara are 48 concessions totaling 36,080 hectar</w:t>
      </w:r>
      <w:r>
        <w:rPr>
          <w:sz w:val="20"/>
          <w:szCs w:val="20"/>
        </w:rPr>
        <w:t>es of valid concessions that surround the Florida Canyon project area held by Minera Bongará. The project has been on care and maintenance in recent years. Significant geochemical anomalies and outcropping mineralization have been identified at several loc</w:t>
      </w:r>
      <w:r>
        <w:rPr>
          <w:sz w:val="20"/>
          <w:szCs w:val="20"/>
        </w:rPr>
        <w:t>ations on the Chambara property. Nexa is responsible for maintaining the property in good standing and making all concession payments to the Peruvian government.</w:t>
      </w:r>
    </w:p>
    <w:p w14:paraId="251941A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F5D8E95" w14:textId="77777777">
        <w:trPr>
          <w:trHeight w:val="225"/>
          <w:tblCellSpacing w:w="15" w:type="dxa"/>
        </w:trPr>
        <w:tc>
          <w:tcPr>
            <w:tcW w:w="0" w:type="auto"/>
            <w:vAlign w:val="center"/>
            <w:hideMark/>
          </w:tcPr>
          <w:p w14:paraId="54F89449" w14:textId="77777777" w:rsidR="00000000" w:rsidRDefault="0015578C">
            <w:pPr>
              <w:rPr>
                <w:rFonts w:eastAsia="Times New Roman"/>
                <w:sz w:val="20"/>
                <w:szCs w:val="20"/>
              </w:rPr>
            </w:pPr>
            <w:r>
              <w:rPr>
                <w:rFonts w:eastAsia="Times New Roman"/>
                <w:sz w:val="20"/>
                <w:szCs w:val="20"/>
              </w:rPr>
              <w:t> </w:t>
            </w:r>
          </w:p>
        </w:tc>
      </w:tr>
      <w:tr w:rsidR="00000000" w14:paraId="15DA7CC8" w14:textId="77777777">
        <w:trPr>
          <w:trHeight w:val="225"/>
          <w:tblCellSpacing w:w="15" w:type="dxa"/>
        </w:trPr>
        <w:tc>
          <w:tcPr>
            <w:tcW w:w="0" w:type="auto"/>
            <w:tcBorders>
              <w:bottom w:val="single" w:sz="6" w:space="0" w:color="000000"/>
            </w:tcBorders>
            <w:vAlign w:val="center"/>
            <w:hideMark/>
          </w:tcPr>
          <w:p w14:paraId="2333D0B5" w14:textId="77777777" w:rsidR="00000000" w:rsidRDefault="0015578C">
            <w:pPr>
              <w:jc w:val="center"/>
              <w:rPr>
                <w:rFonts w:eastAsia="Times New Roman"/>
                <w:sz w:val="20"/>
                <w:szCs w:val="20"/>
              </w:rPr>
            </w:pPr>
            <w:r>
              <w:rPr>
                <w:rFonts w:eastAsia="Times New Roman"/>
                <w:sz w:val="20"/>
                <w:szCs w:val="20"/>
              </w:rPr>
              <w:t>45</w:t>
            </w:r>
          </w:p>
        </w:tc>
      </w:tr>
      <w:tr w:rsidR="00000000" w14:paraId="4D5F11EA" w14:textId="77777777">
        <w:trPr>
          <w:trHeight w:val="225"/>
          <w:tblCellSpacing w:w="15" w:type="dxa"/>
        </w:trPr>
        <w:tc>
          <w:tcPr>
            <w:tcW w:w="0" w:type="auto"/>
            <w:vAlign w:val="center"/>
            <w:hideMark/>
          </w:tcPr>
          <w:p w14:paraId="79F1D401" w14:textId="77777777" w:rsidR="00000000" w:rsidRDefault="0015578C">
            <w:pPr>
              <w:rPr>
                <w:rFonts w:eastAsia="Times New Roman"/>
                <w:sz w:val="20"/>
                <w:szCs w:val="20"/>
              </w:rPr>
            </w:pPr>
          </w:p>
        </w:tc>
      </w:tr>
      <w:tr w:rsidR="00000000" w14:paraId="36B0AF70" w14:textId="77777777">
        <w:trPr>
          <w:trHeight w:val="225"/>
          <w:tblCellSpacing w:w="15" w:type="dxa"/>
        </w:trPr>
        <w:tc>
          <w:tcPr>
            <w:tcW w:w="0" w:type="auto"/>
            <w:vAlign w:val="center"/>
            <w:hideMark/>
          </w:tcPr>
          <w:p w14:paraId="533F190B"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33471981" w14:textId="77777777" w:rsidR="00000000" w:rsidRDefault="0015578C">
      <w:pPr>
        <w:pStyle w:val="a3"/>
        <w:spacing w:before="0" w:beforeAutospacing="0" w:after="0" w:afterAutospacing="0"/>
        <w:jc w:val="both"/>
        <w:rPr>
          <w:sz w:val="20"/>
          <w:szCs w:val="20"/>
        </w:rPr>
      </w:pPr>
      <w:r>
        <w:rPr>
          <w:sz w:val="20"/>
          <w:szCs w:val="20"/>
        </w:rPr>
        <w:t> </w:t>
      </w:r>
    </w:p>
    <w:p w14:paraId="49AA3E15" w14:textId="77777777" w:rsidR="00000000" w:rsidRDefault="0015578C">
      <w:pPr>
        <w:pStyle w:val="a3"/>
        <w:spacing w:before="0" w:beforeAutospacing="0" w:after="0" w:afterAutospacing="0"/>
        <w:jc w:val="both"/>
        <w:rPr>
          <w:sz w:val="20"/>
          <w:szCs w:val="20"/>
        </w:rPr>
      </w:pPr>
      <w:r>
        <w:rPr>
          <w:sz w:val="20"/>
          <w:szCs w:val="20"/>
          <w:u w:val="single"/>
        </w:rPr>
        <w:t>2023 Planned Expenditures</w:t>
      </w:r>
    </w:p>
    <w:p w14:paraId="231C8BC4" w14:textId="77777777" w:rsidR="00000000" w:rsidRDefault="0015578C">
      <w:pPr>
        <w:pStyle w:val="a3"/>
        <w:spacing w:before="0" w:beforeAutospacing="0" w:after="0" w:afterAutospacing="0"/>
        <w:jc w:val="both"/>
        <w:rPr>
          <w:sz w:val="20"/>
          <w:szCs w:val="20"/>
        </w:rPr>
      </w:pPr>
      <w:r>
        <w:rPr>
          <w:sz w:val="20"/>
          <w:szCs w:val="20"/>
        </w:rPr>
        <w:t> </w:t>
      </w:r>
    </w:p>
    <w:p w14:paraId="192A9368" w14:textId="77777777" w:rsidR="00000000" w:rsidRDefault="0015578C">
      <w:pPr>
        <w:pStyle w:val="a3"/>
        <w:spacing w:before="0" w:beforeAutospacing="0" w:after="0" w:afterAutospacing="0"/>
        <w:ind w:firstLine="675"/>
        <w:jc w:val="both"/>
        <w:rPr>
          <w:sz w:val="20"/>
          <w:szCs w:val="20"/>
        </w:rPr>
      </w:pPr>
      <w:r>
        <w:rPr>
          <w:sz w:val="20"/>
          <w:szCs w:val="20"/>
        </w:rPr>
        <w:t>Our 2023 total exploration and development budget is approximately $2,000,000 for our planned exploration expenditures. This amount does not include any significant expenditures for our Florida Canyon project where our joint ven</w:t>
      </w:r>
      <w:r>
        <w:rPr>
          <w:sz w:val="20"/>
          <w:szCs w:val="20"/>
        </w:rPr>
        <w:t>ture partner, Nexa, is responsible for 100% of exploration costs. It includes $1,852,000 planned exploration expense at our Golden Crest project, excluding drilling, pending permitting. We will continue the evaluation of potential new acquisitions of prope</w:t>
      </w:r>
      <w:r>
        <w:rPr>
          <w:sz w:val="20"/>
          <w:szCs w:val="20"/>
        </w:rPr>
        <w:t>rties primarily in the United States around the Golden Crest project as well as other regions of North and South America. We expect to carry out our exploration activities during 2023 utilizing Teck at Lik, Nexa at Florida Canyon, and our own employees and</w:t>
      </w:r>
      <w:r>
        <w:rPr>
          <w:sz w:val="20"/>
          <w:szCs w:val="20"/>
        </w:rPr>
        <w:t xml:space="preserve"> contract geologists at Golden Crest and other projects.</w:t>
      </w:r>
    </w:p>
    <w:p w14:paraId="1165AEE9" w14:textId="77777777" w:rsidR="00000000" w:rsidRDefault="0015578C">
      <w:pPr>
        <w:pStyle w:val="a3"/>
        <w:spacing w:before="0" w:beforeAutospacing="0" w:after="0" w:afterAutospacing="0"/>
        <w:jc w:val="both"/>
        <w:rPr>
          <w:sz w:val="20"/>
          <w:szCs w:val="20"/>
        </w:rPr>
      </w:pPr>
      <w:r>
        <w:rPr>
          <w:sz w:val="20"/>
          <w:szCs w:val="20"/>
        </w:rPr>
        <w:t> </w:t>
      </w:r>
    </w:p>
    <w:p w14:paraId="04F3E7FB" w14:textId="77777777" w:rsidR="00000000" w:rsidRDefault="0015578C">
      <w:pPr>
        <w:pStyle w:val="a3"/>
        <w:spacing w:before="0" w:beforeAutospacing="0" w:after="0" w:afterAutospacing="0"/>
        <w:jc w:val="both"/>
        <w:rPr>
          <w:sz w:val="20"/>
          <w:szCs w:val="20"/>
        </w:rPr>
      </w:pPr>
      <w:r>
        <w:rPr>
          <w:rStyle w:val="a4"/>
          <w:sz w:val="20"/>
          <w:szCs w:val="20"/>
        </w:rPr>
        <w:t>(h). Discontinued Projects</w:t>
      </w:r>
    </w:p>
    <w:p w14:paraId="1C1738AA" w14:textId="77777777" w:rsidR="00000000" w:rsidRDefault="0015578C">
      <w:pPr>
        <w:pStyle w:val="a3"/>
        <w:spacing w:before="0" w:beforeAutospacing="0" w:after="0" w:afterAutospacing="0"/>
        <w:jc w:val="both"/>
        <w:rPr>
          <w:sz w:val="20"/>
          <w:szCs w:val="20"/>
        </w:rPr>
      </w:pPr>
      <w:r>
        <w:rPr>
          <w:sz w:val="20"/>
          <w:szCs w:val="20"/>
        </w:rPr>
        <w:t> </w:t>
      </w:r>
    </w:p>
    <w:p w14:paraId="41E5993D" w14:textId="77777777" w:rsidR="00000000" w:rsidRDefault="0015578C">
      <w:pPr>
        <w:pStyle w:val="a3"/>
        <w:spacing w:before="0" w:beforeAutospacing="0" w:after="0" w:afterAutospacing="0"/>
        <w:ind w:firstLine="675"/>
        <w:jc w:val="both"/>
        <w:rPr>
          <w:sz w:val="20"/>
          <w:szCs w:val="20"/>
        </w:rPr>
      </w:pPr>
      <w:r>
        <w:rPr>
          <w:sz w:val="20"/>
          <w:szCs w:val="20"/>
        </w:rPr>
        <w:t>We recorded no mineral property impairments during 2022. During 2021 we recorded $17,000 of mineral property impairment related to our decision to abandon the Gold Coin</w:t>
      </w:r>
      <w:r>
        <w:rPr>
          <w:sz w:val="20"/>
          <w:szCs w:val="20"/>
        </w:rPr>
        <w:t xml:space="preserve"> project in Arizona.</w:t>
      </w:r>
    </w:p>
    <w:p w14:paraId="20349DF1" w14:textId="77777777" w:rsidR="00000000" w:rsidRDefault="0015578C">
      <w:pPr>
        <w:pStyle w:val="a3"/>
        <w:spacing w:before="0" w:beforeAutospacing="0" w:after="0" w:afterAutospacing="0"/>
        <w:jc w:val="both"/>
        <w:rPr>
          <w:sz w:val="20"/>
          <w:szCs w:val="20"/>
        </w:rPr>
      </w:pPr>
      <w:r>
        <w:rPr>
          <w:sz w:val="20"/>
          <w:szCs w:val="20"/>
        </w:rPr>
        <w:t> </w:t>
      </w:r>
    </w:p>
    <w:p w14:paraId="1D9BE5CB" w14:textId="77777777" w:rsidR="00000000" w:rsidRDefault="0015578C">
      <w:pPr>
        <w:pStyle w:val="a3"/>
        <w:spacing w:before="0" w:beforeAutospacing="0" w:after="0" w:afterAutospacing="0"/>
        <w:jc w:val="both"/>
        <w:rPr>
          <w:sz w:val="20"/>
          <w:szCs w:val="20"/>
        </w:rPr>
      </w:pPr>
      <w:r>
        <w:rPr>
          <w:rStyle w:val="a4"/>
          <w:sz w:val="20"/>
          <w:szCs w:val="20"/>
        </w:rPr>
        <w:t>(i). Significant Accounting Policies and Critical Accounting Estimates</w:t>
      </w:r>
    </w:p>
    <w:p w14:paraId="00CB5BEA" w14:textId="77777777" w:rsidR="00000000" w:rsidRDefault="0015578C">
      <w:pPr>
        <w:pStyle w:val="a3"/>
        <w:spacing w:before="0" w:beforeAutospacing="0" w:after="0" w:afterAutospacing="0"/>
        <w:jc w:val="both"/>
        <w:rPr>
          <w:sz w:val="20"/>
          <w:szCs w:val="20"/>
        </w:rPr>
      </w:pPr>
      <w:r>
        <w:rPr>
          <w:sz w:val="20"/>
          <w:szCs w:val="20"/>
        </w:rPr>
        <w:t> </w:t>
      </w:r>
    </w:p>
    <w:p w14:paraId="1491D835" w14:textId="77777777" w:rsidR="00000000" w:rsidRDefault="0015578C">
      <w:pPr>
        <w:pStyle w:val="a3"/>
        <w:spacing w:before="0" w:beforeAutospacing="0" w:after="0" w:afterAutospacing="0"/>
        <w:ind w:firstLine="675"/>
        <w:jc w:val="both"/>
        <w:rPr>
          <w:sz w:val="20"/>
          <w:szCs w:val="20"/>
        </w:rPr>
      </w:pPr>
      <w:r>
        <w:rPr>
          <w:sz w:val="20"/>
          <w:szCs w:val="20"/>
        </w:rPr>
        <w:t>See Note 1, “Business and Summary of Significant Accounting Policies,” in Item 8, “Financial Statements and Supplementary Data” of this Annual Report on Form 10</w:t>
      </w:r>
      <w:r>
        <w:rPr>
          <w:sz w:val="20"/>
          <w:szCs w:val="20"/>
        </w:rPr>
        <w:t>-K for a discussion of our significant accounting policies.</w:t>
      </w:r>
    </w:p>
    <w:p w14:paraId="3A202593" w14:textId="77777777" w:rsidR="00000000" w:rsidRDefault="0015578C">
      <w:pPr>
        <w:pStyle w:val="a3"/>
        <w:spacing w:before="0" w:beforeAutospacing="0" w:after="0" w:afterAutospacing="0"/>
        <w:jc w:val="both"/>
        <w:rPr>
          <w:sz w:val="20"/>
          <w:szCs w:val="20"/>
        </w:rPr>
      </w:pPr>
      <w:r>
        <w:rPr>
          <w:sz w:val="20"/>
          <w:szCs w:val="20"/>
        </w:rPr>
        <w:t> </w:t>
      </w:r>
    </w:p>
    <w:p w14:paraId="7E4E3FD8" w14:textId="77777777" w:rsidR="00000000" w:rsidRDefault="0015578C">
      <w:pPr>
        <w:pStyle w:val="a3"/>
        <w:spacing w:before="0" w:beforeAutospacing="0" w:after="0" w:afterAutospacing="0"/>
        <w:ind w:firstLine="675"/>
        <w:jc w:val="both"/>
        <w:rPr>
          <w:sz w:val="20"/>
          <w:szCs w:val="20"/>
        </w:rPr>
      </w:pPr>
      <w:r>
        <w:rPr>
          <w:sz w:val="20"/>
          <w:szCs w:val="20"/>
        </w:rPr>
        <w:t xml:space="preserve">Solitario’s valuation of mineral properties is a critical accounting estimate. We review and evaluate our mineral properties for impairment when events or changes in circumstances indicate that </w:t>
      </w:r>
      <w:r>
        <w:rPr>
          <w:sz w:val="20"/>
          <w:szCs w:val="20"/>
        </w:rPr>
        <w:t>the related carrying amounts may not be recoverable. Significant negative industry or economic trends, adverse social or political developments, geologic results, geo-technical difficulties, or other disruptions to our business are a few examples of events</w:t>
      </w:r>
      <w:r>
        <w:rPr>
          <w:sz w:val="20"/>
          <w:szCs w:val="20"/>
        </w:rPr>
        <w:t xml:space="preserve"> that we monitor, as they could indicate that the carrying value of the mineral properties may not be recoverable. In such cases, a recoverability test may be necessary to determine if an impairment charge is required. There has been no change to our assum</w:t>
      </w:r>
      <w:r>
        <w:rPr>
          <w:sz w:val="20"/>
          <w:szCs w:val="20"/>
        </w:rPr>
        <w:t>ptions, estimates or calculations during the year ended December 31, 2022.</w:t>
      </w:r>
    </w:p>
    <w:p w14:paraId="1AF435E9" w14:textId="77777777" w:rsidR="00000000" w:rsidRDefault="0015578C">
      <w:pPr>
        <w:pStyle w:val="a3"/>
        <w:spacing w:before="0" w:beforeAutospacing="0" w:after="0" w:afterAutospacing="0"/>
        <w:jc w:val="both"/>
        <w:rPr>
          <w:sz w:val="20"/>
          <w:szCs w:val="20"/>
        </w:rPr>
      </w:pPr>
      <w:r>
        <w:rPr>
          <w:sz w:val="20"/>
          <w:szCs w:val="20"/>
        </w:rPr>
        <w:t> </w:t>
      </w:r>
    </w:p>
    <w:p w14:paraId="25C4E99D" w14:textId="77777777" w:rsidR="00000000" w:rsidRDefault="0015578C">
      <w:pPr>
        <w:pStyle w:val="a3"/>
        <w:spacing w:before="0" w:beforeAutospacing="0" w:after="0" w:afterAutospacing="0"/>
        <w:jc w:val="both"/>
        <w:rPr>
          <w:sz w:val="20"/>
          <w:szCs w:val="20"/>
        </w:rPr>
      </w:pPr>
      <w:r>
        <w:rPr>
          <w:rStyle w:val="a4"/>
          <w:sz w:val="20"/>
          <w:szCs w:val="20"/>
        </w:rPr>
        <w:t>(j). Related Party Transactions</w:t>
      </w:r>
    </w:p>
    <w:p w14:paraId="0E42E7D5" w14:textId="77777777" w:rsidR="00000000" w:rsidRDefault="0015578C">
      <w:pPr>
        <w:pStyle w:val="a3"/>
        <w:spacing w:before="0" w:beforeAutospacing="0" w:after="0" w:afterAutospacing="0"/>
        <w:jc w:val="both"/>
        <w:rPr>
          <w:sz w:val="20"/>
          <w:szCs w:val="20"/>
        </w:rPr>
      </w:pPr>
      <w:r>
        <w:rPr>
          <w:sz w:val="20"/>
          <w:szCs w:val="20"/>
        </w:rPr>
        <w:t> </w:t>
      </w:r>
    </w:p>
    <w:p w14:paraId="37C487E8" w14:textId="77777777" w:rsidR="00000000" w:rsidRDefault="0015578C">
      <w:pPr>
        <w:pStyle w:val="a3"/>
        <w:spacing w:before="0" w:beforeAutospacing="0" w:after="0" w:afterAutospacing="0"/>
        <w:ind w:firstLine="675"/>
        <w:jc w:val="both"/>
        <w:rPr>
          <w:sz w:val="20"/>
          <w:szCs w:val="20"/>
        </w:rPr>
      </w:pPr>
      <w:r>
        <w:rPr>
          <w:sz w:val="20"/>
          <w:szCs w:val="20"/>
        </w:rPr>
        <w:t>None</w:t>
      </w:r>
    </w:p>
    <w:p w14:paraId="099EAB99" w14:textId="77777777" w:rsidR="00000000" w:rsidRDefault="0015578C">
      <w:pPr>
        <w:pStyle w:val="a3"/>
        <w:spacing w:before="0" w:beforeAutospacing="0" w:after="0" w:afterAutospacing="0"/>
        <w:jc w:val="both"/>
        <w:rPr>
          <w:sz w:val="20"/>
          <w:szCs w:val="20"/>
        </w:rPr>
      </w:pPr>
      <w:r>
        <w:rPr>
          <w:sz w:val="20"/>
          <w:szCs w:val="20"/>
        </w:rPr>
        <w:t> </w:t>
      </w:r>
    </w:p>
    <w:p w14:paraId="2729B7AB" w14:textId="77777777" w:rsidR="00000000" w:rsidRDefault="0015578C">
      <w:pPr>
        <w:pStyle w:val="a3"/>
        <w:spacing w:before="0" w:beforeAutospacing="0" w:after="0" w:afterAutospacing="0"/>
        <w:jc w:val="both"/>
        <w:rPr>
          <w:sz w:val="20"/>
          <w:szCs w:val="20"/>
        </w:rPr>
      </w:pPr>
      <w:r>
        <w:rPr>
          <w:rStyle w:val="a4"/>
          <w:sz w:val="20"/>
          <w:szCs w:val="20"/>
        </w:rPr>
        <w:t>(k). Recent Accounting Pronouncements</w:t>
      </w:r>
    </w:p>
    <w:p w14:paraId="0677DF9C" w14:textId="77777777" w:rsidR="00000000" w:rsidRDefault="0015578C">
      <w:pPr>
        <w:pStyle w:val="a3"/>
        <w:spacing w:before="0" w:beforeAutospacing="0" w:after="0" w:afterAutospacing="0"/>
        <w:jc w:val="both"/>
        <w:rPr>
          <w:sz w:val="20"/>
          <w:szCs w:val="20"/>
        </w:rPr>
      </w:pPr>
      <w:r>
        <w:rPr>
          <w:sz w:val="20"/>
          <w:szCs w:val="20"/>
        </w:rPr>
        <w:t> </w:t>
      </w:r>
    </w:p>
    <w:p w14:paraId="3FCA17E6" w14:textId="77777777" w:rsidR="00000000" w:rsidRDefault="0015578C">
      <w:pPr>
        <w:pStyle w:val="a3"/>
        <w:spacing w:before="0" w:beforeAutospacing="0" w:after="0" w:afterAutospacing="0"/>
        <w:ind w:firstLine="675"/>
        <w:jc w:val="both"/>
        <w:rPr>
          <w:sz w:val="20"/>
          <w:szCs w:val="20"/>
        </w:rPr>
      </w:pPr>
      <w:r>
        <w:rPr>
          <w:sz w:val="20"/>
          <w:szCs w:val="20"/>
        </w:rPr>
        <w:t>See Note 1, “</w:t>
      </w:r>
      <w:r>
        <w:rPr>
          <w:sz w:val="20"/>
          <w:szCs w:val="20"/>
        </w:rPr>
        <w:t>Business and Summary of Significant Accounting Policies,” in Item 8 “Financial Statements and Supplementary Data” of this Annual Report on Form 10-K for a discussion of recent accounting pronouncements.</w:t>
      </w:r>
    </w:p>
    <w:p w14:paraId="47039D2F" w14:textId="77777777" w:rsidR="00000000" w:rsidRDefault="0015578C">
      <w:pPr>
        <w:pStyle w:val="a3"/>
        <w:spacing w:before="0" w:beforeAutospacing="0" w:after="0" w:afterAutospacing="0"/>
        <w:jc w:val="both"/>
        <w:rPr>
          <w:sz w:val="20"/>
          <w:szCs w:val="20"/>
        </w:rPr>
      </w:pPr>
      <w:r>
        <w:rPr>
          <w:sz w:val="20"/>
          <w:szCs w:val="20"/>
        </w:rPr>
        <w:t> </w:t>
      </w:r>
    </w:p>
    <w:p w14:paraId="70B1EA9D" w14:textId="77777777" w:rsidR="00000000" w:rsidRDefault="0015578C">
      <w:pPr>
        <w:pStyle w:val="a3"/>
        <w:spacing w:before="0" w:beforeAutospacing="0" w:after="0" w:afterAutospacing="0"/>
        <w:jc w:val="both"/>
        <w:rPr>
          <w:sz w:val="20"/>
          <w:szCs w:val="20"/>
        </w:rPr>
      </w:pPr>
      <w:r>
        <w:rPr>
          <w:rStyle w:val="atag"/>
          <w:b/>
          <w:bCs/>
          <w:sz w:val="20"/>
          <w:szCs w:val="20"/>
        </w:rPr>
        <w:t xml:space="preserve">Item 7A. </w:t>
      </w:r>
      <w:r>
        <w:rPr>
          <w:rStyle w:val="atag"/>
          <w:b/>
          <w:bCs/>
          <w:sz w:val="20"/>
          <w:szCs w:val="20"/>
          <w:u w:val="single"/>
        </w:rPr>
        <w:t>Quantitative and Qualitative Disclosures a</w:t>
      </w:r>
      <w:r>
        <w:rPr>
          <w:rStyle w:val="atag"/>
          <w:b/>
          <w:bCs/>
          <w:sz w:val="20"/>
          <w:szCs w:val="20"/>
          <w:u w:val="single"/>
        </w:rPr>
        <w:t>bout Market Ris</w:t>
      </w:r>
      <w:r>
        <w:rPr>
          <w:rStyle w:val="atag"/>
          <w:b/>
          <w:bCs/>
          <w:sz w:val="20"/>
          <w:szCs w:val="20"/>
          <w:u w:val="single"/>
        </w:rPr>
        <w:t>k</w:t>
      </w:r>
    </w:p>
    <w:p w14:paraId="7482815E" w14:textId="77777777" w:rsidR="00000000" w:rsidRDefault="0015578C">
      <w:pPr>
        <w:pStyle w:val="a3"/>
        <w:spacing w:before="0" w:beforeAutospacing="0" w:after="0" w:afterAutospacing="0"/>
        <w:jc w:val="both"/>
        <w:rPr>
          <w:sz w:val="20"/>
          <w:szCs w:val="20"/>
        </w:rPr>
      </w:pPr>
      <w:r>
        <w:rPr>
          <w:sz w:val="20"/>
          <w:szCs w:val="20"/>
        </w:rPr>
        <w:t> </w:t>
      </w:r>
    </w:p>
    <w:p w14:paraId="4DA9E890" w14:textId="77777777" w:rsidR="00000000" w:rsidRDefault="0015578C">
      <w:pPr>
        <w:pStyle w:val="a3"/>
        <w:spacing w:before="0" w:beforeAutospacing="0" w:after="0" w:afterAutospacing="0"/>
        <w:ind w:firstLine="675"/>
        <w:jc w:val="both"/>
        <w:rPr>
          <w:sz w:val="20"/>
          <w:szCs w:val="20"/>
        </w:rPr>
      </w:pPr>
      <w:r>
        <w:rPr>
          <w:sz w:val="20"/>
          <w:szCs w:val="20"/>
        </w:rPr>
        <w:t>Smaller reporting companies are not required to provide the information required by this item.</w:t>
      </w:r>
    </w:p>
    <w:p w14:paraId="0A4BA812"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F24990C" w14:textId="77777777">
        <w:trPr>
          <w:trHeight w:val="225"/>
          <w:tblCellSpacing w:w="15" w:type="dxa"/>
        </w:trPr>
        <w:tc>
          <w:tcPr>
            <w:tcW w:w="0" w:type="auto"/>
            <w:vAlign w:val="center"/>
            <w:hideMark/>
          </w:tcPr>
          <w:p w14:paraId="137B6028" w14:textId="77777777" w:rsidR="00000000" w:rsidRDefault="0015578C">
            <w:pPr>
              <w:rPr>
                <w:rFonts w:eastAsia="Times New Roman"/>
                <w:sz w:val="20"/>
                <w:szCs w:val="20"/>
              </w:rPr>
            </w:pPr>
            <w:r>
              <w:rPr>
                <w:rFonts w:eastAsia="Times New Roman"/>
                <w:sz w:val="20"/>
                <w:szCs w:val="20"/>
              </w:rPr>
              <w:t> </w:t>
            </w:r>
          </w:p>
        </w:tc>
      </w:tr>
      <w:tr w:rsidR="00000000" w14:paraId="20AF8C2B" w14:textId="77777777">
        <w:trPr>
          <w:trHeight w:val="225"/>
          <w:tblCellSpacing w:w="15" w:type="dxa"/>
        </w:trPr>
        <w:tc>
          <w:tcPr>
            <w:tcW w:w="0" w:type="auto"/>
            <w:tcBorders>
              <w:bottom w:val="single" w:sz="6" w:space="0" w:color="000000"/>
            </w:tcBorders>
            <w:vAlign w:val="center"/>
            <w:hideMark/>
          </w:tcPr>
          <w:p w14:paraId="3A105C3E" w14:textId="77777777" w:rsidR="00000000" w:rsidRDefault="0015578C">
            <w:pPr>
              <w:jc w:val="center"/>
              <w:rPr>
                <w:rFonts w:eastAsia="Times New Roman"/>
                <w:sz w:val="20"/>
                <w:szCs w:val="20"/>
              </w:rPr>
            </w:pPr>
            <w:r>
              <w:rPr>
                <w:rFonts w:eastAsia="Times New Roman"/>
                <w:sz w:val="20"/>
                <w:szCs w:val="20"/>
              </w:rPr>
              <w:t>46</w:t>
            </w:r>
          </w:p>
        </w:tc>
      </w:tr>
      <w:tr w:rsidR="00000000" w14:paraId="043D6505" w14:textId="77777777">
        <w:trPr>
          <w:trHeight w:val="225"/>
          <w:tblCellSpacing w:w="15" w:type="dxa"/>
        </w:trPr>
        <w:tc>
          <w:tcPr>
            <w:tcW w:w="0" w:type="auto"/>
            <w:vAlign w:val="center"/>
            <w:hideMark/>
          </w:tcPr>
          <w:p w14:paraId="09A118B4" w14:textId="77777777" w:rsidR="00000000" w:rsidRDefault="0015578C">
            <w:pPr>
              <w:rPr>
                <w:rFonts w:eastAsia="Times New Roman"/>
                <w:sz w:val="20"/>
                <w:szCs w:val="20"/>
              </w:rPr>
            </w:pPr>
          </w:p>
        </w:tc>
      </w:tr>
      <w:tr w:rsidR="00000000" w14:paraId="71AF78F5" w14:textId="77777777">
        <w:trPr>
          <w:trHeight w:val="225"/>
          <w:tblCellSpacing w:w="15" w:type="dxa"/>
        </w:trPr>
        <w:tc>
          <w:tcPr>
            <w:tcW w:w="0" w:type="auto"/>
            <w:vAlign w:val="center"/>
            <w:hideMark/>
          </w:tcPr>
          <w:p w14:paraId="42592A1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73C04457" w14:textId="77777777" w:rsidR="00000000" w:rsidRDefault="0015578C">
      <w:pPr>
        <w:pStyle w:val="a3"/>
        <w:spacing w:before="0" w:beforeAutospacing="0" w:after="0" w:afterAutospacing="0"/>
        <w:jc w:val="both"/>
        <w:rPr>
          <w:sz w:val="20"/>
          <w:szCs w:val="20"/>
        </w:rPr>
      </w:pPr>
      <w:r>
        <w:rPr>
          <w:sz w:val="20"/>
          <w:szCs w:val="20"/>
        </w:rPr>
        <w:t> </w:t>
      </w:r>
    </w:p>
    <w:p w14:paraId="320AA8D4" w14:textId="77777777" w:rsidR="00000000" w:rsidRDefault="0015578C">
      <w:pPr>
        <w:pStyle w:val="a3"/>
        <w:spacing w:before="0" w:beforeAutospacing="0" w:after="0" w:afterAutospacing="0"/>
        <w:jc w:val="both"/>
        <w:rPr>
          <w:sz w:val="20"/>
          <w:szCs w:val="20"/>
        </w:rPr>
      </w:pPr>
      <w:r>
        <w:rPr>
          <w:rStyle w:val="a4"/>
          <w:sz w:val="20"/>
          <w:szCs w:val="20"/>
        </w:rPr>
        <w:t xml:space="preserve">Item 8. </w:t>
      </w:r>
      <w:r>
        <w:rPr>
          <w:rStyle w:val="a4"/>
          <w:sz w:val="20"/>
          <w:szCs w:val="20"/>
          <w:u w:val="single"/>
        </w:rPr>
        <w:t>Financial Statements and Supplementary Dat</w:t>
      </w:r>
      <w:r>
        <w:rPr>
          <w:rStyle w:val="a4"/>
          <w:sz w:val="20"/>
          <w:szCs w:val="20"/>
          <w:u w:val="single"/>
        </w:rPr>
        <w:t>a</w:t>
      </w:r>
    </w:p>
    <w:p w14:paraId="5DFBA428" w14:textId="77777777" w:rsidR="00000000" w:rsidRDefault="0015578C">
      <w:pPr>
        <w:pStyle w:val="a3"/>
        <w:spacing w:before="0" w:beforeAutospacing="0" w:after="0" w:afterAutospacing="0"/>
        <w:jc w:val="center"/>
        <w:rPr>
          <w:sz w:val="20"/>
          <w:szCs w:val="20"/>
        </w:rPr>
      </w:pPr>
      <w:r>
        <w:rPr>
          <w:rStyle w:val="atag"/>
          <w:sz w:val="20"/>
          <w:szCs w:val="20"/>
        </w:rPr>
        <w:t>   </w:t>
      </w:r>
      <w:r>
        <w:rPr>
          <w:rStyle w:val="atag"/>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7412"/>
        <w:gridCol w:w="112"/>
        <w:gridCol w:w="782"/>
      </w:tblGrid>
      <w:tr w:rsidR="00000000" w14:paraId="7D2B5B34" w14:textId="77777777">
        <w:trPr>
          <w:trHeight w:val="225"/>
          <w:tblCellSpacing w:w="15" w:type="dxa"/>
        </w:trPr>
        <w:tc>
          <w:tcPr>
            <w:tcW w:w="0" w:type="auto"/>
            <w:vAlign w:val="center"/>
            <w:hideMark/>
          </w:tcPr>
          <w:p w14:paraId="19D575E4" w14:textId="77777777" w:rsidR="00000000" w:rsidRDefault="0015578C">
            <w:pPr>
              <w:pStyle w:val="a3"/>
              <w:spacing w:before="0" w:beforeAutospacing="0" w:after="0" w:afterAutospacing="0"/>
              <w:rPr>
                <w:sz w:val="20"/>
                <w:szCs w:val="20"/>
              </w:rPr>
            </w:pPr>
            <w:r>
              <w:rPr>
                <w:sz w:val="20"/>
                <w:szCs w:val="20"/>
              </w:rPr>
              <w:t> </w:t>
            </w:r>
          </w:p>
        </w:tc>
        <w:tc>
          <w:tcPr>
            <w:tcW w:w="50" w:type="pct"/>
            <w:vAlign w:val="center"/>
            <w:hideMark/>
          </w:tcPr>
          <w:p w14:paraId="2D1859C3"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000000"/>
            </w:tcBorders>
            <w:vAlign w:val="bottom"/>
            <w:hideMark/>
          </w:tcPr>
          <w:p w14:paraId="1A384E95" w14:textId="77777777" w:rsidR="00000000" w:rsidRDefault="0015578C">
            <w:pPr>
              <w:pStyle w:val="a3"/>
              <w:spacing w:before="0" w:beforeAutospacing="0" w:after="0" w:afterAutospacing="0"/>
              <w:jc w:val="center"/>
              <w:rPr>
                <w:sz w:val="20"/>
                <w:szCs w:val="20"/>
              </w:rPr>
            </w:pPr>
            <w:r>
              <w:rPr>
                <w:sz w:val="20"/>
                <w:szCs w:val="20"/>
              </w:rPr>
              <w:t>Page</w:t>
            </w:r>
          </w:p>
        </w:tc>
      </w:tr>
      <w:tr w:rsidR="00000000" w14:paraId="54B6FF37" w14:textId="77777777">
        <w:trPr>
          <w:trHeight w:val="225"/>
          <w:tblCellSpacing w:w="15" w:type="dxa"/>
        </w:trPr>
        <w:tc>
          <w:tcPr>
            <w:tcW w:w="0" w:type="auto"/>
            <w:hideMark/>
          </w:tcPr>
          <w:p w14:paraId="0356D91F" w14:textId="77777777" w:rsidR="00000000" w:rsidRDefault="0015578C">
            <w:pPr>
              <w:pStyle w:val="a3"/>
              <w:spacing w:before="0" w:beforeAutospacing="0" w:after="0" w:afterAutospacing="0"/>
              <w:rPr>
                <w:sz w:val="20"/>
                <w:szCs w:val="20"/>
              </w:rPr>
            </w:pPr>
            <w:r>
              <w:rPr>
                <w:sz w:val="20"/>
                <w:szCs w:val="20"/>
              </w:rPr>
              <w:t>Consolidated Financial Statements</w:t>
            </w:r>
          </w:p>
        </w:tc>
        <w:tc>
          <w:tcPr>
            <w:tcW w:w="0" w:type="auto"/>
            <w:vAlign w:val="center"/>
            <w:hideMark/>
          </w:tcPr>
          <w:p w14:paraId="35D43E39"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A63E0E2" w14:textId="77777777" w:rsidR="00000000" w:rsidRDefault="0015578C">
            <w:pPr>
              <w:pStyle w:val="a3"/>
              <w:spacing w:before="0" w:beforeAutospacing="0" w:after="0" w:afterAutospacing="0"/>
              <w:jc w:val="center"/>
              <w:rPr>
                <w:sz w:val="20"/>
                <w:szCs w:val="20"/>
              </w:rPr>
            </w:pPr>
            <w:r>
              <w:rPr>
                <w:sz w:val="20"/>
                <w:szCs w:val="20"/>
              </w:rPr>
              <w:t> </w:t>
            </w:r>
          </w:p>
        </w:tc>
      </w:tr>
      <w:tr w:rsidR="00000000" w14:paraId="63739BBB" w14:textId="77777777">
        <w:trPr>
          <w:trHeight w:val="225"/>
          <w:tblCellSpacing w:w="15" w:type="dxa"/>
        </w:trPr>
        <w:tc>
          <w:tcPr>
            <w:tcW w:w="0" w:type="auto"/>
            <w:shd w:val="clear" w:color="auto" w:fill="CCEEFF"/>
            <w:hideMark/>
          </w:tcPr>
          <w:p w14:paraId="0B69B4E7" w14:textId="77777777" w:rsidR="00000000" w:rsidRDefault="0015578C">
            <w:pPr>
              <w:pStyle w:val="a3"/>
              <w:spacing w:before="0" w:beforeAutospacing="0" w:after="0" w:afterAutospacing="0"/>
              <w:ind w:left="225"/>
              <w:rPr>
                <w:sz w:val="20"/>
                <w:szCs w:val="20"/>
              </w:rPr>
            </w:pPr>
            <w:hyperlink w:anchor="report" w:history="1">
              <w:r>
                <w:rPr>
                  <w:rStyle w:val="a5"/>
                  <w:sz w:val="20"/>
                  <w:szCs w:val="20"/>
                </w:rPr>
                <w:t>Report of Independent Registered Public Accounting Firm</w:t>
              </w:r>
            </w:hyperlink>
          </w:p>
          <w:p w14:paraId="714DC62D" w14:textId="77777777" w:rsidR="00000000" w:rsidRDefault="0015578C">
            <w:pPr>
              <w:pStyle w:val="a3"/>
              <w:spacing w:before="0" w:beforeAutospacing="0" w:after="0" w:afterAutospacing="0"/>
              <w:ind w:left="450"/>
              <w:rPr>
                <w:sz w:val="20"/>
                <w:szCs w:val="20"/>
              </w:rPr>
            </w:pPr>
            <w:hyperlink w:anchor="report" w:history="1">
              <w:r>
                <w:rPr>
                  <w:rStyle w:val="a5"/>
                  <w:sz w:val="20"/>
                  <w:szCs w:val="20"/>
                </w:rPr>
                <w:t>(Plante &amp; Moran, PLLC, Denver, Colorado, PCAOB ID 166)</w:t>
              </w:r>
            </w:hyperlink>
          </w:p>
        </w:tc>
        <w:tc>
          <w:tcPr>
            <w:tcW w:w="0" w:type="auto"/>
            <w:shd w:val="clear" w:color="auto" w:fill="CCEEFF"/>
            <w:vAlign w:val="center"/>
            <w:hideMark/>
          </w:tcPr>
          <w:p w14:paraId="4FB89865"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14:paraId="77BB31D4" w14:textId="77777777" w:rsidR="00000000" w:rsidRDefault="0015578C">
            <w:pPr>
              <w:pStyle w:val="a3"/>
              <w:spacing w:before="0" w:beforeAutospacing="0" w:after="0" w:afterAutospacing="0"/>
              <w:jc w:val="right"/>
              <w:rPr>
                <w:sz w:val="20"/>
                <w:szCs w:val="20"/>
              </w:rPr>
            </w:pPr>
            <w:r>
              <w:rPr>
                <w:sz w:val="20"/>
                <w:szCs w:val="20"/>
              </w:rPr>
              <w:t>50</w:t>
            </w:r>
          </w:p>
        </w:tc>
      </w:tr>
      <w:tr w:rsidR="00000000" w14:paraId="44E6AEAF" w14:textId="77777777">
        <w:trPr>
          <w:trHeight w:val="225"/>
          <w:tblCellSpacing w:w="15" w:type="dxa"/>
        </w:trPr>
        <w:tc>
          <w:tcPr>
            <w:tcW w:w="0" w:type="auto"/>
            <w:shd w:val="clear" w:color="auto" w:fill="FFFFFF"/>
            <w:hideMark/>
          </w:tcPr>
          <w:p w14:paraId="652A4FBD" w14:textId="77777777" w:rsidR="00000000" w:rsidRDefault="0015578C">
            <w:pPr>
              <w:pStyle w:val="a3"/>
              <w:spacing w:before="0" w:beforeAutospacing="0" w:after="0" w:afterAutospacing="0"/>
              <w:ind w:left="225"/>
              <w:rPr>
                <w:sz w:val="20"/>
                <w:szCs w:val="20"/>
              </w:rPr>
            </w:pPr>
            <w:hyperlink w:anchor="bs" w:history="1">
              <w:r>
                <w:rPr>
                  <w:rStyle w:val="a5"/>
                  <w:sz w:val="20"/>
                  <w:szCs w:val="20"/>
                </w:rPr>
                <w:t>Consolidated Balance Sheets as of December 31, 2022 and 2021</w:t>
              </w:r>
            </w:hyperlink>
          </w:p>
        </w:tc>
        <w:tc>
          <w:tcPr>
            <w:tcW w:w="0" w:type="auto"/>
            <w:shd w:val="clear" w:color="auto" w:fill="FFFFFF"/>
            <w:vAlign w:val="center"/>
            <w:hideMark/>
          </w:tcPr>
          <w:p w14:paraId="2341FAB3"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14:paraId="353B743A" w14:textId="77777777" w:rsidR="00000000" w:rsidRDefault="0015578C">
            <w:pPr>
              <w:pStyle w:val="a3"/>
              <w:spacing w:before="0" w:beforeAutospacing="0" w:after="0" w:afterAutospacing="0"/>
              <w:jc w:val="right"/>
              <w:rPr>
                <w:sz w:val="20"/>
                <w:szCs w:val="20"/>
              </w:rPr>
            </w:pPr>
            <w:r>
              <w:rPr>
                <w:sz w:val="20"/>
                <w:szCs w:val="20"/>
              </w:rPr>
              <w:t>51</w:t>
            </w:r>
          </w:p>
        </w:tc>
      </w:tr>
      <w:tr w:rsidR="00000000" w14:paraId="46C653D1" w14:textId="77777777">
        <w:trPr>
          <w:trHeight w:val="225"/>
          <w:tblCellSpacing w:w="15" w:type="dxa"/>
        </w:trPr>
        <w:tc>
          <w:tcPr>
            <w:tcW w:w="0" w:type="auto"/>
            <w:shd w:val="clear" w:color="auto" w:fill="CCEEFF"/>
            <w:hideMark/>
          </w:tcPr>
          <w:p w14:paraId="60C852B4" w14:textId="77777777" w:rsidR="00000000" w:rsidRDefault="0015578C">
            <w:pPr>
              <w:pStyle w:val="a3"/>
              <w:spacing w:before="0" w:beforeAutospacing="0" w:after="0" w:afterAutospacing="0"/>
              <w:ind w:left="225"/>
              <w:rPr>
                <w:sz w:val="20"/>
                <w:szCs w:val="20"/>
              </w:rPr>
            </w:pPr>
            <w:hyperlink w:anchor="soo" w:history="1">
              <w:r>
                <w:rPr>
                  <w:rStyle w:val="a5"/>
                  <w:sz w:val="20"/>
                  <w:szCs w:val="20"/>
                </w:rPr>
                <w:t>Consolidated Statements of Operations for the years ended December 31, 2022 and 2021</w:t>
              </w:r>
            </w:hyperlink>
          </w:p>
        </w:tc>
        <w:tc>
          <w:tcPr>
            <w:tcW w:w="0" w:type="auto"/>
            <w:shd w:val="clear" w:color="auto" w:fill="CCEEFF"/>
            <w:vAlign w:val="center"/>
            <w:hideMark/>
          </w:tcPr>
          <w:p w14:paraId="0019A926"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14:paraId="737ABD8A" w14:textId="77777777" w:rsidR="00000000" w:rsidRDefault="0015578C">
            <w:pPr>
              <w:pStyle w:val="a3"/>
              <w:spacing w:before="0" w:beforeAutospacing="0" w:after="0" w:afterAutospacing="0"/>
              <w:jc w:val="right"/>
              <w:rPr>
                <w:sz w:val="20"/>
                <w:szCs w:val="20"/>
              </w:rPr>
            </w:pPr>
            <w:r>
              <w:rPr>
                <w:sz w:val="20"/>
                <w:szCs w:val="20"/>
              </w:rPr>
              <w:t>52</w:t>
            </w:r>
          </w:p>
        </w:tc>
      </w:tr>
      <w:tr w:rsidR="00000000" w14:paraId="027750F4" w14:textId="77777777">
        <w:trPr>
          <w:trHeight w:val="225"/>
          <w:tblCellSpacing w:w="15" w:type="dxa"/>
        </w:trPr>
        <w:tc>
          <w:tcPr>
            <w:tcW w:w="0" w:type="auto"/>
            <w:shd w:val="clear" w:color="auto" w:fill="FFFFFF"/>
            <w:hideMark/>
          </w:tcPr>
          <w:p w14:paraId="418A43C8" w14:textId="77777777" w:rsidR="00000000" w:rsidRDefault="0015578C">
            <w:pPr>
              <w:pStyle w:val="a3"/>
              <w:spacing w:before="0" w:beforeAutospacing="0" w:after="0" w:afterAutospacing="0"/>
              <w:ind w:left="225"/>
              <w:rPr>
                <w:sz w:val="20"/>
                <w:szCs w:val="20"/>
              </w:rPr>
            </w:pPr>
            <w:hyperlink w:anchor="eqt" w:history="1">
              <w:r>
                <w:rPr>
                  <w:rStyle w:val="a5"/>
                  <w:sz w:val="20"/>
                  <w:szCs w:val="20"/>
                </w:rPr>
                <w:t>Consolidated Statements of Shareholders' Equit</w:t>
              </w:r>
              <w:r>
                <w:rPr>
                  <w:rStyle w:val="a5"/>
                  <w:sz w:val="20"/>
                  <w:szCs w:val="20"/>
                </w:rPr>
                <w:t>y for the years ended December 31, 2022 and 2021</w:t>
              </w:r>
            </w:hyperlink>
          </w:p>
        </w:tc>
        <w:tc>
          <w:tcPr>
            <w:tcW w:w="0" w:type="auto"/>
            <w:shd w:val="clear" w:color="auto" w:fill="FFFFFF"/>
            <w:vAlign w:val="center"/>
            <w:hideMark/>
          </w:tcPr>
          <w:p w14:paraId="705714BD"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14:paraId="57C382A1" w14:textId="77777777" w:rsidR="00000000" w:rsidRDefault="0015578C">
            <w:pPr>
              <w:pStyle w:val="a3"/>
              <w:spacing w:before="0" w:beforeAutospacing="0" w:after="0" w:afterAutospacing="0"/>
              <w:jc w:val="right"/>
              <w:rPr>
                <w:sz w:val="20"/>
                <w:szCs w:val="20"/>
              </w:rPr>
            </w:pPr>
            <w:r>
              <w:rPr>
                <w:sz w:val="20"/>
                <w:szCs w:val="20"/>
              </w:rPr>
              <w:t>53</w:t>
            </w:r>
          </w:p>
        </w:tc>
      </w:tr>
      <w:tr w:rsidR="00000000" w14:paraId="15A7AA89" w14:textId="77777777">
        <w:trPr>
          <w:trHeight w:val="225"/>
          <w:tblCellSpacing w:w="15" w:type="dxa"/>
        </w:trPr>
        <w:tc>
          <w:tcPr>
            <w:tcW w:w="0" w:type="auto"/>
            <w:shd w:val="clear" w:color="auto" w:fill="CCEEFF"/>
            <w:hideMark/>
          </w:tcPr>
          <w:p w14:paraId="36695AC9" w14:textId="77777777" w:rsidR="00000000" w:rsidRDefault="0015578C">
            <w:pPr>
              <w:pStyle w:val="a3"/>
              <w:spacing w:before="0" w:beforeAutospacing="0" w:after="0" w:afterAutospacing="0"/>
              <w:ind w:left="225"/>
              <w:rPr>
                <w:sz w:val="20"/>
                <w:szCs w:val="20"/>
              </w:rPr>
            </w:pPr>
            <w:hyperlink w:anchor="cf" w:history="1">
              <w:r>
                <w:rPr>
                  <w:rStyle w:val="a5"/>
                  <w:sz w:val="20"/>
                  <w:szCs w:val="20"/>
                </w:rPr>
                <w:t>Consolidated Statements of Cash Flows for the years ended December 31, 2022 and 2021</w:t>
              </w:r>
            </w:hyperlink>
          </w:p>
        </w:tc>
        <w:tc>
          <w:tcPr>
            <w:tcW w:w="0" w:type="auto"/>
            <w:shd w:val="clear" w:color="auto" w:fill="CCEEFF"/>
            <w:vAlign w:val="center"/>
            <w:hideMark/>
          </w:tcPr>
          <w:p w14:paraId="02CCA911"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14:paraId="007EA5B4" w14:textId="77777777" w:rsidR="00000000" w:rsidRDefault="0015578C">
            <w:pPr>
              <w:pStyle w:val="a3"/>
              <w:spacing w:before="0" w:beforeAutospacing="0" w:after="0" w:afterAutospacing="0"/>
              <w:jc w:val="right"/>
              <w:rPr>
                <w:sz w:val="20"/>
                <w:szCs w:val="20"/>
              </w:rPr>
            </w:pPr>
            <w:r>
              <w:rPr>
                <w:sz w:val="20"/>
                <w:szCs w:val="20"/>
              </w:rPr>
              <w:t>54</w:t>
            </w:r>
          </w:p>
        </w:tc>
      </w:tr>
      <w:tr w:rsidR="00000000" w14:paraId="0D9AB9E9" w14:textId="77777777">
        <w:trPr>
          <w:trHeight w:val="225"/>
          <w:tblCellSpacing w:w="15" w:type="dxa"/>
        </w:trPr>
        <w:tc>
          <w:tcPr>
            <w:tcW w:w="0" w:type="auto"/>
            <w:shd w:val="clear" w:color="auto" w:fill="FFFFFF"/>
            <w:hideMark/>
          </w:tcPr>
          <w:p w14:paraId="5C460076" w14:textId="77777777" w:rsidR="00000000" w:rsidRDefault="0015578C">
            <w:pPr>
              <w:pStyle w:val="a3"/>
              <w:spacing w:before="0" w:beforeAutospacing="0" w:after="0" w:afterAutospacing="0"/>
              <w:ind w:left="225"/>
              <w:rPr>
                <w:sz w:val="20"/>
                <w:szCs w:val="20"/>
              </w:rPr>
            </w:pPr>
            <w:hyperlink w:anchor="notes" w:history="1">
              <w:r>
                <w:rPr>
                  <w:rStyle w:val="a5"/>
                  <w:sz w:val="20"/>
                  <w:szCs w:val="20"/>
                </w:rPr>
                <w:t>Notes to Consolidated Financial Statements</w:t>
              </w:r>
            </w:hyperlink>
          </w:p>
        </w:tc>
        <w:tc>
          <w:tcPr>
            <w:tcW w:w="0" w:type="auto"/>
            <w:shd w:val="clear" w:color="auto" w:fill="FFFFFF"/>
            <w:vAlign w:val="center"/>
            <w:hideMark/>
          </w:tcPr>
          <w:p w14:paraId="048C8C83"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14:paraId="1EF73AE2" w14:textId="77777777" w:rsidR="00000000" w:rsidRDefault="0015578C">
            <w:pPr>
              <w:pStyle w:val="a3"/>
              <w:spacing w:before="0" w:beforeAutospacing="0" w:after="0" w:afterAutospacing="0"/>
              <w:jc w:val="right"/>
              <w:rPr>
                <w:sz w:val="20"/>
                <w:szCs w:val="20"/>
              </w:rPr>
            </w:pPr>
            <w:r>
              <w:rPr>
                <w:sz w:val="20"/>
                <w:szCs w:val="20"/>
              </w:rPr>
              <w:t>55</w:t>
            </w:r>
          </w:p>
        </w:tc>
      </w:tr>
    </w:tbl>
    <w:p w14:paraId="03DACFE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03CF69EB" w14:textId="77777777">
        <w:trPr>
          <w:trHeight w:val="225"/>
          <w:tblCellSpacing w:w="15" w:type="dxa"/>
        </w:trPr>
        <w:tc>
          <w:tcPr>
            <w:tcW w:w="0" w:type="auto"/>
            <w:vAlign w:val="center"/>
            <w:hideMark/>
          </w:tcPr>
          <w:p w14:paraId="7C66837E" w14:textId="77777777" w:rsidR="00000000" w:rsidRDefault="0015578C">
            <w:pPr>
              <w:rPr>
                <w:rFonts w:eastAsia="Times New Roman"/>
                <w:sz w:val="20"/>
                <w:szCs w:val="20"/>
              </w:rPr>
            </w:pPr>
            <w:r>
              <w:rPr>
                <w:rFonts w:eastAsia="Times New Roman"/>
                <w:sz w:val="20"/>
                <w:szCs w:val="20"/>
              </w:rPr>
              <w:t> </w:t>
            </w:r>
          </w:p>
        </w:tc>
      </w:tr>
      <w:tr w:rsidR="00000000" w14:paraId="0F4DB6E2" w14:textId="77777777">
        <w:trPr>
          <w:trHeight w:val="225"/>
          <w:tblCellSpacing w:w="15" w:type="dxa"/>
        </w:trPr>
        <w:tc>
          <w:tcPr>
            <w:tcW w:w="0" w:type="auto"/>
            <w:tcBorders>
              <w:bottom w:val="single" w:sz="6" w:space="0" w:color="000000"/>
            </w:tcBorders>
            <w:vAlign w:val="center"/>
            <w:hideMark/>
          </w:tcPr>
          <w:p w14:paraId="471F1AA3" w14:textId="77777777" w:rsidR="00000000" w:rsidRDefault="0015578C">
            <w:pPr>
              <w:jc w:val="center"/>
              <w:rPr>
                <w:rFonts w:eastAsia="Times New Roman"/>
                <w:sz w:val="20"/>
                <w:szCs w:val="20"/>
              </w:rPr>
            </w:pPr>
            <w:r>
              <w:rPr>
                <w:rFonts w:eastAsia="Times New Roman"/>
                <w:sz w:val="20"/>
                <w:szCs w:val="20"/>
              </w:rPr>
              <w:t>F-1</w:t>
            </w:r>
          </w:p>
        </w:tc>
      </w:tr>
      <w:tr w:rsidR="00000000" w14:paraId="14F2300A" w14:textId="77777777">
        <w:trPr>
          <w:trHeight w:val="225"/>
          <w:tblCellSpacing w:w="15" w:type="dxa"/>
        </w:trPr>
        <w:tc>
          <w:tcPr>
            <w:tcW w:w="0" w:type="auto"/>
            <w:vAlign w:val="center"/>
            <w:hideMark/>
          </w:tcPr>
          <w:p w14:paraId="336DC382" w14:textId="77777777" w:rsidR="00000000" w:rsidRDefault="0015578C">
            <w:pPr>
              <w:rPr>
                <w:rFonts w:eastAsia="Times New Roman"/>
                <w:sz w:val="20"/>
                <w:szCs w:val="20"/>
              </w:rPr>
            </w:pPr>
          </w:p>
        </w:tc>
      </w:tr>
      <w:tr w:rsidR="00000000" w14:paraId="1CC49F6E" w14:textId="77777777">
        <w:trPr>
          <w:trHeight w:val="225"/>
          <w:tblCellSpacing w:w="15" w:type="dxa"/>
        </w:trPr>
        <w:tc>
          <w:tcPr>
            <w:tcW w:w="0" w:type="auto"/>
            <w:vAlign w:val="center"/>
            <w:hideMark/>
          </w:tcPr>
          <w:p w14:paraId="2A29B2FF"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3E24FAAE" w14:textId="77777777" w:rsidR="00000000" w:rsidRDefault="0015578C">
      <w:pPr>
        <w:pStyle w:val="a3"/>
        <w:spacing w:before="0" w:beforeAutospacing="0" w:after="0" w:afterAutospacing="0"/>
        <w:jc w:val="both"/>
        <w:rPr>
          <w:sz w:val="20"/>
          <w:szCs w:val="20"/>
        </w:rPr>
      </w:pPr>
      <w:r>
        <w:rPr>
          <w:sz w:val="20"/>
          <w:szCs w:val="20"/>
        </w:rPr>
        <w:t> </w:t>
      </w:r>
    </w:p>
    <w:p w14:paraId="2BB1B623" w14:textId="77777777" w:rsidR="00000000" w:rsidRDefault="0015578C">
      <w:pPr>
        <w:pStyle w:val="a3"/>
        <w:spacing w:before="0" w:beforeAutospacing="0" w:after="0" w:afterAutospacing="0"/>
        <w:jc w:val="center"/>
        <w:rPr>
          <w:sz w:val="20"/>
          <w:szCs w:val="20"/>
        </w:rPr>
      </w:pPr>
      <w:r>
        <w:rPr>
          <w:rStyle w:val="a4"/>
          <w:sz w:val="20"/>
          <w:szCs w:val="20"/>
        </w:rPr>
        <w:t>Report of Independent Registered Public Accounting Firm</w:t>
      </w:r>
    </w:p>
    <w:p w14:paraId="5BA516C8" w14:textId="77777777" w:rsidR="00000000" w:rsidRDefault="0015578C">
      <w:pPr>
        <w:pStyle w:val="a3"/>
        <w:spacing w:before="0" w:beforeAutospacing="0" w:after="0" w:afterAutospacing="0"/>
        <w:jc w:val="both"/>
        <w:rPr>
          <w:sz w:val="20"/>
          <w:szCs w:val="20"/>
        </w:rPr>
      </w:pPr>
      <w:r>
        <w:rPr>
          <w:sz w:val="20"/>
          <w:szCs w:val="20"/>
        </w:rPr>
        <w:t> </w:t>
      </w:r>
    </w:p>
    <w:p w14:paraId="6767EE17" w14:textId="77777777" w:rsidR="00000000" w:rsidRDefault="0015578C">
      <w:pPr>
        <w:pStyle w:val="a3"/>
        <w:spacing w:before="0" w:beforeAutospacing="0" w:after="0" w:afterAutospacing="0"/>
        <w:jc w:val="both"/>
        <w:rPr>
          <w:sz w:val="20"/>
          <w:szCs w:val="20"/>
        </w:rPr>
      </w:pPr>
      <w:r>
        <w:rPr>
          <w:sz w:val="20"/>
          <w:szCs w:val="20"/>
        </w:rPr>
        <w:t>To the Shareholders and Board of Directors of Solitario Zinc Corp.</w:t>
      </w:r>
    </w:p>
    <w:p w14:paraId="1925D6BA" w14:textId="77777777" w:rsidR="00000000" w:rsidRDefault="0015578C">
      <w:pPr>
        <w:pStyle w:val="a3"/>
        <w:spacing w:before="0" w:beforeAutospacing="0" w:after="0" w:afterAutospacing="0"/>
        <w:jc w:val="both"/>
        <w:rPr>
          <w:sz w:val="20"/>
          <w:szCs w:val="20"/>
        </w:rPr>
      </w:pPr>
      <w:r>
        <w:rPr>
          <w:sz w:val="20"/>
          <w:szCs w:val="20"/>
        </w:rPr>
        <w:t> </w:t>
      </w:r>
    </w:p>
    <w:p w14:paraId="5BAB6666" w14:textId="77777777" w:rsidR="00000000" w:rsidRDefault="0015578C">
      <w:pPr>
        <w:pStyle w:val="a3"/>
        <w:spacing w:before="0" w:beforeAutospacing="0" w:after="0" w:afterAutospacing="0"/>
        <w:jc w:val="both"/>
        <w:rPr>
          <w:sz w:val="20"/>
          <w:szCs w:val="20"/>
        </w:rPr>
      </w:pPr>
      <w:r>
        <w:rPr>
          <w:rStyle w:val="a7"/>
          <w:b/>
          <w:bCs/>
          <w:sz w:val="20"/>
          <w:szCs w:val="20"/>
        </w:rPr>
        <w:t>Opinion on the Consolidated Financial Statements</w:t>
      </w:r>
    </w:p>
    <w:p w14:paraId="5984462C" w14:textId="77777777" w:rsidR="00000000" w:rsidRDefault="0015578C">
      <w:pPr>
        <w:pStyle w:val="a3"/>
        <w:spacing w:before="0" w:beforeAutospacing="0" w:after="0" w:afterAutospacing="0"/>
        <w:jc w:val="both"/>
        <w:rPr>
          <w:sz w:val="20"/>
          <w:szCs w:val="20"/>
        </w:rPr>
      </w:pPr>
      <w:r>
        <w:rPr>
          <w:sz w:val="20"/>
          <w:szCs w:val="20"/>
        </w:rPr>
        <w:t> </w:t>
      </w:r>
    </w:p>
    <w:p w14:paraId="4284EE23" w14:textId="77777777" w:rsidR="00000000" w:rsidRDefault="0015578C">
      <w:pPr>
        <w:pStyle w:val="a3"/>
        <w:spacing w:before="0" w:beforeAutospacing="0" w:after="0" w:afterAutospacing="0"/>
        <w:jc w:val="both"/>
        <w:rPr>
          <w:sz w:val="20"/>
          <w:szCs w:val="20"/>
        </w:rPr>
      </w:pPr>
      <w:r>
        <w:rPr>
          <w:sz w:val="20"/>
          <w:szCs w:val="20"/>
        </w:rPr>
        <w:t>We have audited the accompanying consolidated balance sheets of Solitario Zinc Corp. (the “Company”) as of December 31, 2022 and 2021, the related statements of operations, shareholders' equity, and cash f</w:t>
      </w:r>
      <w:r>
        <w:rPr>
          <w:sz w:val="20"/>
          <w:szCs w:val="20"/>
        </w:rPr>
        <w:t xml:space="preserve">lows for each of the years in the two-year period ended December 31, 2022, and the related notes (collectively referred to as the “financial statements”). In our opinion, the financial statements referred to above present fairly, in all material respects, </w:t>
      </w:r>
      <w:r>
        <w:rPr>
          <w:sz w:val="20"/>
          <w:szCs w:val="20"/>
        </w:rPr>
        <w:t>the financial position of the Company as of December 31, 2022 and 2021, and the results of its operations and its cash flows for each of the years in the two-year period ended December 31, 2022, in conformity with accounting principles generally accepted i</w:t>
      </w:r>
      <w:r>
        <w:rPr>
          <w:sz w:val="20"/>
          <w:szCs w:val="20"/>
        </w:rPr>
        <w:t>n the United States of America.</w:t>
      </w:r>
    </w:p>
    <w:p w14:paraId="00B07AA1" w14:textId="77777777" w:rsidR="00000000" w:rsidRDefault="0015578C">
      <w:pPr>
        <w:pStyle w:val="a3"/>
        <w:spacing w:before="0" w:beforeAutospacing="0" w:after="0" w:afterAutospacing="0"/>
        <w:jc w:val="both"/>
        <w:rPr>
          <w:sz w:val="20"/>
          <w:szCs w:val="20"/>
        </w:rPr>
      </w:pPr>
      <w:r>
        <w:rPr>
          <w:sz w:val="20"/>
          <w:szCs w:val="20"/>
        </w:rPr>
        <w:t> </w:t>
      </w:r>
    </w:p>
    <w:p w14:paraId="0D5D11A9" w14:textId="77777777" w:rsidR="00000000" w:rsidRDefault="0015578C">
      <w:pPr>
        <w:pStyle w:val="a3"/>
        <w:spacing w:before="0" w:beforeAutospacing="0" w:after="0" w:afterAutospacing="0"/>
        <w:jc w:val="both"/>
        <w:rPr>
          <w:sz w:val="20"/>
          <w:szCs w:val="20"/>
        </w:rPr>
      </w:pPr>
      <w:r>
        <w:rPr>
          <w:rStyle w:val="a7"/>
          <w:b/>
          <w:bCs/>
          <w:sz w:val="20"/>
          <w:szCs w:val="20"/>
        </w:rPr>
        <w:t>Basis for Opinion</w:t>
      </w:r>
    </w:p>
    <w:p w14:paraId="467B4973" w14:textId="77777777" w:rsidR="00000000" w:rsidRDefault="0015578C">
      <w:pPr>
        <w:pStyle w:val="a3"/>
        <w:spacing w:before="0" w:beforeAutospacing="0" w:after="0" w:afterAutospacing="0"/>
        <w:jc w:val="both"/>
        <w:rPr>
          <w:sz w:val="20"/>
          <w:szCs w:val="20"/>
        </w:rPr>
      </w:pPr>
      <w:r>
        <w:rPr>
          <w:sz w:val="20"/>
          <w:szCs w:val="20"/>
        </w:rPr>
        <w:t> </w:t>
      </w:r>
    </w:p>
    <w:p w14:paraId="02BDA9F1" w14:textId="77777777" w:rsidR="00000000" w:rsidRDefault="0015578C">
      <w:pPr>
        <w:pStyle w:val="a3"/>
        <w:spacing w:before="0" w:beforeAutospacing="0" w:after="0" w:afterAutospacing="0"/>
        <w:jc w:val="both"/>
        <w:rPr>
          <w:sz w:val="20"/>
          <w:szCs w:val="20"/>
        </w:rPr>
      </w:pPr>
      <w:r>
        <w:rPr>
          <w:sz w:val="20"/>
          <w:szCs w:val="20"/>
        </w:rPr>
        <w:t>The Company's management is responsible for these financial statements. Our responsibility is to express an opinion on the Company’s financial statements based on our audits. We are a public accounting firm registered with the Public Company Accounting Ove</w:t>
      </w:r>
      <w:r>
        <w:rPr>
          <w:sz w:val="20"/>
          <w:szCs w:val="20"/>
        </w:rPr>
        <w:t>rsight Board (United States) (“PCAOB”) and are required to be independent with respect to the Company in accordance with the U.S. federal securities laws and the applicable rules and regulations of the Securities and Exchange Commission and the PCAOB.</w:t>
      </w:r>
    </w:p>
    <w:p w14:paraId="412D4696" w14:textId="77777777" w:rsidR="00000000" w:rsidRDefault="0015578C">
      <w:pPr>
        <w:pStyle w:val="a3"/>
        <w:spacing w:before="0" w:beforeAutospacing="0" w:after="0" w:afterAutospacing="0"/>
        <w:jc w:val="both"/>
        <w:rPr>
          <w:sz w:val="20"/>
          <w:szCs w:val="20"/>
        </w:rPr>
      </w:pPr>
      <w:r>
        <w:rPr>
          <w:sz w:val="20"/>
          <w:szCs w:val="20"/>
        </w:rPr>
        <w:t> </w:t>
      </w:r>
    </w:p>
    <w:p w14:paraId="00F9BFA4" w14:textId="77777777" w:rsidR="00000000" w:rsidRDefault="0015578C">
      <w:pPr>
        <w:pStyle w:val="a3"/>
        <w:spacing w:before="0" w:beforeAutospacing="0" w:after="0" w:afterAutospacing="0"/>
        <w:jc w:val="both"/>
        <w:rPr>
          <w:sz w:val="20"/>
          <w:szCs w:val="20"/>
        </w:rPr>
      </w:pPr>
      <w:r>
        <w:rPr>
          <w:sz w:val="20"/>
          <w:szCs w:val="20"/>
        </w:rPr>
        <w:t>We</w:t>
      </w:r>
      <w:r>
        <w:rPr>
          <w:sz w:val="20"/>
          <w:szCs w:val="20"/>
        </w:rPr>
        <w:t xml:space="preserve"> conducted our audits in accordance with the standards of the PCAOB. Those standards require that we plan and perform the audit to obtain reasonable assurance about whether the financial statements are free of material misstatement, whether due to error or</w:t>
      </w:r>
      <w:r>
        <w:rPr>
          <w:sz w:val="20"/>
          <w:szCs w:val="20"/>
        </w:rPr>
        <w:t xml:space="preserve"> fraud. The Company is not required to have, nor were we engaged to perform, an audit of its internal control over financial reporting. As part of our audits, we are required to obtain an understanding of internal control over financial reporting but not f</w:t>
      </w:r>
      <w:r>
        <w:rPr>
          <w:sz w:val="20"/>
          <w:szCs w:val="20"/>
        </w:rPr>
        <w:t>or the purpose of expressing an opinion on the effectiveness of the Company's internal control over financial reporting. Accordingly, we express no such opinion.</w:t>
      </w:r>
    </w:p>
    <w:p w14:paraId="0839A437" w14:textId="77777777" w:rsidR="00000000" w:rsidRDefault="0015578C">
      <w:pPr>
        <w:pStyle w:val="a3"/>
        <w:spacing w:before="0" w:beforeAutospacing="0" w:after="0" w:afterAutospacing="0"/>
        <w:jc w:val="both"/>
        <w:rPr>
          <w:sz w:val="20"/>
          <w:szCs w:val="20"/>
        </w:rPr>
      </w:pPr>
      <w:r>
        <w:rPr>
          <w:sz w:val="20"/>
          <w:szCs w:val="20"/>
        </w:rPr>
        <w:t> </w:t>
      </w:r>
    </w:p>
    <w:p w14:paraId="265D76D9" w14:textId="77777777" w:rsidR="00000000" w:rsidRDefault="0015578C">
      <w:pPr>
        <w:pStyle w:val="a3"/>
        <w:spacing w:before="0" w:beforeAutospacing="0" w:after="0" w:afterAutospacing="0"/>
        <w:jc w:val="both"/>
        <w:rPr>
          <w:sz w:val="20"/>
          <w:szCs w:val="20"/>
        </w:rPr>
      </w:pPr>
      <w:r>
        <w:rPr>
          <w:sz w:val="20"/>
          <w:szCs w:val="20"/>
        </w:rPr>
        <w:t>Our audits included performing procedures to assess the risks of material misstatement of th</w:t>
      </w:r>
      <w:r>
        <w:rPr>
          <w:sz w:val="20"/>
          <w:szCs w:val="20"/>
        </w:rPr>
        <w:t>e financial statements, whether due to error or fraud, and performing procedures that respond to those risks. Such procedures included examining, on a test basis, evidence regarding the amounts and disclosures in the financial statements. Our audits also i</w:t>
      </w:r>
      <w:r>
        <w:rPr>
          <w:sz w:val="20"/>
          <w:szCs w:val="20"/>
        </w:rPr>
        <w:t>ncluded evaluating the accounting principles used and significant estimates made by management, as well as evaluating the overall presentation of the financial statements. We believe that our audits provide a reasonable basis for our opinion.</w:t>
      </w:r>
    </w:p>
    <w:p w14:paraId="6AA52FE5" w14:textId="77777777" w:rsidR="00000000" w:rsidRDefault="0015578C">
      <w:pPr>
        <w:pStyle w:val="a3"/>
        <w:spacing w:before="0" w:beforeAutospacing="0" w:after="0" w:afterAutospacing="0"/>
        <w:jc w:val="both"/>
        <w:rPr>
          <w:sz w:val="20"/>
          <w:szCs w:val="20"/>
        </w:rPr>
      </w:pPr>
      <w:r>
        <w:rPr>
          <w:sz w:val="20"/>
          <w:szCs w:val="20"/>
        </w:rPr>
        <w:t> </w:t>
      </w:r>
    </w:p>
    <w:p w14:paraId="5E2B4A34" w14:textId="77777777" w:rsidR="00000000" w:rsidRDefault="0015578C">
      <w:pPr>
        <w:pStyle w:val="a3"/>
        <w:spacing w:before="0" w:beforeAutospacing="0" w:after="0" w:afterAutospacing="0"/>
        <w:jc w:val="both"/>
        <w:rPr>
          <w:sz w:val="20"/>
          <w:szCs w:val="20"/>
        </w:rPr>
      </w:pPr>
      <w:r>
        <w:rPr>
          <w:rStyle w:val="a7"/>
          <w:b/>
          <w:bCs/>
          <w:sz w:val="20"/>
          <w:szCs w:val="20"/>
        </w:rPr>
        <w:t>Critical Au</w:t>
      </w:r>
      <w:r>
        <w:rPr>
          <w:rStyle w:val="a7"/>
          <w:b/>
          <w:bCs/>
          <w:sz w:val="20"/>
          <w:szCs w:val="20"/>
        </w:rPr>
        <w:t>dit Matters</w:t>
      </w:r>
    </w:p>
    <w:p w14:paraId="3DCAA587" w14:textId="77777777" w:rsidR="00000000" w:rsidRDefault="0015578C">
      <w:pPr>
        <w:pStyle w:val="a3"/>
        <w:spacing w:before="0" w:beforeAutospacing="0" w:after="0" w:afterAutospacing="0"/>
        <w:jc w:val="both"/>
        <w:rPr>
          <w:sz w:val="20"/>
          <w:szCs w:val="20"/>
        </w:rPr>
      </w:pPr>
      <w:r>
        <w:rPr>
          <w:sz w:val="20"/>
          <w:szCs w:val="20"/>
        </w:rPr>
        <w:t> </w:t>
      </w:r>
    </w:p>
    <w:p w14:paraId="223CF074" w14:textId="77777777" w:rsidR="00000000" w:rsidRDefault="0015578C">
      <w:pPr>
        <w:pStyle w:val="a3"/>
        <w:spacing w:before="0" w:beforeAutospacing="0" w:after="0" w:afterAutospacing="0"/>
        <w:jc w:val="both"/>
        <w:rPr>
          <w:sz w:val="20"/>
          <w:szCs w:val="20"/>
        </w:rPr>
      </w:pPr>
      <w:r>
        <w:rPr>
          <w:sz w:val="20"/>
          <w:szCs w:val="20"/>
        </w:rPr>
        <w:t>Critical audit matters are matters arising from the current period audit of the financial statements that were communicated or required to be communicated to the audit committee and that: (1) relate to accounts or disclosures that are materia</w:t>
      </w:r>
      <w:r>
        <w:rPr>
          <w:sz w:val="20"/>
          <w:szCs w:val="20"/>
        </w:rPr>
        <w:t>l to the financial statements and (2) involved especially challenging, subjective, or complex judgments. We determined that there are no critical audit matters.</w:t>
      </w:r>
    </w:p>
    <w:p w14:paraId="16E165C3" w14:textId="77777777" w:rsidR="00000000" w:rsidRDefault="0015578C">
      <w:pPr>
        <w:pStyle w:val="a3"/>
        <w:spacing w:before="0" w:beforeAutospacing="0" w:after="0" w:afterAutospacing="0"/>
        <w:jc w:val="both"/>
        <w:rPr>
          <w:sz w:val="20"/>
          <w:szCs w:val="20"/>
        </w:rPr>
      </w:pPr>
      <w:r>
        <w:rPr>
          <w:sz w:val="20"/>
          <w:szCs w:val="20"/>
        </w:rPr>
        <w:t> </w:t>
      </w:r>
    </w:p>
    <w:p w14:paraId="6009B896" w14:textId="77777777" w:rsidR="00000000" w:rsidRDefault="0015578C">
      <w:pPr>
        <w:pStyle w:val="a3"/>
        <w:spacing w:before="0" w:beforeAutospacing="0" w:after="0" w:afterAutospacing="0"/>
        <w:jc w:val="both"/>
        <w:rPr>
          <w:sz w:val="20"/>
          <w:szCs w:val="20"/>
        </w:rPr>
      </w:pPr>
      <w:r>
        <w:rPr>
          <w:sz w:val="20"/>
          <w:szCs w:val="20"/>
        </w:rPr>
        <w:t>/s/ Plante &amp; Moran, LLLC</w:t>
      </w:r>
    </w:p>
    <w:p w14:paraId="6FFB4F05" w14:textId="77777777" w:rsidR="00000000" w:rsidRDefault="0015578C">
      <w:pPr>
        <w:pStyle w:val="a3"/>
        <w:spacing w:before="0" w:beforeAutospacing="0" w:after="0" w:afterAutospacing="0"/>
        <w:rPr>
          <w:sz w:val="20"/>
          <w:szCs w:val="20"/>
        </w:rPr>
      </w:pPr>
      <w:r>
        <w:rPr>
          <w:sz w:val="20"/>
          <w:szCs w:val="20"/>
        </w:rPr>
        <w:t> </w:t>
      </w:r>
    </w:p>
    <w:p w14:paraId="17136EAD" w14:textId="77777777" w:rsidR="00000000" w:rsidRDefault="0015578C">
      <w:pPr>
        <w:pStyle w:val="a3"/>
        <w:spacing w:before="0" w:beforeAutospacing="0" w:after="0" w:afterAutospacing="0"/>
        <w:jc w:val="both"/>
        <w:rPr>
          <w:sz w:val="20"/>
          <w:szCs w:val="20"/>
        </w:rPr>
      </w:pPr>
      <w:r>
        <w:rPr>
          <w:sz w:val="20"/>
          <w:szCs w:val="20"/>
        </w:rPr>
        <w:t>We have served as the Company’s auditor since 2004.</w:t>
      </w:r>
    </w:p>
    <w:p w14:paraId="5F89A010" w14:textId="77777777" w:rsidR="00000000" w:rsidRDefault="0015578C">
      <w:pPr>
        <w:pStyle w:val="a3"/>
        <w:spacing w:before="0" w:beforeAutospacing="0" w:after="0" w:afterAutospacing="0"/>
        <w:jc w:val="both"/>
        <w:rPr>
          <w:sz w:val="20"/>
          <w:szCs w:val="20"/>
        </w:rPr>
      </w:pPr>
      <w:r>
        <w:rPr>
          <w:sz w:val="20"/>
          <w:szCs w:val="20"/>
        </w:rPr>
        <w:t> </w:t>
      </w:r>
    </w:p>
    <w:p w14:paraId="3DCE6F03" w14:textId="77777777" w:rsidR="00000000" w:rsidRDefault="0015578C">
      <w:pPr>
        <w:pStyle w:val="a3"/>
        <w:spacing w:before="0" w:beforeAutospacing="0" w:after="0" w:afterAutospacing="0"/>
        <w:jc w:val="both"/>
        <w:rPr>
          <w:sz w:val="20"/>
          <w:szCs w:val="20"/>
        </w:rPr>
      </w:pPr>
      <w:r>
        <w:rPr>
          <w:sz w:val="20"/>
          <w:szCs w:val="20"/>
        </w:rPr>
        <w:t>Denver, Colo</w:t>
      </w:r>
      <w:r>
        <w:rPr>
          <w:sz w:val="20"/>
          <w:szCs w:val="20"/>
        </w:rPr>
        <w:t xml:space="preserve">rado        </w:t>
      </w:r>
    </w:p>
    <w:p w14:paraId="3385A0D4" w14:textId="77777777" w:rsidR="00000000" w:rsidRDefault="0015578C">
      <w:pPr>
        <w:pStyle w:val="a3"/>
        <w:spacing w:before="0" w:beforeAutospacing="0" w:after="0" w:afterAutospacing="0"/>
        <w:jc w:val="both"/>
        <w:rPr>
          <w:sz w:val="20"/>
          <w:szCs w:val="20"/>
        </w:rPr>
      </w:pPr>
      <w:r>
        <w:rPr>
          <w:sz w:val="20"/>
          <w:szCs w:val="20"/>
        </w:rPr>
        <w:t>March 15, 2023</w:t>
      </w:r>
    </w:p>
    <w:p w14:paraId="2877BD95" w14:textId="77777777" w:rsidR="00000000" w:rsidRDefault="0015578C">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D790DAE" w14:textId="77777777">
        <w:trPr>
          <w:trHeight w:val="225"/>
          <w:tblCellSpacing w:w="15" w:type="dxa"/>
        </w:trPr>
        <w:tc>
          <w:tcPr>
            <w:tcW w:w="0" w:type="auto"/>
            <w:vAlign w:val="center"/>
            <w:hideMark/>
          </w:tcPr>
          <w:p w14:paraId="14B0CB6F" w14:textId="77777777" w:rsidR="00000000" w:rsidRDefault="0015578C">
            <w:pPr>
              <w:rPr>
                <w:rFonts w:eastAsia="Times New Roman"/>
                <w:sz w:val="20"/>
                <w:szCs w:val="20"/>
              </w:rPr>
            </w:pPr>
            <w:r>
              <w:rPr>
                <w:rFonts w:eastAsia="Times New Roman"/>
                <w:sz w:val="20"/>
                <w:szCs w:val="20"/>
              </w:rPr>
              <w:t> </w:t>
            </w:r>
          </w:p>
        </w:tc>
      </w:tr>
      <w:tr w:rsidR="00000000" w14:paraId="3812EF38" w14:textId="77777777">
        <w:trPr>
          <w:trHeight w:val="225"/>
          <w:tblCellSpacing w:w="15" w:type="dxa"/>
        </w:trPr>
        <w:tc>
          <w:tcPr>
            <w:tcW w:w="0" w:type="auto"/>
            <w:tcBorders>
              <w:bottom w:val="single" w:sz="6" w:space="0" w:color="000000"/>
            </w:tcBorders>
            <w:vAlign w:val="center"/>
            <w:hideMark/>
          </w:tcPr>
          <w:p w14:paraId="080EBA6F" w14:textId="77777777" w:rsidR="00000000" w:rsidRDefault="0015578C">
            <w:pPr>
              <w:jc w:val="center"/>
              <w:rPr>
                <w:rFonts w:eastAsia="Times New Roman"/>
                <w:sz w:val="20"/>
                <w:szCs w:val="20"/>
              </w:rPr>
            </w:pPr>
            <w:r>
              <w:rPr>
                <w:rFonts w:eastAsia="Times New Roman"/>
                <w:sz w:val="20"/>
                <w:szCs w:val="20"/>
              </w:rPr>
              <w:t>F-2</w:t>
            </w:r>
          </w:p>
        </w:tc>
      </w:tr>
      <w:tr w:rsidR="00000000" w14:paraId="69FCD901" w14:textId="77777777">
        <w:trPr>
          <w:trHeight w:val="225"/>
          <w:tblCellSpacing w:w="15" w:type="dxa"/>
        </w:trPr>
        <w:tc>
          <w:tcPr>
            <w:tcW w:w="0" w:type="auto"/>
            <w:vAlign w:val="center"/>
            <w:hideMark/>
          </w:tcPr>
          <w:p w14:paraId="49700857" w14:textId="77777777" w:rsidR="00000000" w:rsidRDefault="0015578C">
            <w:pPr>
              <w:rPr>
                <w:rFonts w:eastAsia="Times New Roman"/>
                <w:sz w:val="20"/>
                <w:szCs w:val="20"/>
              </w:rPr>
            </w:pPr>
          </w:p>
        </w:tc>
      </w:tr>
      <w:tr w:rsidR="00000000" w14:paraId="2B5A5198" w14:textId="77777777">
        <w:trPr>
          <w:trHeight w:val="225"/>
          <w:tblCellSpacing w:w="15" w:type="dxa"/>
        </w:trPr>
        <w:tc>
          <w:tcPr>
            <w:tcW w:w="0" w:type="auto"/>
            <w:vAlign w:val="center"/>
            <w:hideMark/>
          </w:tcPr>
          <w:p w14:paraId="241DEEAE"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42F8F987" w14:textId="77777777" w:rsidR="00000000" w:rsidRDefault="0015578C">
      <w:pPr>
        <w:pStyle w:val="a3"/>
        <w:spacing w:before="0" w:beforeAutospacing="0" w:after="0" w:afterAutospacing="0"/>
        <w:jc w:val="both"/>
        <w:rPr>
          <w:sz w:val="20"/>
          <w:szCs w:val="20"/>
        </w:rPr>
      </w:pPr>
      <w:r>
        <w:rPr>
          <w:sz w:val="20"/>
          <w:szCs w:val="20"/>
        </w:rPr>
        <w:t> </w:t>
      </w:r>
    </w:p>
    <w:p w14:paraId="64898A8E" w14:textId="77777777" w:rsidR="00000000" w:rsidRDefault="0015578C">
      <w:pPr>
        <w:pStyle w:val="a3"/>
        <w:spacing w:before="0" w:beforeAutospacing="0" w:after="0" w:afterAutospacing="0"/>
        <w:jc w:val="center"/>
        <w:rPr>
          <w:sz w:val="20"/>
          <w:szCs w:val="20"/>
        </w:rPr>
      </w:pPr>
      <w:r>
        <w:rPr>
          <w:sz w:val="20"/>
          <w:szCs w:val="20"/>
        </w:rPr>
        <w:t> </w:t>
      </w:r>
    </w:p>
    <w:p w14:paraId="0B95539D" w14:textId="77777777" w:rsidR="00000000" w:rsidRDefault="0015578C">
      <w:pPr>
        <w:pStyle w:val="a3"/>
        <w:spacing w:before="0" w:beforeAutospacing="0" w:after="0" w:afterAutospacing="0"/>
        <w:jc w:val="center"/>
        <w:rPr>
          <w:sz w:val="20"/>
          <w:szCs w:val="20"/>
        </w:rPr>
      </w:pPr>
      <w:r>
        <w:rPr>
          <w:rStyle w:val="atag"/>
          <w:sz w:val="20"/>
          <w:szCs w:val="20"/>
        </w:rPr>
        <w:t>SOLITARIO ZINC CORP</w:t>
      </w:r>
      <w:r>
        <w:rPr>
          <w:rStyle w:val="atag"/>
          <w:sz w:val="20"/>
          <w:szCs w:val="20"/>
        </w:rPr>
        <w:t>.</w:t>
      </w:r>
    </w:p>
    <w:p w14:paraId="7AB56255" w14:textId="77777777" w:rsidR="00000000" w:rsidRDefault="0015578C">
      <w:pPr>
        <w:pStyle w:val="a3"/>
        <w:spacing w:before="0" w:beforeAutospacing="0" w:after="0" w:afterAutospacing="0"/>
        <w:jc w:val="center"/>
        <w:rPr>
          <w:sz w:val="20"/>
          <w:szCs w:val="20"/>
        </w:rPr>
      </w:pPr>
      <w:r>
        <w:rPr>
          <w:sz w:val="20"/>
          <w:szCs w:val="20"/>
        </w:rPr>
        <w:t>CONSOLIDATED BALANCE SHEETS</w:t>
      </w:r>
    </w:p>
    <w:p w14:paraId="1B8A4ED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3"/>
        <w:gridCol w:w="104"/>
        <w:gridCol w:w="131"/>
        <w:gridCol w:w="745"/>
        <w:gridCol w:w="104"/>
        <w:gridCol w:w="104"/>
        <w:gridCol w:w="131"/>
        <w:gridCol w:w="745"/>
        <w:gridCol w:w="119"/>
      </w:tblGrid>
      <w:tr w:rsidR="00000000" w14:paraId="1DF72FCC" w14:textId="77777777">
        <w:trPr>
          <w:trHeight w:val="225"/>
          <w:tblCellSpacing w:w="15" w:type="dxa"/>
        </w:trPr>
        <w:tc>
          <w:tcPr>
            <w:tcW w:w="0" w:type="auto"/>
            <w:vAlign w:val="bottom"/>
            <w:hideMark/>
          </w:tcPr>
          <w:p w14:paraId="23FF609B" w14:textId="77777777" w:rsidR="00000000" w:rsidRDefault="0015578C">
            <w:pPr>
              <w:pStyle w:val="a3"/>
              <w:spacing w:before="0" w:beforeAutospacing="0" w:after="0" w:afterAutospacing="0"/>
              <w:rPr>
                <w:sz w:val="20"/>
                <w:szCs w:val="20"/>
              </w:rPr>
            </w:pPr>
            <w:r>
              <w:rPr>
                <w:sz w:val="20"/>
                <w:szCs w:val="20"/>
              </w:rPr>
              <w:t>(in thousands of U.S. dollars, except share and per share amounts)</w:t>
            </w:r>
          </w:p>
        </w:tc>
        <w:tc>
          <w:tcPr>
            <w:tcW w:w="0" w:type="auto"/>
            <w:noWrap/>
            <w:vAlign w:val="center"/>
            <w:hideMark/>
          </w:tcPr>
          <w:p w14:paraId="1729CD4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39B44A99"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549E9F7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6458171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227B4B37"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6F013FBD" w14:textId="77777777" w:rsidR="00000000" w:rsidRDefault="0015578C">
            <w:pPr>
              <w:pStyle w:val="a3"/>
              <w:spacing w:before="0" w:beforeAutospacing="0" w:after="0" w:afterAutospacing="0"/>
              <w:rPr>
                <w:sz w:val="20"/>
                <w:szCs w:val="20"/>
              </w:rPr>
            </w:pPr>
            <w:r>
              <w:rPr>
                <w:sz w:val="20"/>
                <w:szCs w:val="20"/>
              </w:rPr>
              <w:t> </w:t>
            </w:r>
          </w:p>
        </w:tc>
      </w:tr>
      <w:tr w:rsidR="00000000" w14:paraId="40269801" w14:textId="77777777">
        <w:trPr>
          <w:trHeight w:val="225"/>
          <w:tblCellSpacing w:w="15" w:type="dxa"/>
        </w:trPr>
        <w:tc>
          <w:tcPr>
            <w:tcW w:w="0" w:type="auto"/>
            <w:vAlign w:val="center"/>
            <w:hideMark/>
          </w:tcPr>
          <w:p w14:paraId="2EF15B95"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C533EF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0A46447"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5DA7AEB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4E681C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A0DFE06"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25D6E547" w14:textId="77777777" w:rsidR="00000000" w:rsidRDefault="0015578C">
            <w:pPr>
              <w:pStyle w:val="a3"/>
              <w:spacing w:before="0" w:beforeAutospacing="0" w:after="0" w:afterAutospacing="0"/>
              <w:rPr>
                <w:sz w:val="20"/>
                <w:szCs w:val="20"/>
              </w:rPr>
            </w:pPr>
            <w:r>
              <w:rPr>
                <w:sz w:val="20"/>
                <w:szCs w:val="20"/>
              </w:rPr>
              <w:t> </w:t>
            </w:r>
          </w:p>
        </w:tc>
      </w:tr>
      <w:tr w:rsidR="00000000" w14:paraId="03BE81A5" w14:textId="77777777">
        <w:trPr>
          <w:trHeight w:val="225"/>
          <w:tblCellSpacing w:w="15" w:type="dxa"/>
        </w:trPr>
        <w:tc>
          <w:tcPr>
            <w:tcW w:w="0" w:type="auto"/>
            <w:hideMark/>
          </w:tcPr>
          <w:p w14:paraId="23A23595" w14:textId="77777777" w:rsidR="00000000" w:rsidRDefault="0015578C">
            <w:pPr>
              <w:pStyle w:val="a3"/>
              <w:spacing w:before="0" w:beforeAutospacing="0" w:after="0" w:afterAutospacing="0"/>
              <w:jc w:val="center"/>
              <w:rPr>
                <w:sz w:val="20"/>
                <w:szCs w:val="20"/>
              </w:rPr>
            </w:pPr>
            <w:r>
              <w:rPr>
                <w:sz w:val="20"/>
                <w:szCs w:val="20"/>
              </w:rPr>
              <w:t>Assets</w:t>
            </w:r>
          </w:p>
        </w:tc>
        <w:tc>
          <w:tcPr>
            <w:tcW w:w="50" w:type="pct"/>
            <w:noWrap/>
            <w:vAlign w:val="center"/>
            <w:hideMark/>
          </w:tcPr>
          <w:p w14:paraId="20EE5917"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72DC9787"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3ADFD86"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4E3AB50"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7D2FE749"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1C8E9CF" w14:textId="77777777" w:rsidR="00000000" w:rsidRDefault="0015578C">
            <w:pPr>
              <w:pStyle w:val="a3"/>
              <w:spacing w:before="0" w:beforeAutospacing="0" w:after="0" w:afterAutospacing="0"/>
              <w:rPr>
                <w:sz w:val="20"/>
                <w:szCs w:val="20"/>
              </w:rPr>
            </w:pPr>
            <w:r>
              <w:rPr>
                <w:sz w:val="20"/>
                <w:szCs w:val="20"/>
              </w:rPr>
              <w:t> </w:t>
            </w:r>
          </w:p>
        </w:tc>
      </w:tr>
      <w:tr w:rsidR="00000000" w14:paraId="76B138D6" w14:textId="77777777">
        <w:trPr>
          <w:trHeight w:val="225"/>
          <w:tblCellSpacing w:w="15" w:type="dxa"/>
        </w:trPr>
        <w:tc>
          <w:tcPr>
            <w:tcW w:w="0" w:type="auto"/>
            <w:hideMark/>
          </w:tcPr>
          <w:p w14:paraId="3E804972" w14:textId="77777777" w:rsidR="00000000" w:rsidRDefault="0015578C">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14:paraId="5A8E5E3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22C1994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7823350D"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79B72D4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0350086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0603A81" w14:textId="77777777" w:rsidR="00000000" w:rsidRDefault="0015578C">
            <w:pPr>
              <w:pStyle w:val="a3"/>
              <w:spacing w:before="0" w:beforeAutospacing="0" w:after="0" w:afterAutospacing="0"/>
              <w:rPr>
                <w:sz w:val="20"/>
                <w:szCs w:val="20"/>
              </w:rPr>
            </w:pPr>
            <w:r>
              <w:rPr>
                <w:sz w:val="20"/>
                <w:szCs w:val="20"/>
              </w:rPr>
              <w:t> </w:t>
            </w:r>
          </w:p>
        </w:tc>
      </w:tr>
      <w:tr w:rsidR="00000000" w14:paraId="4551E56E" w14:textId="77777777">
        <w:trPr>
          <w:trHeight w:val="225"/>
          <w:tblCellSpacing w:w="15" w:type="dxa"/>
        </w:trPr>
        <w:tc>
          <w:tcPr>
            <w:tcW w:w="0" w:type="auto"/>
            <w:shd w:val="clear" w:color="auto" w:fill="CCEEFF"/>
            <w:hideMark/>
          </w:tcPr>
          <w:p w14:paraId="07DE4FA6" w14:textId="77777777" w:rsidR="00000000" w:rsidRDefault="0015578C">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14:paraId="76A247F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AB0364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51E664E" w14:textId="77777777" w:rsidR="00000000" w:rsidRDefault="0015578C">
            <w:pPr>
              <w:jc w:val="right"/>
              <w:rPr>
                <w:rFonts w:eastAsia="Times New Roman"/>
                <w:sz w:val="20"/>
                <w:szCs w:val="20"/>
              </w:rPr>
            </w:pPr>
            <w:r>
              <w:rPr>
                <w:rFonts w:eastAsia="Times New Roman"/>
                <w:sz w:val="20"/>
                <w:szCs w:val="20"/>
              </w:rPr>
              <w:t>316</w:t>
            </w:r>
          </w:p>
        </w:tc>
        <w:tc>
          <w:tcPr>
            <w:tcW w:w="50" w:type="pct"/>
            <w:shd w:val="clear" w:color="auto" w:fill="CCEEFF"/>
            <w:noWrap/>
            <w:vAlign w:val="center"/>
            <w:hideMark/>
          </w:tcPr>
          <w:p w14:paraId="5A47A07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8E4D9A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E7F2B1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FA422FC" w14:textId="77777777" w:rsidR="00000000" w:rsidRDefault="0015578C">
            <w:pPr>
              <w:jc w:val="right"/>
              <w:rPr>
                <w:rFonts w:eastAsia="Times New Roman"/>
                <w:sz w:val="20"/>
                <w:szCs w:val="20"/>
              </w:rPr>
            </w:pPr>
            <w:r>
              <w:rPr>
                <w:rFonts w:eastAsia="Times New Roman"/>
                <w:sz w:val="20"/>
                <w:szCs w:val="20"/>
              </w:rPr>
              <w:t>462</w:t>
            </w:r>
          </w:p>
        </w:tc>
        <w:tc>
          <w:tcPr>
            <w:tcW w:w="50" w:type="pct"/>
            <w:shd w:val="clear" w:color="auto" w:fill="CCEEFF"/>
            <w:noWrap/>
            <w:vAlign w:val="center"/>
            <w:hideMark/>
          </w:tcPr>
          <w:p w14:paraId="56DF0865" w14:textId="77777777" w:rsidR="00000000" w:rsidRDefault="0015578C">
            <w:pPr>
              <w:pStyle w:val="a3"/>
              <w:spacing w:before="0" w:beforeAutospacing="0" w:after="0" w:afterAutospacing="0"/>
              <w:rPr>
                <w:sz w:val="20"/>
                <w:szCs w:val="20"/>
              </w:rPr>
            </w:pPr>
            <w:r>
              <w:rPr>
                <w:sz w:val="20"/>
                <w:szCs w:val="20"/>
              </w:rPr>
              <w:t> </w:t>
            </w:r>
          </w:p>
        </w:tc>
      </w:tr>
      <w:tr w:rsidR="00000000" w14:paraId="115EF7B1" w14:textId="77777777">
        <w:trPr>
          <w:trHeight w:val="225"/>
          <w:tblCellSpacing w:w="15" w:type="dxa"/>
        </w:trPr>
        <w:tc>
          <w:tcPr>
            <w:tcW w:w="0" w:type="auto"/>
            <w:shd w:val="clear" w:color="auto" w:fill="FFFFFF"/>
            <w:hideMark/>
          </w:tcPr>
          <w:p w14:paraId="71DB8586" w14:textId="77777777" w:rsidR="00000000" w:rsidRDefault="0015578C">
            <w:pPr>
              <w:pStyle w:val="a3"/>
              <w:spacing w:before="0" w:beforeAutospacing="0" w:after="0" w:afterAutospacing="0"/>
              <w:ind w:left="225"/>
              <w:rPr>
                <w:sz w:val="20"/>
                <w:szCs w:val="20"/>
              </w:rPr>
            </w:pPr>
            <w:r>
              <w:rPr>
                <w:sz w:val="20"/>
                <w:szCs w:val="20"/>
              </w:rPr>
              <w:t>Short-term investments, at fair value</w:t>
            </w:r>
          </w:p>
        </w:tc>
        <w:tc>
          <w:tcPr>
            <w:tcW w:w="50" w:type="pct"/>
            <w:shd w:val="clear" w:color="auto" w:fill="FFFFFF"/>
            <w:noWrap/>
            <w:vAlign w:val="center"/>
            <w:hideMark/>
          </w:tcPr>
          <w:p w14:paraId="0D9E5A5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EFCB4C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FAF9208" w14:textId="77777777" w:rsidR="00000000" w:rsidRDefault="0015578C">
            <w:pPr>
              <w:jc w:val="right"/>
              <w:rPr>
                <w:rFonts w:eastAsia="Times New Roman"/>
                <w:sz w:val="20"/>
                <w:szCs w:val="20"/>
              </w:rPr>
            </w:pPr>
            <w:r>
              <w:rPr>
                <w:rFonts w:eastAsia="Times New Roman"/>
                <w:sz w:val="20"/>
                <w:szCs w:val="20"/>
              </w:rPr>
              <w:t>3,951</w:t>
            </w:r>
          </w:p>
        </w:tc>
        <w:tc>
          <w:tcPr>
            <w:tcW w:w="50" w:type="pct"/>
            <w:shd w:val="clear" w:color="auto" w:fill="FFFFFF"/>
            <w:noWrap/>
            <w:vAlign w:val="center"/>
            <w:hideMark/>
          </w:tcPr>
          <w:p w14:paraId="5D81F3A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D6E2B9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68AD70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767466F" w14:textId="77777777" w:rsidR="00000000" w:rsidRDefault="0015578C">
            <w:pPr>
              <w:jc w:val="right"/>
              <w:rPr>
                <w:rFonts w:eastAsia="Times New Roman"/>
                <w:sz w:val="20"/>
                <w:szCs w:val="20"/>
              </w:rPr>
            </w:pPr>
            <w:r>
              <w:rPr>
                <w:rFonts w:eastAsia="Times New Roman"/>
                <w:sz w:val="20"/>
                <w:szCs w:val="20"/>
              </w:rPr>
              <w:t>5,087</w:t>
            </w:r>
          </w:p>
        </w:tc>
        <w:tc>
          <w:tcPr>
            <w:tcW w:w="50" w:type="pct"/>
            <w:shd w:val="clear" w:color="auto" w:fill="FFFFFF"/>
            <w:noWrap/>
            <w:vAlign w:val="center"/>
            <w:hideMark/>
          </w:tcPr>
          <w:p w14:paraId="500600F1" w14:textId="77777777" w:rsidR="00000000" w:rsidRDefault="0015578C">
            <w:pPr>
              <w:pStyle w:val="a3"/>
              <w:spacing w:before="0" w:beforeAutospacing="0" w:after="0" w:afterAutospacing="0"/>
              <w:rPr>
                <w:sz w:val="20"/>
                <w:szCs w:val="20"/>
              </w:rPr>
            </w:pPr>
            <w:r>
              <w:rPr>
                <w:sz w:val="20"/>
                <w:szCs w:val="20"/>
              </w:rPr>
              <w:t> </w:t>
            </w:r>
          </w:p>
        </w:tc>
      </w:tr>
      <w:tr w:rsidR="00000000" w14:paraId="2A5FA873" w14:textId="77777777">
        <w:trPr>
          <w:trHeight w:val="225"/>
          <w:tblCellSpacing w:w="15" w:type="dxa"/>
        </w:trPr>
        <w:tc>
          <w:tcPr>
            <w:tcW w:w="0" w:type="auto"/>
            <w:shd w:val="clear" w:color="auto" w:fill="CCEEFF"/>
            <w:hideMark/>
          </w:tcPr>
          <w:p w14:paraId="0351087D" w14:textId="77777777" w:rsidR="00000000" w:rsidRDefault="0015578C">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14:paraId="56BF45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2EB715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D68F7D2" w14:textId="77777777" w:rsidR="00000000" w:rsidRDefault="0015578C">
            <w:pPr>
              <w:jc w:val="right"/>
              <w:rPr>
                <w:rFonts w:eastAsia="Times New Roman"/>
                <w:sz w:val="20"/>
                <w:szCs w:val="20"/>
              </w:rPr>
            </w:pPr>
            <w:r>
              <w:rPr>
                <w:rFonts w:eastAsia="Times New Roman"/>
                <w:sz w:val="20"/>
                <w:szCs w:val="20"/>
              </w:rPr>
              <w:t>949</w:t>
            </w:r>
          </w:p>
        </w:tc>
        <w:tc>
          <w:tcPr>
            <w:tcW w:w="50" w:type="pct"/>
            <w:shd w:val="clear" w:color="auto" w:fill="CCEEFF"/>
            <w:noWrap/>
            <w:vAlign w:val="center"/>
            <w:hideMark/>
          </w:tcPr>
          <w:p w14:paraId="5EF7F08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8D2851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F47AED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C0B9439" w14:textId="77777777" w:rsidR="00000000" w:rsidRDefault="0015578C">
            <w:pPr>
              <w:jc w:val="right"/>
              <w:rPr>
                <w:rFonts w:eastAsia="Times New Roman"/>
                <w:sz w:val="20"/>
                <w:szCs w:val="20"/>
              </w:rPr>
            </w:pPr>
            <w:r>
              <w:rPr>
                <w:rFonts w:eastAsia="Times New Roman"/>
                <w:sz w:val="20"/>
                <w:szCs w:val="20"/>
              </w:rPr>
              <w:t>1,307</w:t>
            </w:r>
          </w:p>
        </w:tc>
        <w:tc>
          <w:tcPr>
            <w:tcW w:w="50" w:type="pct"/>
            <w:shd w:val="clear" w:color="auto" w:fill="CCEEFF"/>
            <w:noWrap/>
            <w:vAlign w:val="center"/>
            <w:hideMark/>
          </w:tcPr>
          <w:p w14:paraId="53421D02" w14:textId="77777777" w:rsidR="00000000" w:rsidRDefault="0015578C">
            <w:pPr>
              <w:pStyle w:val="a3"/>
              <w:spacing w:before="0" w:beforeAutospacing="0" w:after="0" w:afterAutospacing="0"/>
              <w:rPr>
                <w:sz w:val="20"/>
                <w:szCs w:val="20"/>
              </w:rPr>
            </w:pPr>
            <w:r>
              <w:rPr>
                <w:sz w:val="20"/>
                <w:szCs w:val="20"/>
              </w:rPr>
              <w:t> </w:t>
            </w:r>
          </w:p>
        </w:tc>
      </w:tr>
      <w:tr w:rsidR="00000000" w14:paraId="6A92F430" w14:textId="77777777">
        <w:trPr>
          <w:trHeight w:val="225"/>
          <w:tblCellSpacing w:w="15" w:type="dxa"/>
        </w:trPr>
        <w:tc>
          <w:tcPr>
            <w:tcW w:w="0" w:type="auto"/>
            <w:shd w:val="clear" w:color="auto" w:fill="FFFFFF"/>
            <w:hideMark/>
          </w:tcPr>
          <w:p w14:paraId="32CE0BA2" w14:textId="77777777" w:rsidR="00000000" w:rsidRDefault="0015578C">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14:paraId="25A1271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32662E2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5060F06" w14:textId="77777777" w:rsidR="00000000" w:rsidRDefault="0015578C">
            <w:pPr>
              <w:jc w:val="right"/>
              <w:rPr>
                <w:rFonts w:eastAsia="Times New Roman"/>
                <w:sz w:val="20"/>
                <w:szCs w:val="20"/>
              </w:rPr>
            </w:pPr>
            <w:r>
              <w:rPr>
                <w:rFonts w:eastAsia="Times New Roman"/>
                <w:sz w:val="20"/>
                <w:szCs w:val="20"/>
              </w:rPr>
              <w:t>38</w:t>
            </w:r>
          </w:p>
        </w:tc>
        <w:tc>
          <w:tcPr>
            <w:tcW w:w="50" w:type="pct"/>
            <w:shd w:val="clear" w:color="auto" w:fill="FFFFFF"/>
            <w:noWrap/>
            <w:tcMar>
              <w:top w:w="0" w:type="dxa"/>
              <w:left w:w="0" w:type="dxa"/>
              <w:bottom w:w="15" w:type="dxa"/>
              <w:right w:w="0" w:type="dxa"/>
            </w:tcMar>
            <w:vAlign w:val="center"/>
            <w:hideMark/>
          </w:tcPr>
          <w:p w14:paraId="247B262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372AEB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1A6279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E4A3FD2" w14:textId="77777777" w:rsidR="00000000" w:rsidRDefault="0015578C">
            <w:pPr>
              <w:jc w:val="right"/>
              <w:rPr>
                <w:rFonts w:eastAsia="Times New Roman"/>
                <w:sz w:val="20"/>
                <w:szCs w:val="20"/>
              </w:rPr>
            </w:pPr>
            <w:r>
              <w:rPr>
                <w:rFonts w:eastAsia="Times New Roman"/>
                <w:sz w:val="20"/>
                <w:szCs w:val="20"/>
              </w:rPr>
              <w:t>303</w:t>
            </w:r>
          </w:p>
        </w:tc>
        <w:tc>
          <w:tcPr>
            <w:tcW w:w="50" w:type="pct"/>
            <w:shd w:val="clear" w:color="auto" w:fill="FFFFFF"/>
            <w:noWrap/>
            <w:tcMar>
              <w:top w:w="0" w:type="dxa"/>
              <w:left w:w="0" w:type="dxa"/>
              <w:bottom w:w="15" w:type="dxa"/>
              <w:right w:w="0" w:type="dxa"/>
            </w:tcMar>
            <w:vAlign w:val="center"/>
            <w:hideMark/>
          </w:tcPr>
          <w:p w14:paraId="617F4550" w14:textId="77777777" w:rsidR="00000000" w:rsidRDefault="0015578C">
            <w:pPr>
              <w:pStyle w:val="a3"/>
              <w:spacing w:before="0" w:beforeAutospacing="0" w:after="0" w:afterAutospacing="0"/>
              <w:rPr>
                <w:sz w:val="20"/>
                <w:szCs w:val="20"/>
              </w:rPr>
            </w:pPr>
            <w:r>
              <w:rPr>
                <w:sz w:val="20"/>
                <w:szCs w:val="20"/>
              </w:rPr>
              <w:t> </w:t>
            </w:r>
          </w:p>
        </w:tc>
      </w:tr>
      <w:tr w:rsidR="00000000" w14:paraId="74149275" w14:textId="77777777">
        <w:trPr>
          <w:trHeight w:val="225"/>
          <w:tblCellSpacing w:w="15" w:type="dxa"/>
        </w:trPr>
        <w:tc>
          <w:tcPr>
            <w:tcW w:w="0" w:type="auto"/>
            <w:shd w:val="clear" w:color="auto" w:fill="CCEEFF"/>
            <w:hideMark/>
          </w:tcPr>
          <w:p w14:paraId="22AEC562" w14:textId="77777777" w:rsidR="00000000" w:rsidRDefault="0015578C">
            <w:pPr>
              <w:pStyle w:val="a3"/>
              <w:spacing w:before="0" w:beforeAutospacing="0" w:after="0" w:afterAutospacing="0"/>
              <w:ind w:left="450"/>
              <w:rPr>
                <w:sz w:val="20"/>
                <w:szCs w:val="20"/>
              </w:rPr>
            </w:pPr>
            <w:r>
              <w:rPr>
                <w:sz w:val="20"/>
                <w:szCs w:val="20"/>
              </w:rPr>
              <w:t>Total current assets</w:t>
            </w:r>
          </w:p>
        </w:tc>
        <w:tc>
          <w:tcPr>
            <w:tcW w:w="50" w:type="pct"/>
            <w:shd w:val="clear" w:color="auto" w:fill="CCEEFF"/>
            <w:noWrap/>
            <w:vAlign w:val="center"/>
            <w:hideMark/>
          </w:tcPr>
          <w:p w14:paraId="25D7025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4809C5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4FB8BCE" w14:textId="77777777" w:rsidR="00000000" w:rsidRDefault="0015578C">
            <w:pPr>
              <w:jc w:val="right"/>
              <w:rPr>
                <w:rFonts w:eastAsia="Times New Roman"/>
                <w:sz w:val="20"/>
                <w:szCs w:val="20"/>
              </w:rPr>
            </w:pPr>
            <w:r>
              <w:rPr>
                <w:rFonts w:eastAsia="Times New Roman"/>
                <w:sz w:val="20"/>
                <w:szCs w:val="20"/>
              </w:rPr>
              <w:t>5,254</w:t>
            </w:r>
          </w:p>
        </w:tc>
        <w:tc>
          <w:tcPr>
            <w:tcW w:w="50" w:type="pct"/>
            <w:shd w:val="clear" w:color="auto" w:fill="CCEEFF"/>
            <w:noWrap/>
            <w:vAlign w:val="center"/>
            <w:hideMark/>
          </w:tcPr>
          <w:p w14:paraId="112F268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8E5772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1843B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BEBBB8C" w14:textId="77777777" w:rsidR="00000000" w:rsidRDefault="0015578C">
            <w:pPr>
              <w:jc w:val="right"/>
              <w:rPr>
                <w:rFonts w:eastAsia="Times New Roman"/>
                <w:sz w:val="20"/>
                <w:szCs w:val="20"/>
              </w:rPr>
            </w:pPr>
            <w:r>
              <w:rPr>
                <w:rFonts w:eastAsia="Times New Roman"/>
                <w:sz w:val="20"/>
                <w:szCs w:val="20"/>
              </w:rPr>
              <w:t>7,159</w:t>
            </w:r>
          </w:p>
        </w:tc>
        <w:tc>
          <w:tcPr>
            <w:tcW w:w="50" w:type="pct"/>
            <w:shd w:val="clear" w:color="auto" w:fill="CCEEFF"/>
            <w:noWrap/>
            <w:vAlign w:val="center"/>
            <w:hideMark/>
          </w:tcPr>
          <w:p w14:paraId="3D86B683" w14:textId="77777777" w:rsidR="00000000" w:rsidRDefault="0015578C">
            <w:pPr>
              <w:pStyle w:val="a3"/>
              <w:spacing w:before="0" w:beforeAutospacing="0" w:after="0" w:afterAutospacing="0"/>
              <w:rPr>
                <w:sz w:val="20"/>
                <w:szCs w:val="20"/>
              </w:rPr>
            </w:pPr>
            <w:r>
              <w:rPr>
                <w:sz w:val="20"/>
                <w:szCs w:val="20"/>
              </w:rPr>
              <w:t> </w:t>
            </w:r>
          </w:p>
        </w:tc>
      </w:tr>
      <w:tr w:rsidR="00000000" w14:paraId="1CBF332F" w14:textId="77777777">
        <w:trPr>
          <w:trHeight w:val="225"/>
          <w:tblCellSpacing w:w="15" w:type="dxa"/>
        </w:trPr>
        <w:tc>
          <w:tcPr>
            <w:tcW w:w="0" w:type="auto"/>
            <w:shd w:val="clear" w:color="auto" w:fill="FFFFFF"/>
            <w:vAlign w:val="center"/>
            <w:hideMark/>
          </w:tcPr>
          <w:p w14:paraId="54438EA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EC4C27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D65E7C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979001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04C9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CBC6CF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3AE267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1B07579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3B6F41A" w14:textId="77777777" w:rsidR="00000000" w:rsidRDefault="0015578C">
            <w:pPr>
              <w:pStyle w:val="a3"/>
              <w:spacing w:before="0" w:beforeAutospacing="0" w:after="0" w:afterAutospacing="0"/>
              <w:rPr>
                <w:sz w:val="20"/>
                <w:szCs w:val="20"/>
              </w:rPr>
            </w:pPr>
            <w:r>
              <w:rPr>
                <w:sz w:val="20"/>
                <w:szCs w:val="20"/>
              </w:rPr>
              <w:t> </w:t>
            </w:r>
          </w:p>
        </w:tc>
      </w:tr>
      <w:tr w:rsidR="00000000" w14:paraId="7103C5C1" w14:textId="77777777">
        <w:trPr>
          <w:trHeight w:val="225"/>
          <w:tblCellSpacing w:w="15" w:type="dxa"/>
        </w:trPr>
        <w:tc>
          <w:tcPr>
            <w:tcW w:w="0" w:type="auto"/>
            <w:shd w:val="clear" w:color="auto" w:fill="CCEEFF"/>
            <w:hideMark/>
          </w:tcPr>
          <w:p w14:paraId="6E1B4C37" w14:textId="77777777" w:rsidR="00000000" w:rsidRDefault="0015578C">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14:paraId="2847D86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74511E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FCD8145" w14:textId="77777777" w:rsidR="00000000" w:rsidRDefault="0015578C">
            <w:pPr>
              <w:jc w:val="right"/>
              <w:rPr>
                <w:rFonts w:eastAsia="Times New Roman"/>
                <w:sz w:val="20"/>
                <w:szCs w:val="20"/>
              </w:rPr>
            </w:pPr>
            <w:r>
              <w:rPr>
                <w:rFonts w:eastAsia="Times New Roman"/>
                <w:sz w:val="20"/>
                <w:szCs w:val="20"/>
              </w:rPr>
              <w:t>16,646</w:t>
            </w:r>
          </w:p>
        </w:tc>
        <w:tc>
          <w:tcPr>
            <w:tcW w:w="50" w:type="pct"/>
            <w:shd w:val="clear" w:color="auto" w:fill="CCEEFF"/>
            <w:noWrap/>
            <w:vAlign w:val="center"/>
            <w:hideMark/>
          </w:tcPr>
          <w:p w14:paraId="69E51B8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55E77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418082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8FCC60A" w14:textId="77777777" w:rsidR="00000000" w:rsidRDefault="0015578C">
            <w:pPr>
              <w:jc w:val="right"/>
              <w:rPr>
                <w:rFonts w:eastAsia="Times New Roman"/>
                <w:sz w:val="20"/>
                <w:szCs w:val="20"/>
              </w:rPr>
            </w:pPr>
            <w:r>
              <w:rPr>
                <w:rFonts w:eastAsia="Times New Roman"/>
                <w:sz w:val="20"/>
                <w:szCs w:val="20"/>
              </w:rPr>
              <w:t>16,306</w:t>
            </w:r>
          </w:p>
        </w:tc>
        <w:tc>
          <w:tcPr>
            <w:tcW w:w="50" w:type="pct"/>
            <w:shd w:val="clear" w:color="auto" w:fill="CCEEFF"/>
            <w:noWrap/>
            <w:vAlign w:val="center"/>
            <w:hideMark/>
          </w:tcPr>
          <w:p w14:paraId="64461E42" w14:textId="77777777" w:rsidR="00000000" w:rsidRDefault="0015578C">
            <w:pPr>
              <w:pStyle w:val="a3"/>
              <w:spacing w:before="0" w:beforeAutospacing="0" w:after="0" w:afterAutospacing="0"/>
              <w:rPr>
                <w:sz w:val="20"/>
                <w:szCs w:val="20"/>
              </w:rPr>
            </w:pPr>
            <w:r>
              <w:rPr>
                <w:sz w:val="20"/>
                <w:szCs w:val="20"/>
              </w:rPr>
              <w:t> </w:t>
            </w:r>
          </w:p>
        </w:tc>
      </w:tr>
      <w:tr w:rsidR="00000000" w14:paraId="4CF24424" w14:textId="77777777">
        <w:trPr>
          <w:trHeight w:val="225"/>
          <w:tblCellSpacing w:w="15" w:type="dxa"/>
        </w:trPr>
        <w:tc>
          <w:tcPr>
            <w:tcW w:w="0" w:type="auto"/>
            <w:shd w:val="clear" w:color="auto" w:fill="FFFFFF"/>
            <w:hideMark/>
          </w:tcPr>
          <w:p w14:paraId="38C68004" w14:textId="77777777" w:rsidR="00000000" w:rsidRDefault="0015578C">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14:paraId="3229D98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A8A826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7EB9A75E" w14:textId="77777777" w:rsidR="00000000" w:rsidRDefault="0015578C">
            <w:pPr>
              <w:jc w:val="right"/>
              <w:rPr>
                <w:rFonts w:eastAsia="Times New Roman"/>
                <w:sz w:val="20"/>
                <w:szCs w:val="20"/>
              </w:rPr>
            </w:pPr>
            <w:r>
              <w:rPr>
                <w:rFonts w:eastAsia="Times New Roman"/>
                <w:sz w:val="20"/>
                <w:szCs w:val="20"/>
              </w:rPr>
              <w:t>134</w:t>
            </w:r>
          </w:p>
        </w:tc>
        <w:tc>
          <w:tcPr>
            <w:tcW w:w="50" w:type="pct"/>
            <w:shd w:val="clear" w:color="auto" w:fill="FFFFFF"/>
            <w:noWrap/>
            <w:tcMar>
              <w:top w:w="0" w:type="dxa"/>
              <w:left w:w="0" w:type="dxa"/>
              <w:bottom w:w="15" w:type="dxa"/>
              <w:right w:w="0" w:type="dxa"/>
            </w:tcMar>
            <w:vAlign w:val="center"/>
            <w:hideMark/>
          </w:tcPr>
          <w:p w14:paraId="3356CE5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435B4F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3B6D5DA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DAD856F" w14:textId="77777777" w:rsidR="00000000" w:rsidRDefault="0015578C">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14:paraId="34E4EA03" w14:textId="77777777" w:rsidR="00000000" w:rsidRDefault="0015578C">
            <w:pPr>
              <w:pStyle w:val="a3"/>
              <w:spacing w:before="0" w:beforeAutospacing="0" w:after="0" w:afterAutospacing="0"/>
              <w:rPr>
                <w:sz w:val="20"/>
                <w:szCs w:val="20"/>
              </w:rPr>
            </w:pPr>
            <w:r>
              <w:rPr>
                <w:sz w:val="20"/>
                <w:szCs w:val="20"/>
              </w:rPr>
              <w:t> </w:t>
            </w:r>
          </w:p>
        </w:tc>
      </w:tr>
      <w:tr w:rsidR="00000000" w14:paraId="160C305F" w14:textId="77777777">
        <w:trPr>
          <w:trHeight w:val="225"/>
          <w:tblCellSpacing w:w="15" w:type="dxa"/>
        </w:trPr>
        <w:tc>
          <w:tcPr>
            <w:tcW w:w="0" w:type="auto"/>
            <w:shd w:val="clear" w:color="auto" w:fill="CCEEFF"/>
            <w:hideMark/>
          </w:tcPr>
          <w:p w14:paraId="052CE4C2" w14:textId="77777777" w:rsidR="00000000" w:rsidRDefault="0015578C">
            <w:pPr>
              <w:pStyle w:val="a3"/>
              <w:spacing w:before="0" w:beforeAutospacing="0" w:after="0" w:afterAutospacing="0"/>
              <w:ind w:left="450"/>
              <w:rPr>
                <w:sz w:val="20"/>
                <w:szCs w:val="20"/>
              </w:rPr>
            </w:pPr>
            <w:r>
              <w:rPr>
                <w:sz w:val="20"/>
                <w:szCs w:val="20"/>
              </w:rPr>
              <w:t>Total assets</w:t>
            </w:r>
          </w:p>
        </w:tc>
        <w:tc>
          <w:tcPr>
            <w:tcW w:w="50" w:type="pct"/>
            <w:shd w:val="clear" w:color="auto" w:fill="CCEEFF"/>
            <w:noWrap/>
            <w:vAlign w:val="center"/>
            <w:hideMark/>
          </w:tcPr>
          <w:p w14:paraId="2650AB7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7FCF990C"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5A2F5BDE" w14:textId="77777777" w:rsidR="00000000" w:rsidRDefault="0015578C">
            <w:pPr>
              <w:jc w:val="right"/>
              <w:rPr>
                <w:rFonts w:eastAsia="Times New Roman"/>
                <w:sz w:val="20"/>
                <w:szCs w:val="20"/>
              </w:rPr>
            </w:pPr>
            <w:r>
              <w:rPr>
                <w:rFonts w:eastAsia="Times New Roman"/>
                <w:sz w:val="20"/>
                <w:szCs w:val="20"/>
              </w:rPr>
              <w:t>22,034</w:t>
            </w:r>
          </w:p>
        </w:tc>
        <w:tc>
          <w:tcPr>
            <w:tcW w:w="50" w:type="pct"/>
            <w:shd w:val="clear" w:color="auto" w:fill="CCEEFF"/>
            <w:noWrap/>
            <w:tcMar>
              <w:top w:w="0" w:type="dxa"/>
              <w:left w:w="0" w:type="dxa"/>
              <w:bottom w:w="15" w:type="dxa"/>
              <w:right w:w="0" w:type="dxa"/>
            </w:tcMar>
            <w:vAlign w:val="center"/>
            <w:hideMark/>
          </w:tcPr>
          <w:p w14:paraId="65E42C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D9AE71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3AA13DE5"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56D0457E" w14:textId="77777777" w:rsidR="00000000" w:rsidRDefault="0015578C">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14:paraId="0F06E1AC" w14:textId="77777777" w:rsidR="00000000" w:rsidRDefault="0015578C">
            <w:pPr>
              <w:pStyle w:val="a3"/>
              <w:spacing w:before="0" w:beforeAutospacing="0" w:after="0" w:afterAutospacing="0"/>
              <w:rPr>
                <w:sz w:val="20"/>
                <w:szCs w:val="20"/>
              </w:rPr>
            </w:pPr>
            <w:r>
              <w:rPr>
                <w:sz w:val="20"/>
                <w:szCs w:val="20"/>
              </w:rPr>
              <w:t> </w:t>
            </w:r>
          </w:p>
        </w:tc>
      </w:tr>
      <w:tr w:rsidR="00000000" w14:paraId="402CB266" w14:textId="77777777">
        <w:trPr>
          <w:trHeight w:val="225"/>
          <w:tblCellSpacing w:w="15" w:type="dxa"/>
        </w:trPr>
        <w:tc>
          <w:tcPr>
            <w:tcW w:w="0" w:type="auto"/>
            <w:shd w:val="clear" w:color="auto" w:fill="FFFFFF"/>
            <w:vAlign w:val="center"/>
            <w:hideMark/>
          </w:tcPr>
          <w:p w14:paraId="6CA858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154EBA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1E0ECA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CE2FEE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5AE8E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9A49F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B96780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687264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D3DF5D" w14:textId="77777777" w:rsidR="00000000" w:rsidRDefault="0015578C">
            <w:pPr>
              <w:pStyle w:val="a3"/>
              <w:spacing w:before="0" w:beforeAutospacing="0" w:after="0" w:afterAutospacing="0"/>
              <w:rPr>
                <w:sz w:val="20"/>
                <w:szCs w:val="20"/>
              </w:rPr>
            </w:pPr>
            <w:r>
              <w:rPr>
                <w:sz w:val="20"/>
                <w:szCs w:val="20"/>
              </w:rPr>
              <w:t> </w:t>
            </w:r>
          </w:p>
        </w:tc>
      </w:tr>
      <w:tr w:rsidR="00000000" w14:paraId="7C0B684F" w14:textId="77777777">
        <w:trPr>
          <w:trHeight w:val="225"/>
          <w:tblCellSpacing w:w="15" w:type="dxa"/>
        </w:trPr>
        <w:tc>
          <w:tcPr>
            <w:tcW w:w="0" w:type="auto"/>
            <w:shd w:val="clear" w:color="auto" w:fill="FFFFFF"/>
            <w:hideMark/>
          </w:tcPr>
          <w:p w14:paraId="0DC4D510" w14:textId="77777777" w:rsidR="00000000" w:rsidRDefault="0015578C">
            <w:pPr>
              <w:pStyle w:val="a3"/>
              <w:spacing w:before="0" w:beforeAutospacing="0" w:after="0" w:afterAutospacing="0"/>
              <w:jc w:val="center"/>
              <w:rPr>
                <w:sz w:val="20"/>
                <w:szCs w:val="20"/>
              </w:rPr>
            </w:pPr>
            <w:r>
              <w:rPr>
                <w:sz w:val="20"/>
                <w:szCs w:val="20"/>
              </w:rPr>
              <w:t>Liabilities and Shareholders’ Equity</w:t>
            </w:r>
          </w:p>
        </w:tc>
        <w:tc>
          <w:tcPr>
            <w:tcW w:w="50" w:type="pct"/>
            <w:shd w:val="clear" w:color="auto" w:fill="FFFFFF"/>
            <w:noWrap/>
            <w:vAlign w:val="center"/>
            <w:hideMark/>
          </w:tcPr>
          <w:p w14:paraId="532E90C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C7493C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5F554A2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60B6BE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F364DC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153EB7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B7C47C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DBB067" w14:textId="77777777" w:rsidR="00000000" w:rsidRDefault="0015578C">
            <w:pPr>
              <w:pStyle w:val="a3"/>
              <w:spacing w:before="0" w:beforeAutospacing="0" w:after="0" w:afterAutospacing="0"/>
              <w:rPr>
                <w:sz w:val="20"/>
                <w:szCs w:val="20"/>
              </w:rPr>
            </w:pPr>
            <w:r>
              <w:rPr>
                <w:sz w:val="20"/>
                <w:szCs w:val="20"/>
              </w:rPr>
              <w:t> </w:t>
            </w:r>
          </w:p>
        </w:tc>
      </w:tr>
      <w:tr w:rsidR="00000000" w14:paraId="54834AD1" w14:textId="77777777">
        <w:trPr>
          <w:trHeight w:val="225"/>
          <w:tblCellSpacing w:w="15" w:type="dxa"/>
        </w:trPr>
        <w:tc>
          <w:tcPr>
            <w:tcW w:w="0" w:type="auto"/>
            <w:shd w:val="clear" w:color="auto" w:fill="FFFFFF"/>
            <w:hideMark/>
          </w:tcPr>
          <w:p w14:paraId="5CAD9981" w14:textId="77777777" w:rsidR="00000000" w:rsidRDefault="0015578C">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14:paraId="0AE6DEF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604F2F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16EAA96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371B7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CA9BAF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676749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59639D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D9266EC" w14:textId="77777777" w:rsidR="00000000" w:rsidRDefault="0015578C">
            <w:pPr>
              <w:pStyle w:val="a3"/>
              <w:spacing w:before="0" w:beforeAutospacing="0" w:after="0" w:afterAutospacing="0"/>
              <w:rPr>
                <w:sz w:val="20"/>
                <w:szCs w:val="20"/>
              </w:rPr>
            </w:pPr>
            <w:r>
              <w:rPr>
                <w:sz w:val="20"/>
                <w:szCs w:val="20"/>
              </w:rPr>
              <w:t> </w:t>
            </w:r>
          </w:p>
        </w:tc>
      </w:tr>
      <w:tr w:rsidR="00000000" w14:paraId="412403D6" w14:textId="77777777">
        <w:trPr>
          <w:trHeight w:val="225"/>
          <w:tblCellSpacing w:w="15" w:type="dxa"/>
        </w:trPr>
        <w:tc>
          <w:tcPr>
            <w:tcW w:w="0" w:type="auto"/>
            <w:shd w:val="clear" w:color="auto" w:fill="CCEEFF"/>
            <w:hideMark/>
          </w:tcPr>
          <w:p w14:paraId="4BDA2105" w14:textId="77777777" w:rsidR="00000000" w:rsidRDefault="0015578C">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14:paraId="0A31A8A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E1F5DAB"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459248B" w14:textId="77777777" w:rsidR="00000000" w:rsidRDefault="0015578C">
            <w:pPr>
              <w:jc w:val="right"/>
              <w:rPr>
                <w:rFonts w:eastAsia="Times New Roman"/>
                <w:sz w:val="20"/>
                <w:szCs w:val="20"/>
              </w:rPr>
            </w:pPr>
            <w:r>
              <w:rPr>
                <w:rFonts w:eastAsia="Times New Roman"/>
                <w:sz w:val="20"/>
                <w:szCs w:val="20"/>
              </w:rPr>
              <w:t>228</w:t>
            </w:r>
          </w:p>
        </w:tc>
        <w:tc>
          <w:tcPr>
            <w:tcW w:w="50" w:type="pct"/>
            <w:shd w:val="clear" w:color="auto" w:fill="CCEEFF"/>
            <w:noWrap/>
            <w:vAlign w:val="center"/>
            <w:hideMark/>
          </w:tcPr>
          <w:p w14:paraId="6ADB9D8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637CE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5F68829"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DD24397" w14:textId="77777777" w:rsidR="00000000" w:rsidRDefault="0015578C">
            <w:pPr>
              <w:jc w:val="right"/>
              <w:rPr>
                <w:rFonts w:eastAsia="Times New Roman"/>
                <w:sz w:val="20"/>
                <w:szCs w:val="20"/>
              </w:rPr>
            </w:pPr>
            <w:r>
              <w:rPr>
                <w:rFonts w:eastAsia="Times New Roman"/>
                <w:sz w:val="20"/>
                <w:szCs w:val="20"/>
              </w:rPr>
              <w:t>239</w:t>
            </w:r>
          </w:p>
        </w:tc>
        <w:tc>
          <w:tcPr>
            <w:tcW w:w="50" w:type="pct"/>
            <w:shd w:val="clear" w:color="auto" w:fill="CCEEFF"/>
            <w:noWrap/>
            <w:vAlign w:val="center"/>
            <w:hideMark/>
          </w:tcPr>
          <w:p w14:paraId="0677E8A0" w14:textId="77777777" w:rsidR="00000000" w:rsidRDefault="0015578C">
            <w:pPr>
              <w:pStyle w:val="a3"/>
              <w:spacing w:before="0" w:beforeAutospacing="0" w:after="0" w:afterAutospacing="0"/>
              <w:rPr>
                <w:sz w:val="20"/>
                <w:szCs w:val="20"/>
              </w:rPr>
            </w:pPr>
            <w:r>
              <w:rPr>
                <w:sz w:val="20"/>
                <w:szCs w:val="20"/>
              </w:rPr>
              <w:t> </w:t>
            </w:r>
          </w:p>
        </w:tc>
      </w:tr>
      <w:tr w:rsidR="00000000" w14:paraId="3813240A" w14:textId="77777777">
        <w:trPr>
          <w:trHeight w:val="225"/>
          <w:tblCellSpacing w:w="15" w:type="dxa"/>
        </w:trPr>
        <w:tc>
          <w:tcPr>
            <w:tcW w:w="0" w:type="auto"/>
            <w:shd w:val="clear" w:color="auto" w:fill="FFFFFF"/>
            <w:hideMark/>
          </w:tcPr>
          <w:p w14:paraId="1DB40E0C" w14:textId="77777777" w:rsidR="00000000" w:rsidRDefault="0015578C">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14:paraId="1F8BAC0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4C52DE22"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22209F89" w14:textId="77777777" w:rsidR="00000000" w:rsidRDefault="0015578C">
            <w:pPr>
              <w:jc w:val="right"/>
              <w:rPr>
                <w:rFonts w:eastAsia="Times New Roman"/>
                <w:sz w:val="20"/>
                <w:szCs w:val="20"/>
              </w:rPr>
            </w:pPr>
            <w:r>
              <w:rPr>
                <w:rFonts w:eastAsia="Times New Roman"/>
                <w:sz w:val="20"/>
                <w:szCs w:val="20"/>
              </w:rPr>
              <w:t>35</w:t>
            </w:r>
          </w:p>
        </w:tc>
        <w:tc>
          <w:tcPr>
            <w:tcW w:w="50" w:type="pct"/>
            <w:shd w:val="clear" w:color="auto" w:fill="FFFFFF"/>
            <w:noWrap/>
            <w:tcMar>
              <w:top w:w="0" w:type="dxa"/>
              <w:left w:w="0" w:type="dxa"/>
              <w:bottom w:w="15" w:type="dxa"/>
              <w:right w:w="0" w:type="dxa"/>
            </w:tcMar>
            <w:vAlign w:val="center"/>
            <w:hideMark/>
          </w:tcPr>
          <w:p w14:paraId="589514C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A4BC1A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7750306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A5EB7DD" w14:textId="77777777" w:rsidR="00000000" w:rsidRDefault="0015578C">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14:paraId="7EC07345" w14:textId="77777777" w:rsidR="00000000" w:rsidRDefault="0015578C">
            <w:pPr>
              <w:pStyle w:val="a3"/>
              <w:spacing w:before="0" w:beforeAutospacing="0" w:after="0" w:afterAutospacing="0"/>
              <w:rPr>
                <w:sz w:val="20"/>
                <w:szCs w:val="20"/>
              </w:rPr>
            </w:pPr>
            <w:r>
              <w:rPr>
                <w:sz w:val="20"/>
                <w:szCs w:val="20"/>
              </w:rPr>
              <w:t> </w:t>
            </w:r>
          </w:p>
        </w:tc>
      </w:tr>
      <w:tr w:rsidR="00000000" w14:paraId="1F40D0FB" w14:textId="77777777">
        <w:trPr>
          <w:trHeight w:val="225"/>
          <w:tblCellSpacing w:w="15" w:type="dxa"/>
        </w:trPr>
        <w:tc>
          <w:tcPr>
            <w:tcW w:w="0" w:type="auto"/>
            <w:shd w:val="clear" w:color="auto" w:fill="CCEEFF"/>
            <w:hideMark/>
          </w:tcPr>
          <w:p w14:paraId="515A64C8" w14:textId="77777777" w:rsidR="00000000" w:rsidRDefault="0015578C">
            <w:pPr>
              <w:pStyle w:val="a3"/>
              <w:spacing w:before="0" w:beforeAutospacing="0" w:after="0" w:afterAutospacing="0"/>
              <w:ind w:left="450"/>
              <w:rPr>
                <w:sz w:val="20"/>
                <w:szCs w:val="20"/>
              </w:rPr>
            </w:pPr>
            <w:r>
              <w:rPr>
                <w:sz w:val="20"/>
                <w:szCs w:val="20"/>
              </w:rPr>
              <w:t>Total current liabilities</w:t>
            </w:r>
          </w:p>
        </w:tc>
        <w:tc>
          <w:tcPr>
            <w:tcW w:w="50" w:type="pct"/>
            <w:shd w:val="clear" w:color="auto" w:fill="CCEEFF"/>
            <w:noWrap/>
            <w:vAlign w:val="center"/>
            <w:hideMark/>
          </w:tcPr>
          <w:p w14:paraId="13D91BA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B05DA9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A9E8F70" w14:textId="77777777" w:rsidR="00000000" w:rsidRDefault="0015578C">
            <w:pPr>
              <w:jc w:val="right"/>
              <w:rPr>
                <w:rFonts w:eastAsia="Times New Roman"/>
                <w:sz w:val="20"/>
                <w:szCs w:val="20"/>
              </w:rPr>
            </w:pPr>
            <w:r>
              <w:rPr>
                <w:rFonts w:eastAsia="Times New Roman"/>
                <w:sz w:val="20"/>
                <w:szCs w:val="20"/>
              </w:rPr>
              <w:t>263</w:t>
            </w:r>
          </w:p>
        </w:tc>
        <w:tc>
          <w:tcPr>
            <w:tcW w:w="50" w:type="pct"/>
            <w:shd w:val="clear" w:color="auto" w:fill="CCEEFF"/>
            <w:noWrap/>
            <w:vAlign w:val="center"/>
            <w:hideMark/>
          </w:tcPr>
          <w:p w14:paraId="2FF1C6A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95FD8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D12D70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6CF8E24" w14:textId="77777777" w:rsidR="00000000" w:rsidRDefault="0015578C">
            <w:pPr>
              <w:jc w:val="right"/>
              <w:rPr>
                <w:rFonts w:eastAsia="Times New Roman"/>
                <w:sz w:val="20"/>
                <w:szCs w:val="20"/>
              </w:rPr>
            </w:pPr>
            <w:r>
              <w:rPr>
                <w:rFonts w:eastAsia="Times New Roman"/>
                <w:sz w:val="20"/>
                <w:szCs w:val="20"/>
              </w:rPr>
              <w:t>276</w:t>
            </w:r>
          </w:p>
        </w:tc>
        <w:tc>
          <w:tcPr>
            <w:tcW w:w="50" w:type="pct"/>
            <w:shd w:val="clear" w:color="auto" w:fill="CCEEFF"/>
            <w:noWrap/>
            <w:vAlign w:val="center"/>
            <w:hideMark/>
          </w:tcPr>
          <w:p w14:paraId="138CE52E" w14:textId="77777777" w:rsidR="00000000" w:rsidRDefault="0015578C">
            <w:pPr>
              <w:pStyle w:val="a3"/>
              <w:spacing w:before="0" w:beforeAutospacing="0" w:after="0" w:afterAutospacing="0"/>
              <w:rPr>
                <w:sz w:val="20"/>
                <w:szCs w:val="20"/>
              </w:rPr>
            </w:pPr>
            <w:r>
              <w:rPr>
                <w:sz w:val="20"/>
                <w:szCs w:val="20"/>
              </w:rPr>
              <w:t> </w:t>
            </w:r>
          </w:p>
        </w:tc>
      </w:tr>
      <w:tr w:rsidR="00000000" w14:paraId="26F0CB12" w14:textId="77777777">
        <w:trPr>
          <w:trHeight w:val="225"/>
          <w:tblCellSpacing w:w="15" w:type="dxa"/>
        </w:trPr>
        <w:tc>
          <w:tcPr>
            <w:tcW w:w="0" w:type="auto"/>
            <w:shd w:val="clear" w:color="auto" w:fill="FFFFFF"/>
            <w:vAlign w:val="center"/>
            <w:hideMark/>
          </w:tcPr>
          <w:p w14:paraId="149DFAA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BA5F8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2F3E9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4825D4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840A4C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2FE9DD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CFB283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A4376C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30F9ED" w14:textId="77777777" w:rsidR="00000000" w:rsidRDefault="0015578C">
            <w:pPr>
              <w:pStyle w:val="a3"/>
              <w:spacing w:before="0" w:beforeAutospacing="0" w:after="0" w:afterAutospacing="0"/>
              <w:rPr>
                <w:sz w:val="20"/>
                <w:szCs w:val="20"/>
              </w:rPr>
            </w:pPr>
            <w:r>
              <w:rPr>
                <w:sz w:val="20"/>
                <w:szCs w:val="20"/>
              </w:rPr>
              <w:t> </w:t>
            </w:r>
          </w:p>
        </w:tc>
      </w:tr>
      <w:tr w:rsidR="00000000" w14:paraId="1C0E4EBF" w14:textId="77777777">
        <w:trPr>
          <w:trHeight w:val="225"/>
          <w:tblCellSpacing w:w="15" w:type="dxa"/>
        </w:trPr>
        <w:tc>
          <w:tcPr>
            <w:tcW w:w="0" w:type="auto"/>
            <w:shd w:val="clear" w:color="auto" w:fill="CCEEFF"/>
            <w:hideMark/>
          </w:tcPr>
          <w:p w14:paraId="7EAB406F" w14:textId="77777777" w:rsidR="00000000" w:rsidRDefault="0015578C">
            <w:pPr>
              <w:pStyle w:val="a3"/>
              <w:spacing w:before="0" w:beforeAutospacing="0" w:after="0" w:afterAutospacing="0"/>
              <w:rPr>
                <w:sz w:val="20"/>
                <w:szCs w:val="20"/>
              </w:rPr>
            </w:pPr>
            <w:r>
              <w:rPr>
                <w:rStyle w:val="a4"/>
                <w:sz w:val="20"/>
                <w:szCs w:val="20"/>
              </w:rPr>
              <w:t>Long-term liabilities</w:t>
            </w:r>
          </w:p>
        </w:tc>
        <w:tc>
          <w:tcPr>
            <w:tcW w:w="50" w:type="pct"/>
            <w:shd w:val="clear" w:color="auto" w:fill="CCEEFF"/>
            <w:noWrap/>
            <w:vAlign w:val="center"/>
            <w:hideMark/>
          </w:tcPr>
          <w:p w14:paraId="0AD3ECC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2FF4F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6DD6BE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2660C2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ED914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7EB51D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79AEB70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EB0B4A1" w14:textId="77777777" w:rsidR="00000000" w:rsidRDefault="0015578C">
            <w:pPr>
              <w:pStyle w:val="a3"/>
              <w:spacing w:before="0" w:beforeAutospacing="0" w:after="0" w:afterAutospacing="0"/>
              <w:rPr>
                <w:sz w:val="20"/>
                <w:szCs w:val="20"/>
              </w:rPr>
            </w:pPr>
            <w:r>
              <w:rPr>
                <w:sz w:val="20"/>
                <w:szCs w:val="20"/>
              </w:rPr>
              <w:t> </w:t>
            </w:r>
          </w:p>
        </w:tc>
      </w:tr>
      <w:tr w:rsidR="00000000" w14:paraId="07E1B358" w14:textId="77777777">
        <w:trPr>
          <w:trHeight w:val="225"/>
          <w:tblCellSpacing w:w="15" w:type="dxa"/>
        </w:trPr>
        <w:tc>
          <w:tcPr>
            <w:tcW w:w="0" w:type="auto"/>
            <w:shd w:val="clear" w:color="auto" w:fill="FFFFFF"/>
            <w:hideMark/>
          </w:tcPr>
          <w:p w14:paraId="6BEFA916" w14:textId="77777777" w:rsidR="00000000" w:rsidRDefault="0015578C">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FFFFFF"/>
            <w:noWrap/>
            <w:vAlign w:val="center"/>
            <w:hideMark/>
          </w:tcPr>
          <w:p w14:paraId="6436979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D61892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1D70065" w14:textId="77777777" w:rsidR="00000000" w:rsidRDefault="0015578C">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14:paraId="7037061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9F2AE8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E1E2DC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6D043F4" w14:textId="77777777" w:rsidR="00000000" w:rsidRDefault="0015578C">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14:paraId="1ECBB4BF" w14:textId="77777777" w:rsidR="00000000" w:rsidRDefault="0015578C">
            <w:pPr>
              <w:pStyle w:val="a3"/>
              <w:spacing w:before="0" w:beforeAutospacing="0" w:after="0" w:afterAutospacing="0"/>
              <w:rPr>
                <w:sz w:val="20"/>
                <w:szCs w:val="20"/>
              </w:rPr>
            </w:pPr>
            <w:r>
              <w:rPr>
                <w:sz w:val="20"/>
                <w:szCs w:val="20"/>
              </w:rPr>
              <w:t> </w:t>
            </w:r>
          </w:p>
        </w:tc>
      </w:tr>
      <w:tr w:rsidR="00000000" w14:paraId="4AB5150A" w14:textId="77777777">
        <w:trPr>
          <w:trHeight w:val="225"/>
          <w:tblCellSpacing w:w="15" w:type="dxa"/>
        </w:trPr>
        <w:tc>
          <w:tcPr>
            <w:tcW w:w="0" w:type="auto"/>
            <w:shd w:val="clear" w:color="auto" w:fill="CCEEFF"/>
            <w:hideMark/>
          </w:tcPr>
          <w:p w14:paraId="78A9F408" w14:textId="77777777" w:rsidR="00000000" w:rsidRDefault="0015578C">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14:paraId="2B03D88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4D96BC8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2ACBB986"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649916C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00BCCF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3FC34FE3"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42DC92BA" w14:textId="77777777" w:rsidR="00000000" w:rsidRDefault="0015578C">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14:paraId="22F5CC8D" w14:textId="77777777" w:rsidR="00000000" w:rsidRDefault="0015578C">
            <w:pPr>
              <w:pStyle w:val="a3"/>
              <w:spacing w:before="0" w:beforeAutospacing="0" w:after="0" w:afterAutospacing="0"/>
              <w:rPr>
                <w:sz w:val="20"/>
                <w:szCs w:val="20"/>
              </w:rPr>
            </w:pPr>
            <w:r>
              <w:rPr>
                <w:sz w:val="20"/>
                <w:szCs w:val="20"/>
              </w:rPr>
              <w:t> </w:t>
            </w:r>
          </w:p>
        </w:tc>
      </w:tr>
      <w:tr w:rsidR="00000000" w14:paraId="64E38D3B" w14:textId="77777777">
        <w:trPr>
          <w:trHeight w:val="225"/>
          <w:tblCellSpacing w:w="15" w:type="dxa"/>
        </w:trPr>
        <w:tc>
          <w:tcPr>
            <w:tcW w:w="0" w:type="auto"/>
            <w:shd w:val="clear" w:color="auto" w:fill="FFFFFF"/>
            <w:hideMark/>
          </w:tcPr>
          <w:p w14:paraId="1FF4F5FA" w14:textId="77777777" w:rsidR="00000000" w:rsidRDefault="0015578C">
            <w:pPr>
              <w:pStyle w:val="a3"/>
              <w:spacing w:before="0" w:beforeAutospacing="0" w:after="0" w:afterAutospacing="0"/>
              <w:ind w:left="450"/>
              <w:rPr>
                <w:sz w:val="20"/>
                <w:szCs w:val="20"/>
              </w:rPr>
            </w:pPr>
            <w:r>
              <w:rPr>
                <w:sz w:val="20"/>
                <w:szCs w:val="20"/>
              </w:rPr>
              <w:t>Total long-term liabilities</w:t>
            </w:r>
          </w:p>
        </w:tc>
        <w:tc>
          <w:tcPr>
            <w:tcW w:w="50" w:type="pct"/>
            <w:shd w:val="clear" w:color="auto" w:fill="FFFFFF"/>
            <w:noWrap/>
            <w:vAlign w:val="center"/>
            <w:hideMark/>
          </w:tcPr>
          <w:p w14:paraId="138D4D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EDEB97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17CDBCC" w14:textId="77777777" w:rsidR="00000000" w:rsidRDefault="0015578C">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14:paraId="1E09005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A5F04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A41C4C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82788F3" w14:textId="77777777" w:rsidR="00000000" w:rsidRDefault="0015578C">
            <w:pPr>
              <w:jc w:val="right"/>
              <w:rPr>
                <w:rFonts w:eastAsia="Times New Roman"/>
                <w:sz w:val="20"/>
                <w:szCs w:val="20"/>
              </w:rPr>
            </w:pPr>
            <w:r>
              <w:rPr>
                <w:rFonts w:eastAsia="Times New Roman"/>
                <w:sz w:val="20"/>
                <w:szCs w:val="20"/>
              </w:rPr>
              <w:t>160</w:t>
            </w:r>
          </w:p>
        </w:tc>
        <w:tc>
          <w:tcPr>
            <w:tcW w:w="50" w:type="pct"/>
            <w:shd w:val="clear" w:color="auto" w:fill="FFFFFF"/>
            <w:noWrap/>
            <w:vAlign w:val="center"/>
            <w:hideMark/>
          </w:tcPr>
          <w:p w14:paraId="3FBD86A7" w14:textId="77777777" w:rsidR="00000000" w:rsidRDefault="0015578C">
            <w:pPr>
              <w:pStyle w:val="a3"/>
              <w:spacing w:before="0" w:beforeAutospacing="0" w:after="0" w:afterAutospacing="0"/>
              <w:rPr>
                <w:sz w:val="20"/>
                <w:szCs w:val="20"/>
              </w:rPr>
            </w:pPr>
            <w:r>
              <w:rPr>
                <w:sz w:val="20"/>
                <w:szCs w:val="20"/>
              </w:rPr>
              <w:t> </w:t>
            </w:r>
          </w:p>
        </w:tc>
      </w:tr>
      <w:tr w:rsidR="00000000" w14:paraId="466A6145" w14:textId="77777777">
        <w:trPr>
          <w:trHeight w:val="225"/>
          <w:tblCellSpacing w:w="15" w:type="dxa"/>
        </w:trPr>
        <w:tc>
          <w:tcPr>
            <w:tcW w:w="0" w:type="auto"/>
            <w:shd w:val="clear" w:color="auto" w:fill="CCEEFF"/>
            <w:vAlign w:val="center"/>
            <w:hideMark/>
          </w:tcPr>
          <w:p w14:paraId="08AE051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70662C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B0940B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5D03A7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03FEA1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F04900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17544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130A31C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9240898" w14:textId="77777777" w:rsidR="00000000" w:rsidRDefault="0015578C">
            <w:pPr>
              <w:pStyle w:val="a3"/>
              <w:spacing w:before="0" w:beforeAutospacing="0" w:after="0" w:afterAutospacing="0"/>
              <w:rPr>
                <w:sz w:val="20"/>
                <w:szCs w:val="20"/>
              </w:rPr>
            </w:pPr>
            <w:r>
              <w:rPr>
                <w:sz w:val="20"/>
                <w:szCs w:val="20"/>
              </w:rPr>
              <w:t> </w:t>
            </w:r>
          </w:p>
        </w:tc>
      </w:tr>
      <w:tr w:rsidR="00000000" w14:paraId="2D3AE477" w14:textId="77777777">
        <w:trPr>
          <w:trHeight w:val="225"/>
          <w:tblCellSpacing w:w="15" w:type="dxa"/>
        </w:trPr>
        <w:tc>
          <w:tcPr>
            <w:tcW w:w="0" w:type="auto"/>
            <w:shd w:val="clear" w:color="auto" w:fill="FFFFFF"/>
            <w:hideMark/>
          </w:tcPr>
          <w:p w14:paraId="7A227ACA" w14:textId="77777777" w:rsidR="00000000" w:rsidRDefault="0015578C">
            <w:pPr>
              <w:pStyle w:val="a3"/>
              <w:spacing w:before="0" w:beforeAutospacing="0" w:after="0" w:afterAutospacing="0"/>
              <w:rPr>
                <w:sz w:val="20"/>
                <w:szCs w:val="20"/>
              </w:rPr>
            </w:pPr>
            <w:r>
              <w:rPr>
                <w:rStyle w:val="a4"/>
                <w:sz w:val="20"/>
                <w:szCs w:val="20"/>
              </w:rPr>
              <w:t>Commitments and contingencies (Note 9)</w:t>
            </w:r>
          </w:p>
        </w:tc>
        <w:tc>
          <w:tcPr>
            <w:tcW w:w="50" w:type="pct"/>
            <w:shd w:val="clear" w:color="auto" w:fill="FFFFFF"/>
            <w:noWrap/>
            <w:vAlign w:val="center"/>
            <w:hideMark/>
          </w:tcPr>
          <w:p w14:paraId="17CD98B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568456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C3A43C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245E85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EEFA91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B370D3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1A027E1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CAC68BC" w14:textId="77777777" w:rsidR="00000000" w:rsidRDefault="0015578C">
            <w:pPr>
              <w:pStyle w:val="a3"/>
              <w:spacing w:before="0" w:beforeAutospacing="0" w:after="0" w:afterAutospacing="0"/>
              <w:rPr>
                <w:sz w:val="20"/>
                <w:szCs w:val="20"/>
              </w:rPr>
            </w:pPr>
            <w:r>
              <w:rPr>
                <w:sz w:val="20"/>
                <w:szCs w:val="20"/>
              </w:rPr>
              <w:t> </w:t>
            </w:r>
          </w:p>
        </w:tc>
      </w:tr>
      <w:tr w:rsidR="00000000" w14:paraId="7BA2FE4F" w14:textId="77777777">
        <w:trPr>
          <w:trHeight w:val="225"/>
          <w:tblCellSpacing w:w="15" w:type="dxa"/>
        </w:trPr>
        <w:tc>
          <w:tcPr>
            <w:tcW w:w="0" w:type="auto"/>
            <w:shd w:val="clear" w:color="auto" w:fill="CCEEFF"/>
            <w:vAlign w:val="center"/>
            <w:hideMark/>
          </w:tcPr>
          <w:p w14:paraId="475B7F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C4760A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953609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0EADB27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8A3390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8D04A5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9C0C24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12EABD8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755DF9" w14:textId="77777777" w:rsidR="00000000" w:rsidRDefault="0015578C">
            <w:pPr>
              <w:pStyle w:val="a3"/>
              <w:spacing w:before="0" w:beforeAutospacing="0" w:after="0" w:afterAutospacing="0"/>
              <w:rPr>
                <w:sz w:val="20"/>
                <w:szCs w:val="20"/>
              </w:rPr>
            </w:pPr>
            <w:r>
              <w:rPr>
                <w:sz w:val="20"/>
                <w:szCs w:val="20"/>
              </w:rPr>
              <w:t> </w:t>
            </w:r>
          </w:p>
        </w:tc>
      </w:tr>
      <w:tr w:rsidR="00000000" w14:paraId="23661AA8" w14:textId="77777777">
        <w:trPr>
          <w:trHeight w:val="225"/>
          <w:tblCellSpacing w:w="15" w:type="dxa"/>
        </w:trPr>
        <w:tc>
          <w:tcPr>
            <w:tcW w:w="0" w:type="auto"/>
            <w:shd w:val="clear" w:color="auto" w:fill="FFFFFF"/>
            <w:hideMark/>
          </w:tcPr>
          <w:p w14:paraId="37030945" w14:textId="77777777" w:rsidR="00000000" w:rsidRDefault="0015578C">
            <w:pPr>
              <w:pStyle w:val="a3"/>
              <w:spacing w:before="0" w:beforeAutospacing="0" w:after="0" w:afterAutospacing="0"/>
              <w:rPr>
                <w:sz w:val="20"/>
                <w:szCs w:val="20"/>
              </w:rPr>
            </w:pPr>
            <w:r>
              <w:rPr>
                <w:rStyle w:val="a4"/>
                <w:sz w:val="20"/>
                <w:szCs w:val="20"/>
              </w:rPr>
              <w:t>Shareholders’ equity:</w:t>
            </w:r>
          </w:p>
        </w:tc>
        <w:tc>
          <w:tcPr>
            <w:tcW w:w="50" w:type="pct"/>
            <w:shd w:val="clear" w:color="auto" w:fill="FFFFFF"/>
            <w:noWrap/>
            <w:vAlign w:val="center"/>
            <w:hideMark/>
          </w:tcPr>
          <w:p w14:paraId="0A877D8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AE849C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0C6298E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D8FBD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E71B8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BC9253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EA69BA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8AE57AC" w14:textId="77777777" w:rsidR="00000000" w:rsidRDefault="0015578C">
            <w:pPr>
              <w:pStyle w:val="a3"/>
              <w:spacing w:before="0" w:beforeAutospacing="0" w:after="0" w:afterAutospacing="0"/>
              <w:rPr>
                <w:sz w:val="20"/>
                <w:szCs w:val="20"/>
              </w:rPr>
            </w:pPr>
            <w:r>
              <w:rPr>
                <w:sz w:val="20"/>
                <w:szCs w:val="20"/>
              </w:rPr>
              <w:t> </w:t>
            </w:r>
          </w:p>
        </w:tc>
      </w:tr>
      <w:tr w:rsidR="00000000" w14:paraId="36B8B213" w14:textId="77777777">
        <w:trPr>
          <w:trHeight w:val="225"/>
          <w:tblCellSpacing w:w="15" w:type="dxa"/>
        </w:trPr>
        <w:tc>
          <w:tcPr>
            <w:tcW w:w="0" w:type="auto"/>
            <w:shd w:val="clear" w:color="auto" w:fill="CCEEFF"/>
            <w:hideMark/>
          </w:tcPr>
          <w:p w14:paraId="1F196936" w14:textId="77777777" w:rsidR="00000000" w:rsidRDefault="0015578C">
            <w:pPr>
              <w:pStyle w:val="a3"/>
              <w:spacing w:before="0" w:beforeAutospacing="0" w:after="0" w:afterAutospacing="0"/>
              <w:ind w:left="225"/>
              <w:rPr>
                <w:sz w:val="20"/>
                <w:szCs w:val="20"/>
              </w:rPr>
            </w:pPr>
            <w:r>
              <w:rPr>
                <w:sz w:val="20"/>
                <w:szCs w:val="20"/>
              </w:rPr>
              <w:t>Preferred stock, $0.01 par value, authorized 10,000,000 shares (none issued and outstanding at December 31, 2022 and 2021)</w:t>
            </w:r>
          </w:p>
        </w:tc>
        <w:tc>
          <w:tcPr>
            <w:tcW w:w="50" w:type="pct"/>
            <w:shd w:val="clear" w:color="auto" w:fill="CCEEFF"/>
            <w:noWrap/>
            <w:vAlign w:val="center"/>
            <w:hideMark/>
          </w:tcPr>
          <w:p w14:paraId="2CE60FB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0F5A3D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A9A5594"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4DD1E1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7CA000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B6F25B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207BBC6"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DBB5500" w14:textId="77777777" w:rsidR="00000000" w:rsidRDefault="0015578C">
            <w:pPr>
              <w:pStyle w:val="a3"/>
              <w:spacing w:before="0" w:beforeAutospacing="0" w:after="0" w:afterAutospacing="0"/>
              <w:rPr>
                <w:sz w:val="20"/>
                <w:szCs w:val="20"/>
              </w:rPr>
            </w:pPr>
            <w:r>
              <w:rPr>
                <w:sz w:val="20"/>
                <w:szCs w:val="20"/>
              </w:rPr>
              <w:t> </w:t>
            </w:r>
          </w:p>
        </w:tc>
      </w:tr>
      <w:tr w:rsidR="00000000" w14:paraId="5DF2544D" w14:textId="77777777">
        <w:trPr>
          <w:trHeight w:val="225"/>
          <w:tblCellSpacing w:w="15" w:type="dxa"/>
        </w:trPr>
        <w:tc>
          <w:tcPr>
            <w:tcW w:w="0" w:type="auto"/>
            <w:shd w:val="clear" w:color="auto" w:fill="FFFFFF"/>
            <w:hideMark/>
          </w:tcPr>
          <w:p w14:paraId="66944AE8" w14:textId="77777777" w:rsidR="00000000" w:rsidRDefault="0015578C">
            <w:pPr>
              <w:pStyle w:val="a3"/>
              <w:spacing w:before="0" w:beforeAutospacing="0" w:after="0" w:afterAutospacing="0"/>
              <w:ind w:left="225"/>
              <w:rPr>
                <w:sz w:val="20"/>
                <w:szCs w:val="20"/>
              </w:rPr>
            </w:pPr>
            <w:r>
              <w:rPr>
                <w:sz w:val="20"/>
                <w:szCs w:val="20"/>
              </w:rPr>
              <w:t>Common stock, $0.01 par value, authorized, 100,000,000 shares (64,801,373 and 62,036,399, respectively, shares issue</w:t>
            </w:r>
            <w:r>
              <w:rPr>
                <w:sz w:val="20"/>
                <w:szCs w:val="20"/>
              </w:rPr>
              <w:t>d and outstanding at December 31, 2022 and 2021)</w:t>
            </w:r>
          </w:p>
        </w:tc>
        <w:tc>
          <w:tcPr>
            <w:tcW w:w="50" w:type="pct"/>
            <w:shd w:val="clear" w:color="auto" w:fill="FFFFFF"/>
            <w:noWrap/>
            <w:vAlign w:val="center"/>
            <w:hideMark/>
          </w:tcPr>
          <w:p w14:paraId="620A957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B15321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72EEB0E" w14:textId="77777777" w:rsidR="00000000" w:rsidRDefault="0015578C">
            <w:pPr>
              <w:jc w:val="right"/>
              <w:rPr>
                <w:rFonts w:eastAsia="Times New Roman"/>
                <w:sz w:val="20"/>
                <w:szCs w:val="20"/>
              </w:rPr>
            </w:pPr>
            <w:r>
              <w:rPr>
                <w:rFonts w:eastAsia="Times New Roman"/>
                <w:sz w:val="20"/>
                <w:szCs w:val="20"/>
              </w:rPr>
              <w:t>648</w:t>
            </w:r>
          </w:p>
        </w:tc>
        <w:tc>
          <w:tcPr>
            <w:tcW w:w="50" w:type="pct"/>
            <w:shd w:val="clear" w:color="auto" w:fill="FFFFFF"/>
            <w:noWrap/>
            <w:vAlign w:val="center"/>
            <w:hideMark/>
          </w:tcPr>
          <w:p w14:paraId="2DFC3DF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0E3252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515D20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127A74C" w14:textId="77777777" w:rsidR="00000000" w:rsidRDefault="0015578C">
            <w:pPr>
              <w:jc w:val="right"/>
              <w:rPr>
                <w:rFonts w:eastAsia="Times New Roman"/>
                <w:sz w:val="20"/>
                <w:szCs w:val="20"/>
              </w:rPr>
            </w:pPr>
            <w:r>
              <w:rPr>
                <w:rFonts w:eastAsia="Times New Roman"/>
                <w:sz w:val="20"/>
                <w:szCs w:val="20"/>
              </w:rPr>
              <w:t>620</w:t>
            </w:r>
          </w:p>
        </w:tc>
        <w:tc>
          <w:tcPr>
            <w:tcW w:w="50" w:type="pct"/>
            <w:shd w:val="clear" w:color="auto" w:fill="FFFFFF"/>
            <w:noWrap/>
            <w:vAlign w:val="center"/>
            <w:hideMark/>
          </w:tcPr>
          <w:p w14:paraId="3949C409" w14:textId="77777777" w:rsidR="00000000" w:rsidRDefault="0015578C">
            <w:pPr>
              <w:pStyle w:val="a3"/>
              <w:spacing w:before="0" w:beforeAutospacing="0" w:after="0" w:afterAutospacing="0"/>
              <w:rPr>
                <w:sz w:val="20"/>
                <w:szCs w:val="20"/>
              </w:rPr>
            </w:pPr>
            <w:r>
              <w:rPr>
                <w:sz w:val="20"/>
                <w:szCs w:val="20"/>
              </w:rPr>
              <w:t> </w:t>
            </w:r>
          </w:p>
        </w:tc>
      </w:tr>
      <w:tr w:rsidR="00000000" w14:paraId="528F885C" w14:textId="77777777">
        <w:trPr>
          <w:trHeight w:val="225"/>
          <w:tblCellSpacing w:w="15" w:type="dxa"/>
        </w:trPr>
        <w:tc>
          <w:tcPr>
            <w:tcW w:w="0" w:type="auto"/>
            <w:shd w:val="clear" w:color="auto" w:fill="CCEEFF"/>
            <w:hideMark/>
          </w:tcPr>
          <w:p w14:paraId="3498EF4E" w14:textId="77777777" w:rsidR="00000000" w:rsidRDefault="0015578C">
            <w:pPr>
              <w:pStyle w:val="a3"/>
              <w:spacing w:before="0" w:beforeAutospacing="0" w:after="0" w:afterAutospacing="0"/>
              <w:ind w:left="225"/>
              <w:rPr>
                <w:sz w:val="20"/>
                <w:szCs w:val="20"/>
              </w:rPr>
            </w:pPr>
            <w:r>
              <w:rPr>
                <w:sz w:val="20"/>
                <w:szCs w:val="20"/>
              </w:rPr>
              <w:t>Additional paid-in capital</w:t>
            </w:r>
          </w:p>
        </w:tc>
        <w:tc>
          <w:tcPr>
            <w:tcW w:w="50" w:type="pct"/>
            <w:shd w:val="clear" w:color="auto" w:fill="CCEEFF"/>
            <w:noWrap/>
            <w:vAlign w:val="center"/>
            <w:hideMark/>
          </w:tcPr>
          <w:p w14:paraId="6A215B4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CB87C4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C8396F0" w14:textId="77777777" w:rsidR="00000000" w:rsidRDefault="0015578C">
            <w:pPr>
              <w:jc w:val="right"/>
              <w:rPr>
                <w:rFonts w:eastAsia="Times New Roman"/>
                <w:sz w:val="20"/>
                <w:szCs w:val="20"/>
              </w:rPr>
            </w:pPr>
            <w:r>
              <w:rPr>
                <w:rFonts w:eastAsia="Times New Roman"/>
                <w:sz w:val="20"/>
                <w:szCs w:val="20"/>
              </w:rPr>
              <w:t>74,886</w:t>
            </w:r>
          </w:p>
        </w:tc>
        <w:tc>
          <w:tcPr>
            <w:tcW w:w="50" w:type="pct"/>
            <w:shd w:val="clear" w:color="auto" w:fill="CCEEFF"/>
            <w:noWrap/>
            <w:vAlign w:val="center"/>
            <w:hideMark/>
          </w:tcPr>
          <w:p w14:paraId="0F42606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079734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E489AE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26A57AB" w14:textId="77777777" w:rsidR="00000000" w:rsidRDefault="0015578C">
            <w:pPr>
              <w:jc w:val="right"/>
              <w:rPr>
                <w:rFonts w:eastAsia="Times New Roman"/>
                <w:sz w:val="20"/>
                <w:szCs w:val="20"/>
              </w:rPr>
            </w:pPr>
            <w:r>
              <w:rPr>
                <w:rFonts w:eastAsia="Times New Roman"/>
                <w:sz w:val="20"/>
                <w:szCs w:val="20"/>
              </w:rPr>
              <w:t>72,523</w:t>
            </w:r>
          </w:p>
        </w:tc>
        <w:tc>
          <w:tcPr>
            <w:tcW w:w="50" w:type="pct"/>
            <w:shd w:val="clear" w:color="auto" w:fill="CCEEFF"/>
            <w:noWrap/>
            <w:vAlign w:val="center"/>
            <w:hideMark/>
          </w:tcPr>
          <w:p w14:paraId="54B22DAF" w14:textId="77777777" w:rsidR="00000000" w:rsidRDefault="0015578C">
            <w:pPr>
              <w:pStyle w:val="a3"/>
              <w:spacing w:before="0" w:beforeAutospacing="0" w:after="0" w:afterAutospacing="0"/>
              <w:rPr>
                <w:sz w:val="20"/>
                <w:szCs w:val="20"/>
              </w:rPr>
            </w:pPr>
            <w:r>
              <w:rPr>
                <w:sz w:val="20"/>
                <w:szCs w:val="20"/>
              </w:rPr>
              <w:t> </w:t>
            </w:r>
          </w:p>
        </w:tc>
      </w:tr>
      <w:tr w:rsidR="00000000" w14:paraId="20200F9B" w14:textId="77777777">
        <w:trPr>
          <w:trHeight w:val="225"/>
          <w:tblCellSpacing w:w="15" w:type="dxa"/>
        </w:trPr>
        <w:tc>
          <w:tcPr>
            <w:tcW w:w="0" w:type="auto"/>
            <w:shd w:val="clear" w:color="auto" w:fill="FFFFFF"/>
            <w:hideMark/>
          </w:tcPr>
          <w:p w14:paraId="676F1FF0" w14:textId="77777777" w:rsidR="00000000" w:rsidRDefault="0015578C">
            <w:pPr>
              <w:pStyle w:val="a3"/>
              <w:spacing w:before="0" w:beforeAutospacing="0" w:after="0" w:afterAutospacing="0"/>
              <w:ind w:left="225"/>
              <w:rPr>
                <w:sz w:val="20"/>
                <w:szCs w:val="20"/>
              </w:rPr>
            </w:pPr>
            <w:r>
              <w:rPr>
                <w:sz w:val="20"/>
                <w:szCs w:val="20"/>
              </w:rPr>
              <w:t>Accumulated deficit</w:t>
            </w:r>
          </w:p>
        </w:tc>
        <w:tc>
          <w:tcPr>
            <w:tcW w:w="50" w:type="pct"/>
            <w:shd w:val="clear" w:color="auto" w:fill="FFFFFF"/>
            <w:noWrap/>
            <w:vAlign w:val="center"/>
            <w:hideMark/>
          </w:tcPr>
          <w:p w14:paraId="2D293752"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13C054E"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6A443E0" w14:textId="77777777" w:rsidR="00000000" w:rsidRDefault="0015578C">
            <w:pPr>
              <w:jc w:val="right"/>
              <w:rPr>
                <w:rFonts w:eastAsia="Times New Roman"/>
                <w:sz w:val="20"/>
                <w:szCs w:val="20"/>
              </w:rPr>
            </w:pPr>
            <w:r>
              <w:rPr>
                <w:rFonts w:eastAsia="Times New Roman"/>
                <w:sz w:val="20"/>
                <w:szCs w:val="20"/>
              </w:rPr>
              <w:t>(53,888</w:t>
            </w:r>
          </w:p>
        </w:tc>
        <w:tc>
          <w:tcPr>
            <w:tcW w:w="50" w:type="pct"/>
            <w:shd w:val="clear" w:color="auto" w:fill="FFFFFF"/>
            <w:noWrap/>
            <w:tcMar>
              <w:top w:w="0" w:type="dxa"/>
              <w:left w:w="0" w:type="dxa"/>
              <w:bottom w:w="15" w:type="dxa"/>
              <w:right w:w="0" w:type="dxa"/>
            </w:tcMar>
            <w:vAlign w:val="bottom"/>
            <w:hideMark/>
          </w:tcPr>
          <w:p w14:paraId="36CCA73E"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6438B83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6EFFBC6B"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3EC35AD" w14:textId="77777777" w:rsidR="00000000" w:rsidRDefault="0015578C">
            <w:pPr>
              <w:jc w:val="right"/>
              <w:rPr>
                <w:rFonts w:eastAsia="Times New Roman"/>
                <w:sz w:val="20"/>
                <w:szCs w:val="20"/>
              </w:rPr>
            </w:pPr>
            <w:r>
              <w:rPr>
                <w:rFonts w:eastAsia="Times New Roman"/>
                <w:sz w:val="20"/>
                <w:szCs w:val="20"/>
              </w:rPr>
              <w:t>(49,960</w:t>
            </w:r>
          </w:p>
        </w:tc>
        <w:tc>
          <w:tcPr>
            <w:tcW w:w="50" w:type="pct"/>
            <w:shd w:val="clear" w:color="auto" w:fill="FFFFFF"/>
            <w:noWrap/>
            <w:tcMar>
              <w:top w:w="0" w:type="dxa"/>
              <w:left w:w="0" w:type="dxa"/>
              <w:bottom w:w="15" w:type="dxa"/>
              <w:right w:w="0" w:type="dxa"/>
            </w:tcMar>
            <w:vAlign w:val="bottom"/>
            <w:hideMark/>
          </w:tcPr>
          <w:p w14:paraId="77D421C2" w14:textId="77777777" w:rsidR="00000000" w:rsidRDefault="0015578C">
            <w:pPr>
              <w:rPr>
                <w:rFonts w:eastAsia="Times New Roman"/>
                <w:sz w:val="20"/>
                <w:szCs w:val="20"/>
              </w:rPr>
            </w:pPr>
            <w:r>
              <w:rPr>
                <w:rFonts w:eastAsia="Times New Roman"/>
                <w:sz w:val="20"/>
                <w:szCs w:val="20"/>
              </w:rPr>
              <w:t>)</w:t>
            </w:r>
          </w:p>
        </w:tc>
      </w:tr>
      <w:tr w:rsidR="00000000" w14:paraId="4A802326" w14:textId="77777777">
        <w:trPr>
          <w:trHeight w:val="225"/>
          <w:tblCellSpacing w:w="15" w:type="dxa"/>
        </w:trPr>
        <w:tc>
          <w:tcPr>
            <w:tcW w:w="0" w:type="auto"/>
            <w:shd w:val="clear" w:color="auto" w:fill="CCEEFF"/>
            <w:hideMark/>
          </w:tcPr>
          <w:p w14:paraId="0903782A" w14:textId="77777777" w:rsidR="00000000" w:rsidRDefault="0015578C">
            <w:pPr>
              <w:pStyle w:val="a3"/>
              <w:spacing w:before="0" w:beforeAutospacing="0" w:after="0" w:afterAutospacing="0"/>
              <w:ind w:left="450"/>
              <w:rPr>
                <w:sz w:val="20"/>
                <w:szCs w:val="20"/>
              </w:rPr>
            </w:pPr>
            <w:r>
              <w:rPr>
                <w:sz w:val="20"/>
                <w:szCs w:val="20"/>
              </w:rPr>
              <w:t>Total shareholders' equity</w:t>
            </w:r>
          </w:p>
        </w:tc>
        <w:tc>
          <w:tcPr>
            <w:tcW w:w="50" w:type="pct"/>
            <w:shd w:val="clear" w:color="auto" w:fill="CCEEFF"/>
            <w:noWrap/>
            <w:vAlign w:val="center"/>
            <w:hideMark/>
          </w:tcPr>
          <w:p w14:paraId="6525A85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70B7FD93"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D87E6CA" w14:textId="77777777" w:rsidR="00000000" w:rsidRDefault="0015578C">
            <w:pPr>
              <w:jc w:val="right"/>
              <w:rPr>
                <w:rFonts w:eastAsia="Times New Roman"/>
                <w:sz w:val="20"/>
                <w:szCs w:val="20"/>
              </w:rPr>
            </w:pPr>
            <w:r>
              <w:rPr>
                <w:rFonts w:eastAsia="Times New Roman"/>
                <w:sz w:val="20"/>
                <w:szCs w:val="20"/>
              </w:rPr>
              <w:t>21,646</w:t>
            </w:r>
          </w:p>
        </w:tc>
        <w:tc>
          <w:tcPr>
            <w:tcW w:w="50" w:type="pct"/>
            <w:shd w:val="clear" w:color="auto" w:fill="CCEEFF"/>
            <w:noWrap/>
            <w:tcMar>
              <w:top w:w="0" w:type="dxa"/>
              <w:left w:w="0" w:type="dxa"/>
              <w:bottom w:w="15" w:type="dxa"/>
              <w:right w:w="0" w:type="dxa"/>
            </w:tcMar>
            <w:vAlign w:val="center"/>
            <w:hideMark/>
          </w:tcPr>
          <w:p w14:paraId="41ADAC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ECFB5E6"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4181FC1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32AFE4E7" w14:textId="77777777" w:rsidR="00000000" w:rsidRDefault="0015578C">
            <w:pPr>
              <w:jc w:val="right"/>
              <w:rPr>
                <w:rFonts w:eastAsia="Times New Roman"/>
                <w:sz w:val="20"/>
                <w:szCs w:val="20"/>
              </w:rPr>
            </w:pPr>
            <w:r>
              <w:rPr>
                <w:rFonts w:eastAsia="Times New Roman"/>
                <w:sz w:val="20"/>
                <w:szCs w:val="20"/>
              </w:rPr>
              <w:t>23,183</w:t>
            </w:r>
          </w:p>
        </w:tc>
        <w:tc>
          <w:tcPr>
            <w:tcW w:w="50" w:type="pct"/>
            <w:shd w:val="clear" w:color="auto" w:fill="CCEEFF"/>
            <w:noWrap/>
            <w:tcMar>
              <w:top w:w="0" w:type="dxa"/>
              <w:left w:w="0" w:type="dxa"/>
              <w:bottom w:w="15" w:type="dxa"/>
              <w:right w:w="0" w:type="dxa"/>
            </w:tcMar>
            <w:vAlign w:val="center"/>
            <w:hideMark/>
          </w:tcPr>
          <w:p w14:paraId="20ED4BC2" w14:textId="77777777" w:rsidR="00000000" w:rsidRDefault="0015578C">
            <w:pPr>
              <w:pStyle w:val="a3"/>
              <w:spacing w:before="0" w:beforeAutospacing="0" w:after="0" w:afterAutospacing="0"/>
              <w:rPr>
                <w:sz w:val="20"/>
                <w:szCs w:val="20"/>
              </w:rPr>
            </w:pPr>
            <w:r>
              <w:rPr>
                <w:sz w:val="20"/>
                <w:szCs w:val="20"/>
              </w:rPr>
              <w:t> </w:t>
            </w:r>
          </w:p>
        </w:tc>
      </w:tr>
      <w:tr w:rsidR="00000000" w14:paraId="028E0C78" w14:textId="77777777">
        <w:trPr>
          <w:trHeight w:val="225"/>
          <w:tblCellSpacing w:w="15" w:type="dxa"/>
        </w:trPr>
        <w:tc>
          <w:tcPr>
            <w:tcW w:w="0" w:type="auto"/>
            <w:shd w:val="clear" w:color="auto" w:fill="FFFFFF"/>
            <w:hideMark/>
          </w:tcPr>
          <w:p w14:paraId="30D14232" w14:textId="77777777" w:rsidR="00000000" w:rsidRDefault="0015578C">
            <w:pPr>
              <w:pStyle w:val="a3"/>
              <w:spacing w:before="0" w:beforeAutospacing="0" w:after="0" w:afterAutospacing="0"/>
              <w:ind w:left="450"/>
              <w:rPr>
                <w:sz w:val="20"/>
                <w:szCs w:val="20"/>
              </w:rPr>
            </w:pPr>
            <w:r>
              <w:rPr>
                <w:sz w:val="20"/>
                <w:szCs w:val="20"/>
              </w:rPr>
              <w:t>Total liabilities and shareholders' equity</w:t>
            </w:r>
          </w:p>
        </w:tc>
        <w:tc>
          <w:tcPr>
            <w:tcW w:w="50" w:type="pct"/>
            <w:shd w:val="clear" w:color="auto" w:fill="FFFFFF"/>
            <w:noWrap/>
            <w:vAlign w:val="center"/>
            <w:hideMark/>
          </w:tcPr>
          <w:p w14:paraId="66E5466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04CA3616"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5C898F9B" w14:textId="77777777" w:rsidR="00000000" w:rsidRDefault="0015578C">
            <w:pPr>
              <w:jc w:val="right"/>
              <w:rPr>
                <w:rFonts w:eastAsia="Times New Roman"/>
                <w:sz w:val="20"/>
                <w:szCs w:val="20"/>
              </w:rPr>
            </w:pPr>
            <w:r>
              <w:rPr>
                <w:rFonts w:eastAsia="Times New Roman"/>
                <w:sz w:val="20"/>
                <w:szCs w:val="20"/>
              </w:rPr>
              <w:t>22,034</w:t>
            </w:r>
          </w:p>
        </w:tc>
        <w:tc>
          <w:tcPr>
            <w:tcW w:w="50" w:type="pct"/>
            <w:shd w:val="clear" w:color="auto" w:fill="FFFFFF"/>
            <w:noWrap/>
            <w:tcMar>
              <w:top w:w="0" w:type="dxa"/>
              <w:left w:w="0" w:type="dxa"/>
              <w:bottom w:w="15" w:type="dxa"/>
              <w:right w:w="0" w:type="dxa"/>
            </w:tcMar>
            <w:vAlign w:val="center"/>
            <w:hideMark/>
          </w:tcPr>
          <w:p w14:paraId="24570E3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AC84252"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2FA5196F"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6BCD8266" w14:textId="77777777" w:rsidR="00000000" w:rsidRDefault="0015578C">
            <w:pPr>
              <w:jc w:val="right"/>
              <w:rPr>
                <w:rFonts w:eastAsia="Times New Roman"/>
                <w:sz w:val="20"/>
                <w:szCs w:val="20"/>
              </w:rPr>
            </w:pPr>
            <w:r>
              <w:rPr>
                <w:rFonts w:eastAsia="Times New Roman"/>
                <w:sz w:val="20"/>
                <w:szCs w:val="20"/>
              </w:rPr>
              <w:t>23,619</w:t>
            </w:r>
          </w:p>
        </w:tc>
        <w:tc>
          <w:tcPr>
            <w:tcW w:w="50" w:type="pct"/>
            <w:shd w:val="clear" w:color="auto" w:fill="FFFFFF"/>
            <w:noWrap/>
            <w:tcMar>
              <w:top w:w="0" w:type="dxa"/>
              <w:left w:w="0" w:type="dxa"/>
              <w:bottom w:w="15" w:type="dxa"/>
              <w:right w:w="0" w:type="dxa"/>
            </w:tcMar>
            <w:vAlign w:val="center"/>
            <w:hideMark/>
          </w:tcPr>
          <w:p w14:paraId="46108368" w14:textId="77777777" w:rsidR="00000000" w:rsidRDefault="0015578C">
            <w:pPr>
              <w:pStyle w:val="a3"/>
              <w:spacing w:before="0" w:beforeAutospacing="0" w:after="0" w:afterAutospacing="0"/>
              <w:rPr>
                <w:sz w:val="20"/>
                <w:szCs w:val="20"/>
              </w:rPr>
            </w:pPr>
            <w:r>
              <w:rPr>
                <w:sz w:val="20"/>
                <w:szCs w:val="20"/>
              </w:rPr>
              <w:t> </w:t>
            </w:r>
          </w:p>
        </w:tc>
      </w:tr>
    </w:tbl>
    <w:p w14:paraId="1E810959" w14:textId="77777777" w:rsidR="00000000" w:rsidRDefault="0015578C">
      <w:pPr>
        <w:pStyle w:val="a3"/>
        <w:spacing w:before="0" w:beforeAutospacing="0" w:after="0" w:afterAutospacing="0"/>
        <w:jc w:val="both"/>
        <w:rPr>
          <w:sz w:val="20"/>
          <w:szCs w:val="20"/>
        </w:rPr>
      </w:pPr>
      <w:r>
        <w:rPr>
          <w:sz w:val="20"/>
          <w:szCs w:val="20"/>
        </w:rPr>
        <w:t> </w:t>
      </w:r>
    </w:p>
    <w:p w14:paraId="57506630" w14:textId="77777777" w:rsidR="00000000" w:rsidRDefault="0015578C">
      <w:pPr>
        <w:pStyle w:val="a3"/>
        <w:spacing w:before="0" w:beforeAutospacing="0" w:after="0" w:afterAutospacing="0"/>
        <w:jc w:val="both"/>
        <w:rPr>
          <w:sz w:val="20"/>
          <w:szCs w:val="20"/>
        </w:rPr>
      </w:pPr>
      <w:r>
        <w:rPr>
          <w:sz w:val="20"/>
          <w:szCs w:val="20"/>
        </w:rPr>
        <w:t>See Notes to Consolidated Financial Statements.</w:t>
      </w:r>
    </w:p>
    <w:p w14:paraId="426D1B86"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4603957" w14:textId="77777777">
        <w:trPr>
          <w:trHeight w:val="225"/>
          <w:tblCellSpacing w:w="15" w:type="dxa"/>
        </w:trPr>
        <w:tc>
          <w:tcPr>
            <w:tcW w:w="0" w:type="auto"/>
            <w:vAlign w:val="center"/>
            <w:hideMark/>
          </w:tcPr>
          <w:p w14:paraId="6EC5C695" w14:textId="77777777" w:rsidR="00000000" w:rsidRDefault="0015578C">
            <w:pPr>
              <w:rPr>
                <w:rFonts w:eastAsia="Times New Roman"/>
                <w:sz w:val="20"/>
                <w:szCs w:val="20"/>
              </w:rPr>
            </w:pPr>
            <w:r>
              <w:rPr>
                <w:rFonts w:eastAsia="Times New Roman"/>
                <w:sz w:val="20"/>
                <w:szCs w:val="20"/>
              </w:rPr>
              <w:t> </w:t>
            </w:r>
          </w:p>
        </w:tc>
      </w:tr>
      <w:tr w:rsidR="00000000" w14:paraId="7BCD9F9A" w14:textId="77777777">
        <w:trPr>
          <w:trHeight w:val="225"/>
          <w:tblCellSpacing w:w="15" w:type="dxa"/>
        </w:trPr>
        <w:tc>
          <w:tcPr>
            <w:tcW w:w="0" w:type="auto"/>
            <w:tcBorders>
              <w:bottom w:val="single" w:sz="6" w:space="0" w:color="000000"/>
            </w:tcBorders>
            <w:vAlign w:val="center"/>
            <w:hideMark/>
          </w:tcPr>
          <w:p w14:paraId="6A849824" w14:textId="77777777" w:rsidR="00000000" w:rsidRDefault="0015578C">
            <w:pPr>
              <w:jc w:val="center"/>
              <w:rPr>
                <w:rFonts w:eastAsia="Times New Roman"/>
                <w:sz w:val="20"/>
                <w:szCs w:val="20"/>
              </w:rPr>
            </w:pPr>
            <w:r>
              <w:rPr>
                <w:rFonts w:eastAsia="Times New Roman"/>
                <w:sz w:val="20"/>
                <w:szCs w:val="20"/>
              </w:rPr>
              <w:t>F-3</w:t>
            </w:r>
          </w:p>
        </w:tc>
      </w:tr>
      <w:tr w:rsidR="00000000" w14:paraId="72A20516" w14:textId="77777777">
        <w:trPr>
          <w:trHeight w:val="225"/>
          <w:tblCellSpacing w:w="15" w:type="dxa"/>
        </w:trPr>
        <w:tc>
          <w:tcPr>
            <w:tcW w:w="0" w:type="auto"/>
            <w:vAlign w:val="center"/>
            <w:hideMark/>
          </w:tcPr>
          <w:p w14:paraId="1A70C0D2" w14:textId="77777777" w:rsidR="00000000" w:rsidRDefault="0015578C">
            <w:pPr>
              <w:rPr>
                <w:rFonts w:eastAsia="Times New Roman"/>
                <w:sz w:val="20"/>
                <w:szCs w:val="20"/>
              </w:rPr>
            </w:pPr>
          </w:p>
        </w:tc>
      </w:tr>
      <w:tr w:rsidR="00000000" w14:paraId="363A2CCF" w14:textId="77777777">
        <w:trPr>
          <w:trHeight w:val="225"/>
          <w:tblCellSpacing w:w="15" w:type="dxa"/>
        </w:trPr>
        <w:tc>
          <w:tcPr>
            <w:tcW w:w="0" w:type="auto"/>
            <w:vAlign w:val="center"/>
            <w:hideMark/>
          </w:tcPr>
          <w:p w14:paraId="4CAA242A"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70D5DAF6" w14:textId="77777777" w:rsidR="00000000" w:rsidRDefault="0015578C">
      <w:pPr>
        <w:pStyle w:val="a3"/>
        <w:spacing w:before="0" w:beforeAutospacing="0" w:after="0" w:afterAutospacing="0"/>
        <w:jc w:val="both"/>
        <w:rPr>
          <w:sz w:val="20"/>
          <w:szCs w:val="20"/>
        </w:rPr>
      </w:pPr>
      <w:r>
        <w:rPr>
          <w:sz w:val="20"/>
          <w:szCs w:val="20"/>
        </w:rPr>
        <w:t> </w:t>
      </w:r>
    </w:p>
    <w:p w14:paraId="573E006F" w14:textId="77777777" w:rsidR="00000000" w:rsidRDefault="0015578C">
      <w:pPr>
        <w:pStyle w:val="a3"/>
        <w:spacing w:before="0" w:beforeAutospacing="0" w:after="0" w:afterAutospacing="0"/>
        <w:jc w:val="center"/>
        <w:rPr>
          <w:sz w:val="20"/>
          <w:szCs w:val="20"/>
        </w:rPr>
      </w:pPr>
      <w:r>
        <w:rPr>
          <w:rStyle w:val="atag"/>
          <w:sz w:val="20"/>
          <w:szCs w:val="20"/>
        </w:rPr>
        <w:t>SOLITARIO ZINC CORP</w:t>
      </w:r>
      <w:r>
        <w:rPr>
          <w:rStyle w:val="atag"/>
          <w:sz w:val="20"/>
          <w:szCs w:val="20"/>
        </w:rPr>
        <w:t>.</w:t>
      </w:r>
    </w:p>
    <w:p w14:paraId="00A37FEA" w14:textId="77777777" w:rsidR="00000000" w:rsidRDefault="0015578C">
      <w:pPr>
        <w:pStyle w:val="a3"/>
        <w:spacing w:before="0" w:beforeAutospacing="0" w:after="0" w:afterAutospacing="0"/>
        <w:jc w:val="center"/>
        <w:rPr>
          <w:sz w:val="20"/>
          <w:szCs w:val="20"/>
        </w:rPr>
      </w:pPr>
      <w:r>
        <w:rPr>
          <w:sz w:val="20"/>
          <w:szCs w:val="20"/>
        </w:rPr>
        <w:t>CONSOLIDATED STATEMENTS OF OPERATIONS</w:t>
      </w:r>
    </w:p>
    <w:p w14:paraId="1B6EE27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4ECDE728" w14:textId="77777777">
        <w:trPr>
          <w:trHeight w:val="225"/>
          <w:tblCellSpacing w:w="15" w:type="dxa"/>
        </w:trPr>
        <w:tc>
          <w:tcPr>
            <w:tcW w:w="0" w:type="auto"/>
            <w:vAlign w:val="bottom"/>
            <w:hideMark/>
          </w:tcPr>
          <w:p w14:paraId="07F2BA63" w14:textId="77777777" w:rsidR="00000000" w:rsidRDefault="0015578C">
            <w:pPr>
              <w:pStyle w:val="a3"/>
              <w:spacing w:before="0" w:beforeAutospacing="0" w:after="0" w:afterAutospacing="0"/>
              <w:rPr>
                <w:sz w:val="20"/>
                <w:szCs w:val="20"/>
              </w:rPr>
            </w:pPr>
            <w:r>
              <w:rPr>
                <w:sz w:val="20"/>
                <w:szCs w:val="20"/>
              </w:rPr>
              <w:t>(in thousands, except per share amounts)</w:t>
            </w:r>
          </w:p>
        </w:tc>
        <w:tc>
          <w:tcPr>
            <w:tcW w:w="0" w:type="auto"/>
            <w:noWrap/>
            <w:vAlign w:val="center"/>
            <w:hideMark/>
          </w:tcPr>
          <w:p w14:paraId="05E52E10"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4424DF96" w14:textId="77777777" w:rsidR="00000000" w:rsidRDefault="0015578C">
            <w:pPr>
              <w:pStyle w:val="a3"/>
              <w:spacing w:before="0" w:beforeAutospacing="0" w:after="0" w:afterAutospacing="0"/>
              <w:jc w:val="center"/>
              <w:rPr>
                <w:sz w:val="20"/>
                <w:szCs w:val="20"/>
              </w:rPr>
            </w:pPr>
            <w:r>
              <w:rPr>
                <w:sz w:val="20"/>
                <w:szCs w:val="20"/>
              </w:rPr>
              <w:t>For the years ended December 31,</w:t>
            </w:r>
          </w:p>
        </w:tc>
        <w:tc>
          <w:tcPr>
            <w:tcW w:w="0" w:type="auto"/>
            <w:noWrap/>
            <w:vAlign w:val="center"/>
            <w:hideMark/>
          </w:tcPr>
          <w:p w14:paraId="55A24F6D" w14:textId="77777777" w:rsidR="00000000" w:rsidRDefault="0015578C">
            <w:pPr>
              <w:pStyle w:val="a3"/>
              <w:spacing w:before="0" w:beforeAutospacing="0" w:after="0" w:afterAutospacing="0"/>
              <w:rPr>
                <w:sz w:val="20"/>
                <w:szCs w:val="20"/>
              </w:rPr>
            </w:pPr>
            <w:r>
              <w:rPr>
                <w:sz w:val="20"/>
                <w:szCs w:val="20"/>
              </w:rPr>
              <w:t> </w:t>
            </w:r>
          </w:p>
        </w:tc>
      </w:tr>
      <w:tr w:rsidR="00000000" w14:paraId="7494CB96" w14:textId="77777777">
        <w:trPr>
          <w:trHeight w:val="225"/>
          <w:tblCellSpacing w:w="15" w:type="dxa"/>
        </w:trPr>
        <w:tc>
          <w:tcPr>
            <w:tcW w:w="0" w:type="auto"/>
            <w:vAlign w:val="center"/>
            <w:hideMark/>
          </w:tcPr>
          <w:p w14:paraId="4C29CC36"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A8C15E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6B31E48F"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741A3C7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D8E2DBF"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27DB8C0"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6C2578B6" w14:textId="77777777" w:rsidR="00000000" w:rsidRDefault="0015578C">
            <w:pPr>
              <w:pStyle w:val="a3"/>
              <w:spacing w:before="0" w:beforeAutospacing="0" w:after="0" w:afterAutospacing="0"/>
              <w:rPr>
                <w:sz w:val="20"/>
                <w:szCs w:val="20"/>
              </w:rPr>
            </w:pPr>
            <w:r>
              <w:rPr>
                <w:sz w:val="20"/>
                <w:szCs w:val="20"/>
              </w:rPr>
              <w:t> </w:t>
            </w:r>
          </w:p>
        </w:tc>
      </w:tr>
      <w:tr w:rsidR="00000000" w14:paraId="0F2DC99E" w14:textId="77777777">
        <w:trPr>
          <w:trHeight w:val="225"/>
          <w:tblCellSpacing w:w="15" w:type="dxa"/>
        </w:trPr>
        <w:tc>
          <w:tcPr>
            <w:tcW w:w="0" w:type="auto"/>
            <w:hideMark/>
          </w:tcPr>
          <w:p w14:paraId="0B5321DF" w14:textId="77777777" w:rsidR="00000000" w:rsidRDefault="0015578C">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14:paraId="0F471C8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361E9A46"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F11357D"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623DCFE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785CD1E9"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BEDDC6C" w14:textId="77777777" w:rsidR="00000000" w:rsidRDefault="0015578C">
            <w:pPr>
              <w:pStyle w:val="a3"/>
              <w:spacing w:before="0" w:beforeAutospacing="0" w:after="0" w:afterAutospacing="0"/>
              <w:rPr>
                <w:sz w:val="20"/>
                <w:szCs w:val="20"/>
              </w:rPr>
            </w:pPr>
            <w:r>
              <w:rPr>
                <w:sz w:val="20"/>
                <w:szCs w:val="20"/>
              </w:rPr>
              <w:t> </w:t>
            </w:r>
          </w:p>
        </w:tc>
      </w:tr>
      <w:tr w:rsidR="00000000" w14:paraId="4D174B58" w14:textId="77777777">
        <w:trPr>
          <w:trHeight w:val="225"/>
          <w:tblCellSpacing w:w="15" w:type="dxa"/>
        </w:trPr>
        <w:tc>
          <w:tcPr>
            <w:tcW w:w="0" w:type="auto"/>
            <w:shd w:val="clear" w:color="auto" w:fill="CCEEFF"/>
            <w:hideMark/>
          </w:tcPr>
          <w:p w14:paraId="6A9C7695" w14:textId="77777777" w:rsidR="00000000" w:rsidRDefault="0015578C">
            <w:pPr>
              <w:pStyle w:val="a3"/>
              <w:spacing w:before="0" w:beforeAutospacing="0" w:after="0" w:afterAutospacing="0"/>
              <w:ind w:left="225"/>
              <w:rPr>
                <w:sz w:val="20"/>
                <w:szCs w:val="20"/>
              </w:rPr>
            </w:pPr>
            <w:r>
              <w:rPr>
                <w:sz w:val="20"/>
                <w:szCs w:val="20"/>
              </w:rPr>
              <w:t>Exploration expense</w:t>
            </w:r>
          </w:p>
        </w:tc>
        <w:tc>
          <w:tcPr>
            <w:tcW w:w="50" w:type="pct"/>
            <w:shd w:val="clear" w:color="auto" w:fill="CCEEFF"/>
            <w:noWrap/>
            <w:vAlign w:val="center"/>
            <w:hideMark/>
          </w:tcPr>
          <w:p w14:paraId="0F7E173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34D275D"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1EC1630" w14:textId="77777777" w:rsidR="00000000" w:rsidRDefault="0015578C">
            <w:pPr>
              <w:jc w:val="right"/>
              <w:rPr>
                <w:rFonts w:eastAsia="Times New Roman"/>
                <w:sz w:val="20"/>
                <w:szCs w:val="20"/>
              </w:rPr>
            </w:pPr>
            <w:r>
              <w:rPr>
                <w:rFonts w:eastAsia="Times New Roman"/>
                <w:sz w:val="20"/>
                <w:szCs w:val="20"/>
              </w:rPr>
              <w:t>2,283</w:t>
            </w:r>
          </w:p>
        </w:tc>
        <w:tc>
          <w:tcPr>
            <w:tcW w:w="50" w:type="pct"/>
            <w:shd w:val="clear" w:color="auto" w:fill="CCEEFF"/>
            <w:noWrap/>
            <w:vAlign w:val="center"/>
            <w:hideMark/>
          </w:tcPr>
          <w:p w14:paraId="091C35F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A4DED7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A9BA75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06F04BB" w14:textId="77777777" w:rsidR="00000000" w:rsidRDefault="0015578C">
            <w:pPr>
              <w:jc w:val="right"/>
              <w:rPr>
                <w:rFonts w:eastAsia="Times New Roman"/>
                <w:sz w:val="20"/>
                <w:szCs w:val="20"/>
              </w:rPr>
            </w:pPr>
            <w:r>
              <w:rPr>
                <w:rFonts w:eastAsia="Times New Roman"/>
                <w:sz w:val="20"/>
                <w:szCs w:val="20"/>
              </w:rPr>
              <w:t>1,198</w:t>
            </w:r>
          </w:p>
        </w:tc>
        <w:tc>
          <w:tcPr>
            <w:tcW w:w="50" w:type="pct"/>
            <w:shd w:val="clear" w:color="auto" w:fill="CCEEFF"/>
            <w:noWrap/>
            <w:vAlign w:val="center"/>
            <w:hideMark/>
          </w:tcPr>
          <w:p w14:paraId="3E152ACA" w14:textId="77777777" w:rsidR="00000000" w:rsidRDefault="0015578C">
            <w:pPr>
              <w:pStyle w:val="a3"/>
              <w:spacing w:before="0" w:beforeAutospacing="0" w:after="0" w:afterAutospacing="0"/>
              <w:rPr>
                <w:sz w:val="20"/>
                <w:szCs w:val="20"/>
              </w:rPr>
            </w:pPr>
            <w:r>
              <w:rPr>
                <w:sz w:val="20"/>
                <w:szCs w:val="20"/>
              </w:rPr>
              <w:t> </w:t>
            </w:r>
          </w:p>
        </w:tc>
      </w:tr>
      <w:tr w:rsidR="00000000" w14:paraId="34C8893F" w14:textId="77777777">
        <w:trPr>
          <w:trHeight w:val="225"/>
          <w:tblCellSpacing w:w="15" w:type="dxa"/>
        </w:trPr>
        <w:tc>
          <w:tcPr>
            <w:tcW w:w="0" w:type="auto"/>
            <w:shd w:val="clear" w:color="auto" w:fill="FFFFFF"/>
            <w:hideMark/>
          </w:tcPr>
          <w:p w14:paraId="11B24A9C" w14:textId="77777777" w:rsidR="00000000" w:rsidRDefault="0015578C">
            <w:pPr>
              <w:pStyle w:val="a3"/>
              <w:spacing w:before="0" w:beforeAutospacing="0" w:after="0" w:afterAutospacing="0"/>
              <w:ind w:left="225"/>
              <w:rPr>
                <w:sz w:val="20"/>
                <w:szCs w:val="20"/>
              </w:rPr>
            </w:pPr>
            <w:r>
              <w:rPr>
                <w:sz w:val="20"/>
                <w:szCs w:val="20"/>
              </w:rPr>
              <w:t>Depreciation and amortization</w:t>
            </w:r>
          </w:p>
        </w:tc>
        <w:tc>
          <w:tcPr>
            <w:tcW w:w="50" w:type="pct"/>
            <w:shd w:val="clear" w:color="auto" w:fill="FFFFFF"/>
            <w:noWrap/>
            <w:vAlign w:val="center"/>
            <w:hideMark/>
          </w:tcPr>
          <w:p w14:paraId="7FE4FBC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E9B77C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D4EE495" w14:textId="77777777" w:rsidR="00000000" w:rsidRDefault="0015578C">
            <w:pPr>
              <w:jc w:val="right"/>
              <w:rPr>
                <w:rFonts w:eastAsia="Times New Roman"/>
                <w:sz w:val="20"/>
                <w:szCs w:val="20"/>
              </w:rPr>
            </w:pPr>
            <w:r>
              <w:rPr>
                <w:rFonts w:eastAsia="Times New Roman"/>
                <w:sz w:val="20"/>
                <w:szCs w:val="20"/>
              </w:rPr>
              <w:t>29</w:t>
            </w:r>
          </w:p>
        </w:tc>
        <w:tc>
          <w:tcPr>
            <w:tcW w:w="50" w:type="pct"/>
            <w:shd w:val="clear" w:color="auto" w:fill="FFFFFF"/>
            <w:noWrap/>
            <w:vAlign w:val="center"/>
            <w:hideMark/>
          </w:tcPr>
          <w:p w14:paraId="56A419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070104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62DA85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0A1150F" w14:textId="77777777" w:rsidR="00000000" w:rsidRDefault="0015578C">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14:paraId="6EB1C467" w14:textId="77777777" w:rsidR="00000000" w:rsidRDefault="0015578C">
            <w:pPr>
              <w:pStyle w:val="a3"/>
              <w:spacing w:before="0" w:beforeAutospacing="0" w:after="0" w:afterAutospacing="0"/>
              <w:rPr>
                <w:sz w:val="20"/>
                <w:szCs w:val="20"/>
              </w:rPr>
            </w:pPr>
            <w:r>
              <w:rPr>
                <w:sz w:val="20"/>
                <w:szCs w:val="20"/>
              </w:rPr>
              <w:t> </w:t>
            </w:r>
          </w:p>
        </w:tc>
      </w:tr>
      <w:tr w:rsidR="00000000" w14:paraId="7DFC7E84" w14:textId="77777777">
        <w:trPr>
          <w:trHeight w:val="225"/>
          <w:tblCellSpacing w:w="15" w:type="dxa"/>
        </w:trPr>
        <w:tc>
          <w:tcPr>
            <w:tcW w:w="0" w:type="auto"/>
            <w:shd w:val="clear" w:color="auto" w:fill="CCEEFF"/>
            <w:hideMark/>
          </w:tcPr>
          <w:p w14:paraId="0C460A09" w14:textId="77777777" w:rsidR="00000000" w:rsidRDefault="0015578C">
            <w:pPr>
              <w:pStyle w:val="a3"/>
              <w:spacing w:before="0" w:beforeAutospacing="0" w:after="0" w:afterAutospacing="0"/>
              <w:ind w:left="225"/>
              <w:rPr>
                <w:sz w:val="20"/>
                <w:szCs w:val="20"/>
              </w:rPr>
            </w:pPr>
            <w:r>
              <w:rPr>
                <w:sz w:val="20"/>
                <w:szCs w:val="20"/>
              </w:rPr>
              <w:t>Mineral property impairment</w:t>
            </w:r>
          </w:p>
        </w:tc>
        <w:tc>
          <w:tcPr>
            <w:tcW w:w="50" w:type="pct"/>
            <w:shd w:val="clear" w:color="auto" w:fill="CCEEFF"/>
            <w:noWrap/>
            <w:vAlign w:val="center"/>
            <w:hideMark/>
          </w:tcPr>
          <w:p w14:paraId="75FBAE1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351C83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37B0AE7"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25DEB6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81BA93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836F5E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F835EE0" w14:textId="77777777" w:rsidR="00000000" w:rsidRDefault="0015578C">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14:paraId="4DDBA2AC" w14:textId="77777777" w:rsidR="00000000" w:rsidRDefault="0015578C">
            <w:pPr>
              <w:pStyle w:val="a3"/>
              <w:spacing w:before="0" w:beforeAutospacing="0" w:after="0" w:afterAutospacing="0"/>
              <w:rPr>
                <w:sz w:val="20"/>
                <w:szCs w:val="20"/>
              </w:rPr>
            </w:pPr>
            <w:r>
              <w:rPr>
                <w:sz w:val="20"/>
                <w:szCs w:val="20"/>
              </w:rPr>
              <w:t> </w:t>
            </w:r>
          </w:p>
        </w:tc>
      </w:tr>
      <w:tr w:rsidR="00000000" w14:paraId="33F78678" w14:textId="77777777">
        <w:trPr>
          <w:trHeight w:val="225"/>
          <w:tblCellSpacing w:w="15" w:type="dxa"/>
        </w:trPr>
        <w:tc>
          <w:tcPr>
            <w:tcW w:w="0" w:type="auto"/>
            <w:shd w:val="clear" w:color="auto" w:fill="FFFFFF"/>
            <w:hideMark/>
          </w:tcPr>
          <w:p w14:paraId="5A8E8C95" w14:textId="77777777" w:rsidR="00000000" w:rsidRDefault="0015578C">
            <w:pPr>
              <w:pStyle w:val="a3"/>
              <w:spacing w:before="0" w:beforeAutospacing="0" w:after="0" w:afterAutospacing="0"/>
              <w:ind w:left="225"/>
              <w:rPr>
                <w:sz w:val="20"/>
                <w:szCs w:val="20"/>
              </w:rPr>
            </w:pPr>
            <w:r>
              <w:rPr>
                <w:sz w:val="20"/>
                <w:szCs w:val="20"/>
              </w:rPr>
              <w:t>General and administrative</w:t>
            </w:r>
          </w:p>
        </w:tc>
        <w:tc>
          <w:tcPr>
            <w:tcW w:w="50" w:type="pct"/>
            <w:shd w:val="clear" w:color="auto" w:fill="FFFFFF"/>
            <w:noWrap/>
            <w:vAlign w:val="center"/>
            <w:hideMark/>
          </w:tcPr>
          <w:p w14:paraId="29B40912"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7ACCC25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C4781E8" w14:textId="77777777" w:rsidR="00000000" w:rsidRDefault="0015578C">
            <w:pPr>
              <w:jc w:val="right"/>
              <w:rPr>
                <w:rFonts w:eastAsia="Times New Roman"/>
                <w:sz w:val="20"/>
                <w:szCs w:val="20"/>
              </w:rPr>
            </w:pPr>
            <w:r>
              <w:rPr>
                <w:rFonts w:eastAsia="Times New Roman"/>
                <w:sz w:val="20"/>
                <w:szCs w:val="20"/>
              </w:rPr>
              <w:t>1,360</w:t>
            </w:r>
          </w:p>
        </w:tc>
        <w:tc>
          <w:tcPr>
            <w:tcW w:w="50" w:type="pct"/>
            <w:shd w:val="clear" w:color="auto" w:fill="FFFFFF"/>
            <w:noWrap/>
            <w:tcMar>
              <w:top w:w="0" w:type="dxa"/>
              <w:left w:w="0" w:type="dxa"/>
              <w:bottom w:w="15" w:type="dxa"/>
              <w:right w:w="0" w:type="dxa"/>
            </w:tcMar>
            <w:vAlign w:val="center"/>
            <w:hideMark/>
          </w:tcPr>
          <w:p w14:paraId="7E4F6B1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7CC019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7866969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2ACCFD1" w14:textId="77777777" w:rsidR="00000000" w:rsidRDefault="0015578C">
            <w:pPr>
              <w:jc w:val="right"/>
              <w:rPr>
                <w:rFonts w:eastAsia="Times New Roman"/>
                <w:sz w:val="20"/>
                <w:szCs w:val="20"/>
              </w:rPr>
            </w:pPr>
            <w:r>
              <w:rPr>
                <w:rFonts w:eastAsia="Times New Roman"/>
                <w:sz w:val="20"/>
                <w:szCs w:val="20"/>
              </w:rPr>
              <w:t>952</w:t>
            </w:r>
          </w:p>
        </w:tc>
        <w:tc>
          <w:tcPr>
            <w:tcW w:w="50" w:type="pct"/>
            <w:shd w:val="clear" w:color="auto" w:fill="FFFFFF"/>
            <w:noWrap/>
            <w:tcMar>
              <w:top w:w="0" w:type="dxa"/>
              <w:left w:w="0" w:type="dxa"/>
              <w:bottom w:w="15" w:type="dxa"/>
              <w:right w:w="0" w:type="dxa"/>
            </w:tcMar>
            <w:vAlign w:val="center"/>
            <w:hideMark/>
          </w:tcPr>
          <w:p w14:paraId="0AAD4332" w14:textId="77777777" w:rsidR="00000000" w:rsidRDefault="0015578C">
            <w:pPr>
              <w:pStyle w:val="a3"/>
              <w:spacing w:before="0" w:beforeAutospacing="0" w:after="0" w:afterAutospacing="0"/>
              <w:rPr>
                <w:sz w:val="20"/>
                <w:szCs w:val="20"/>
              </w:rPr>
            </w:pPr>
            <w:r>
              <w:rPr>
                <w:sz w:val="20"/>
                <w:szCs w:val="20"/>
              </w:rPr>
              <w:t> </w:t>
            </w:r>
          </w:p>
        </w:tc>
      </w:tr>
      <w:tr w:rsidR="00000000" w14:paraId="106CECED" w14:textId="77777777">
        <w:trPr>
          <w:trHeight w:val="225"/>
          <w:tblCellSpacing w:w="15" w:type="dxa"/>
        </w:trPr>
        <w:tc>
          <w:tcPr>
            <w:tcW w:w="0" w:type="auto"/>
            <w:shd w:val="clear" w:color="auto" w:fill="CCEEFF"/>
            <w:hideMark/>
          </w:tcPr>
          <w:p w14:paraId="39EE7100" w14:textId="77777777" w:rsidR="00000000" w:rsidRDefault="0015578C">
            <w:pPr>
              <w:pStyle w:val="a3"/>
              <w:spacing w:before="0" w:beforeAutospacing="0" w:after="0" w:afterAutospacing="0"/>
              <w:rPr>
                <w:sz w:val="20"/>
                <w:szCs w:val="20"/>
              </w:rPr>
            </w:pPr>
            <w:r>
              <w:rPr>
                <w:rStyle w:val="a4"/>
                <w:sz w:val="20"/>
                <w:szCs w:val="20"/>
              </w:rPr>
              <w:t>Total costs, expenses and other</w:t>
            </w:r>
          </w:p>
        </w:tc>
        <w:tc>
          <w:tcPr>
            <w:tcW w:w="50" w:type="pct"/>
            <w:shd w:val="clear" w:color="auto" w:fill="CCEEFF"/>
            <w:noWrap/>
            <w:vAlign w:val="center"/>
            <w:hideMark/>
          </w:tcPr>
          <w:p w14:paraId="0B71EAD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2C49F0E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2BAC72E4" w14:textId="77777777" w:rsidR="00000000" w:rsidRDefault="0015578C">
            <w:pPr>
              <w:jc w:val="right"/>
              <w:rPr>
                <w:rFonts w:eastAsia="Times New Roman"/>
                <w:sz w:val="20"/>
                <w:szCs w:val="20"/>
              </w:rPr>
            </w:pPr>
            <w:r>
              <w:rPr>
                <w:rFonts w:eastAsia="Times New Roman"/>
                <w:sz w:val="20"/>
                <w:szCs w:val="20"/>
              </w:rPr>
              <w:t>3,672</w:t>
            </w:r>
          </w:p>
        </w:tc>
        <w:tc>
          <w:tcPr>
            <w:tcW w:w="50" w:type="pct"/>
            <w:shd w:val="clear" w:color="auto" w:fill="CCEEFF"/>
            <w:noWrap/>
            <w:tcMar>
              <w:top w:w="0" w:type="dxa"/>
              <w:left w:w="0" w:type="dxa"/>
              <w:bottom w:w="15" w:type="dxa"/>
              <w:right w:w="0" w:type="dxa"/>
            </w:tcMar>
            <w:vAlign w:val="center"/>
            <w:hideMark/>
          </w:tcPr>
          <w:p w14:paraId="11C0508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9DEDBC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15A26818"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12800B6E" w14:textId="77777777" w:rsidR="00000000" w:rsidRDefault="0015578C">
            <w:pPr>
              <w:jc w:val="right"/>
              <w:rPr>
                <w:rFonts w:eastAsia="Times New Roman"/>
                <w:sz w:val="20"/>
                <w:szCs w:val="20"/>
              </w:rPr>
            </w:pPr>
            <w:r>
              <w:rPr>
                <w:rFonts w:eastAsia="Times New Roman"/>
                <w:sz w:val="20"/>
                <w:szCs w:val="20"/>
              </w:rPr>
              <w:t>2,194</w:t>
            </w:r>
          </w:p>
        </w:tc>
        <w:tc>
          <w:tcPr>
            <w:tcW w:w="50" w:type="pct"/>
            <w:shd w:val="clear" w:color="auto" w:fill="CCEEFF"/>
            <w:noWrap/>
            <w:tcMar>
              <w:top w:w="0" w:type="dxa"/>
              <w:left w:w="0" w:type="dxa"/>
              <w:bottom w:w="15" w:type="dxa"/>
              <w:right w:w="0" w:type="dxa"/>
            </w:tcMar>
            <w:vAlign w:val="center"/>
            <w:hideMark/>
          </w:tcPr>
          <w:p w14:paraId="554342F7" w14:textId="77777777" w:rsidR="00000000" w:rsidRDefault="0015578C">
            <w:pPr>
              <w:pStyle w:val="a3"/>
              <w:spacing w:before="0" w:beforeAutospacing="0" w:after="0" w:afterAutospacing="0"/>
              <w:rPr>
                <w:sz w:val="20"/>
                <w:szCs w:val="20"/>
              </w:rPr>
            </w:pPr>
            <w:r>
              <w:rPr>
                <w:sz w:val="20"/>
                <w:szCs w:val="20"/>
              </w:rPr>
              <w:t> </w:t>
            </w:r>
          </w:p>
        </w:tc>
      </w:tr>
      <w:tr w:rsidR="00000000" w14:paraId="6AC16278" w14:textId="77777777">
        <w:trPr>
          <w:trHeight w:val="225"/>
          <w:tblCellSpacing w:w="15" w:type="dxa"/>
        </w:trPr>
        <w:tc>
          <w:tcPr>
            <w:tcW w:w="0" w:type="auto"/>
            <w:shd w:val="clear" w:color="auto" w:fill="FFFFFF"/>
            <w:hideMark/>
          </w:tcPr>
          <w:p w14:paraId="3DCA08DA" w14:textId="77777777" w:rsidR="00000000" w:rsidRDefault="0015578C">
            <w:pPr>
              <w:pStyle w:val="a3"/>
              <w:spacing w:before="0" w:beforeAutospacing="0" w:after="0" w:afterAutospacing="0"/>
              <w:rPr>
                <w:sz w:val="20"/>
                <w:szCs w:val="20"/>
              </w:rPr>
            </w:pPr>
            <w:r>
              <w:rPr>
                <w:rStyle w:val="a4"/>
                <w:sz w:val="20"/>
                <w:szCs w:val="20"/>
              </w:rPr>
              <w:t>Other (expense) income</w:t>
            </w:r>
          </w:p>
        </w:tc>
        <w:tc>
          <w:tcPr>
            <w:tcW w:w="50" w:type="pct"/>
            <w:shd w:val="clear" w:color="auto" w:fill="FFFFFF"/>
            <w:noWrap/>
            <w:vAlign w:val="center"/>
            <w:hideMark/>
          </w:tcPr>
          <w:p w14:paraId="0AC27B5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02CB3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03BCF0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1833B8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28EA18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4D76D7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578F5BA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1BAEA75" w14:textId="77777777" w:rsidR="00000000" w:rsidRDefault="0015578C">
            <w:pPr>
              <w:pStyle w:val="a3"/>
              <w:spacing w:before="0" w:beforeAutospacing="0" w:after="0" w:afterAutospacing="0"/>
              <w:rPr>
                <w:sz w:val="20"/>
                <w:szCs w:val="20"/>
              </w:rPr>
            </w:pPr>
            <w:r>
              <w:rPr>
                <w:sz w:val="20"/>
                <w:szCs w:val="20"/>
              </w:rPr>
              <w:t> </w:t>
            </w:r>
          </w:p>
        </w:tc>
      </w:tr>
      <w:tr w:rsidR="00000000" w14:paraId="4EB7B3AB" w14:textId="77777777">
        <w:trPr>
          <w:trHeight w:val="225"/>
          <w:tblCellSpacing w:w="15" w:type="dxa"/>
        </w:trPr>
        <w:tc>
          <w:tcPr>
            <w:tcW w:w="0" w:type="auto"/>
            <w:shd w:val="clear" w:color="auto" w:fill="CCEEFF"/>
            <w:hideMark/>
          </w:tcPr>
          <w:p w14:paraId="17EB78E0" w14:textId="77777777" w:rsidR="00000000" w:rsidRDefault="0015578C">
            <w:pPr>
              <w:pStyle w:val="a3"/>
              <w:spacing w:before="0" w:beforeAutospacing="0" w:after="0" w:afterAutospacing="0"/>
              <w:ind w:left="225"/>
              <w:rPr>
                <w:sz w:val="20"/>
                <w:szCs w:val="20"/>
              </w:rPr>
            </w:pPr>
            <w:r>
              <w:rPr>
                <w:sz w:val="20"/>
                <w:szCs w:val="20"/>
              </w:rPr>
              <w:t>Interest and dividend income (net)</w:t>
            </w:r>
          </w:p>
        </w:tc>
        <w:tc>
          <w:tcPr>
            <w:tcW w:w="50" w:type="pct"/>
            <w:shd w:val="clear" w:color="auto" w:fill="CCEEFF"/>
            <w:noWrap/>
            <w:vAlign w:val="center"/>
            <w:hideMark/>
          </w:tcPr>
          <w:p w14:paraId="3F88F6B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6D1C4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8E19A51" w14:textId="77777777" w:rsidR="00000000" w:rsidRDefault="0015578C">
            <w:pPr>
              <w:jc w:val="right"/>
              <w:rPr>
                <w:rFonts w:eastAsia="Times New Roman"/>
                <w:sz w:val="20"/>
                <w:szCs w:val="20"/>
              </w:rPr>
            </w:pPr>
            <w:r>
              <w:rPr>
                <w:rFonts w:eastAsia="Times New Roman"/>
                <w:sz w:val="20"/>
                <w:szCs w:val="20"/>
              </w:rPr>
              <w:t>131</w:t>
            </w:r>
          </w:p>
        </w:tc>
        <w:tc>
          <w:tcPr>
            <w:tcW w:w="50" w:type="pct"/>
            <w:shd w:val="clear" w:color="auto" w:fill="CCEEFF"/>
            <w:noWrap/>
            <w:vAlign w:val="center"/>
            <w:hideMark/>
          </w:tcPr>
          <w:p w14:paraId="31E9F1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EE90F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93CAD8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7DAAEE5" w14:textId="77777777" w:rsidR="00000000" w:rsidRDefault="0015578C">
            <w:pPr>
              <w:jc w:val="right"/>
              <w:rPr>
                <w:rFonts w:eastAsia="Times New Roman"/>
                <w:sz w:val="20"/>
                <w:szCs w:val="20"/>
              </w:rPr>
            </w:pPr>
            <w:r>
              <w:rPr>
                <w:rFonts w:eastAsia="Times New Roman"/>
                <w:sz w:val="20"/>
                <w:szCs w:val="20"/>
              </w:rPr>
              <w:t>123</w:t>
            </w:r>
          </w:p>
        </w:tc>
        <w:tc>
          <w:tcPr>
            <w:tcW w:w="50" w:type="pct"/>
            <w:shd w:val="clear" w:color="auto" w:fill="CCEEFF"/>
            <w:noWrap/>
            <w:vAlign w:val="center"/>
            <w:hideMark/>
          </w:tcPr>
          <w:p w14:paraId="4B747BA1" w14:textId="77777777" w:rsidR="00000000" w:rsidRDefault="0015578C">
            <w:pPr>
              <w:pStyle w:val="a3"/>
              <w:spacing w:before="0" w:beforeAutospacing="0" w:after="0" w:afterAutospacing="0"/>
              <w:rPr>
                <w:sz w:val="20"/>
                <w:szCs w:val="20"/>
              </w:rPr>
            </w:pPr>
            <w:r>
              <w:rPr>
                <w:sz w:val="20"/>
                <w:szCs w:val="20"/>
              </w:rPr>
              <w:t> </w:t>
            </w:r>
          </w:p>
        </w:tc>
      </w:tr>
      <w:tr w:rsidR="00000000" w14:paraId="7E50220F" w14:textId="77777777">
        <w:trPr>
          <w:trHeight w:val="225"/>
          <w:tblCellSpacing w:w="15" w:type="dxa"/>
        </w:trPr>
        <w:tc>
          <w:tcPr>
            <w:tcW w:w="0" w:type="auto"/>
            <w:shd w:val="clear" w:color="auto" w:fill="FFFFFF"/>
            <w:hideMark/>
          </w:tcPr>
          <w:p w14:paraId="78747B56" w14:textId="77777777" w:rsidR="00000000" w:rsidRDefault="0015578C">
            <w:pPr>
              <w:pStyle w:val="a3"/>
              <w:spacing w:before="0" w:beforeAutospacing="0" w:after="0" w:afterAutospacing="0"/>
              <w:ind w:left="225"/>
              <w:rPr>
                <w:sz w:val="20"/>
                <w:szCs w:val="20"/>
              </w:rPr>
            </w:pPr>
            <w:r>
              <w:rPr>
                <w:sz w:val="20"/>
                <w:szCs w:val="20"/>
              </w:rPr>
              <w:t>Other income</w:t>
            </w:r>
          </w:p>
        </w:tc>
        <w:tc>
          <w:tcPr>
            <w:tcW w:w="50" w:type="pct"/>
            <w:shd w:val="clear" w:color="auto" w:fill="FFFFFF"/>
            <w:noWrap/>
            <w:vAlign w:val="center"/>
            <w:hideMark/>
          </w:tcPr>
          <w:p w14:paraId="27AC98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36C664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09D5112" w14:textId="77777777" w:rsidR="00000000" w:rsidRDefault="0015578C">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14:paraId="7E3BE2B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A76B6F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7560C0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B194542" w14:textId="77777777" w:rsidR="00000000" w:rsidRDefault="0015578C">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14:paraId="7382DC73" w14:textId="77777777" w:rsidR="00000000" w:rsidRDefault="0015578C">
            <w:pPr>
              <w:pStyle w:val="a3"/>
              <w:spacing w:before="0" w:beforeAutospacing="0" w:after="0" w:afterAutospacing="0"/>
              <w:rPr>
                <w:sz w:val="20"/>
                <w:szCs w:val="20"/>
              </w:rPr>
            </w:pPr>
            <w:r>
              <w:rPr>
                <w:sz w:val="20"/>
                <w:szCs w:val="20"/>
              </w:rPr>
              <w:t> </w:t>
            </w:r>
          </w:p>
        </w:tc>
      </w:tr>
      <w:tr w:rsidR="00000000" w14:paraId="479033E1" w14:textId="77777777">
        <w:trPr>
          <w:trHeight w:val="225"/>
          <w:tblCellSpacing w:w="15" w:type="dxa"/>
        </w:trPr>
        <w:tc>
          <w:tcPr>
            <w:tcW w:w="0" w:type="auto"/>
            <w:shd w:val="clear" w:color="auto" w:fill="CCEEFF"/>
            <w:hideMark/>
          </w:tcPr>
          <w:p w14:paraId="63378412" w14:textId="77777777" w:rsidR="00000000" w:rsidRDefault="0015578C">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CCEEFF"/>
            <w:noWrap/>
            <w:vAlign w:val="center"/>
            <w:hideMark/>
          </w:tcPr>
          <w:p w14:paraId="63D292A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0513B5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75EE35B" w14:textId="77777777" w:rsidR="00000000" w:rsidRDefault="0015578C">
            <w:pPr>
              <w:jc w:val="right"/>
              <w:rPr>
                <w:rFonts w:eastAsia="Times New Roman"/>
                <w:sz w:val="20"/>
                <w:szCs w:val="20"/>
              </w:rPr>
            </w:pPr>
            <w:r>
              <w:rPr>
                <w:rFonts w:eastAsia="Times New Roman"/>
                <w:sz w:val="20"/>
                <w:szCs w:val="20"/>
              </w:rPr>
              <w:t>(4</w:t>
            </w:r>
          </w:p>
        </w:tc>
        <w:tc>
          <w:tcPr>
            <w:tcW w:w="50" w:type="pct"/>
            <w:shd w:val="clear" w:color="auto" w:fill="CCEEFF"/>
            <w:noWrap/>
            <w:vAlign w:val="bottom"/>
            <w:hideMark/>
          </w:tcPr>
          <w:p w14:paraId="3E44F6F8"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76C36A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1E9CFF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1DC878E" w14:textId="77777777" w:rsidR="00000000" w:rsidRDefault="0015578C">
            <w:pPr>
              <w:jc w:val="right"/>
              <w:rPr>
                <w:rFonts w:eastAsia="Times New Roman"/>
                <w:sz w:val="20"/>
                <w:szCs w:val="20"/>
              </w:rPr>
            </w:pPr>
            <w:r>
              <w:rPr>
                <w:rFonts w:eastAsia="Times New Roman"/>
                <w:sz w:val="20"/>
                <w:szCs w:val="20"/>
              </w:rPr>
              <w:t>(38</w:t>
            </w:r>
          </w:p>
        </w:tc>
        <w:tc>
          <w:tcPr>
            <w:tcW w:w="50" w:type="pct"/>
            <w:shd w:val="clear" w:color="auto" w:fill="CCEEFF"/>
            <w:noWrap/>
            <w:vAlign w:val="bottom"/>
            <w:hideMark/>
          </w:tcPr>
          <w:p w14:paraId="44493557" w14:textId="77777777" w:rsidR="00000000" w:rsidRDefault="0015578C">
            <w:pPr>
              <w:rPr>
                <w:rFonts w:eastAsia="Times New Roman"/>
                <w:sz w:val="20"/>
                <w:szCs w:val="20"/>
              </w:rPr>
            </w:pPr>
            <w:r>
              <w:rPr>
                <w:rFonts w:eastAsia="Times New Roman"/>
                <w:sz w:val="20"/>
                <w:szCs w:val="20"/>
              </w:rPr>
              <w:t>)</w:t>
            </w:r>
          </w:p>
        </w:tc>
      </w:tr>
      <w:tr w:rsidR="00000000" w14:paraId="56D722AF" w14:textId="77777777">
        <w:trPr>
          <w:trHeight w:val="225"/>
          <w:tblCellSpacing w:w="15" w:type="dxa"/>
        </w:trPr>
        <w:tc>
          <w:tcPr>
            <w:tcW w:w="0" w:type="auto"/>
            <w:shd w:val="clear" w:color="auto" w:fill="FFFFFF"/>
            <w:hideMark/>
          </w:tcPr>
          <w:p w14:paraId="02232073" w14:textId="77777777" w:rsidR="00000000" w:rsidRDefault="0015578C">
            <w:pPr>
              <w:pStyle w:val="a3"/>
              <w:spacing w:before="0" w:beforeAutospacing="0" w:after="0" w:afterAutospacing="0"/>
              <w:ind w:left="225"/>
              <w:rPr>
                <w:sz w:val="20"/>
                <w:szCs w:val="20"/>
              </w:rPr>
            </w:pPr>
            <w:r>
              <w:rPr>
                <w:sz w:val="20"/>
                <w:szCs w:val="20"/>
              </w:rPr>
              <w:t>Loss on sale of marketable equity securities</w:t>
            </w:r>
          </w:p>
        </w:tc>
        <w:tc>
          <w:tcPr>
            <w:tcW w:w="50" w:type="pct"/>
            <w:shd w:val="clear" w:color="auto" w:fill="FFFFFF"/>
            <w:noWrap/>
            <w:vAlign w:val="center"/>
            <w:hideMark/>
          </w:tcPr>
          <w:p w14:paraId="18A089D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1D58B9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85952C8" w14:textId="77777777" w:rsidR="00000000" w:rsidRDefault="0015578C">
            <w:pPr>
              <w:jc w:val="right"/>
              <w:rPr>
                <w:rFonts w:eastAsia="Times New Roman"/>
                <w:sz w:val="20"/>
                <w:szCs w:val="20"/>
              </w:rPr>
            </w:pPr>
            <w:r>
              <w:rPr>
                <w:rFonts w:eastAsia="Times New Roman"/>
                <w:sz w:val="20"/>
                <w:szCs w:val="20"/>
              </w:rPr>
              <w:t>(201</w:t>
            </w:r>
          </w:p>
        </w:tc>
        <w:tc>
          <w:tcPr>
            <w:tcW w:w="50" w:type="pct"/>
            <w:shd w:val="clear" w:color="auto" w:fill="FFFFFF"/>
            <w:noWrap/>
            <w:vAlign w:val="bottom"/>
            <w:hideMark/>
          </w:tcPr>
          <w:p w14:paraId="75C9B991"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6E0D3A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A23AD5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5BCD080" w14:textId="77777777" w:rsidR="00000000" w:rsidRDefault="0015578C">
            <w:pPr>
              <w:jc w:val="right"/>
              <w:rPr>
                <w:rFonts w:eastAsia="Times New Roman"/>
                <w:sz w:val="20"/>
                <w:szCs w:val="20"/>
              </w:rPr>
            </w:pPr>
            <w:r>
              <w:rPr>
                <w:rFonts w:eastAsia="Times New Roman"/>
                <w:sz w:val="20"/>
                <w:szCs w:val="20"/>
              </w:rPr>
              <w:t>(248</w:t>
            </w:r>
          </w:p>
        </w:tc>
        <w:tc>
          <w:tcPr>
            <w:tcW w:w="50" w:type="pct"/>
            <w:shd w:val="clear" w:color="auto" w:fill="FFFFFF"/>
            <w:noWrap/>
            <w:vAlign w:val="bottom"/>
            <w:hideMark/>
          </w:tcPr>
          <w:p w14:paraId="07976A56" w14:textId="77777777" w:rsidR="00000000" w:rsidRDefault="0015578C">
            <w:pPr>
              <w:rPr>
                <w:rFonts w:eastAsia="Times New Roman"/>
                <w:sz w:val="20"/>
                <w:szCs w:val="20"/>
              </w:rPr>
            </w:pPr>
            <w:r>
              <w:rPr>
                <w:rFonts w:eastAsia="Times New Roman"/>
                <w:sz w:val="20"/>
                <w:szCs w:val="20"/>
              </w:rPr>
              <w:t>)</w:t>
            </w:r>
          </w:p>
        </w:tc>
      </w:tr>
      <w:tr w:rsidR="00000000" w14:paraId="3A40541F" w14:textId="77777777">
        <w:trPr>
          <w:trHeight w:val="225"/>
          <w:tblCellSpacing w:w="15" w:type="dxa"/>
        </w:trPr>
        <w:tc>
          <w:tcPr>
            <w:tcW w:w="0" w:type="auto"/>
            <w:shd w:val="clear" w:color="auto" w:fill="CCEEFF"/>
            <w:hideMark/>
          </w:tcPr>
          <w:p w14:paraId="165A6B51" w14:textId="77777777" w:rsidR="00000000" w:rsidRDefault="0015578C">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CCEEFF"/>
            <w:noWrap/>
            <w:vAlign w:val="center"/>
            <w:hideMark/>
          </w:tcPr>
          <w:p w14:paraId="25D3D0C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9FE222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57168FE" w14:textId="77777777" w:rsidR="00000000" w:rsidRDefault="0015578C">
            <w:pPr>
              <w:jc w:val="right"/>
              <w:rPr>
                <w:rFonts w:eastAsia="Times New Roman"/>
                <w:sz w:val="20"/>
                <w:szCs w:val="20"/>
              </w:rPr>
            </w:pPr>
            <w:r>
              <w:rPr>
                <w:rFonts w:eastAsia="Times New Roman"/>
                <w:sz w:val="20"/>
                <w:szCs w:val="20"/>
              </w:rPr>
              <w:t>(108</w:t>
            </w:r>
          </w:p>
        </w:tc>
        <w:tc>
          <w:tcPr>
            <w:tcW w:w="50" w:type="pct"/>
            <w:shd w:val="clear" w:color="auto" w:fill="CCEEFF"/>
            <w:noWrap/>
            <w:vAlign w:val="bottom"/>
            <w:hideMark/>
          </w:tcPr>
          <w:p w14:paraId="5AD5B9E7"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449C6C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D5AD34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067F342" w14:textId="77777777" w:rsidR="00000000" w:rsidRDefault="0015578C">
            <w:pPr>
              <w:jc w:val="right"/>
              <w:rPr>
                <w:rFonts w:eastAsia="Times New Roman"/>
                <w:sz w:val="20"/>
                <w:szCs w:val="20"/>
              </w:rPr>
            </w:pPr>
            <w:r>
              <w:rPr>
                <w:rFonts w:eastAsia="Times New Roman"/>
                <w:sz w:val="20"/>
                <w:szCs w:val="20"/>
              </w:rPr>
              <w:t>(102</w:t>
            </w:r>
          </w:p>
        </w:tc>
        <w:tc>
          <w:tcPr>
            <w:tcW w:w="50" w:type="pct"/>
            <w:shd w:val="clear" w:color="auto" w:fill="CCEEFF"/>
            <w:noWrap/>
            <w:vAlign w:val="bottom"/>
            <w:hideMark/>
          </w:tcPr>
          <w:p w14:paraId="7EEBE1BF" w14:textId="77777777" w:rsidR="00000000" w:rsidRDefault="0015578C">
            <w:pPr>
              <w:rPr>
                <w:rFonts w:eastAsia="Times New Roman"/>
                <w:sz w:val="20"/>
                <w:szCs w:val="20"/>
              </w:rPr>
            </w:pPr>
            <w:r>
              <w:rPr>
                <w:rFonts w:eastAsia="Times New Roman"/>
                <w:sz w:val="20"/>
                <w:szCs w:val="20"/>
              </w:rPr>
              <w:t>)</w:t>
            </w:r>
          </w:p>
        </w:tc>
      </w:tr>
      <w:tr w:rsidR="00000000" w14:paraId="3C02F962" w14:textId="77777777">
        <w:trPr>
          <w:trHeight w:val="225"/>
          <w:tblCellSpacing w:w="15" w:type="dxa"/>
        </w:trPr>
        <w:tc>
          <w:tcPr>
            <w:tcW w:w="0" w:type="auto"/>
            <w:shd w:val="clear" w:color="auto" w:fill="FFFFFF"/>
            <w:hideMark/>
          </w:tcPr>
          <w:p w14:paraId="50E80D4A" w14:textId="77777777" w:rsidR="00000000" w:rsidRDefault="0015578C">
            <w:pPr>
              <w:pStyle w:val="a3"/>
              <w:spacing w:before="0" w:beforeAutospacing="0" w:after="0" w:afterAutospacing="0"/>
              <w:ind w:left="225"/>
              <w:rPr>
                <w:sz w:val="20"/>
                <w:szCs w:val="20"/>
              </w:rPr>
            </w:pPr>
            <w:r>
              <w:rPr>
                <w:sz w:val="20"/>
                <w:szCs w:val="20"/>
              </w:rPr>
              <w:t>Unrealized (loss) gain on marketable equity securities</w:t>
            </w:r>
          </w:p>
        </w:tc>
        <w:tc>
          <w:tcPr>
            <w:tcW w:w="50" w:type="pct"/>
            <w:shd w:val="clear" w:color="auto" w:fill="FFFFFF"/>
            <w:noWrap/>
            <w:vAlign w:val="center"/>
            <w:hideMark/>
          </w:tcPr>
          <w:p w14:paraId="7152BC8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E176F6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341A36C3" w14:textId="77777777" w:rsidR="00000000" w:rsidRDefault="0015578C">
            <w:pPr>
              <w:jc w:val="right"/>
              <w:rPr>
                <w:rFonts w:eastAsia="Times New Roman"/>
                <w:sz w:val="20"/>
                <w:szCs w:val="20"/>
              </w:rPr>
            </w:pPr>
            <w:r>
              <w:rPr>
                <w:rFonts w:eastAsia="Times New Roman"/>
                <w:sz w:val="20"/>
                <w:szCs w:val="20"/>
              </w:rPr>
              <w:t>(94</w:t>
            </w:r>
          </w:p>
        </w:tc>
        <w:tc>
          <w:tcPr>
            <w:tcW w:w="50" w:type="pct"/>
            <w:shd w:val="clear" w:color="auto" w:fill="FFFFFF"/>
            <w:noWrap/>
            <w:tcMar>
              <w:top w:w="0" w:type="dxa"/>
              <w:left w:w="0" w:type="dxa"/>
              <w:bottom w:w="15" w:type="dxa"/>
              <w:right w:w="0" w:type="dxa"/>
            </w:tcMar>
            <w:vAlign w:val="bottom"/>
            <w:hideMark/>
          </w:tcPr>
          <w:p w14:paraId="6CB396FA"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0B3E13E"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4FD4DB1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33E50952" w14:textId="77777777" w:rsidR="00000000" w:rsidRDefault="0015578C">
            <w:pPr>
              <w:jc w:val="right"/>
              <w:rPr>
                <w:rFonts w:eastAsia="Times New Roman"/>
                <w:sz w:val="20"/>
                <w:szCs w:val="20"/>
              </w:rPr>
            </w:pPr>
            <w:r>
              <w:rPr>
                <w:rFonts w:eastAsia="Times New Roman"/>
                <w:sz w:val="20"/>
                <w:szCs w:val="20"/>
              </w:rPr>
              <w:t>82</w:t>
            </w:r>
          </w:p>
        </w:tc>
        <w:tc>
          <w:tcPr>
            <w:tcW w:w="50" w:type="pct"/>
            <w:shd w:val="clear" w:color="auto" w:fill="FFFFFF"/>
            <w:noWrap/>
            <w:tcMar>
              <w:top w:w="0" w:type="dxa"/>
              <w:left w:w="0" w:type="dxa"/>
              <w:bottom w:w="15" w:type="dxa"/>
              <w:right w:w="0" w:type="dxa"/>
            </w:tcMar>
            <w:vAlign w:val="center"/>
            <w:hideMark/>
          </w:tcPr>
          <w:p w14:paraId="74A36913" w14:textId="77777777" w:rsidR="00000000" w:rsidRDefault="0015578C">
            <w:pPr>
              <w:pStyle w:val="a3"/>
              <w:spacing w:before="0" w:beforeAutospacing="0" w:after="0" w:afterAutospacing="0"/>
              <w:rPr>
                <w:sz w:val="20"/>
                <w:szCs w:val="20"/>
              </w:rPr>
            </w:pPr>
            <w:r>
              <w:rPr>
                <w:sz w:val="20"/>
                <w:szCs w:val="20"/>
              </w:rPr>
              <w:t> </w:t>
            </w:r>
          </w:p>
        </w:tc>
      </w:tr>
      <w:tr w:rsidR="00000000" w14:paraId="58763D86" w14:textId="77777777">
        <w:trPr>
          <w:trHeight w:val="225"/>
          <w:tblCellSpacing w:w="15" w:type="dxa"/>
        </w:trPr>
        <w:tc>
          <w:tcPr>
            <w:tcW w:w="0" w:type="auto"/>
            <w:shd w:val="clear" w:color="auto" w:fill="CCEEFF"/>
            <w:hideMark/>
          </w:tcPr>
          <w:p w14:paraId="59260BA0" w14:textId="77777777" w:rsidR="00000000" w:rsidRDefault="0015578C">
            <w:pPr>
              <w:pStyle w:val="a3"/>
              <w:spacing w:before="0" w:beforeAutospacing="0" w:after="0" w:afterAutospacing="0"/>
              <w:rPr>
                <w:sz w:val="20"/>
                <w:szCs w:val="20"/>
              </w:rPr>
            </w:pPr>
            <w:r>
              <w:rPr>
                <w:rStyle w:val="a4"/>
                <w:sz w:val="20"/>
                <w:szCs w:val="20"/>
              </w:rPr>
              <w:t>Total other income (expense)</w:t>
            </w:r>
          </w:p>
        </w:tc>
        <w:tc>
          <w:tcPr>
            <w:tcW w:w="50" w:type="pct"/>
            <w:shd w:val="clear" w:color="auto" w:fill="CCEEFF"/>
            <w:noWrap/>
            <w:vAlign w:val="center"/>
            <w:hideMark/>
          </w:tcPr>
          <w:p w14:paraId="2398EFF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3D3A8D5B"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0A4D9F7F" w14:textId="77777777" w:rsidR="00000000" w:rsidRDefault="0015578C">
            <w:pPr>
              <w:jc w:val="right"/>
              <w:rPr>
                <w:rFonts w:eastAsia="Times New Roman"/>
                <w:sz w:val="20"/>
                <w:szCs w:val="20"/>
              </w:rPr>
            </w:pPr>
            <w:r>
              <w:rPr>
                <w:rFonts w:eastAsia="Times New Roman"/>
                <w:sz w:val="20"/>
                <w:szCs w:val="20"/>
              </w:rPr>
              <w:t>(256</w:t>
            </w:r>
          </w:p>
        </w:tc>
        <w:tc>
          <w:tcPr>
            <w:tcW w:w="50" w:type="pct"/>
            <w:shd w:val="clear" w:color="auto" w:fill="CCEEFF"/>
            <w:noWrap/>
            <w:tcMar>
              <w:top w:w="0" w:type="dxa"/>
              <w:left w:w="0" w:type="dxa"/>
              <w:bottom w:w="15" w:type="dxa"/>
              <w:right w:w="0" w:type="dxa"/>
            </w:tcMar>
            <w:vAlign w:val="bottom"/>
            <w:hideMark/>
          </w:tcPr>
          <w:p w14:paraId="5EEC90E5"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47F7F2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1A3DCC78"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4FD9CE24" w14:textId="77777777" w:rsidR="00000000" w:rsidRDefault="0015578C">
            <w:pPr>
              <w:jc w:val="right"/>
              <w:rPr>
                <w:rFonts w:eastAsia="Times New Roman"/>
                <w:sz w:val="20"/>
                <w:szCs w:val="20"/>
              </w:rPr>
            </w:pPr>
            <w:r>
              <w:rPr>
                <w:rFonts w:eastAsia="Times New Roman"/>
                <w:sz w:val="20"/>
                <w:szCs w:val="20"/>
              </w:rPr>
              <w:t>(173</w:t>
            </w:r>
          </w:p>
        </w:tc>
        <w:tc>
          <w:tcPr>
            <w:tcW w:w="50" w:type="pct"/>
            <w:shd w:val="clear" w:color="auto" w:fill="CCEEFF"/>
            <w:noWrap/>
            <w:tcMar>
              <w:top w:w="0" w:type="dxa"/>
              <w:left w:w="0" w:type="dxa"/>
              <w:bottom w:w="15" w:type="dxa"/>
              <w:right w:w="0" w:type="dxa"/>
            </w:tcMar>
            <w:vAlign w:val="bottom"/>
            <w:hideMark/>
          </w:tcPr>
          <w:p w14:paraId="71C61DE8" w14:textId="77777777" w:rsidR="00000000" w:rsidRDefault="0015578C">
            <w:pPr>
              <w:rPr>
                <w:rFonts w:eastAsia="Times New Roman"/>
                <w:sz w:val="20"/>
                <w:szCs w:val="20"/>
              </w:rPr>
            </w:pPr>
            <w:r>
              <w:rPr>
                <w:rFonts w:eastAsia="Times New Roman"/>
                <w:sz w:val="20"/>
                <w:szCs w:val="20"/>
              </w:rPr>
              <w:t>)</w:t>
            </w:r>
          </w:p>
        </w:tc>
      </w:tr>
      <w:tr w:rsidR="00000000" w14:paraId="34D87F97" w14:textId="77777777">
        <w:trPr>
          <w:trHeight w:val="225"/>
          <w:tblCellSpacing w:w="15" w:type="dxa"/>
        </w:trPr>
        <w:tc>
          <w:tcPr>
            <w:tcW w:w="0" w:type="auto"/>
            <w:shd w:val="clear" w:color="auto" w:fill="FFFFFF"/>
            <w:hideMark/>
          </w:tcPr>
          <w:p w14:paraId="4B231B6A" w14:textId="77777777" w:rsidR="00000000" w:rsidRDefault="0015578C">
            <w:pPr>
              <w:pStyle w:val="a3"/>
              <w:spacing w:before="0" w:beforeAutospacing="0" w:after="0" w:afterAutospacing="0"/>
              <w:rPr>
                <w:sz w:val="20"/>
                <w:szCs w:val="20"/>
              </w:rPr>
            </w:pPr>
            <w:r>
              <w:rPr>
                <w:rStyle w:val="a4"/>
                <w:sz w:val="20"/>
                <w:szCs w:val="20"/>
              </w:rPr>
              <w:t>Net loss</w:t>
            </w:r>
          </w:p>
        </w:tc>
        <w:tc>
          <w:tcPr>
            <w:tcW w:w="50" w:type="pct"/>
            <w:shd w:val="clear" w:color="auto" w:fill="FFFFFF"/>
            <w:noWrap/>
            <w:vAlign w:val="center"/>
            <w:hideMark/>
          </w:tcPr>
          <w:p w14:paraId="1CDF944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4847B79D"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025BE3BF" w14:textId="77777777" w:rsidR="00000000" w:rsidRDefault="0015578C">
            <w:pPr>
              <w:jc w:val="right"/>
              <w:rPr>
                <w:rFonts w:eastAsia="Times New Roman"/>
                <w:sz w:val="20"/>
                <w:szCs w:val="20"/>
              </w:rPr>
            </w:pPr>
            <w:r>
              <w:rPr>
                <w:rFonts w:eastAsia="Times New Roman"/>
                <w:sz w:val="20"/>
                <w:szCs w:val="20"/>
              </w:rPr>
              <w:t>(3,928</w:t>
            </w:r>
          </w:p>
        </w:tc>
        <w:tc>
          <w:tcPr>
            <w:tcW w:w="50" w:type="pct"/>
            <w:shd w:val="clear" w:color="auto" w:fill="FFFFFF"/>
            <w:noWrap/>
            <w:tcMar>
              <w:top w:w="0" w:type="dxa"/>
              <w:left w:w="0" w:type="dxa"/>
              <w:bottom w:w="15" w:type="dxa"/>
              <w:right w:w="0" w:type="dxa"/>
            </w:tcMar>
            <w:vAlign w:val="bottom"/>
            <w:hideMark/>
          </w:tcPr>
          <w:p w14:paraId="1A3CC478"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849FE46"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39AC8345"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2A34BE9E" w14:textId="77777777" w:rsidR="00000000" w:rsidRDefault="0015578C">
            <w:pPr>
              <w:jc w:val="right"/>
              <w:rPr>
                <w:rFonts w:eastAsia="Times New Roman"/>
                <w:sz w:val="20"/>
                <w:szCs w:val="20"/>
              </w:rPr>
            </w:pPr>
            <w:r>
              <w:rPr>
                <w:rFonts w:eastAsia="Times New Roman"/>
                <w:sz w:val="20"/>
                <w:szCs w:val="20"/>
              </w:rPr>
              <w:t>(2,367</w:t>
            </w:r>
          </w:p>
        </w:tc>
        <w:tc>
          <w:tcPr>
            <w:tcW w:w="50" w:type="pct"/>
            <w:shd w:val="clear" w:color="auto" w:fill="FFFFFF"/>
            <w:noWrap/>
            <w:tcMar>
              <w:top w:w="0" w:type="dxa"/>
              <w:left w:w="0" w:type="dxa"/>
              <w:bottom w:w="15" w:type="dxa"/>
              <w:right w:w="0" w:type="dxa"/>
            </w:tcMar>
            <w:vAlign w:val="bottom"/>
            <w:hideMark/>
          </w:tcPr>
          <w:p w14:paraId="448170FD" w14:textId="77777777" w:rsidR="00000000" w:rsidRDefault="0015578C">
            <w:pPr>
              <w:rPr>
                <w:rFonts w:eastAsia="Times New Roman"/>
                <w:sz w:val="20"/>
                <w:szCs w:val="20"/>
              </w:rPr>
            </w:pPr>
            <w:r>
              <w:rPr>
                <w:rFonts w:eastAsia="Times New Roman"/>
                <w:sz w:val="20"/>
                <w:szCs w:val="20"/>
              </w:rPr>
              <w:t>)</w:t>
            </w:r>
          </w:p>
        </w:tc>
      </w:tr>
      <w:tr w:rsidR="00000000" w14:paraId="76106038" w14:textId="77777777">
        <w:trPr>
          <w:trHeight w:val="225"/>
          <w:tblCellSpacing w:w="15" w:type="dxa"/>
        </w:trPr>
        <w:tc>
          <w:tcPr>
            <w:tcW w:w="0" w:type="auto"/>
            <w:shd w:val="clear" w:color="auto" w:fill="CCEEFF"/>
            <w:hideMark/>
          </w:tcPr>
          <w:p w14:paraId="70A389FC" w14:textId="77777777" w:rsidR="00000000" w:rsidRDefault="0015578C">
            <w:pPr>
              <w:pStyle w:val="a3"/>
              <w:spacing w:before="0" w:beforeAutospacing="0" w:after="0" w:afterAutospacing="0"/>
              <w:rPr>
                <w:sz w:val="20"/>
                <w:szCs w:val="20"/>
              </w:rPr>
            </w:pPr>
            <w:r>
              <w:rPr>
                <w:rStyle w:val="a4"/>
                <w:sz w:val="20"/>
                <w:szCs w:val="20"/>
              </w:rPr>
              <w:t>Loss per common share</w:t>
            </w:r>
          </w:p>
        </w:tc>
        <w:tc>
          <w:tcPr>
            <w:tcW w:w="50" w:type="pct"/>
            <w:shd w:val="clear" w:color="auto" w:fill="CCEEFF"/>
            <w:noWrap/>
            <w:vAlign w:val="center"/>
            <w:hideMark/>
          </w:tcPr>
          <w:p w14:paraId="4CF1895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692EFE76"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center"/>
            <w:hideMark/>
          </w:tcPr>
          <w:p w14:paraId="4AE4DA9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14:paraId="48A3D2D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FDD3E9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75B77D5F"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center"/>
            <w:hideMark/>
          </w:tcPr>
          <w:p w14:paraId="1B51A72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14:paraId="2685CCD9" w14:textId="77777777" w:rsidR="00000000" w:rsidRDefault="0015578C">
            <w:pPr>
              <w:pStyle w:val="a3"/>
              <w:spacing w:before="0" w:beforeAutospacing="0" w:after="0" w:afterAutospacing="0"/>
              <w:rPr>
                <w:sz w:val="20"/>
                <w:szCs w:val="20"/>
              </w:rPr>
            </w:pPr>
            <w:r>
              <w:rPr>
                <w:sz w:val="20"/>
                <w:szCs w:val="20"/>
              </w:rPr>
              <w:t> </w:t>
            </w:r>
          </w:p>
        </w:tc>
      </w:tr>
      <w:tr w:rsidR="00000000" w14:paraId="142E5758" w14:textId="77777777">
        <w:trPr>
          <w:trHeight w:val="225"/>
          <w:tblCellSpacing w:w="15" w:type="dxa"/>
        </w:trPr>
        <w:tc>
          <w:tcPr>
            <w:tcW w:w="0" w:type="auto"/>
            <w:shd w:val="clear" w:color="auto" w:fill="FFFFFF"/>
            <w:hideMark/>
          </w:tcPr>
          <w:p w14:paraId="6D4837CE" w14:textId="77777777" w:rsidR="00000000" w:rsidRDefault="0015578C">
            <w:pPr>
              <w:pStyle w:val="a3"/>
              <w:spacing w:before="0" w:beforeAutospacing="0" w:after="0" w:afterAutospacing="0"/>
              <w:ind w:left="225"/>
              <w:rPr>
                <w:sz w:val="20"/>
                <w:szCs w:val="20"/>
              </w:rPr>
            </w:pPr>
            <w:r>
              <w:rPr>
                <w:rStyle w:val="a4"/>
                <w:sz w:val="20"/>
                <w:szCs w:val="20"/>
              </w:rPr>
              <w:t>basic and diluted</w:t>
            </w:r>
          </w:p>
        </w:tc>
        <w:tc>
          <w:tcPr>
            <w:tcW w:w="50" w:type="pct"/>
            <w:shd w:val="clear" w:color="auto" w:fill="FFFFFF"/>
            <w:noWrap/>
            <w:vAlign w:val="center"/>
            <w:hideMark/>
          </w:tcPr>
          <w:p w14:paraId="0691D698"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23E24955"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3B23F9A0" w14:textId="77777777" w:rsidR="00000000" w:rsidRDefault="0015578C">
            <w:pPr>
              <w:jc w:val="right"/>
              <w:rPr>
                <w:rFonts w:eastAsia="Times New Roman"/>
                <w:sz w:val="20"/>
                <w:szCs w:val="20"/>
              </w:rPr>
            </w:pPr>
            <w:r>
              <w:rPr>
                <w:rFonts w:eastAsia="Times New Roman"/>
                <w:sz w:val="20"/>
                <w:szCs w:val="20"/>
              </w:rPr>
              <w:t>(0.06</w:t>
            </w:r>
          </w:p>
        </w:tc>
        <w:tc>
          <w:tcPr>
            <w:tcW w:w="50" w:type="pct"/>
            <w:shd w:val="clear" w:color="auto" w:fill="FFFFFF"/>
            <w:noWrap/>
            <w:tcMar>
              <w:top w:w="0" w:type="dxa"/>
              <w:left w:w="0" w:type="dxa"/>
              <w:bottom w:w="15" w:type="dxa"/>
              <w:right w:w="0" w:type="dxa"/>
            </w:tcMar>
            <w:vAlign w:val="bottom"/>
            <w:hideMark/>
          </w:tcPr>
          <w:p w14:paraId="6E2C4E5B"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34C6F418"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4F8EFA16"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3B1CEEC4" w14:textId="77777777" w:rsidR="00000000" w:rsidRDefault="0015578C">
            <w:pPr>
              <w:jc w:val="right"/>
              <w:rPr>
                <w:rFonts w:eastAsia="Times New Roman"/>
                <w:sz w:val="20"/>
                <w:szCs w:val="20"/>
              </w:rPr>
            </w:pPr>
            <w:r>
              <w:rPr>
                <w:rFonts w:eastAsia="Times New Roman"/>
                <w:sz w:val="20"/>
                <w:szCs w:val="20"/>
              </w:rPr>
              <w:t>(0.04</w:t>
            </w:r>
          </w:p>
        </w:tc>
        <w:tc>
          <w:tcPr>
            <w:tcW w:w="50" w:type="pct"/>
            <w:shd w:val="clear" w:color="auto" w:fill="FFFFFF"/>
            <w:noWrap/>
            <w:tcMar>
              <w:top w:w="0" w:type="dxa"/>
              <w:left w:w="0" w:type="dxa"/>
              <w:bottom w:w="15" w:type="dxa"/>
              <w:right w:w="0" w:type="dxa"/>
            </w:tcMar>
            <w:vAlign w:val="bottom"/>
            <w:hideMark/>
          </w:tcPr>
          <w:p w14:paraId="6000A7B3" w14:textId="77777777" w:rsidR="00000000" w:rsidRDefault="0015578C">
            <w:pPr>
              <w:rPr>
                <w:rFonts w:eastAsia="Times New Roman"/>
                <w:sz w:val="20"/>
                <w:szCs w:val="20"/>
              </w:rPr>
            </w:pPr>
            <w:r>
              <w:rPr>
                <w:rFonts w:eastAsia="Times New Roman"/>
                <w:sz w:val="20"/>
                <w:szCs w:val="20"/>
              </w:rPr>
              <w:t>)</w:t>
            </w:r>
          </w:p>
        </w:tc>
      </w:tr>
      <w:tr w:rsidR="00000000" w14:paraId="5ABC09BD" w14:textId="77777777">
        <w:trPr>
          <w:trHeight w:val="225"/>
          <w:tblCellSpacing w:w="15" w:type="dxa"/>
        </w:trPr>
        <w:tc>
          <w:tcPr>
            <w:tcW w:w="0" w:type="auto"/>
            <w:shd w:val="clear" w:color="auto" w:fill="CCEEFF"/>
            <w:hideMark/>
          </w:tcPr>
          <w:p w14:paraId="50D9923A" w14:textId="77777777" w:rsidR="00000000" w:rsidRDefault="0015578C">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CCEEFF"/>
            <w:noWrap/>
            <w:vAlign w:val="center"/>
            <w:hideMark/>
          </w:tcPr>
          <w:p w14:paraId="45CB8AF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C9E318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4BDE795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0E2812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C82BBD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E6D2A2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7CF70E8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CF5549E" w14:textId="77777777" w:rsidR="00000000" w:rsidRDefault="0015578C">
            <w:pPr>
              <w:pStyle w:val="a3"/>
              <w:spacing w:before="0" w:beforeAutospacing="0" w:after="0" w:afterAutospacing="0"/>
              <w:rPr>
                <w:sz w:val="20"/>
                <w:szCs w:val="20"/>
              </w:rPr>
            </w:pPr>
            <w:r>
              <w:rPr>
                <w:sz w:val="20"/>
                <w:szCs w:val="20"/>
              </w:rPr>
              <w:t> </w:t>
            </w:r>
          </w:p>
        </w:tc>
      </w:tr>
      <w:tr w:rsidR="00000000" w14:paraId="14B386A9" w14:textId="77777777">
        <w:trPr>
          <w:trHeight w:val="225"/>
          <w:tblCellSpacing w:w="15" w:type="dxa"/>
        </w:trPr>
        <w:tc>
          <w:tcPr>
            <w:tcW w:w="0" w:type="auto"/>
            <w:shd w:val="clear" w:color="auto" w:fill="FFFFFF"/>
            <w:hideMark/>
          </w:tcPr>
          <w:p w14:paraId="7ACE776A" w14:textId="77777777" w:rsidR="00000000" w:rsidRDefault="0015578C">
            <w:pPr>
              <w:pStyle w:val="a3"/>
              <w:spacing w:before="0" w:beforeAutospacing="0" w:after="0" w:afterAutospacing="0"/>
              <w:ind w:left="225"/>
              <w:rPr>
                <w:sz w:val="20"/>
                <w:szCs w:val="20"/>
              </w:rPr>
            </w:pPr>
            <w:r>
              <w:rPr>
                <w:rStyle w:val="a4"/>
                <w:sz w:val="20"/>
                <w:szCs w:val="20"/>
              </w:rPr>
              <w:t>Basic and diluted</w:t>
            </w:r>
          </w:p>
        </w:tc>
        <w:tc>
          <w:tcPr>
            <w:tcW w:w="50" w:type="pct"/>
            <w:shd w:val="clear" w:color="auto" w:fill="FFFFFF"/>
            <w:noWrap/>
            <w:vAlign w:val="center"/>
            <w:hideMark/>
          </w:tcPr>
          <w:p w14:paraId="5DC822F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61F1D7CF"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5F112FE" w14:textId="77777777" w:rsidR="00000000" w:rsidRDefault="0015578C">
            <w:pPr>
              <w:jc w:val="right"/>
              <w:rPr>
                <w:rFonts w:eastAsia="Times New Roman"/>
                <w:sz w:val="20"/>
                <w:szCs w:val="20"/>
              </w:rPr>
            </w:pPr>
            <w:r>
              <w:rPr>
                <w:rFonts w:eastAsia="Times New Roman"/>
                <w:sz w:val="20"/>
                <w:szCs w:val="20"/>
              </w:rPr>
              <w:t>64,263</w:t>
            </w:r>
          </w:p>
        </w:tc>
        <w:tc>
          <w:tcPr>
            <w:tcW w:w="50" w:type="pct"/>
            <w:shd w:val="clear" w:color="auto" w:fill="FFFFFF"/>
            <w:noWrap/>
            <w:tcMar>
              <w:top w:w="0" w:type="dxa"/>
              <w:left w:w="0" w:type="dxa"/>
              <w:bottom w:w="15" w:type="dxa"/>
              <w:right w:w="0" w:type="dxa"/>
            </w:tcMar>
            <w:vAlign w:val="center"/>
            <w:hideMark/>
          </w:tcPr>
          <w:p w14:paraId="5C72583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AFFE5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FBC415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4229CBD" w14:textId="77777777" w:rsidR="00000000" w:rsidRDefault="0015578C">
            <w:pPr>
              <w:jc w:val="right"/>
              <w:rPr>
                <w:rFonts w:eastAsia="Times New Roman"/>
                <w:sz w:val="20"/>
                <w:szCs w:val="20"/>
              </w:rPr>
            </w:pPr>
            <w:r>
              <w:rPr>
                <w:rFonts w:eastAsia="Times New Roman"/>
                <w:sz w:val="20"/>
                <w:szCs w:val="20"/>
              </w:rPr>
              <w:t>58,709</w:t>
            </w:r>
          </w:p>
        </w:tc>
        <w:tc>
          <w:tcPr>
            <w:tcW w:w="50" w:type="pct"/>
            <w:shd w:val="clear" w:color="auto" w:fill="FFFFFF"/>
            <w:noWrap/>
            <w:tcMar>
              <w:top w:w="0" w:type="dxa"/>
              <w:left w:w="0" w:type="dxa"/>
              <w:bottom w:w="15" w:type="dxa"/>
              <w:right w:w="0" w:type="dxa"/>
            </w:tcMar>
            <w:vAlign w:val="center"/>
            <w:hideMark/>
          </w:tcPr>
          <w:p w14:paraId="4EE3D01B" w14:textId="77777777" w:rsidR="00000000" w:rsidRDefault="0015578C">
            <w:pPr>
              <w:pStyle w:val="a3"/>
              <w:spacing w:before="0" w:beforeAutospacing="0" w:after="0" w:afterAutospacing="0"/>
              <w:rPr>
                <w:sz w:val="20"/>
                <w:szCs w:val="20"/>
              </w:rPr>
            </w:pPr>
            <w:r>
              <w:rPr>
                <w:sz w:val="20"/>
                <w:szCs w:val="20"/>
              </w:rPr>
              <w:t> </w:t>
            </w:r>
          </w:p>
        </w:tc>
      </w:tr>
    </w:tbl>
    <w:p w14:paraId="4641B59F" w14:textId="77777777" w:rsidR="00000000" w:rsidRDefault="0015578C">
      <w:pPr>
        <w:pStyle w:val="a3"/>
        <w:spacing w:before="0" w:beforeAutospacing="0" w:after="0" w:afterAutospacing="0"/>
        <w:jc w:val="both"/>
        <w:rPr>
          <w:sz w:val="20"/>
          <w:szCs w:val="20"/>
        </w:rPr>
      </w:pPr>
      <w:r>
        <w:rPr>
          <w:sz w:val="20"/>
          <w:szCs w:val="20"/>
        </w:rPr>
        <w:t> </w:t>
      </w:r>
    </w:p>
    <w:p w14:paraId="61E15F63" w14:textId="77777777" w:rsidR="00000000" w:rsidRDefault="0015578C">
      <w:pPr>
        <w:pStyle w:val="a3"/>
        <w:spacing w:before="0" w:beforeAutospacing="0" w:after="0" w:afterAutospacing="0"/>
        <w:jc w:val="both"/>
        <w:rPr>
          <w:sz w:val="20"/>
          <w:szCs w:val="20"/>
        </w:rPr>
      </w:pPr>
      <w:r>
        <w:rPr>
          <w:sz w:val="20"/>
          <w:szCs w:val="20"/>
        </w:rPr>
        <w:t>See Notes to Consolidated Financial Statements.</w:t>
      </w:r>
    </w:p>
    <w:p w14:paraId="1E1555DF"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1671B73" w14:textId="77777777">
        <w:trPr>
          <w:trHeight w:val="225"/>
          <w:tblCellSpacing w:w="15" w:type="dxa"/>
        </w:trPr>
        <w:tc>
          <w:tcPr>
            <w:tcW w:w="0" w:type="auto"/>
            <w:vAlign w:val="center"/>
            <w:hideMark/>
          </w:tcPr>
          <w:p w14:paraId="338C1DFC" w14:textId="77777777" w:rsidR="00000000" w:rsidRDefault="0015578C">
            <w:pPr>
              <w:rPr>
                <w:rFonts w:eastAsia="Times New Roman"/>
                <w:sz w:val="20"/>
                <w:szCs w:val="20"/>
              </w:rPr>
            </w:pPr>
            <w:r>
              <w:rPr>
                <w:rFonts w:eastAsia="Times New Roman"/>
                <w:sz w:val="20"/>
                <w:szCs w:val="20"/>
              </w:rPr>
              <w:t> </w:t>
            </w:r>
          </w:p>
        </w:tc>
      </w:tr>
      <w:tr w:rsidR="00000000" w14:paraId="65DD6391" w14:textId="77777777">
        <w:trPr>
          <w:trHeight w:val="225"/>
          <w:tblCellSpacing w:w="15" w:type="dxa"/>
        </w:trPr>
        <w:tc>
          <w:tcPr>
            <w:tcW w:w="0" w:type="auto"/>
            <w:tcBorders>
              <w:bottom w:val="single" w:sz="6" w:space="0" w:color="000000"/>
            </w:tcBorders>
            <w:vAlign w:val="center"/>
            <w:hideMark/>
          </w:tcPr>
          <w:p w14:paraId="0B94C886" w14:textId="77777777" w:rsidR="00000000" w:rsidRDefault="0015578C">
            <w:pPr>
              <w:jc w:val="center"/>
              <w:rPr>
                <w:rFonts w:eastAsia="Times New Roman"/>
                <w:sz w:val="20"/>
                <w:szCs w:val="20"/>
              </w:rPr>
            </w:pPr>
            <w:r>
              <w:rPr>
                <w:rFonts w:eastAsia="Times New Roman"/>
                <w:sz w:val="20"/>
                <w:szCs w:val="20"/>
              </w:rPr>
              <w:t>F-4</w:t>
            </w:r>
          </w:p>
        </w:tc>
      </w:tr>
      <w:tr w:rsidR="00000000" w14:paraId="6421A6A6" w14:textId="77777777">
        <w:trPr>
          <w:trHeight w:val="225"/>
          <w:tblCellSpacing w:w="15" w:type="dxa"/>
        </w:trPr>
        <w:tc>
          <w:tcPr>
            <w:tcW w:w="0" w:type="auto"/>
            <w:vAlign w:val="center"/>
            <w:hideMark/>
          </w:tcPr>
          <w:p w14:paraId="794195ED" w14:textId="77777777" w:rsidR="00000000" w:rsidRDefault="0015578C">
            <w:pPr>
              <w:rPr>
                <w:rFonts w:eastAsia="Times New Roman"/>
                <w:sz w:val="20"/>
                <w:szCs w:val="20"/>
              </w:rPr>
            </w:pPr>
          </w:p>
        </w:tc>
      </w:tr>
      <w:tr w:rsidR="00000000" w14:paraId="61B2813B" w14:textId="77777777">
        <w:trPr>
          <w:trHeight w:val="225"/>
          <w:tblCellSpacing w:w="15" w:type="dxa"/>
        </w:trPr>
        <w:tc>
          <w:tcPr>
            <w:tcW w:w="0" w:type="auto"/>
            <w:vAlign w:val="center"/>
            <w:hideMark/>
          </w:tcPr>
          <w:p w14:paraId="7A030A63"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1814ABA6" w14:textId="77777777" w:rsidR="00000000" w:rsidRDefault="0015578C">
      <w:pPr>
        <w:pStyle w:val="a3"/>
        <w:spacing w:before="0" w:beforeAutospacing="0" w:after="0" w:afterAutospacing="0"/>
        <w:jc w:val="both"/>
        <w:rPr>
          <w:sz w:val="20"/>
          <w:szCs w:val="20"/>
        </w:rPr>
      </w:pPr>
      <w:r>
        <w:rPr>
          <w:sz w:val="20"/>
          <w:szCs w:val="20"/>
        </w:rPr>
        <w:t> </w:t>
      </w:r>
    </w:p>
    <w:p w14:paraId="6C09B267" w14:textId="77777777" w:rsidR="00000000" w:rsidRDefault="0015578C">
      <w:pPr>
        <w:pStyle w:val="a3"/>
        <w:spacing w:before="0" w:beforeAutospacing="0" w:after="0" w:afterAutospacing="0"/>
        <w:jc w:val="center"/>
        <w:rPr>
          <w:sz w:val="20"/>
          <w:szCs w:val="20"/>
        </w:rPr>
      </w:pPr>
      <w:r>
        <w:rPr>
          <w:rStyle w:val="atag"/>
          <w:sz w:val="20"/>
          <w:szCs w:val="20"/>
        </w:rPr>
        <w:t>SOLITARIO ZINC CORP</w:t>
      </w:r>
      <w:r>
        <w:rPr>
          <w:rStyle w:val="atag"/>
          <w:sz w:val="20"/>
          <w:szCs w:val="20"/>
        </w:rPr>
        <w:t>.</w:t>
      </w:r>
    </w:p>
    <w:p w14:paraId="4B0E14F9" w14:textId="77777777" w:rsidR="00000000" w:rsidRDefault="0015578C">
      <w:pPr>
        <w:pStyle w:val="a3"/>
        <w:spacing w:before="0" w:beforeAutospacing="0" w:after="0" w:afterAutospacing="0"/>
        <w:jc w:val="center"/>
        <w:rPr>
          <w:sz w:val="20"/>
          <w:szCs w:val="20"/>
        </w:rPr>
      </w:pPr>
      <w:r>
        <w:rPr>
          <w:sz w:val="20"/>
          <w:szCs w:val="20"/>
        </w:rPr>
        <w:t>CONSOLIDATED STATEMENTS OF SHAREHOLDERS' EQUITY</w:t>
      </w:r>
    </w:p>
    <w:p w14:paraId="76478286" w14:textId="77777777" w:rsidR="00000000" w:rsidRDefault="0015578C">
      <w:pPr>
        <w:pStyle w:val="a3"/>
        <w:spacing w:before="0" w:beforeAutospacing="0" w:after="0" w:afterAutospacing="0"/>
        <w:jc w:val="center"/>
        <w:rPr>
          <w:sz w:val="20"/>
          <w:szCs w:val="20"/>
        </w:rPr>
      </w:pPr>
      <w:r>
        <w:rPr>
          <w:sz w:val="20"/>
          <w:szCs w:val="20"/>
        </w:rPr>
        <w:t>FOR THE YEARS ENDED DECEMBER 31, 2022 AND 2021</w:t>
      </w:r>
    </w:p>
    <w:p w14:paraId="3067485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91"/>
        <w:gridCol w:w="80"/>
        <w:gridCol w:w="80"/>
        <w:gridCol w:w="930"/>
        <w:gridCol w:w="80"/>
        <w:gridCol w:w="80"/>
        <w:gridCol w:w="131"/>
        <w:gridCol w:w="683"/>
        <w:gridCol w:w="80"/>
        <w:gridCol w:w="80"/>
        <w:gridCol w:w="131"/>
        <w:gridCol w:w="773"/>
        <w:gridCol w:w="80"/>
        <w:gridCol w:w="80"/>
        <w:gridCol w:w="134"/>
        <w:gridCol w:w="963"/>
        <w:gridCol w:w="97"/>
        <w:gridCol w:w="80"/>
        <w:gridCol w:w="139"/>
        <w:gridCol w:w="1002"/>
        <w:gridCol w:w="112"/>
      </w:tblGrid>
      <w:tr w:rsidR="00000000" w14:paraId="713568C9" w14:textId="77777777">
        <w:trPr>
          <w:trHeight w:val="225"/>
          <w:tblCellSpacing w:w="15" w:type="dxa"/>
        </w:trPr>
        <w:tc>
          <w:tcPr>
            <w:tcW w:w="0" w:type="auto"/>
            <w:vAlign w:val="bottom"/>
            <w:hideMark/>
          </w:tcPr>
          <w:p w14:paraId="054FF107" w14:textId="77777777" w:rsidR="00000000" w:rsidRDefault="0015578C">
            <w:pPr>
              <w:pStyle w:val="a3"/>
              <w:spacing w:before="0" w:beforeAutospacing="0" w:after="0" w:afterAutospacing="0"/>
              <w:rPr>
                <w:sz w:val="20"/>
                <w:szCs w:val="20"/>
              </w:rPr>
            </w:pPr>
            <w:r>
              <w:rPr>
                <w:sz w:val="20"/>
                <w:szCs w:val="20"/>
              </w:rPr>
              <w:t>(in thousands, of U.S. Dollars</w:t>
            </w:r>
          </w:p>
        </w:tc>
        <w:tc>
          <w:tcPr>
            <w:tcW w:w="0" w:type="auto"/>
            <w:noWrap/>
            <w:vAlign w:val="center"/>
            <w:hideMark/>
          </w:tcPr>
          <w:p w14:paraId="66DE59D4"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vAlign w:val="center"/>
            <w:hideMark/>
          </w:tcPr>
          <w:p w14:paraId="7B29145F" w14:textId="77777777" w:rsidR="00000000" w:rsidRDefault="0015578C">
            <w:pPr>
              <w:rPr>
                <w:sz w:val="20"/>
                <w:szCs w:val="20"/>
              </w:rPr>
            </w:pPr>
          </w:p>
        </w:tc>
        <w:tc>
          <w:tcPr>
            <w:tcW w:w="0" w:type="auto"/>
            <w:noWrap/>
            <w:vAlign w:val="center"/>
            <w:hideMark/>
          </w:tcPr>
          <w:p w14:paraId="71FF721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6FC9375E"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155E0EF5" w14:textId="77777777" w:rsidR="00000000" w:rsidRDefault="0015578C">
            <w:pPr>
              <w:rPr>
                <w:sz w:val="20"/>
                <w:szCs w:val="20"/>
              </w:rPr>
            </w:pPr>
          </w:p>
        </w:tc>
        <w:tc>
          <w:tcPr>
            <w:tcW w:w="0" w:type="auto"/>
            <w:noWrap/>
            <w:vAlign w:val="center"/>
            <w:hideMark/>
          </w:tcPr>
          <w:p w14:paraId="54707F9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ADB41E7"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487C45C3" w14:textId="77777777" w:rsidR="00000000" w:rsidRDefault="0015578C">
            <w:pPr>
              <w:rPr>
                <w:sz w:val="20"/>
                <w:szCs w:val="20"/>
              </w:rPr>
            </w:pPr>
          </w:p>
        </w:tc>
        <w:tc>
          <w:tcPr>
            <w:tcW w:w="0" w:type="auto"/>
            <w:noWrap/>
            <w:vAlign w:val="center"/>
            <w:hideMark/>
          </w:tcPr>
          <w:p w14:paraId="628D13A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937778F"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3FF281E4" w14:textId="77777777" w:rsidR="00000000" w:rsidRDefault="0015578C">
            <w:pPr>
              <w:rPr>
                <w:sz w:val="20"/>
                <w:szCs w:val="20"/>
              </w:rPr>
            </w:pPr>
          </w:p>
        </w:tc>
        <w:tc>
          <w:tcPr>
            <w:tcW w:w="0" w:type="auto"/>
            <w:noWrap/>
            <w:vAlign w:val="center"/>
            <w:hideMark/>
          </w:tcPr>
          <w:p w14:paraId="556DD29B" w14:textId="77777777" w:rsidR="00000000" w:rsidRDefault="0015578C">
            <w:pPr>
              <w:pStyle w:val="a3"/>
              <w:spacing w:before="0" w:beforeAutospacing="0" w:after="0" w:afterAutospacing="0"/>
              <w:rPr>
                <w:sz w:val="20"/>
                <w:szCs w:val="20"/>
              </w:rPr>
            </w:pPr>
            <w:r>
              <w:rPr>
                <w:sz w:val="20"/>
                <w:szCs w:val="20"/>
              </w:rPr>
              <w:t> </w:t>
            </w:r>
          </w:p>
        </w:tc>
      </w:tr>
      <w:tr w:rsidR="00000000" w14:paraId="149A6F4B" w14:textId="77777777">
        <w:trPr>
          <w:trHeight w:val="225"/>
          <w:tblCellSpacing w:w="15" w:type="dxa"/>
        </w:trPr>
        <w:tc>
          <w:tcPr>
            <w:tcW w:w="0" w:type="auto"/>
            <w:vAlign w:val="bottom"/>
            <w:hideMark/>
          </w:tcPr>
          <w:p w14:paraId="2901D71D" w14:textId="77777777" w:rsidR="00000000" w:rsidRDefault="0015578C">
            <w:pPr>
              <w:pStyle w:val="a3"/>
              <w:spacing w:before="0" w:beforeAutospacing="0" w:after="0" w:afterAutospacing="0"/>
              <w:rPr>
                <w:sz w:val="20"/>
                <w:szCs w:val="20"/>
              </w:rPr>
            </w:pPr>
            <w:r>
              <w:rPr>
                <w:sz w:val="20"/>
                <w:szCs w:val="20"/>
              </w:rPr>
              <w:t>except share amounts)</w:t>
            </w:r>
          </w:p>
        </w:tc>
        <w:tc>
          <w:tcPr>
            <w:tcW w:w="0" w:type="auto"/>
            <w:noWrap/>
            <w:vAlign w:val="center"/>
            <w:hideMark/>
          </w:tcPr>
          <w:p w14:paraId="46A6432F"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vAlign w:val="center"/>
            <w:hideMark/>
          </w:tcPr>
          <w:p w14:paraId="736C3F22" w14:textId="77777777" w:rsidR="00000000" w:rsidRDefault="0015578C">
            <w:pPr>
              <w:rPr>
                <w:sz w:val="20"/>
                <w:szCs w:val="20"/>
              </w:rPr>
            </w:pPr>
          </w:p>
        </w:tc>
        <w:tc>
          <w:tcPr>
            <w:tcW w:w="0" w:type="auto"/>
            <w:noWrap/>
            <w:vAlign w:val="center"/>
            <w:hideMark/>
          </w:tcPr>
          <w:p w14:paraId="1ABEEC1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97522F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0DCB8FC3" w14:textId="77777777" w:rsidR="00000000" w:rsidRDefault="0015578C">
            <w:pPr>
              <w:pStyle w:val="a3"/>
              <w:spacing w:before="0" w:beforeAutospacing="0" w:after="0" w:afterAutospacing="0"/>
              <w:jc w:val="center"/>
              <w:rPr>
                <w:sz w:val="20"/>
                <w:szCs w:val="20"/>
              </w:rPr>
            </w:pPr>
            <w:r>
              <w:rPr>
                <w:sz w:val="20"/>
                <w:szCs w:val="20"/>
              </w:rPr>
              <w:t>Additional</w:t>
            </w:r>
          </w:p>
        </w:tc>
        <w:tc>
          <w:tcPr>
            <w:tcW w:w="0" w:type="auto"/>
            <w:noWrap/>
            <w:vAlign w:val="center"/>
            <w:hideMark/>
          </w:tcPr>
          <w:p w14:paraId="5556F57E"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414D1D2"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2DC2201C" w14:textId="77777777" w:rsidR="00000000" w:rsidRDefault="0015578C">
            <w:pPr>
              <w:rPr>
                <w:sz w:val="20"/>
                <w:szCs w:val="20"/>
              </w:rPr>
            </w:pPr>
          </w:p>
        </w:tc>
        <w:tc>
          <w:tcPr>
            <w:tcW w:w="0" w:type="auto"/>
            <w:noWrap/>
            <w:vAlign w:val="center"/>
            <w:hideMark/>
          </w:tcPr>
          <w:p w14:paraId="0B569C3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4B33C0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3B138B4D" w14:textId="77777777" w:rsidR="00000000" w:rsidRDefault="0015578C">
            <w:pPr>
              <w:pStyle w:val="a3"/>
              <w:spacing w:before="0" w:beforeAutospacing="0" w:after="0" w:afterAutospacing="0"/>
              <w:jc w:val="center"/>
              <w:rPr>
                <w:sz w:val="20"/>
                <w:szCs w:val="20"/>
              </w:rPr>
            </w:pPr>
            <w:r>
              <w:rPr>
                <w:sz w:val="20"/>
                <w:szCs w:val="20"/>
              </w:rPr>
              <w:t>Total</w:t>
            </w:r>
          </w:p>
        </w:tc>
        <w:tc>
          <w:tcPr>
            <w:tcW w:w="0" w:type="auto"/>
            <w:noWrap/>
            <w:vAlign w:val="center"/>
            <w:hideMark/>
          </w:tcPr>
          <w:p w14:paraId="77D3D4DF" w14:textId="77777777" w:rsidR="00000000" w:rsidRDefault="0015578C">
            <w:pPr>
              <w:pStyle w:val="a3"/>
              <w:spacing w:before="0" w:beforeAutospacing="0" w:after="0" w:afterAutospacing="0"/>
              <w:rPr>
                <w:sz w:val="20"/>
                <w:szCs w:val="20"/>
              </w:rPr>
            </w:pPr>
            <w:r>
              <w:rPr>
                <w:sz w:val="20"/>
                <w:szCs w:val="20"/>
              </w:rPr>
              <w:t> </w:t>
            </w:r>
          </w:p>
        </w:tc>
      </w:tr>
      <w:tr w:rsidR="00000000" w14:paraId="3CDB9940" w14:textId="77777777">
        <w:trPr>
          <w:trHeight w:val="225"/>
          <w:tblCellSpacing w:w="15" w:type="dxa"/>
        </w:trPr>
        <w:tc>
          <w:tcPr>
            <w:tcW w:w="0" w:type="auto"/>
            <w:vAlign w:val="center"/>
            <w:hideMark/>
          </w:tcPr>
          <w:p w14:paraId="03AC428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280E3F4"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25B5AFE1" w14:textId="77777777" w:rsidR="00000000" w:rsidRDefault="0015578C">
            <w:pPr>
              <w:pStyle w:val="a3"/>
              <w:spacing w:before="0" w:beforeAutospacing="0" w:after="0" w:afterAutospacing="0"/>
              <w:jc w:val="center"/>
              <w:rPr>
                <w:sz w:val="20"/>
                <w:szCs w:val="20"/>
              </w:rPr>
            </w:pPr>
            <w:r>
              <w:rPr>
                <w:sz w:val="20"/>
                <w:szCs w:val="20"/>
              </w:rPr>
              <w:t>Common Stock</w:t>
            </w:r>
          </w:p>
        </w:tc>
        <w:tc>
          <w:tcPr>
            <w:tcW w:w="0" w:type="auto"/>
            <w:noWrap/>
            <w:vAlign w:val="center"/>
            <w:hideMark/>
          </w:tcPr>
          <w:p w14:paraId="462912F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0C9A8D5"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435ECD11" w14:textId="77777777" w:rsidR="00000000" w:rsidRDefault="0015578C">
            <w:pPr>
              <w:pStyle w:val="a3"/>
              <w:spacing w:before="0" w:beforeAutospacing="0" w:after="0" w:afterAutospacing="0"/>
              <w:jc w:val="center"/>
              <w:rPr>
                <w:sz w:val="20"/>
                <w:szCs w:val="20"/>
              </w:rPr>
            </w:pPr>
            <w:r>
              <w:rPr>
                <w:sz w:val="20"/>
                <w:szCs w:val="20"/>
              </w:rPr>
              <w:t>Paid-in</w:t>
            </w:r>
          </w:p>
        </w:tc>
        <w:tc>
          <w:tcPr>
            <w:tcW w:w="0" w:type="auto"/>
            <w:noWrap/>
            <w:vAlign w:val="center"/>
            <w:hideMark/>
          </w:tcPr>
          <w:p w14:paraId="26EDEF4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1013210"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75EA5D49" w14:textId="77777777" w:rsidR="00000000" w:rsidRDefault="0015578C">
            <w:pPr>
              <w:pStyle w:val="a3"/>
              <w:spacing w:before="0" w:beforeAutospacing="0" w:after="0" w:afterAutospacing="0"/>
              <w:jc w:val="center"/>
              <w:rPr>
                <w:sz w:val="20"/>
                <w:szCs w:val="20"/>
              </w:rPr>
            </w:pPr>
            <w:r>
              <w:rPr>
                <w:sz w:val="20"/>
                <w:szCs w:val="20"/>
              </w:rPr>
              <w:t>Accumulated</w:t>
            </w:r>
          </w:p>
        </w:tc>
        <w:tc>
          <w:tcPr>
            <w:tcW w:w="0" w:type="auto"/>
            <w:noWrap/>
            <w:vAlign w:val="center"/>
            <w:hideMark/>
          </w:tcPr>
          <w:p w14:paraId="3B09B2AE"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E188C1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0EC3F248" w14:textId="77777777" w:rsidR="00000000" w:rsidRDefault="0015578C">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14:paraId="0E325B0C" w14:textId="77777777" w:rsidR="00000000" w:rsidRDefault="0015578C">
            <w:pPr>
              <w:pStyle w:val="a3"/>
              <w:spacing w:before="0" w:beforeAutospacing="0" w:after="0" w:afterAutospacing="0"/>
              <w:rPr>
                <w:sz w:val="20"/>
                <w:szCs w:val="20"/>
              </w:rPr>
            </w:pPr>
            <w:r>
              <w:rPr>
                <w:sz w:val="20"/>
                <w:szCs w:val="20"/>
              </w:rPr>
              <w:t> </w:t>
            </w:r>
          </w:p>
        </w:tc>
      </w:tr>
      <w:tr w:rsidR="00000000" w14:paraId="74D9B6E8" w14:textId="77777777">
        <w:trPr>
          <w:trHeight w:val="225"/>
          <w:tblCellSpacing w:w="15" w:type="dxa"/>
        </w:trPr>
        <w:tc>
          <w:tcPr>
            <w:tcW w:w="0" w:type="auto"/>
            <w:vAlign w:val="center"/>
            <w:hideMark/>
          </w:tcPr>
          <w:p w14:paraId="4F93077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6912FB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ADFC1F8" w14:textId="77777777" w:rsidR="00000000" w:rsidRDefault="0015578C">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14:paraId="1520F5B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C7EAD1E"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2C4309E" w14:textId="77777777" w:rsidR="00000000" w:rsidRDefault="0015578C">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14:paraId="0B89D34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17AEEE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42C2941" w14:textId="77777777" w:rsidR="00000000" w:rsidRDefault="0015578C">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14:paraId="4D37567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EFCE16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65F3163" w14:textId="77777777" w:rsidR="00000000" w:rsidRDefault="0015578C">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14:paraId="2CF6731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5A90D5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170DAD4" w14:textId="77777777" w:rsidR="00000000" w:rsidRDefault="0015578C">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14:paraId="2187E144" w14:textId="77777777" w:rsidR="00000000" w:rsidRDefault="0015578C">
            <w:pPr>
              <w:pStyle w:val="a3"/>
              <w:spacing w:before="0" w:beforeAutospacing="0" w:after="0" w:afterAutospacing="0"/>
              <w:rPr>
                <w:sz w:val="20"/>
                <w:szCs w:val="20"/>
              </w:rPr>
            </w:pPr>
            <w:r>
              <w:rPr>
                <w:sz w:val="20"/>
                <w:szCs w:val="20"/>
              </w:rPr>
              <w:t> </w:t>
            </w:r>
          </w:p>
        </w:tc>
      </w:tr>
      <w:tr w:rsidR="00000000" w14:paraId="145E5F9D" w14:textId="77777777">
        <w:trPr>
          <w:trHeight w:val="225"/>
          <w:tblCellSpacing w:w="15" w:type="dxa"/>
        </w:trPr>
        <w:tc>
          <w:tcPr>
            <w:tcW w:w="0" w:type="auto"/>
            <w:shd w:val="clear" w:color="auto" w:fill="CCEEFF"/>
            <w:hideMark/>
          </w:tcPr>
          <w:p w14:paraId="5F4ACDE0" w14:textId="77777777" w:rsidR="00000000" w:rsidRDefault="0015578C">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14:paraId="53C9044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1B62C4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4CE6043" w14:textId="77777777" w:rsidR="00000000" w:rsidRDefault="0015578C">
            <w:pPr>
              <w:jc w:val="right"/>
              <w:rPr>
                <w:rFonts w:eastAsia="Times New Roman"/>
                <w:sz w:val="20"/>
                <w:szCs w:val="20"/>
              </w:rPr>
            </w:pPr>
            <w:r>
              <w:rPr>
                <w:rStyle w:val="a4"/>
                <w:rFonts w:eastAsia="Times New Roman"/>
                <w:sz w:val="20"/>
                <w:szCs w:val="20"/>
              </w:rPr>
              <w:t>58,108,366</w:t>
            </w:r>
          </w:p>
        </w:tc>
        <w:tc>
          <w:tcPr>
            <w:tcW w:w="50" w:type="pct"/>
            <w:shd w:val="clear" w:color="auto" w:fill="CCEEFF"/>
            <w:noWrap/>
            <w:vAlign w:val="center"/>
            <w:hideMark/>
          </w:tcPr>
          <w:p w14:paraId="1C4FBF7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A70D2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5497BE2"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14:paraId="3F2243BA" w14:textId="77777777" w:rsidR="00000000" w:rsidRDefault="0015578C">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14:paraId="208CFA0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B5FE47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8CD4703"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14:paraId="4629E906" w14:textId="77777777" w:rsidR="00000000" w:rsidRDefault="0015578C">
            <w:pPr>
              <w:jc w:val="right"/>
              <w:rPr>
                <w:rFonts w:eastAsia="Times New Roman"/>
                <w:sz w:val="20"/>
                <w:szCs w:val="20"/>
              </w:rPr>
            </w:pPr>
            <w:r>
              <w:rPr>
                <w:rStyle w:val="a4"/>
                <w:rFonts w:eastAsia="Times New Roman"/>
                <w:sz w:val="20"/>
                <w:szCs w:val="20"/>
              </w:rPr>
              <w:t>70,514</w:t>
            </w:r>
          </w:p>
        </w:tc>
        <w:tc>
          <w:tcPr>
            <w:tcW w:w="50" w:type="pct"/>
            <w:shd w:val="clear" w:color="auto" w:fill="CCEEFF"/>
            <w:noWrap/>
            <w:vAlign w:val="center"/>
            <w:hideMark/>
          </w:tcPr>
          <w:p w14:paraId="50DD681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8EF1D2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83F8451"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14:paraId="67C3F502" w14:textId="77777777" w:rsidR="00000000" w:rsidRDefault="0015578C">
            <w:pPr>
              <w:jc w:val="right"/>
              <w:rPr>
                <w:rFonts w:eastAsia="Times New Roman"/>
                <w:sz w:val="20"/>
                <w:szCs w:val="20"/>
              </w:rPr>
            </w:pPr>
            <w:r>
              <w:rPr>
                <w:rStyle w:val="a4"/>
                <w:rFonts w:eastAsia="Times New Roman"/>
                <w:sz w:val="20"/>
                <w:szCs w:val="20"/>
              </w:rPr>
              <w:t>(47,593</w:t>
            </w:r>
          </w:p>
        </w:tc>
        <w:tc>
          <w:tcPr>
            <w:tcW w:w="50" w:type="pct"/>
            <w:shd w:val="clear" w:color="auto" w:fill="CCEEFF"/>
            <w:noWrap/>
            <w:vAlign w:val="bottom"/>
            <w:hideMark/>
          </w:tcPr>
          <w:p w14:paraId="639B48E8" w14:textId="77777777" w:rsidR="00000000" w:rsidRDefault="0015578C">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14:paraId="5748DDC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171BC12"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14:paraId="2348B3AA" w14:textId="77777777" w:rsidR="00000000" w:rsidRDefault="0015578C">
            <w:pPr>
              <w:jc w:val="right"/>
              <w:rPr>
                <w:rFonts w:eastAsia="Times New Roman"/>
                <w:sz w:val="20"/>
                <w:szCs w:val="20"/>
              </w:rPr>
            </w:pPr>
            <w:r>
              <w:rPr>
                <w:rStyle w:val="a4"/>
                <w:rFonts w:eastAsia="Times New Roman"/>
                <w:sz w:val="20"/>
                <w:szCs w:val="20"/>
              </w:rPr>
              <w:t>23,502</w:t>
            </w:r>
          </w:p>
        </w:tc>
        <w:tc>
          <w:tcPr>
            <w:tcW w:w="50" w:type="pct"/>
            <w:shd w:val="clear" w:color="auto" w:fill="CCEEFF"/>
            <w:noWrap/>
            <w:vAlign w:val="center"/>
            <w:hideMark/>
          </w:tcPr>
          <w:p w14:paraId="37215248" w14:textId="77777777" w:rsidR="00000000" w:rsidRDefault="0015578C">
            <w:pPr>
              <w:pStyle w:val="a3"/>
              <w:spacing w:before="0" w:beforeAutospacing="0" w:after="0" w:afterAutospacing="0"/>
              <w:rPr>
                <w:sz w:val="20"/>
                <w:szCs w:val="20"/>
              </w:rPr>
            </w:pPr>
            <w:r>
              <w:rPr>
                <w:sz w:val="20"/>
                <w:szCs w:val="20"/>
              </w:rPr>
              <w:t> </w:t>
            </w:r>
          </w:p>
        </w:tc>
      </w:tr>
      <w:tr w:rsidR="00000000" w14:paraId="74422DCA" w14:textId="77777777">
        <w:trPr>
          <w:trHeight w:val="225"/>
          <w:tblCellSpacing w:w="15" w:type="dxa"/>
        </w:trPr>
        <w:tc>
          <w:tcPr>
            <w:tcW w:w="0" w:type="auto"/>
            <w:shd w:val="clear" w:color="auto" w:fill="FFFFFF"/>
            <w:vAlign w:val="center"/>
            <w:hideMark/>
          </w:tcPr>
          <w:p w14:paraId="0386BA2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9FC21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5E572A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E6C2E0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72EE00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C55D8A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464F2D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1FC4948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383770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57B36C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2F0DF8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3DBB640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8FA412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3A26DB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9585C6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DDCA69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4F0C9C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4798A9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5C7B97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3A241EC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6BD390C" w14:textId="77777777" w:rsidR="00000000" w:rsidRDefault="0015578C">
            <w:pPr>
              <w:pStyle w:val="a3"/>
              <w:spacing w:before="0" w:beforeAutospacing="0" w:after="0" w:afterAutospacing="0"/>
              <w:rPr>
                <w:sz w:val="20"/>
                <w:szCs w:val="20"/>
              </w:rPr>
            </w:pPr>
            <w:r>
              <w:rPr>
                <w:sz w:val="20"/>
                <w:szCs w:val="20"/>
              </w:rPr>
              <w:t> </w:t>
            </w:r>
          </w:p>
        </w:tc>
      </w:tr>
      <w:tr w:rsidR="00000000" w14:paraId="444C7D20" w14:textId="77777777">
        <w:trPr>
          <w:trHeight w:val="225"/>
          <w:tblCellSpacing w:w="15" w:type="dxa"/>
        </w:trPr>
        <w:tc>
          <w:tcPr>
            <w:tcW w:w="0" w:type="auto"/>
            <w:shd w:val="clear" w:color="auto" w:fill="CCEEFF"/>
            <w:hideMark/>
          </w:tcPr>
          <w:p w14:paraId="29E39393" w14:textId="77777777" w:rsidR="00000000" w:rsidRDefault="0015578C">
            <w:pPr>
              <w:pStyle w:val="a3"/>
              <w:spacing w:before="0" w:beforeAutospacing="0" w:after="0" w:afterAutospacing="0"/>
              <w:rPr>
                <w:sz w:val="20"/>
                <w:szCs w:val="20"/>
              </w:rPr>
            </w:pPr>
            <w:r>
              <w:rPr>
                <w:sz w:val="20"/>
                <w:szCs w:val="20"/>
              </w:rPr>
              <w:t>Stock option expense</w:t>
            </w:r>
          </w:p>
        </w:tc>
        <w:tc>
          <w:tcPr>
            <w:tcW w:w="50" w:type="pct"/>
            <w:shd w:val="clear" w:color="auto" w:fill="CCEEFF"/>
            <w:noWrap/>
            <w:vAlign w:val="center"/>
            <w:hideMark/>
          </w:tcPr>
          <w:p w14:paraId="1AA1252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31C00B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45476B9"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475B75E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AC782A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2EB0E3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E8C2E04"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2CE1C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82A49E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962065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09A5F98" w14:textId="77777777" w:rsidR="00000000" w:rsidRDefault="0015578C">
            <w:pPr>
              <w:jc w:val="right"/>
              <w:rPr>
                <w:rFonts w:eastAsia="Times New Roman"/>
                <w:sz w:val="20"/>
                <w:szCs w:val="20"/>
              </w:rPr>
            </w:pPr>
            <w:r>
              <w:rPr>
                <w:rFonts w:eastAsia="Times New Roman"/>
                <w:sz w:val="20"/>
                <w:szCs w:val="20"/>
              </w:rPr>
              <w:t>124</w:t>
            </w:r>
          </w:p>
        </w:tc>
        <w:tc>
          <w:tcPr>
            <w:tcW w:w="50" w:type="pct"/>
            <w:shd w:val="clear" w:color="auto" w:fill="CCEEFF"/>
            <w:noWrap/>
            <w:vAlign w:val="center"/>
            <w:hideMark/>
          </w:tcPr>
          <w:p w14:paraId="6D522D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9CD56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FB4464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1F82A65"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787F250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0BD650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CDA6AF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246EF0F" w14:textId="77777777" w:rsidR="00000000" w:rsidRDefault="0015578C">
            <w:pPr>
              <w:jc w:val="right"/>
              <w:rPr>
                <w:rFonts w:eastAsia="Times New Roman"/>
                <w:sz w:val="20"/>
                <w:szCs w:val="20"/>
              </w:rPr>
            </w:pPr>
            <w:r>
              <w:rPr>
                <w:rFonts w:eastAsia="Times New Roman"/>
                <w:sz w:val="20"/>
                <w:szCs w:val="20"/>
              </w:rPr>
              <w:t>124</w:t>
            </w:r>
          </w:p>
        </w:tc>
        <w:tc>
          <w:tcPr>
            <w:tcW w:w="50" w:type="pct"/>
            <w:shd w:val="clear" w:color="auto" w:fill="CCEEFF"/>
            <w:noWrap/>
            <w:vAlign w:val="center"/>
            <w:hideMark/>
          </w:tcPr>
          <w:p w14:paraId="164DDE0E" w14:textId="77777777" w:rsidR="00000000" w:rsidRDefault="0015578C">
            <w:pPr>
              <w:pStyle w:val="a3"/>
              <w:spacing w:before="0" w:beforeAutospacing="0" w:after="0" w:afterAutospacing="0"/>
              <w:rPr>
                <w:sz w:val="20"/>
                <w:szCs w:val="20"/>
              </w:rPr>
            </w:pPr>
            <w:r>
              <w:rPr>
                <w:sz w:val="20"/>
                <w:szCs w:val="20"/>
              </w:rPr>
              <w:t> </w:t>
            </w:r>
          </w:p>
        </w:tc>
      </w:tr>
      <w:tr w:rsidR="00000000" w14:paraId="10A02ADF" w14:textId="77777777">
        <w:trPr>
          <w:trHeight w:val="225"/>
          <w:tblCellSpacing w:w="15" w:type="dxa"/>
        </w:trPr>
        <w:tc>
          <w:tcPr>
            <w:tcW w:w="0" w:type="auto"/>
            <w:shd w:val="clear" w:color="auto" w:fill="FFFFFF"/>
            <w:hideMark/>
          </w:tcPr>
          <w:p w14:paraId="45691DC0" w14:textId="77777777" w:rsidR="00000000" w:rsidRDefault="0015578C">
            <w:pPr>
              <w:pStyle w:val="a3"/>
              <w:spacing w:before="0" w:beforeAutospacing="0" w:after="0" w:afterAutospacing="0"/>
              <w:rPr>
                <w:sz w:val="20"/>
                <w:szCs w:val="20"/>
              </w:rPr>
            </w:pPr>
            <w:r>
              <w:rPr>
                <w:sz w:val="20"/>
                <w:szCs w:val="20"/>
              </w:rPr>
              <w:t xml:space="preserve">Issuance of shares – </w:t>
            </w:r>
            <w:r>
              <w:rPr>
                <w:sz w:val="20"/>
                <w:szCs w:val="20"/>
              </w:rPr>
              <w:t>option exercises</w:t>
            </w:r>
          </w:p>
        </w:tc>
        <w:tc>
          <w:tcPr>
            <w:tcW w:w="50" w:type="pct"/>
            <w:shd w:val="clear" w:color="auto" w:fill="FFFFFF"/>
            <w:noWrap/>
            <w:vAlign w:val="center"/>
            <w:hideMark/>
          </w:tcPr>
          <w:p w14:paraId="6CA7228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E4250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56C655D" w14:textId="77777777" w:rsidR="00000000" w:rsidRDefault="0015578C">
            <w:pPr>
              <w:jc w:val="right"/>
              <w:rPr>
                <w:rFonts w:eastAsia="Times New Roman"/>
                <w:sz w:val="20"/>
                <w:szCs w:val="20"/>
              </w:rPr>
            </w:pPr>
            <w:r>
              <w:rPr>
                <w:rFonts w:eastAsia="Times New Roman"/>
                <w:sz w:val="20"/>
                <w:szCs w:val="20"/>
              </w:rPr>
              <w:t>185,000</w:t>
            </w:r>
          </w:p>
        </w:tc>
        <w:tc>
          <w:tcPr>
            <w:tcW w:w="50" w:type="pct"/>
            <w:shd w:val="clear" w:color="auto" w:fill="FFFFFF"/>
            <w:noWrap/>
            <w:vAlign w:val="center"/>
            <w:hideMark/>
          </w:tcPr>
          <w:p w14:paraId="0A797E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1E377F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E7E919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8A3BA01" w14:textId="77777777" w:rsidR="00000000" w:rsidRDefault="0015578C">
            <w:pPr>
              <w:jc w:val="right"/>
              <w:rPr>
                <w:rFonts w:eastAsia="Times New Roman"/>
                <w:sz w:val="20"/>
                <w:szCs w:val="20"/>
              </w:rPr>
            </w:pPr>
            <w:r>
              <w:rPr>
                <w:rFonts w:eastAsia="Times New Roman"/>
                <w:sz w:val="20"/>
                <w:szCs w:val="20"/>
              </w:rPr>
              <w:t>2</w:t>
            </w:r>
          </w:p>
        </w:tc>
        <w:tc>
          <w:tcPr>
            <w:tcW w:w="50" w:type="pct"/>
            <w:shd w:val="clear" w:color="auto" w:fill="FFFFFF"/>
            <w:noWrap/>
            <w:vAlign w:val="center"/>
            <w:hideMark/>
          </w:tcPr>
          <w:p w14:paraId="5C2366A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52691B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3B0693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1C1B0CF" w14:textId="77777777" w:rsidR="00000000" w:rsidRDefault="0015578C">
            <w:pPr>
              <w:jc w:val="right"/>
              <w:rPr>
                <w:rFonts w:eastAsia="Times New Roman"/>
                <w:sz w:val="20"/>
                <w:szCs w:val="20"/>
              </w:rPr>
            </w:pPr>
            <w:r>
              <w:rPr>
                <w:rFonts w:eastAsia="Times New Roman"/>
                <w:sz w:val="20"/>
                <w:szCs w:val="20"/>
              </w:rPr>
              <w:t>81</w:t>
            </w:r>
          </w:p>
        </w:tc>
        <w:tc>
          <w:tcPr>
            <w:tcW w:w="50" w:type="pct"/>
            <w:shd w:val="clear" w:color="auto" w:fill="FFFFFF"/>
            <w:noWrap/>
            <w:vAlign w:val="center"/>
            <w:hideMark/>
          </w:tcPr>
          <w:p w14:paraId="5EA8CDC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CEAA68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102759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7665C35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040E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BB088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E5E5D5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52F9777" w14:textId="77777777" w:rsidR="00000000" w:rsidRDefault="0015578C">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14:paraId="7DD2875E" w14:textId="77777777" w:rsidR="00000000" w:rsidRDefault="0015578C">
            <w:pPr>
              <w:pStyle w:val="a3"/>
              <w:spacing w:before="0" w:beforeAutospacing="0" w:after="0" w:afterAutospacing="0"/>
              <w:rPr>
                <w:sz w:val="20"/>
                <w:szCs w:val="20"/>
              </w:rPr>
            </w:pPr>
            <w:r>
              <w:rPr>
                <w:sz w:val="20"/>
                <w:szCs w:val="20"/>
              </w:rPr>
              <w:t> </w:t>
            </w:r>
          </w:p>
        </w:tc>
      </w:tr>
      <w:tr w:rsidR="00000000" w14:paraId="4F4D0820" w14:textId="77777777">
        <w:trPr>
          <w:trHeight w:val="225"/>
          <w:tblCellSpacing w:w="15" w:type="dxa"/>
        </w:trPr>
        <w:tc>
          <w:tcPr>
            <w:tcW w:w="0" w:type="auto"/>
            <w:shd w:val="clear" w:color="auto" w:fill="CCEEFF"/>
            <w:hideMark/>
          </w:tcPr>
          <w:p w14:paraId="6B995B17" w14:textId="77777777" w:rsidR="00000000" w:rsidRDefault="0015578C">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14:paraId="754876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7F2D00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923F742" w14:textId="77777777" w:rsidR="00000000" w:rsidRDefault="0015578C">
            <w:pPr>
              <w:jc w:val="right"/>
              <w:rPr>
                <w:rFonts w:eastAsia="Times New Roman"/>
                <w:sz w:val="20"/>
                <w:szCs w:val="20"/>
              </w:rPr>
            </w:pPr>
            <w:r>
              <w:rPr>
                <w:rFonts w:eastAsia="Times New Roman"/>
                <w:sz w:val="20"/>
                <w:szCs w:val="20"/>
              </w:rPr>
              <w:t>643,033</w:t>
            </w:r>
          </w:p>
        </w:tc>
        <w:tc>
          <w:tcPr>
            <w:tcW w:w="50" w:type="pct"/>
            <w:shd w:val="clear" w:color="auto" w:fill="CCEEFF"/>
            <w:noWrap/>
            <w:vAlign w:val="center"/>
            <w:hideMark/>
          </w:tcPr>
          <w:p w14:paraId="33D180E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74B2DA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A22622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41CB595" w14:textId="77777777" w:rsidR="00000000" w:rsidRDefault="0015578C">
            <w:pPr>
              <w:jc w:val="right"/>
              <w:rPr>
                <w:rFonts w:eastAsia="Times New Roman"/>
                <w:sz w:val="20"/>
                <w:szCs w:val="20"/>
              </w:rPr>
            </w:pPr>
            <w:r>
              <w:rPr>
                <w:rFonts w:eastAsia="Times New Roman"/>
                <w:sz w:val="20"/>
                <w:szCs w:val="20"/>
              </w:rPr>
              <w:t>6</w:t>
            </w:r>
          </w:p>
        </w:tc>
        <w:tc>
          <w:tcPr>
            <w:tcW w:w="50" w:type="pct"/>
            <w:shd w:val="clear" w:color="auto" w:fill="CCEEFF"/>
            <w:noWrap/>
            <w:vAlign w:val="center"/>
            <w:hideMark/>
          </w:tcPr>
          <w:p w14:paraId="1C6EE42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534846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AC7B55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A84893F" w14:textId="77777777" w:rsidR="00000000" w:rsidRDefault="0015578C">
            <w:pPr>
              <w:jc w:val="right"/>
              <w:rPr>
                <w:rFonts w:eastAsia="Times New Roman"/>
                <w:sz w:val="20"/>
                <w:szCs w:val="20"/>
              </w:rPr>
            </w:pPr>
            <w:r>
              <w:rPr>
                <w:rFonts w:eastAsia="Times New Roman"/>
                <w:sz w:val="20"/>
                <w:szCs w:val="20"/>
              </w:rPr>
              <w:t>293</w:t>
            </w:r>
          </w:p>
        </w:tc>
        <w:tc>
          <w:tcPr>
            <w:tcW w:w="50" w:type="pct"/>
            <w:shd w:val="clear" w:color="auto" w:fill="CCEEFF"/>
            <w:noWrap/>
            <w:vAlign w:val="center"/>
            <w:hideMark/>
          </w:tcPr>
          <w:p w14:paraId="59920A0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97AE1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FFDC83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65F70AD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1670B8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9313F4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156A5A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41E8796" w14:textId="77777777" w:rsidR="00000000" w:rsidRDefault="0015578C">
            <w:pPr>
              <w:jc w:val="right"/>
              <w:rPr>
                <w:rFonts w:eastAsia="Times New Roman"/>
                <w:sz w:val="20"/>
                <w:szCs w:val="20"/>
              </w:rPr>
            </w:pPr>
            <w:r>
              <w:rPr>
                <w:rFonts w:eastAsia="Times New Roman"/>
                <w:sz w:val="20"/>
                <w:szCs w:val="20"/>
              </w:rPr>
              <w:t>299</w:t>
            </w:r>
          </w:p>
        </w:tc>
        <w:tc>
          <w:tcPr>
            <w:tcW w:w="50" w:type="pct"/>
            <w:shd w:val="clear" w:color="auto" w:fill="CCEEFF"/>
            <w:noWrap/>
            <w:vAlign w:val="center"/>
            <w:hideMark/>
          </w:tcPr>
          <w:p w14:paraId="42443FB6" w14:textId="77777777" w:rsidR="00000000" w:rsidRDefault="0015578C">
            <w:pPr>
              <w:pStyle w:val="a3"/>
              <w:spacing w:before="0" w:beforeAutospacing="0" w:after="0" w:afterAutospacing="0"/>
              <w:rPr>
                <w:sz w:val="20"/>
                <w:szCs w:val="20"/>
              </w:rPr>
            </w:pPr>
            <w:r>
              <w:rPr>
                <w:sz w:val="20"/>
                <w:szCs w:val="20"/>
              </w:rPr>
              <w:t> </w:t>
            </w:r>
          </w:p>
        </w:tc>
      </w:tr>
      <w:tr w:rsidR="00000000" w14:paraId="61BCA04A" w14:textId="77777777">
        <w:trPr>
          <w:trHeight w:val="225"/>
          <w:tblCellSpacing w:w="15" w:type="dxa"/>
        </w:trPr>
        <w:tc>
          <w:tcPr>
            <w:tcW w:w="0" w:type="auto"/>
            <w:shd w:val="clear" w:color="auto" w:fill="FFFFFF"/>
            <w:hideMark/>
          </w:tcPr>
          <w:p w14:paraId="593D99C0" w14:textId="77777777" w:rsidR="00000000" w:rsidRDefault="0015578C">
            <w:pPr>
              <w:pStyle w:val="a3"/>
              <w:spacing w:before="0" w:beforeAutospacing="0" w:after="0" w:afterAutospacing="0"/>
              <w:rPr>
                <w:sz w:val="20"/>
                <w:szCs w:val="20"/>
              </w:rPr>
            </w:pPr>
            <w:r>
              <w:rPr>
                <w:sz w:val="20"/>
                <w:szCs w:val="20"/>
              </w:rPr>
              <w:t>Issuance of shares – private placement</w:t>
            </w:r>
          </w:p>
        </w:tc>
        <w:tc>
          <w:tcPr>
            <w:tcW w:w="50" w:type="pct"/>
            <w:shd w:val="clear" w:color="auto" w:fill="FFFFFF"/>
            <w:noWrap/>
            <w:vAlign w:val="center"/>
            <w:hideMark/>
          </w:tcPr>
          <w:p w14:paraId="2B404AB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C7E506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4DE582D" w14:textId="77777777" w:rsidR="00000000" w:rsidRDefault="0015578C">
            <w:pPr>
              <w:jc w:val="right"/>
              <w:rPr>
                <w:rFonts w:eastAsia="Times New Roman"/>
                <w:sz w:val="20"/>
                <w:szCs w:val="20"/>
              </w:rPr>
            </w:pPr>
            <w:r>
              <w:rPr>
                <w:rFonts w:eastAsia="Times New Roman"/>
                <w:sz w:val="20"/>
                <w:szCs w:val="20"/>
              </w:rPr>
              <w:t>3,100,000</w:t>
            </w:r>
          </w:p>
        </w:tc>
        <w:tc>
          <w:tcPr>
            <w:tcW w:w="50" w:type="pct"/>
            <w:shd w:val="clear" w:color="auto" w:fill="FFFFFF"/>
            <w:noWrap/>
            <w:vAlign w:val="center"/>
            <w:hideMark/>
          </w:tcPr>
          <w:p w14:paraId="10E9A6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EA02CE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1E7821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975B298" w14:textId="77777777" w:rsidR="00000000" w:rsidRDefault="0015578C">
            <w:pPr>
              <w:jc w:val="right"/>
              <w:rPr>
                <w:rFonts w:eastAsia="Times New Roman"/>
                <w:sz w:val="20"/>
                <w:szCs w:val="20"/>
              </w:rPr>
            </w:pPr>
            <w:r>
              <w:rPr>
                <w:rFonts w:eastAsia="Times New Roman"/>
                <w:sz w:val="20"/>
                <w:szCs w:val="20"/>
              </w:rPr>
              <w:t>31</w:t>
            </w:r>
          </w:p>
        </w:tc>
        <w:tc>
          <w:tcPr>
            <w:tcW w:w="50" w:type="pct"/>
            <w:shd w:val="clear" w:color="auto" w:fill="FFFFFF"/>
            <w:noWrap/>
            <w:vAlign w:val="center"/>
            <w:hideMark/>
          </w:tcPr>
          <w:p w14:paraId="33516B0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584B90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FBBEDB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79B0541" w14:textId="77777777" w:rsidR="00000000" w:rsidRDefault="0015578C">
            <w:pPr>
              <w:jc w:val="right"/>
              <w:rPr>
                <w:rFonts w:eastAsia="Times New Roman"/>
                <w:sz w:val="20"/>
                <w:szCs w:val="20"/>
              </w:rPr>
            </w:pPr>
            <w:r>
              <w:rPr>
                <w:rFonts w:eastAsia="Times New Roman"/>
                <w:sz w:val="20"/>
                <w:szCs w:val="20"/>
              </w:rPr>
              <w:t>1,511</w:t>
            </w:r>
          </w:p>
        </w:tc>
        <w:tc>
          <w:tcPr>
            <w:tcW w:w="50" w:type="pct"/>
            <w:shd w:val="clear" w:color="auto" w:fill="FFFFFF"/>
            <w:noWrap/>
            <w:vAlign w:val="center"/>
            <w:hideMark/>
          </w:tcPr>
          <w:p w14:paraId="212579E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5C2BDA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AF3947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3D93E51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DC9466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D9DBD9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77F5FA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C84CDE0" w14:textId="77777777" w:rsidR="00000000" w:rsidRDefault="0015578C">
            <w:pPr>
              <w:jc w:val="right"/>
              <w:rPr>
                <w:rFonts w:eastAsia="Times New Roman"/>
                <w:sz w:val="20"/>
                <w:szCs w:val="20"/>
              </w:rPr>
            </w:pPr>
            <w:r>
              <w:rPr>
                <w:rFonts w:eastAsia="Times New Roman"/>
                <w:sz w:val="20"/>
                <w:szCs w:val="20"/>
              </w:rPr>
              <w:t>1,542</w:t>
            </w:r>
          </w:p>
        </w:tc>
        <w:tc>
          <w:tcPr>
            <w:tcW w:w="50" w:type="pct"/>
            <w:shd w:val="clear" w:color="auto" w:fill="FFFFFF"/>
            <w:noWrap/>
            <w:vAlign w:val="center"/>
            <w:hideMark/>
          </w:tcPr>
          <w:p w14:paraId="4DDAE629" w14:textId="77777777" w:rsidR="00000000" w:rsidRDefault="0015578C">
            <w:pPr>
              <w:pStyle w:val="a3"/>
              <w:spacing w:before="0" w:beforeAutospacing="0" w:after="0" w:afterAutospacing="0"/>
              <w:rPr>
                <w:sz w:val="20"/>
                <w:szCs w:val="20"/>
              </w:rPr>
            </w:pPr>
            <w:r>
              <w:rPr>
                <w:sz w:val="20"/>
                <w:szCs w:val="20"/>
              </w:rPr>
              <w:t> </w:t>
            </w:r>
          </w:p>
        </w:tc>
      </w:tr>
      <w:tr w:rsidR="00000000" w14:paraId="2AB143CB" w14:textId="77777777">
        <w:trPr>
          <w:trHeight w:val="225"/>
          <w:tblCellSpacing w:w="15" w:type="dxa"/>
        </w:trPr>
        <w:tc>
          <w:tcPr>
            <w:tcW w:w="0" w:type="auto"/>
            <w:shd w:val="clear" w:color="auto" w:fill="CCEEFF"/>
            <w:hideMark/>
          </w:tcPr>
          <w:p w14:paraId="1C5E1838" w14:textId="77777777" w:rsidR="00000000" w:rsidRDefault="0015578C">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14:paraId="60D3CDF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890A03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F5E6B7E"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044E85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3696EE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ED109C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4702FE5"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EEA24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789368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5FE865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0742CD1"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3E821C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B64663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5B2628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77A1236" w14:textId="77777777" w:rsidR="00000000" w:rsidRDefault="0015578C">
            <w:pPr>
              <w:jc w:val="right"/>
              <w:rPr>
                <w:rFonts w:eastAsia="Times New Roman"/>
                <w:sz w:val="20"/>
                <w:szCs w:val="20"/>
              </w:rPr>
            </w:pPr>
            <w:r>
              <w:rPr>
                <w:rFonts w:eastAsia="Times New Roman"/>
                <w:sz w:val="20"/>
                <w:szCs w:val="20"/>
              </w:rPr>
              <w:t>(2,367</w:t>
            </w:r>
          </w:p>
        </w:tc>
        <w:tc>
          <w:tcPr>
            <w:tcW w:w="50" w:type="pct"/>
            <w:shd w:val="clear" w:color="auto" w:fill="CCEEFF"/>
            <w:noWrap/>
            <w:vAlign w:val="bottom"/>
            <w:hideMark/>
          </w:tcPr>
          <w:p w14:paraId="71195431"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73BFCCF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0261E2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160A273" w14:textId="77777777" w:rsidR="00000000" w:rsidRDefault="0015578C">
            <w:pPr>
              <w:jc w:val="right"/>
              <w:rPr>
                <w:rFonts w:eastAsia="Times New Roman"/>
                <w:sz w:val="20"/>
                <w:szCs w:val="20"/>
              </w:rPr>
            </w:pPr>
            <w:r>
              <w:rPr>
                <w:rFonts w:eastAsia="Times New Roman"/>
                <w:sz w:val="20"/>
                <w:szCs w:val="20"/>
              </w:rPr>
              <w:t>(2,367</w:t>
            </w:r>
          </w:p>
        </w:tc>
        <w:tc>
          <w:tcPr>
            <w:tcW w:w="50" w:type="pct"/>
            <w:shd w:val="clear" w:color="auto" w:fill="CCEEFF"/>
            <w:noWrap/>
            <w:vAlign w:val="bottom"/>
            <w:hideMark/>
          </w:tcPr>
          <w:p w14:paraId="23450A85" w14:textId="77777777" w:rsidR="00000000" w:rsidRDefault="0015578C">
            <w:pPr>
              <w:rPr>
                <w:rFonts w:eastAsia="Times New Roman"/>
                <w:sz w:val="20"/>
                <w:szCs w:val="20"/>
              </w:rPr>
            </w:pPr>
            <w:r>
              <w:rPr>
                <w:rFonts w:eastAsia="Times New Roman"/>
                <w:sz w:val="20"/>
                <w:szCs w:val="20"/>
              </w:rPr>
              <w:t>)</w:t>
            </w:r>
          </w:p>
        </w:tc>
      </w:tr>
      <w:tr w:rsidR="00000000" w14:paraId="4EAA108F" w14:textId="77777777">
        <w:trPr>
          <w:trHeight w:val="225"/>
          <w:tblCellSpacing w:w="15" w:type="dxa"/>
        </w:trPr>
        <w:tc>
          <w:tcPr>
            <w:tcW w:w="0" w:type="auto"/>
            <w:shd w:val="clear" w:color="auto" w:fill="FFFFFF"/>
            <w:hideMark/>
          </w:tcPr>
          <w:p w14:paraId="6D82946A" w14:textId="77777777" w:rsidR="00000000" w:rsidRDefault="0015578C">
            <w:pPr>
              <w:pStyle w:val="a3"/>
              <w:spacing w:before="0" w:beforeAutospacing="0" w:after="0" w:afterAutospacing="0"/>
              <w:rPr>
                <w:sz w:val="20"/>
                <w:szCs w:val="20"/>
              </w:rPr>
            </w:pPr>
            <w:r>
              <w:rPr>
                <w:rStyle w:val="a4"/>
                <w:sz w:val="20"/>
                <w:szCs w:val="20"/>
              </w:rPr>
              <w:t>Balance at December 31, 2021</w:t>
            </w:r>
          </w:p>
        </w:tc>
        <w:tc>
          <w:tcPr>
            <w:tcW w:w="50" w:type="pct"/>
            <w:shd w:val="clear" w:color="auto" w:fill="FFFFFF"/>
            <w:noWrap/>
            <w:vAlign w:val="center"/>
            <w:hideMark/>
          </w:tcPr>
          <w:p w14:paraId="4584A64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CEB26A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436344D" w14:textId="77777777" w:rsidR="00000000" w:rsidRDefault="0015578C">
            <w:pPr>
              <w:jc w:val="right"/>
              <w:rPr>
                <w:rFonts w:eastAsia="Times New Roman"/>
                <w:sz w:val="20"/>
                <w:szCs w:val="20"/>
              </w:rPr>
            </w:pPr>
            <w:r>
              <w:rPr>
                <w:rStyle w:val="a4"/>
                <w:rFonts w:eastAsia="Times New Roman"/>
                <w:sz w:val="20"/>
                <w:szCs w:val="20"/>
              </w:rPr>
              <w:t>62,036,399</w:t>
            </w:r>
          </w:p>
        </w:tc>
        <w:tc>
          <w:tcPr>
            <w:tcW w:w="50" w:type="pct"/>
            <w:shd w:val="clear" w:color="auto" w:fill="FFFFFF"/>
            <w:noWrap/>
            <w:vAlign w:val="center"/>
            <w:hideMark/>
          </w:tcPr>
          <w:p w14:paraId="1E8135D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DFAE74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D87396C"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47B2F200" w14:textId="77777777" w:rsidR="00000000" w:rsidRDefault="0015578C">
            <w:pPr>
              <w:jc w:val="right"/>
              <w:rPr>
                <w:rFonts w:eastAsia="Times New Roman"/>
                <w:sz w:val="20"/>
                <w:szCs w:val="20"/>
              </w:rPr>
            </w:pPr>
            <w:r>
              <w:rPr>
                <w:rStyle w:val="a4"/>
                <w:rFonts w:eastAsia="Times New Roman"/>
                <w:sz w:val="20"/>
                <w:szCs w:val="20"/>
              </w:rPr>
              <w:t>620</w:t>
            </w:r>
          </w:p>
        </w:tc>
        <w:tc>
          <w:tcPr>
            <w:tcW w:w="50" w:type="pct"/>
            <w:shd w:val="clear" w:color="auto" w:fill="FFFFFF"/>
            <w:noWrap/>
            <w:vAlign w:val="center"/>
            <w:hideMark/>
          </w:tcPr>
          <w:p w14:paraId="36FAB6F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B49770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5C67E67D"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190223ED" w14:textId="77777777" w:rsidR="00000000" w:rsidRDefault="0015578C">
            <w:pPr>
              <w:jc w:val="right"/>
              <w:rPr>
                <w:rFonts w:eastAsia="Times New Roman"/>
                <w:sz w:val="20"/>
                <w:szCs w:val="20"/>
              </w:rPr>
            </w:pPr>
            <w:r>
              <w:rPr>
                <w:rStyle w:val="a4"/>
                <w:rFonts w:eastAsia="Times New Roman"/>
                <w:sz w:val="20"/>
                <w:szCs w:val="20"/>
              </w:rPr>
              <w:t>72,523</w:t>
            </w:r>
          </w:p>
        </w:tc>
        <w:tc>
          <w:tcPr>
            <w:tcW w:w="50" w:type="pct"/>
            <w:shd w:val="clear" w:color="auto" w:fill="FFFFFF"/>
            <w:noWrap/>
            <w:vAlign w:val="center"/>
            <w:hideMark/>
          </w:tcPr>
          <w:p w14:paraId="0228FEC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C2332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2A30BDAE"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2AE97F46" w14:textId="77777777" w:rsidR="00000000" w:rsidRDefault="0015578C">
            <w:pPr>
              <w:jc w:val="right"/>
              <w:rPr>
                <w:rFonts w:eastAsia="Times New Roman"/>
                <w:sz w:val="20"/>
                <w:szCs w:val="20"/>
              </w:rPr>
            </w:pPr>
            <w:r>
              <w:rPr>
                <w:rStyle w:val="a4"/>
                <w:rFonts w:eastAsia="Times New Roman"/>
                <w:sz w:val="20"/>
                <w:szCs w:val="20"/>
              </w:rPr>
              <w:t>(49,960</w:t>
            </w:r>
          </w:p>
        </w:tc>
        <w:tc>
          <w:tcPr>
            <w:tcW w:w="50" w:type="pct"/>
            <w:shd w:val="clear" w:color="auto" w:fill="FFFFFF"/>
            <w:noWrap/>
            <w:vAlign w:val="bottom"/>
            <w:hideMark/>
          </w:tcPr>
          <w:p w14:paraId="5AC469B5" w14:textId="77777777" w:rsidR="00000000" w:rsidRDefault="0015578C">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14:paraId="3C18375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080F1437"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45874A23" w14:textId="77777777" w:rsidR="00000000" w:rsidRDefault="0015578C">
            <w:pPr>
              <w:jc w:val="right"/>
              <w:rPr>
                <w:rFonts w:eastAsia="Times New Roman"/>
                <w:sz w:val="20"/>
                <w:szCs w:val="20"/>
              </w:rPr>
            </w:pPr>
            <w:r>
              <w:rPr>
                <w:rStyle w:val="a4"/>
                <w:rFonts w:eastAsia="Times New Roman"/>
                <w:sz w:val="20"/>
                <w:szCs w:val="20"/>
              </w:rPr>
              <w:t>23,183</w:t>
            </w:r>
          </w:p>
        </w:tc>
        <w:tc>
          <w:tcPr>
            <w:tcW w:w="50" w:type="pct"/>
            <w:shd w:val="clear" w:color="auto" w:fill="FFFFFF"/>
            <w:noWrap/>
            <w:vAlign w:val="center"/>
            <w:hideMark/>
          </w:tcPr>
          <w:p w14:paraId="7233F77B" w14:textId="77777777" w:rsidR="00000000" w:rsidRDefault="0015578C">
            <w:pPr>
              <w:pStyle w:val="a3"/>
              <w:spacing w:before="0" w:beforeAutospacing="0" w:after="0" w:afterAutospacing="0"/>
              <w:rPr>
                <w:sz w:val="20"/>
                <w:szCs w:val="20"/>
              </w:rPr>
            </w:pPr>
            <w:r>
              <w:rPr>
                <w:sz w:val="20"/>
                <w:szCs w:val="20"/>
              </w:rPr>
              <w:t> </w:t>
            </w:r>
          </w:p>
        </w:tc>
      </w:tr>
      <w:tr w:rsidR="00000000" w14:paraId="0727AC2D" w14:textId="77777777">
        <w:trPr>
          <w:trHeight w:val="225"/>
          <w:tblCellSpacing w:w="15" w:type="dxa"/>
        </w:trPr>
        <w:tc>
          <w:tcPr>
            <w:tcW w:w="0" w:type="auto"/>
            <w:shd w:val="clear" w:color="auto" w:fill="CCEEFF"/>
            <w:vAlign w:val="center"/>
            <w:hideMark/>
          </w:tcPr>
          <w:p w14:paraId="6D4A26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0C417E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DD6EA6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08EACB8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28DF12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691E1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DB51A2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27B9E97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23D7DC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C0EFA1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59CD9B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7D58EC0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7641C1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695895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1C2042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2B252AB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BE3DE2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CE892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170C19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4DBE78D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F2FC866" w14:textId="77777777" w:rsidR="00000000" w:rsidRDefault="0015578C">
            <w:pPr>
              <w:pStyle w:val="a3"/>
              <w:spacing w:before="0" w:beforeAutospacing="0" w:after="0" w:afterAutospacing="0"/>
              <w:rPr>
                <w:sz w:val="20"/>
                <w:szCs w:val="20"/>
              </w:rPr>
            </w:pPr>
            <w:r>
              <w:rPr>
                <w:sz w:val="20"/>
                <w:szCs w:val="20"/>
              </w:rPr>
              <w:t> </w:t>
            </w:r>
          </w:p>
        </w:tc>
      </w:tr>
      <w:tr w:rsidR="00000000" w14:paraId="12F8F8F6" w14:textId="77777777">
        <w:trPr>
          <w:trHeight w:val="225"/>
          <w:tblCellSpacing w:w="15" w:type="dxa"/>
        </w:trPr>
        <w:tc>
          <w:tcPr>
            <w:tcW w:w="0" w:type="auto"/>
            <w:shd w:val="clear" w:color="auto" w:fill="FFFFFF"/>
            <w:hideMark/>
          </w:tcPr>
          <w:p w14:paraId="1804F9E4" w14:textId="77777777" w:rsidR="00000000" w:rsidRDefault="0015578C">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14:paraId="11F3548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EFDA6F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3FA29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F11CF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4D294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0358AB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1178D7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F9BA35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0D5290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C93B9C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A4ABEAA" w14:textId="77777777" w:rsidR="00000000" w:rsidRDefault="0015578C">
            <w:pPr>
              <w:jc w:val="right"/>
              <w:rPr>
                <w:rFonts w:eastAsia="Times New Roman"/>
                <w:sz w:val="20"/>
                <w:szCs w:val="20"/>
              </w:rPr>
            </w:pPr>
            <w:r>
              <w:rPr>
                <w:rFonts w:eastAsia="Times New Roman"/>
                <w:sz w:val="20"/>
                <w:szCs w:val="20"/>
              </w:rPr>
              <w:t>338</w:t>
            </w:r>
          </w:p>
        </w:tc>
        <w:tc>
          <w:tcPr>
            <w:tcW w:w="50" w:type="pct"/>
            <w:shd w:val="clear" w:color="auto" w:fill="FFFFFF"/>
            <w:noWrap/>
            <w:vAlign w:val="center"/>
            <w:hideMark/>
          </w:tcPr>
          <w:p w14:paraId="5081628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EAD24D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36C13F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0447CBB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15F208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96F5D8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0636A9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0FC1FCF" w14:textId="77777777" w:rsidR="00000000" w:rsidRDefault="0015578C">
            <w:pPr>
              <w:jc w:val="right"/>
              <w:rPr>
                <w:rFonts w:eastAsia="Times New Roman"/>
                <w:sz w:val="20"/>
                <w:szCs w:val="20"/>
              </w:rPr>
            </w:pPr>
            <w:r>
              <w:rPr>
                <w:rFonts w:eastAsia="Times New Roman"/>
                <w:sz w:val="20"/>
                <w:szCs w:val="20"/>
              </w:rPr>
              <w:t>338</w:t>
            </w:r>
          </w:p>
        </w:tc>
        <w:tc>
          <w:tcPr>
            <w:tcW w:w="50" w:type="pct"/>
            <w:shd w:val="clear" w:color="auto" w:fill="FFFFFF"/>
            <w:noWrap/>
            <w:vAlign w:val="center"/>
            <w:hideMark/>
          </w:tcPr>
          <w:p w14:paraId="335D0797" w14:textId="77777777" w:rsidR="00000000" w:rsidRDefault="0015578C">
            <w:pPr>
              <w:pStyle w:val="a3"/>
              <w:spacing w:before="0" w:beforeAutospacing="0" w:after="0" w:afterAutospacing="0"/>
              <w:rPr>
                <w:sz w:val="20"/>
                <w:szCs w:val="20"/>
              </w:rPr>
            </w:pPr>
            <w:r>
              <w:rPr>
                <w:sz w:val="20"/>
                <w:szCs w:val="20"/>
              </w:rPr>
              <w:t> </w:t>
            </w:r>
          </w:p>
        </w:tc>
      </w:tr>
      <w:tr w:rsidR="00000000" w14:paraId="3723DB91" w14:textId="77777777">
        <w:trPr>
          <w:trHeight w:val="225"/>
          <w:tblCellSpacing w:w="15" w:type="dxa"/>
        </w:trPr>
        <w:tc>
          <w:tcPr>
            <w:tcW w:w="0" w:type="auto"/>
            <w:shd w:val="clear" w:color="auto" w:fill="CCEEFF"/>
            <w:hideMark/>
          </w:tcPr>
          <w:p w14:paraId="7473A552" w14:textId="77777777" w:rsidR="00000000" w:rsidRDefault="0015578C">
            <w:pPr>
              <w:pStyle w:val="a3"/>
              <w:spacing w:before="0" w:beforeAutospacing="0" w:after="0" w:afterAutospacing="0"/>
              <w:rPr>
                <w:sz w:val="20"/>
                <w:szCs w:val="20"/>
              </w:rPr>
            </w:pPr>
            <w:r>
              <w:rPr>
                <w:sz w:val="20"/>
                <w:szCs w:val="20"/>
              </w:rPr>
              <w:t>Issuance of shares – option exercises</w:t>
            </w:r>
          </w:p>
        </w:tc>
        <w:tc>
          <w:tcPr>
            <w:tcW w:w="50" w:type="pct"/>
            <w:shd w:val="clear" w:color="auto" w:fill="CCEEFF"/>
            <w:noWrap/>
            <w:vAlign w:val="center"/>
            <w:hideMark/>
          </w:tcPr>
          <w:p w14:paraId="139A1E3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A8625A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7606E29" w14:textId="77777777" w:rsidR="00000000" w:rsidRDefault="0015578C">
            <w:pPr>
              <w:jc w:val="right"/>
              <w:rPr>
                <w:rFonts w:eastAsia="Times New Roman"/>
                <w:sz w:val="20"/>
                <w:szCs w:val="20"/>
              </w:rPr>
            </w:pPr>
            <w:r>
              <w:rPr>
                <w:rFonts w:eastAsia="Times New Roman"/>
                <w:sz w:val="20"/>
                <w:szCs w:val="20"/>
              </w:rPr>
              <w:t>114,250</w:t>
            </w:r>
          </w:p>
        </w:tc>
        <w:tc>
          <w:tcPr>
            <w:tcW w:w="50" w:type="pct"/>
            <w:shd w:val="clear" w:color="auto" w:fill="CCEEFF"/>
            <w:noWrap/>
            <w:vAlign w:val="center"/>
            <w:hideMark/>
          </w:tcPr>
          <w:p w14:paraId="396EEE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FC3EC9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A57957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D0D32B9" w14:textId="77777777" w:rsidR="00000000" w:rsidRDefault="0015578C">
            <w:pPr>
              <w:jc w:val="right"/>
              <w:rPr>
                <w:rFonts w:eastAsia="Times New Roman"/>
                <w:sz w:val="20"/>
                <w:szCs w:val="20"/>
              </w:rPr>
            </w:pPr>
            <w:r>
              <w:rPr>
                <w:rFonts w:eastAsia="Times New Roman"/>
                <w:sz w:val="20"/>
                <w:szCs w:val="20"/>
              </w:rPr>
              <w:t>1</w:t>
            </w:r>
          </w:p>
        </w:tc>
        <w:tc>
          <w:tcPr>
            <w:tcW w:w="50" w:type="pct"/>
            <w:shd w:val="clear" w:color="auto" w:fill="CCEEFF"/>
            <w:noWrap/>
            <w:vAlign w:val="center"/>
            <w:hideMark/>
          </w:tcPr>
          <w:p w14:paraId="1E5FA3C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61B929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AD4722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32BB881" w14:textId="77777777" w:rsidR="00000000" w:rsidRDefault="0015578C">
            <w:pPr>
              <w:jc w:val="right"/>
              <w:rPr>
                <w:rFonts w:eastAsia="Times New Roman"/>
                <w:sz w:val="20"/>
                <w:szCs w:val="20"/>
              </w:rPr>
            </w:pPr>
            <w:r>
              <w:rPr>
                <w:rFonts w:eastAsia="Times New Roman"/>
                <w:sz w:val="20"/>
                <w:szCs w:val="20"/>
              </w:rPr>
              <w:t>29</w:t>
            </w:r>
          </w:p>
        </w:tc>
        <w:tc>
          <w:tcPr>
            <w:tcW w:w="50" w:type="pct"/>
            <w:shd w:val="clear" w:color="auto" w:fill="CCEEFF"/>
            <w:noWrap/>
            <w:vAlign w:val="center"/>
            <w:hideMark/>
          </w:tcPr>
          <w:p w14:paraId="7F51F6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65F958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F7B46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08D0D04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D1F24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477A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3387C9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91030E7" w14:textId="77777777" w:rsidR="00000000" w:rsidRDefault="0015578C">
            <w:pPr>
              <w:jc w:val="right"/>
              <w:rPr>
                <w:rFonts w:eastAsia="Times New Roman"/>
                <w:sz w:val="20"/>
                <w:szCs w:val="20"/>
              </w:rPr>
            </w:pPr>
            <w:r>
              <w:rPr>
                <w:rFonts w:eastAsia="Times New Roman"/>
                <w:sz w:val="20"/>
                <w:szCs w:val="20"/>
              </w:rPr>
              <w:t>30</w:t>
            </w:r>
          </w:p>
        </w:tc>
        <w:tc>
          <w:tcPr>
            <w:tcW w:w="50" w:type="pct"/>
            <w:shd w:val="clear" w:color="auto" w:fill="CCEEFF"/>
            <w:noWrap/>
            <w:vAlign w:val="center"/>
            <w:hideMark/>
          </w:tcPr>
          <w:p w14:paraId="5D30E090" w14:textId="77777777" w:rsidR="00000000" w:rsidRDefault="0015578C">
            <w:pPr>
              <w:pStyle w:val="a3"/>
              <w:spacing w:before="0" w:beforeAutospacing="0" w:after="0" w:afterAutospacing="0"/>
              <w:rPr>
                <w:sz w:val="20"/>
                <w:szCs w:val="20"/>
              </w:rPr>
            </w:pPr>
            <w:r>
              <w:rPr>
                <w:sz w:val="20"/>
                <w:szCs w:val="20"/>
              </w:rPr>
              <w:t> </w:t>
            </w:r>
          </w:p>
        </w:tc>
      </w:tr>
      <w:tr w:rsidR="00000000" w14:paraId="7AB06744" w14:textId="77777777">
        <w:trPr>
          <w:trHeight w:val="225"/>
          <w:tblCellSpacing w:w="15" w:type="dxa"/>
        </w:trPr>
        <w:tc>
          <w:tcPr>
            <w:tcW w:w="0" w:type="auto"/>
            <w:shd w:val="clear" w:color="auto" w:fill="FFFFFF"/>
            <w:hideMark/>
          </w:tcPr>
          <w:p w14:paraId="75AB08B0" w14:textId="77777777" w:rsidR="00000000" w:rsidRDefault="0015578C">
            <w:pPr>
              <w:pStyle w:val="a3"/>
              <w:spacing w:before="0" w:beforeAutospacing="0" w:after="0" w:afterAutospacing="0"/>
              <w:rPr>
                <w:sz w:val="20"/>
                <w:szCs w:val="20"/>
              </w:rPr>
            </w:pPr>
            <w:r>
              <w:rPr>
                <w:sz w:val="20"/>
                <w:szCs w:val="20"/>
              </w:rPr>
              <w:t>Issuance of shares – ATM, net</w:t>
            </w:r>
          </w:p>
        </w:tc>
        <w:tc>
          <w:tcPr>
            <w:tcW w:w="50" w:type="pct"/>
            <w:shd w:val="clear" w:color="auto" w:fill="FFFFFF"/>
            <w:noWrap/>
            <w:vAlign w:val="center"/>
            <w:hideMark/>
          </w:tcPr>
          <w:p w14:paraId="3D793EE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F6FCEA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F57E497" w14:textId="77777777" w:rsidR="00000000" w:rsidRDefault="0015578C">
            <w:pPr>
              <w:jc w:val="right"/>
              <w:rPr>
                <w:rFonts w:eastAsia="Times New Roman"/>
                <w:sz w:val="20"/>
                <w:szCs w:val="20"/>
              </w:rPr>
            </w:pPr>
            <w:r>
              <w:rPr>
                <w:rFonts w:eastAsia="Times New Roman"/>
                <w:sz w:val="20"/>
                <w:szCs w:val="20"/>
              </w:rPr>
              <w:t>2,650,724</w:t>
            </w:r>
          </w:p>
        </w:tc>
        <w:tc>
          <w:tcPr>
            <w:tcW w:w="50" w:type="pct"/>
            <w:shd w:val="clear" w:color="auto" w:fill="FFFFFF"/>
            <w:noWrap/>
            <w:vAlign w:val="center"/>
            <w:hideMark/>
          </w:tcPr>
          <w:p w14:paraId="59E93B8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39CF57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780DCA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59CA12B" w14:textId="77777777" w:rsidR="00000000" w:rsidRDefault="0015578C">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14:paraId="24DFCD8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8DD9FB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46301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4AFA3B2" w14:textId="77777777" w:rsidR="00000000" w:rsidRDefault="0015578C">
            <w:pPr>
              <w:jc w:val="right"/>
              <w:rPr>
                <w:rFonts w:eastAsia="Times New Roman"/>
                <w:sz w:val="20"/>
                <w:szCs w:val="20"/>
              </w:rPr>
            </w:pPr>
            <w:r>
              <w:rPr>
                <w:rFonts w:eastAsia="Times New Roman"/>
                <w:sz w:val="20"/>
                <w:szCs w:val="20"/>
              </w:rPr>
              <w:t>1,996</w:t>
            </w:r>
          </w:p>
        </w:tc>
        <w:tc>
          <w:tcPr>
            <w:tcW w:w="50" w:type="pct"/>
            <w:shd w:val="clear" w:color="auto" w:fill="FFFFFF"/>
            <w:noWrap/>
            <w:vAlign w:val="center"/>
            <w:hideMark/>
          </w:tcPr>
          <w:p w14:paraId="6127A62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91CF7E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75E864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0051F7D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39E70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05D969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168380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63AAF27" w14:textId="77777777" w:rsidR="00000000" w:rsidRDefault="0015578C">
            <w:pPr>
              <w:jc w:val="right"/>
              <w:rPr>
                <w:rFonts w:eastAsia="Times New Roman"/>
                <w:sz w:val="20"/>
                <w:szCs w:val="20"/>
              </w:rPr>
            </w:pPr>
            <w:r>
              <w:rPr>
                <w:rFonts w:eastAsia="Times New Roman"/>
                <w:sz w:val="20"/>
                <w:szCs w:val="20"/>
              </w:rPr>
              <w:t>2,023</w:t>
            </w:r>
          </w:p>
        </w:tc>
        <w:tc>
          <w:tcPr>
            <w:tcW w:w="50" w:type="pct"/>
            <w:shd w:val="clear" w:color="auto" w:fill="FFFFFF"/>
            <w:noWrap/>
            <w:vAlign w:val="center"/>
            <w:hideMark/>
          </w:tcPr>
          <w:p w14:paraId="145E24A4" w14:textId="77777777" w:rsidR="00000000" w:rsidRDefault="0015578C">
            <w:pPr>
              <w:pStyle w:val="a3"/>
              <w:spacing w:before="0" w:beforeAutospacing="0" w:after="0" w:afterAutospacing="0"/>
              <w:rPr>
                <w:sz w:val="20"/>
                <w:szCs w:val="20"/>
              </w:rPr>
            </w:pPr>
            <w:r>
              <w:rPr>
                <w:sz w:val="20"/>
                <w:szCs w:val="20"/>
              </w:rPr>
              <w:t> </w:t>
            </w:r>
          </w:p>
        </w:tc>
      </w:tr>
      <w:tr w:rsidR="00000000" w14:paraId="377330E3" w14:textId="77777777">
        <w:trPr>
          <w:trHeight w:val="225"/>
          <w:tblCellSpacing w:w="15" w:type="dxa"/>
        </w:trPr>
        <w:tc>
          <w:tcPr>
            <w:tcW w:w="0" w:type="auto"/>
            <w:shd w:val="clear" w:color="auto" w:fill="CCEEFF"/>
            <w:hideMark/>
          </w:tcPr>
          <w:p w14:paraId="5C7684AD" w14:textId="77777777" w:rsidR="00000000" w:rsidRDefault="0015578C">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14:paraId="49CCCD1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0E5E3C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E60D22B"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036B72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C247D2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EE254E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BE0E96E"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E67F8E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5C57F6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4B4799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AA87489"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B8B82E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22A07F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181BC4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921706B" w14:textId="77777777" w:rsidR="00000000" w:rsidRDefault="0015578C">
            <w:pPr>
              <w:jc w:val="right"/>
              <w:rPr>
                <w:rFonts w:eastAsia="Times New Roman"/>
                <w:sz w:val="20"/>
                <w:szCs w:val="20"/>
              </w:rPr>
            </w:pPr>
            <w:r>
              <w:rPr>
                <w:rFonts w:eastAsia="Times New Roman"/>
                <w:sz w:val="20"/>
                <w:szCs w:val="20"/>
              </w:rPr>
              <w:t>(3,928</w:t>
            </w:r>
          </w:p>
        </w:tc>
        <w:tc>
          <w:tcPr>
            <w:tcW w:w="50" w:type="pct"/>
            <w:shd w:val="clear" w:color="auto" w:fill="CCEEFF"/>
            <w:noWrap/>
            <w:vAlign w:val="bottom"/>
            <w:hideMark/>
          </w:tcPr>
          <w:p w14:paraId="12E2BDA6"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F9237B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76F1F1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D09CD58" w14:textId="77777777" w:rsidR="00000000" w:rsidRDefault="0015578C">
            <w:pPr>
              <w:jc w:val="right"/>
              <w:rPr>
                <w:rFonts w:eastAsia="Times New Roman"/>
                <w:sz w:val="20"/>
                <w:szCs w:val="20"/>
              </w:rPr>
            </w:pPr>
            <w:r>
              <w:rPr>
                <w:rFonts w:eastAsia="Times New Roman"/>
                <w:sz w:val="20"/>
                <w:szCs w:val="20"/>
              </w:rPr>
              <w:t>(3,928</w:t>
            </w:r>
          </w:p>
        </w:tc>
        <w:tc>
          <w:tcPr>
            <w:tcW w:w="50" w:type="pct"/>
            <w:shd w:val="clear" w:color="auto" w:fill="CCEEFF"/>
            <w:noWrap/>
            <w:vAlign w:val="bottom"/>
            <w:hideMark/>
          </w:tcPr>
          <w:p w14:paraId="4C175DB8" w14:textId="77777777" w:rsidR="00000000" w:rsidRDefault="0015578C">
            <w:pPr>
              <w:rPr>
                <w:rFonts w:eastAsia="Times New Roman"/>
                <w:sz w:val="20"/>
                <w:szCs w:val="20"/>
              </w:rPr>
            </w:pPr>
            <w:r>
              <w:rPr>
                <w:rFonts w:eastAsia="Times New Roman"/>
                <w:sz w:val="20"/>
                <w:szCs w:val="20"/>
              </w:rPr>
              <w:t>)</w:t>
            </w:r>
          </w:p>
        </w:tc>
      </w:tr>
      <w:tr w:rsidR="00000000" w14:paraId="4BC9835D" w14:textId="77777777">
        <w:trPr>
          <w:trHeight w:val="225"/>
          <w:tblCellSpacing w:w="15" w:type="dxa"/>
        </w:trPr>
        <w:tc>
          <w:tcPr>
            <w:tcW w:w="0" w:type="auto"/>
            <w:shd w:val="clear" w:color="auto" w:fill="FFFFFF"/>
            <w:hideMark/>
          </w:tcPr>
          <w:p w14:paraId="59275486" w14:textId="77777777" w:rsidR="00000000" w:rsidRDefault="0015578C">
            <w:pPr>
              <w:pStyle w:val="a3"/>
              <w:spacing w:before="0" w:beforeAutospacing="0" w:after="0" w:afterAutospacing="0"/>
              <w:rPr>
                <w:sz w:val="20"/>
                <w:szCs w:val="20"/>
              </w:rPr>
            </w:pPr>
            <w:r>
              <w:rPr>
                <w:rStyle w:val="a4"/>
                <w:sz w:val="20"/>
                <w:szCs w:val="20"/>
              </w:rPr>
              <w:t>Balance at December 31, 2021</w:t>
            </w:r>
          </w:p>
        </w:tc>
        <w:tc>
          <w:tcPr>
            <w:tcW w:w="50" w:type="pct"/>
            <w:shd w:val="clear" w:color="auto" w:fill="FFFFFF"/>
            <w:noWrap/>
            <w:vAlign w:val="center"/>
            <w:hideMark/>
          </w:tcPr>
          <w:p w14:paraId="54E26D4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D86F30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D26B3F5" w14:textId="77777777" w:rsidR="00000000" w:rsidRDefault="0015578C">
            <w:pPr>
              <w:jc w:val="right"/>
              <w:rPr>
                <w:rFonts w:eastAsia="Times New Roman"/>
                <w:sz w:val="20"/>
                <w:szCs w:val="20"/>
              </w:rPr>
            </w:pPr>
            <w:r>
              <w:rPr>
                <w:rStyle w:val="a4"/>
                <w:rFonts w:eastAsia="Times New Roman"/>
                <w:sz w:val="20"/>
                <w:szCs w:val="20"/>
              </w:rPr>
              <w:t>64,801,373</w:t>
            </w:r>
          </w:p>
        </w:tc>
        <w:tc>
          <w:tcPr>
            <w:tcW w:w="50" w:type="pct"/>
            <w:shd w:val="clear" w:color="auto" w:fill="FFFFFF"/>
            <w:noWrap/>
            <w:vAlign w:val="center"/>
            <w:hideMark/>
          </w:tcPr>
          <w:p w14:paraId="20D2720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46C6C7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0E895AB0"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4668BC6C" w14:textId="77777777" w:rsidR="00000000" w:rsidRDefault="0015578C">
            <w:pPr>
              <w:jc w:val="right"/>
              <w:rPr>
                <w:rFonts w:eastAsia="Times New Roman"/>
                <w:sz w:val="20"/>
                <w:szCs w:val="20"/>
              </w:rPr>
            </w:pPr>
            <w:r>
              <w:rPr>
                <w:rStyle w:val="a4"/>
                <w:rFonts w:eastAsia="Times New Roman"/>
                <w:sz w:val="20"/>
                <w:szCs w:val="20"/>
              </w:rPr>
              <w:t>648</w:t>
            </w:r>
          </w:p>
        </w:tc>
        <w:tc>
          <w:tcPr>
            <w:tcW w:w="50" w:type="pct"/>
            <w:shd w:val="clear" w:color="auto" w:fill="FFFFFF"/>
            <w:noWrap/>
            <w:vAlign w:val="center"/>
            <w:hideMark/>
          </w:tcPr>
          <w:p w14:paraId="3B1154B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2EB2C3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330C4E57"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7A262BF4" w14:textId="77777777" w:rsidR="00000000" w:rsidRDefault="0015578C">
            <w:pPr>
              <w:jc w:val="right"/>
              <w:rPr>
                <w:rFonts w:eastAsia="Times New Roman"/>
                <w:sz w:val="20"/>
                <w:szCs w:val="20"/>
              </w:rPr>
            </w:pPr>
            <w:r>
              <w:rPr>
                <w:rStyle w:val="a4"/>
                <w:rFonts w:eastAsia="Times New Roman"/>
                <w:sz w:val="20"/>
                <w:szCs w:val="20"/>
              </w:rPr>
              <w:t>74,886</w:t>
            </w:r>
          </w:p>
        </w:tc>
        <w:tc>
          <w:tcPr>
            <w:tcW w:w="50" w:type="pct"/>
            <w:shd w:val="clear" w:color="auto" w:fill="FFFFFF"/>
            <w:noWrap/>
            <w:vAlign w:val="center"/>
            <w:hideMark/>
          </w:tcPr>
          <w:p w14:paraId="257133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2CC5D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520C611"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055B7823" w14:textId="77777777" w:rsidR="00000000" w:rsidRDefault="0015578C">
            <w:pPr>
              <w:jc w:val="right"/>
              <w:rPr>
                <w:rFonts w:eastAsia="Times New Roman"/>
                <w:sz w:val="20"/>
                <w:szCs w:val="20"/>
              </w:rPr>
            </w:pPr>
            <w:r>
              <w:rPr>
                <w:rStyle w:val="a4"/>
                <w:rFonts w:eastAsia="Times New Roman"/>
                <w:sz w:val="20"/>
                <w:szCs w:val="20"/>
              </w:rPr>
              <w:t>(53,888</w:t>
            </w:r>
          </w:p>
        </w:tc>
        <w:tc>
          <w:tcPr>
            <w:tcW w:w="50" w:type="pct"/>
            <w:shd w:val="clear" w:color="auto" w:fill="FFFFFF"/>
            <w:noWrap/>
            <w:vAlign w:val="bottom"/>
            <w:hideMark/>
          </w:tcPr>
          <w:p w14:paraId="211C87CC" w14:textId="77777777" w:rsidR="00000000" w:rsidRDefault="0015578C">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14:paraId="5E924F9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2E04FDD9" w14:textId="77777777" w:rsidR="00000000" w:rsidRDefault="0015578C">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14:paraId="108B3012" w14:textId="77777777" w:rsidR="00000000" w:rsidRDefault="0015578C">
            <w:pPr>
              <w:jc w:val="right"/>
              <w:rPr>
                <w:rFonts w:eastAsia="Times New Roman"/>
                <w:sz w:val="20"/>
                <w:szCs w:val="20"/>
              </w:rPr>
            </w:pPr>
            <w:r>
              <w:rPr>
                <w:rStyle w:val="a4"/>
                <w:rFonts w:eastAsia="Times New Roman"/>
                <w:sz w:val="20"/>
                <w:szCs w:val="20"/>
              </w:rPr>
              <w:t>21,646</w:t>
            </w:r>
          </w:p>
        </w:tc>
        <w:tc>
          <w:tcPr>
            <w:tcW w:w="50" w:type="pct"/>
            <w:shd w:val="clear" w:color="auto" w:fill="FFFFFF"/>
            <w:noWrap/>
            <w:vAlign w:val="center"/>
            <w:hideMark/>
          </w:tcPr>
          <w:p w14:paraId="46BFEBE5" w14:textId="77777777" w:rsidR="00000000" w:rsidRDefault="0015578C">
            <w:pPr>
              <w:pStyle w:val="a3"/>
              <w:spacing w:before="0" w:beforeAutospacing="0" w:after="0" w:afterAutospacing="0"/>
              <w:rPr>
                <w:sz w:val="20"/>
                <w:szCs w:val="20"/>
              </w:rPr>
            </w:pPr>
            <w:r>
              <w:rPr>
                <w:sz w:val="20"/>
                <w:szCs w:val="20"/>
              </w:rPr>
              <w:t> </w:t>
            </w:r>
          </w:p>
        </w:tc>
      </w:tr>
    </w:tbl>
    <w:p w14:paraId="0CC15217" w14:textId="77777777" w:rsidR="00000000" w:rsidRDefault="0015578C">
      <w:pPr>
        <w:pStyle w:val="a3"/>
        <w:spacing w:before="0" w:beforeAutospacing="0" w:after="0" w:afterAutospacing="0"/>
        <w:jc w:val="both"/>
        <w:rPr>
          <w:sz w:val="20"/>
          <w:szCs w:val="20"/>
        </w:rPr>
      </w:pPr>
      <w:r>
        <w:rPr>
          <w:sz w:val="20"/>
          <w:szCs w:val="20"/>
        </w:rPr>
        <w:t> </w:t>
      </w:r>
    </w:p>
    <w:p w14:paraId="6F7704E2" w14:textId="77777777" w:rsidR="00000000" w:rsidRDefault="0015578C">
      <w:pPr>
        <w:pStyle w:val="a3"/>
        <w:spacing w:before="0" w:beforeAutospacing="0" w:after="0" w:afterAutospacing="0"/>
        <w:jc w:val="both"/>
        <w:rPr>
          <w:sz w:val="20"/>
          <w:szCs w:val="20"/>
        </w:rPr>
      </w:pPr>
      <w:r>
        <w:rPr>
          <w:sz w:val="20"/>
          <w:szCs w:val="20"/>
        </w:rPr>
        <w:t>See Not</w:t>
      </w:r>
      <w:r>
        <w:rPr>
          <w:sz w:val="20"/>
          <w:szCs w:val="20"/>
        </w:rPr>
        <w:t>es to Consolidated Financial Statements.</w:t>
      </w:r>
    </w:p>
    <w:p w14:paraId="44034BB6"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6343B9C" w14:textId="77777777">
        <w:trPr>
          <w:trHeight w:val="225"/>
          <w:tblCellSpacing w:w="15" w:type="dxa"/>
        </w:trPr>
        <w:tc>
          <w:tcPr>
            <w:tcW w:w="0" w:type="auto"/>
            <w:vAlign w:val="center"/>
            <w:hideMark/>
          </w:tcPr>
          <w:p w14:paraId="4D7C5776" w14:textId="77777777" w:rsidR="00000000" w:rsidRDefault="0015578C">
            <w:pPr>
              <w:rPr>
                <w:rFonts w:eastAsia="Times New Roman"/>
                <w:sz w:val="20"/>
                <w:szCs w:val="20"/>
              </w:rPr>
            </w:pPr>
            <w:r>
              <w:rPr>
                <w:rFonts w:eastAsia="Times New Roman"/>
                <w:sz w:val="20"/>
                <w:szCs w:val="20"/>
              </w:rPr>
              <w:t> </w:t>
            </w:r>
          </w:p>
        </w:tc>
      </w:tr>
      <w:tr w:rsidR="00000000" w14:paraId="79EA2A1B" w14:textId="77777777">
        <w:trPr>
          <w:trHeight w:val="225"/>
          <w:tblCellSpacing w:w="15" w:type="dxa"/>
        </w:trPr>
        <w:tc>
          <w:tcPr>
            <w:tcW w:w="0" w:type="auto"/>
            <w:tcBorders>
              <w:bottom w:val="single" w:sz="6" w:space="0" w:color="000000"/>
            </w:tcBorders>
            <w:vAlign w:val="center"/>
            <w:hideMark/>
          </w:tcPr>
          <w:p w14:paraId="0CDF9F2D" w14:textId="77777777" w:rsidR="00000000" w:rsidRDefault="0015578C">
            <w:pPr>
              <w:jc w:val="center"/>
              <w:rPr>
                <w:rFonts w:eastAsia="Times New Roman"/>
                <w:sz w:val="20"/>
                <w:szCs w:val="20"/>
              </w:rPr>
            </w:pPr>
            <w:r>
              <w:rPr>
                <w:rFonts w:eastAsia="Times New Roman"/>
                <w:sz w:val="20"/>
                <w:szCs w:val="20"/>
              </w:rPr>
              <w:t>F-5</w:t>
            </w:r>
          </w:p>
        </w:tc>
      </w:tr>
      <w:tr w:rsidR="00000000" w14:paraId="66CFA740" w14:textId="77777777">
        <w:trPr>
          <w:trHeight w:val="225"/>
          <w:tblCellSpacing w:w="15" w:type="dxa"/>
        </w:trPr>
        <w:tc>
          <w:tcPr>
            <w:tcW w:w="0" w:type="auto"/>
            <w:vAlign w:val="center"/>
            <w:hideMark/>
          </w:tcPr>
          <w:p w14:paraId="275E46D2" w14:textId="77777777" w:rsidR="00000000" w:rsidRDefault="0015578C">
            <w:pPr>
              <w:rPr>
                <w:rFonts w:eastAsia="Times New Roman"/>
                <w:sz w:val="20"/>
                <w:szCs w:val="20"/>
              </w:rPr>
            </w:pPr>
          </w:p>
        </w:tc>
      </w:tr>
      <w:tr w:rsidR="00000000" w14:paraId="6A187015" w14:textId="77777777">
        <w:trPr>
          <w:trHeight w:val="225"/>
          <w:tblCellSpacing w:w="15" w:type="dxa"/>
        </w:trPr>
        <w:tc>
          <w:tcPr>
            <w:tcW w:w="0" w:type="auto"/>
            <w:vAlign w:val="center"/>
            <w:hideMark/>
          </w:tcPr>
          <w:p w14:paraId="47502E99"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4690C0ED" w14:textId="77777777" w:rsidR="00000000" w:rsidRDefault="0015578C">
      <w:pPr>
        <w:pStyle w:val="a3"/>
        <w:spacing w:before="0" w:beforeAutospacing="0" w:after="0" w:afterAutospacing="0"/>
        <w:jc w:val="both"/>
        <w:rPr>
          <w:sz w:val="20"/>
          <w:szCs w:val="20"/>
        </w:rPr>
      </w:pPr>
      <w:r>
        <w:rPr>
          <w:sz w:val="20"/>
          <w:szCs w:val="20"/>
        </w:rPr>
        <w:t> </w:t>
      </w:r>
    </w:p>
    <w:p w14:paraId="3A462222" w14:textId="77777777" w:rsidR="00000000" w:rsidRDefault="0015578C">
      <w:pPr>
        <w:pStyle w:val="a3"/>
        <w:spacing w:before="0" w:beforeAutospacing="0" w:after="0" w:afterAutospacing="0"/>
        <w:jc w:val="center"/>
        <w:rPr>
          <w:sz w:val="20"/>
          <w:szCs w:val="20"/>
        </w:rPr>
      </w:pPr>
      <w:r>
        <w:rPr>
          <w:rStyle w:val="atag"/>
          <w:sz w:val="20"/>
          <w:szCs w:val="20"/>
        </w:rPr>
        <w:t>SOLITARIO ZINC CORP</w:t>
      </w:r>
      <w:r>
        <w:rPr>
          <w:rStyle w:val="atag"/>
          <w:sz w:val="20"/>
          <w:szCs w:val="20"/>
        </w:rPr>
        <w:t>.</w:t>
      </w:r>
    </w:p>
    <w:p w14:paraId="2F984A9E" w14:textId="77777777" w:rsidR="00000000" w:rsidRDefault="0015578C">
      <w:pPr>
        <w:pStyle w:val="a3"/>
        <w:spacing w:before="0" w:beforeAutospacing="0" w:after="0" w:afterAutospacing="0"/>
        <w:jc w:val="center"/>
        <w:rPr>
          <w:sz w:val="20"/>
          <w:szCs w:val="20"/>
        </w:rPr>
      </w:pPr>
      <w:r>
        <w:rPr>
          <w:sz w:val="20"/>
          <w:szCs w:val="20"/>
        </w:rPr>
        <w:t>CONSOLIDATED STATEMENTS OF CASH FLOWS</w:t>
      </w:r>
    </w:p>
    <w:p w14:paraId="00736831" w14:textId="77777777" w:rsidR="00000000" w:rsidRDefault="0015578C">
      <w:pPr>
        <w:pStyle w:val="a3"/>
        <w:spacing w:before="0" w:beforeAutospacing="0" w:after="0" w:afterAutospacing="0"/>
        <w:jc w:val="right"/>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02CA0BCF" w14:textId="77777777">
        <w:trPr>
          <w:trHeight w:val="225"/>
          <w:tblCellSpacing w:w="15" w:type="dxa"/>
        </w:trPr>
        <w:tc>
          <w:tcPr>
            <w:tcW w:w="0" w:type="auto"/>
            <w:vAlign w:val="bottom"/>
            <w:hideMark/>
          </w:tcPr>
          <w:p w14:paraId="6670DCA4" w14:textId="77777777" w:rsidR="00000000" w:rsidRDefault="0015578C">
            <w:pPr>
              <w:pStyle w:val="a3"/>
              <w:spacing w:before="0" w:beforeAutospacing="0" w:after="0" w:afterAutospacing="0"/>
              <w:rPr>
                <w:sz w:val="20"/>
                <w:szCs w:val="20"/>
              </w:rPr>
            </w:pPr>
            <w:r>
              <w:rPr>
                <w:sz w:val="20"/>
                <w:szCs w:val="20"/>
              </w:rPr>
              <w:t>(in thousands of U.S. Dollars)</w:t>
            </w:r>
          </w:p>
        </w:tc>
        <w:tc>
          <w:tcPr>
            <w:tcW w:w="0" w:type="auto"/>
            <w:noWrap/>
            <w:vAlign w:val="center"/>
            <w:hideMark/>
          </w:tcPr>
          <w:p w14:paraId="12CD6C4E"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6DC09A6A" w14:textId="77777777" w:rsidR="00000000" w:rsidRDefault="0015578C">
            <w:pPr>
              <w:pStyle w:val="a3"/>
              <w:spacing w:before="0" w:beforeAutospacing="0" w:after="0" w:afterAutospacing="0"/>
              <w:jc w:val="center"/>
              <w:rPr>
                <w:sz w:val="20"/>
                <w:szCs w:val="20"/>
              </w:rPr>
            </w:pPr>
            <w:r>
              <w:rPr>
                <w:sz w:val="20"/>
                <w:szCs w:val="20"/>
              </w:rPr>
              <w:t>For the year ended</w:t>
            </w:r>
          </w:p>
          <w:p w14:paraId="10F0C98D"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0070CF36" w14:textId="77777777" w:rsidR="00000000" w:rsidRDefault="0015578C">
            <w:pPr>
              <w:pStyle w:val="a3"/>
              <w:spacing w:before="0" w:beforeAutospacing="0" w:after="0" w:afterAutospacing="0"/>
              <w:rPr>
                <w:sz w:val="20"/>
                <w:szCs w:val="20"/>
              </w:rPr>
            </w:pPr>
            <w:r>
              <w:rPr>
                <w:sz w:val="20"/>
                <w:szCs w:val="20"/>
              </w:rPr>
              <w:t> </w:t>
            </w:r>
          </w:p>
        </w:tc>
      </w:tr>
      <w:tr w:rsidR="00000000" w14:paraId="408881E3" w14:textId="77777777">
        <w:trPr>
          <w:trHeight w:val="225"/>
          <w:tblCellSpacing w:w="15" w:type="dxa"/>
        </w:trPr>
        <w:tc>
          <w:tcPr>
            <w:tcW w:w="0" w:type="auto"/>
            <w:vAlign w:val="center"/>
            <w:hideMark/>
          </w:tcPr>
          <w:p w14:paraId="1C33B8B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7428336"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DB06C53"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143862BE"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230BFC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333AA9BF"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6C8EE232" w14:textId="77777777" w:rsidR="00000000" w:rsidRDefault="0015578C">
            <w:pPr>
              <w:pStyle w:val="a3"/>
              <w:spacing w:before="0" w:beforeAutospacing="0" w:after="0" w:afterAutospacing="0"/>
              <w:rPr>
                <w:sz w:val="20"/>
                <w:szCs w:val="20"/>
              </w:rPr>
            </w:pPr>
            <w:r>
              <w:rPr>
                <w:sz w:val="20"/>
                <w:szCs w:val="20"/>
              </w:rPr>
              <w:t> </w:t>
            </w:r>
          </w:p>
        </w:tc>
      </w:tr>
      <w:tr w:rsidR="00000000" w14:paraId="5D62491D" w14:textId="77777777">
        <w:trPr>
          <w:trHeight w:val="225"/>
          <w:tblCellSpacing w:w="15" w:type="dxa"/>
        </w:trPr>
        <w:tc>
          <w:tcPr>
            <w:tcW w:w="0" w:type="auto"/>
            <w:hideMark/>
          </w:tcPr>
          <w:p w14:paraId="4FEBC6B1" w14:textId="77777777" w:rsidR="00000000" w:rsidRDefault="0015578C">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14:paraId="23325D5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5E34127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EB672F3"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8647B78"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11E15DF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DDFCA58" w14:textId="77777777" w:rsidR="00000000" w:rsidRDefault="0015578C">
            <w:pPr>
              <w:pStyle w:val="a3"/>
              <w:spacing w:before="0" w:beforeAutospacing="0" w:after="0" w:afterAutospacing="0"/>
              <w:rPr>
                <w:sz w:val="20"/>
                <w:szCs w:val="20"/>
              </w:rPr>
            </w:pPr>
            <w:r>
              <w:rPr>
                <w:sz w:val="20"/>
                <w:szCs w:val="20"/>
              </w:rPr>
              <w:t> </w:t>
            </w:r>
          </w:p>
        </w:tc>
      </w:tr>
      <w:tr w:rsidR="00000000" w14:paraId="32F9A64D" w14:textId="77777777">
        <w:trPr>
          <w:trHeight w:val="225"/>
          <w:tblCellSpacing w:w="15" w:type="dxa"/>
        </w:trPr>
        <w:tc>
          <w:tcPr>
            <w:tcW w:w="0" w:type="auto"/>
            <w:shd w:val="clear" w:color="auto" w:fill="CCEEFF"/>
            <w:hideMark/>
          </w:tcPr>
          <w:p w14:paraId="1E9BD1C0" w14:textId="77777777" w:rsidR="00000000" w:rsidRDefault="0015578C">
            <w:pPr>
              <w:pStyle w:val="a3"/>
              <w:spacing w:before="0" w:beforeAutospacing="0" w:after="0" w:afterAutospacing="0"/>
              <w:ind w:left="225"/>
              <w:rPr>
                <w:sz w:val="20"/>
                <w:szCs w:val="20"/>
              </w:rPr>
            </w:pPr>
            <w:r>
              <w:rPr>
                <w:sz w:val="20"/>
                <w:szCs w:val="20"/>
              </w:rPr>
              <w:t>Net loss</w:t>
            </w:r>
          </w:p>
        </w:tc>
        <w:tc>
          <w:tcPr>
            <w:tcW w:w="50" w:type="pct"/>
            <w:shd w:val="clear" w:color="auto" w:fill="CCEEFF"/>
            <w:noWrap/>
            <w:vAlign w:val="center"/>
            <w:hideMark/>
          </w:tcPr>
          <w:p w14:paraId="5ACA820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5EB00C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438917D9" w14:textId="77777777" w:rsidR="00000000" w:rsidRDefault="0015578C">
            <w:pPr>
              <w:jc w:val="right"/>
              <w:rPr>
                <w:rFonts w:eastAsia="Times New Roman"/>
                <w:sz w:val="20"/>
                <w:szCs w:val="20"/>
              </w:rPr>
            </w:pPr>
            <w:r>
              <w:rPr>
                <w:rFonts w:eastAsia="Times New Roman"/>
                <w:sz w:val="20"/>
                <w:szCs w:val="20"/>
              </w:rPr>
              <w:t>(3,928</w:t>
            </w:r>
          </w:p>
        </w:tc>
        <w:tc>
          <w:tcPr>
            <w:tcW w:w="50" w:type="pct"/>
            <w:shd w:val="clear" w:color="auto" w:fill="CCEEFF"/>
            <w:noWrap/>
            <w:vAlign w:val="bottom"/>
            <w:hideMark/>
          </w:tcPr>
          <w:p w14:paraId="7D64C5F5"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E0B37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F6E272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FE05CF5" w14:textId="77777777" w:rsidR="00000000" w:rsidRDefault="0015578C">
            <w:pPr>
              <w:jc w:val="right"/>
              <w:rPr>
                <w:rFonts w:eastAsia="Times New Roman"/>
                <w:sz w:val="20"/>
                <w:szCs w:val="20"/>
              </w:rPr>
            </w:pPr>
            <w:r>
              <w:rPr>
                <w:rFonts w:eastAsia="Times New Roman"/>
                <w:sz w:val="20"/>
                <w:szCs w:val="20"/>
              </w:rPr>
              <w:t>(2,367</w:t>
            </w:r>
          </w:p>
        </w:tc>
        <w:tc>
          <w:tcPr>
            <w:tcW w:w="50" w:type="pct"/>
            <w:shd w:val="clear" w:color="auto" w:fill="CCEEFF"/>
            <w:noWrap/>
            <w:vAlign w:val="bottom"/>
            <w:hideMark/>
          </w:tcPr>
          <w:p w14:paraId="4D5AE46A" w14:textId="77777777" w:rsidR="00000000" w:rsidRDefault="0015578C">
            <w:pPr>
              <w:rPr>
                <w:rFonts w:eastAsia="Times New Roman"/>
                <w:sz w:val="20"/>
                <w:szCs w:val="20"/>
              </w:rPr>
            </w:pPr>
            <w:r>
              <w:rPr>
                <w:rFonts w:eastAsia="Times New Roman"/>
                <w:sz w:val="20"/>
                <w:szCs w:val="20"/>
              </w:rPr>
              <w:t>)</w:t>
            </w:r>
          </w:p>
        </w:tc>
      </w:tr>
      <w:tr w:rsidR="00000000" w14:paraId="5AA0D923" w14:textId="77777777">
        <w:trPr>
          <w:trHeight w:val="225"/>
          <w:tblCellSpacing w:w="15" w:type="dxa"/>
        </w:trPr>
        <w:tc>
          <w:tcPr>
            <w:tcW w:w="0" w:type="auto"/>
            <w:shd w:val="clear" w:color="auto" w:fill="FFFFFF"/>
            <w:hideMark/>
          </w:tcPr>
          <w:p w14:paraId="2E6DB21D" w14:textId="77777777" w:rsidR="00000000" w:rsidRDefault="0015578C">
            <w:pPr>
              <w:pStyle w:val="a3"/>
              <w:spacing w:before="0" w:beforeAutospacing="0" w:after="0" w:afterAutospacing="0"/>
              <w:ind w:left="225"/>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14:paraId="4156C9B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8560C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CDD757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6F086F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4775E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65662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70DA72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1D2AF6E" w14:textId="77777777" w:rsidR="00000000" w:rsidRDefault="0015578C">
            <w:pPr>
              <w:pStyle w:val="a3"/>
              <w:spacing w:before="0" w:beforeAutospacing="0" w:after="0" w:afterAutospacing="0"/>
              <w:rPr>
                <w:sz w:val="20"/>
                <w:szCs w:val="20"/>
              </w:rPr>
            </w:pPr>
            <w:r>
              <w:rPr>
                <w:sz w:val="20"/>
                <w:szCs w:val="20"/>
              </w:rPr>
              <w:t> </w:t>
            </w:r>
          </w:p>
        </w:tc>
      </w:tr>
      <w:tr w:rsidR="00000000" w14:paraId="047E73CB" w14:textId="77777777">
        <w:trPr>
          <w:trHeight w:val="225"/>
          <w:tblCellSpacing w:w="15" w:type="dxa"/>
        </w:trPr>
        <w:tc>
          <w:tcPr>
            <w:tcW w:w="0" w:type="auto"/>
            <w:shd w:val="clear" w:color="auto" w:fill="CCEEFF"/>
            <w:hideMark/>
          </w:tcPr>
          <w:p w14:paraId="67B70D2C" w14:textId="77777777" w:rsidR="00000000" w:rsidRDefault="0015578C">
            <w:pPr>
              <w:pStyle w:val="a3"/>
              <w:spacing w:before="0" w:beforeAutospacing="0" w:after="0" w:afterAutospacing="0"/>
              <w:ind w:left="450"/>
              <w:rPr>
                <w:sz w:val="20"/>
                <w:szCs w:val="20"/>
              </w:rPr>
            </w:pPr>
            <w:r>
              <w:rPr>
                <w:sz w:val="20"/>
                <w:szCs w:val="20"/>
              </w:rPr>
              <w:t>Unrealized loss (gain) on marketable equity securities</w:t>
            </w:r>
          </w:p>
        </w:tc>
        <w:tc>
          <w:tcPr>
            <w:tcW w:w="50" w:type="pct"/>
            <w:shd w:val="clear" w:color="auto" w:fill="CCEEFF"/>
            <w:noWrap/>
            <w:vAlign w:val="center"/>
            <w:hideMark/>
          </w:tcPr>
          <w:p w14:paraId="74813BA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CDB753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A2D0505" w14:textId="77777777" w:rsidR="00000000" w:rsidRDefault="0015578C">
            <w:pPr>
              <w:jc w:val="right"/>
              <w:rPr>
                <w:rFonts w:eastAsia="Times New Roman"/>
                <w:sz w:val="20"/>
                <w:szCs w:val="20"/>
              </w:rPr>
            </w:pPr>
            <w:r>
              <w:rPr>
                <w:rFonts w:eastAsia="Times New Roman"/>
                <w:sz w:val="20"/>
                <w:szCs w:val="20"/>
              </w:rPr>
              <w:t>94</w:t>
            </w:r>
          </w:p>
        </w:tc>
        <w:tc>
          <w:tcPr>
            <w:tcW w:w="50" w:type="pct"/>
            <w:shd w:val="clear" w:color="auto" w:fill="CCEEFF"/>
            <w:noWrap/>
            <w:vAlign w:val="center"/>
            <w:hideMark/>
          </w:tcPr>
          <w:p w14:paraId="1C26473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386DDE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7FAAC7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6B860FA" w14:textId="77777777" w:rsidR="00000000" w:rsidRDefault="0015578C">
            <w:pPr>
              <w:jc w:val="right"/>
              <w:rPr>
                <w:rFonts w:eastAsia="Times New Roman"/>
                <w:sz w:val="20"/>
                <w:szCs w:val="20"/>
              </w:rPr>
            </w:pPr>
            <w:r>
              <w:rPr>
                <w:rFonts w:eastAsia="Times New Roman"/>
                <w:sz w:val="20"/>
                <w:szCs w:val="20"/>
              </w:rPr>
              <w:t>(82</w:t>
            </w:r>
          </w:p>
        </w:tc>
        <w:tc>
          <w:tcPr>
            <w:tcW w:w="50" w:type="pct"/>
            <w:shd w:val="clear" w:color="auto" w:fill="CCEEFF"/>
            <w:noWrap/>
            <w:vAlign w:val="bottom"/>
            <w:hideMark/>
          </w:tcPr>
          <w:p w14:paraId="3A6D0C52" w14:textId="77777777" w:rsidR="00000000" w:rsidRDefault="0015578C">
            <w:pPr>
              <w:rPr>
                <w:rFonts w:eastAsia="Times New Roman"/>
                <w:sz w:val="20"/>
                <w:szCs w:val="20"/>
              </w:rPr>
            </w:pPr>
            <w:r>
              <w:rPr>
                <w:rFonts w:eastAsia="Times New Roman"/>
                <w:sz w:val="20"/>
                <w:szCs w:val="20"/>
              </w:rPr>
              <w:t>)</w:t>
            </w:r>
          </w:p>
        </w:tc>
      </w:tr>
      <w:tr w:rsidR="00000000" w14:paraId="1518AE90" w14:textId="77777777">
        <w:trPr>
          <w:trHeight w:val="225"/>
          <w:tblCellSpacing w:w="15" w:type="dxa"/>
        </w:trPr>
        <w:tc>
          <w:tcPr>
            <w:tcW w:w="0" w:type="auto"/>
            <w:shd w:val="clear" w:color="auto" w:fill="FFFFFF"/>
            <w:hideMark/>
          </w:tcPr>
          <w:p w14:paraId="022CE999" w14:textId="77777777" w:rsidR="00000000" w:rsidRDefault="0015578C">
            <w:pPr>
              <w:pStyle w:val="a3"/>
              <w:spacing w:before="0" w:beforeAutospacing="0" w:after="0" w:afterAutospacing="0"/>
              <w:ind w:left="450"/>
              <w:rPr>
                <w:sz w:val="20"/>
                <w:szCs w:val="20"/>
              </w:rPr>
            </w:pPr>
            <w:r>
              <w:rPr>
                <w:sz w:val="20"/>
                <w:szCs w:val="20"/>
              </w:rPr>
              <w:t>Unrealized loss on short-term investments</w:t>
            </w:r>
          </w:p>
        </w:tc>
        <w:tc>
          <w:tcPr>
            <w:tcW w:w="50" w:type="pct"/>
            <w:shd w:val="clear" w:color="auto" w:fill="FFFFFF"/>
            <w:noWrap/>
            <w:vAlign w:val="center"/>
            <w:hideMark/>
          </w:tcPr>
          <w:p w14:paraId="100A449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4F501B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64F72D7" w14:textId="77777777" w:rsidR="00000000" w:rsidRDefault="0015578C">
            <w:pPr>
              <w:jc w:val="right"/>
              <w:rPr>
                <w:rFonts w:eastAsia="Times New Roman"/>
                <w:sz w:val="20"/>
                <w:szCs w:val="20"/>
              </w:rPr>
            </w:pPr>
            <w:r>
              <w:rPr>
                <w:rFonts w:eastAsia="Times New Roman"/>
                <w:sz w:val="20"/>
                <w:szCs w:val="20"/>
              </w:rPr>
              <w:t>108</w:t>
            </w:r>
          </w:p>
        </w:tc>
        <w:tc>
          <w:tcPr>
            <w:tcW w:w="50" w:type="pct"/>
            <w:shd w:val="clear" w:color="auto" w:fill="FFFFFF"/>
            <w:noWrap/>
            <w:vAlign w:val="center"/>
            <w:hideMark/>
          </w:tcPr>
          <w:p w14:paraId="60F5862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627B31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C0DA8E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314BCCB" w14:textId="77777777" w:rsidR="00000000" w:rsidRDefault="0015578C">
            <w:pPr>
              <w:jc w:val="right"/>
              <w:rPr>
                <w:rFonts w:eastAsia="Times New Roman"/>
                <w:sz w:val="20"/>
                <w:szCs w:val="20"/>
              </w:rPr>
            </w:pPr>
            <w:r>
              <w:rPr>
                <w:rFonts w:eastAsia="Times New Roman"/>
                <w:sz w:val="20"/>
                <w:szCs w:val="20"/>
              </w:rPr>
              <w:t>102</w:t>
            </w:r>
          </w:p>
        </w:tc>
        <w:tc>
          <w:tcPr>
            <w:tcW w:w="50" w:type="pct"/>
            <w:shd w:val="clear" w:color="auto" w:fill="FFFFFF"/>
            <w:noWrap/>
            <w:vAlign w:val="center"/>
            <w:hideMark/>
          </w:tcPr>
          <w:p w14:paraId="3D9B97BB" w14:textId="77777777" w:rsidR="00000000" w:rsidRDefault="0015578C">
            <w:pPr>
              <w:pStyle w:val="a3"/>
              <w:spacing w:before="0" w:beforeAutospacing="0" w:after="0" w:afterAutospacing="0"/>
              <w:rPr>
                <w:sz w:val="20"/>
                <w:szCs w:val="20"/>
              </w:rPr>
            </w:pPr>
            <w:r>
              <w:rPr>
                <w:sz w:val="20"/>
                <w:szCs w:val="20"/>
              </w:rPr>
              <w:t> </w:t>
            </w:r>
          </w:p>
        </w:tc>
      </w:tr>
      <w:tr w:rsidR="00000000" w14:paraId="0D0F85E5" w14:textId="77777777">
        <w:trPr>
          <w:trHeight w:val="225"/>
          <w:tblCellSpacing w:w="15" w:type="dxa"/>
        </w:trPr>
        <w:tc>
          <w:tcPr>
            <w:tcW w:w="0" w:type="auto"/>
            <w:shd w:val="clear" w:color="auto" w:fill="CCEEFF"/>
            <w:hideMark/>
          </w:tcPr>
          <w:p w14:paraId="6EED84AE" w14:textId="77777777" w:rsidR="00000000" w:rsidRDefault="0015578C">
            <w:pPr>
              <w:pStyle w:val="a3"/>
              <w:spacing w:before="0" w:beforeAutospacing="0" w:after="0" w:afterAutospacing="0"/>
              <w:ind w:left="450"/>
              <w:rPr>
                <w:sz w:val="20"/>
                <w:szCs w:val="20"/>
              </w:rPr>
            </w:pPr>
            <w:r>
              <w:rPr>
                <w:sz w:val="20"/>
                <w:szCs w:val="20"/>
              </w:rPr>
              <w:t>Loss on sale of marketable equity securities</w:t>
            </w:r>
          </w:p>
        </w:tc>
        <w:tc>
          <w:tcPr>
            <w:tcW w:w="50" w:type="pct"/>
            <w:shd w:val="clear" w:color="auto" w:fill="CCEEFF"/>
            <w:noWrap/>
            <w:vAlign w:val="center"/>
            <w:hideMark/>
          </w:tcPr>
          <w:p w14:paraId="2907F42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12E809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00712F1" w14:textId="77777777" w:rsidR="00000000" w:rsidRDefault="0015578C">
            <w:pPr>
              <w:jc w:val="right"/>
              <w:rPr>
                <w:rFonts w:eastAsia="Times New Roman"/>
                <w:sz w:val="20"/>
                <w:szCs w:val="20"/>
              </w:rPr>
            </w:pPr>
            <w:r>
              <w:rPr>
                <w:rFonts w:eastAsia="Times New Roman"/>
                <w:sz w:val="20"/>
                <w:szCs w:val="20"/>
              </w:rPr>
              <w:t>201</w:t>
            </w:r>
          </w:p>
        </w:tc>
        <w:tc>
          <w:tcPr>
            <w:tcW w:w="50" w:type="pct"/>
            <w:shd w:val="clear" w:color="auto" w:fill="CCEEFF"/>
            <w:noWrap/>
            <w:vAlign w:val="center"/>
            <w:hideMark/>
          </w:tcPr>
          <w:p w14:paraId="0A6E805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C3E6CC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1E12DE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6AB7FB8" w14:textId="77777777" w:rsidR="00000000" w:rsidRDefault="0015578C">
            <w:pPr>
              <w:jc w:val="right"/>
              <w:rPr>
                <w:rFonts w:eastAsia="Times New Roman"/>
                <w:sz w:val="20"/>
                <w:szCs w:val="20"/>
              </w:rPr>
            </w:pPr>
            <w:r>
              <w:rPr>
                <w:rFonts w:eastAsia="Times New Roman"/>
                <w:sz w:val="20"/>
                <w:szCs w:val="20"/>
              </w:rPr>
              <w:t>248</w:t>
            </w:r>
          </w:p>
        </w:tc>
        <w:tc>
          <w:tcPr>
            <w:tcW w:w="50" w:type="pct"/>
            <w:shd w:val="clear" w:color="auto" w:fill="CCEEFF"/>
            <w:noWrap/>
            <w:vAlign w:val="center"/>
            <w:hideMark/>
          </w:tcPr>
          <w:p w14:paraId="7C4F662B" w14:textId="77777777" w:rsidR="00000000" w:rsidRDefault="0015578C">
            <w:pPr>
              <w:pStyle w:val="a3"/>
              <w:spacing w:before="0" w:beforeAutospacing="0" w:after="0" w:afterAutospacing="0"/>
              <w:rPr>
                <w:sz w:val="20"/>
                <w:szCs w:val="20"/>
              </w:rPr>
            </w:pPr>
            <w:r>
              <w:rPr>
                <w:sz w:val="20"/>
                <w:szCs w:val="20"/>
              </w:rPr>
              <w:t> </w:t>
            </w:r>
          </w:p>
        </w:tc>
      </w:tr>
      <w:tr w:rsidR="00000000" w14:paraId="0FDB2AF5" w14:textId="77777777">
        <w:trPr>
          <w:trHeight w:val="225"/>
          <w:tblCellSpacing w:w="15" w:type="dxa"/>
        </w:trPr>
        <w:tc>
          <w:tcPr>
            <w:tcW w:w="0" w:type="auto"/>
            <w:shd w:val="clear" w:color="auto" w:fill="FFFFFF"/>
            <w:hideMark/>
          </w:tcPr>
          <w:p w14:paraId="279068DA" w14:textId="77777777" w:rsidR="00000000" w:rsidRDefault="0015578C">
            <w:pPr>
              <w:pStyle w:val="a3"/>
              <w:spacing w:before="0" w:beforeAutospacing="0" w:after="0" w:afterAutospacing="0"/>
              <w:ind w:left="450"/>
              <w:rPr>
                <w:sz w:val="20"/>
                <w:szCs w:val="20"/>
              </w:rPr>
            </w:pPr>
            <w:r>
              <w:rPr>
                <w:sz w:val="20"/>
                <w:szCs w:val="20"/>
              </w:rPr>
              <w:t>Loss on derivative instruments</w:t>
            </w:r>
          </w:p>
        </w:tc>
        <w:tc>
          <w:tcPr>
            <w:tcW w:w="50" w:type="pct"/>
            <w:shd w:val="clear" w:color="auto" w:fill="FFFFFF"/>
            <w:noWrap/>
            <w:vAlign w:val="center"/>
            <w:hideMark/>
          </w:tcPr>
          <w:p w14:paraId="6A1331A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D65F32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B2DB3D9" w14:textId="77777777" w:rsidR="00000000" w:rsidRDefault="0015578C">
            <w:pPr>
              <w:jc w:val="right"/>
              <w:rPr>
                <w:rFonts w:eastAsia="Times New Roman"/>
                <w:sz w:val="20"/>
                <w:szCs w:val="20"/>
              </w:rPr>
            </w:pPr>
            <w:r>
              <w:rPr>
                <w:rFonts w:eastAsia="Times New Roman"/>
                <w:sz w:val="20"/>
                <w:szCs w:val="20"/>
              </w:rPr>
              <w:t>4</w:t>
            </w:r>
          </w:p>
        </w:tc>
        <w:tc>
          <w:tcPr>
            <w:tcW w:w="50" w:type="pct"/>
            <w:shd w:val="clear" w:color="auto" w:fill="FFFFFF"/>
            <w:noWrap/>
            <w:vAlign w:val="center"/>
            <w:hideMark/>
          </w:tcPr>
          <w:p w14:paraId="33596AC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861C0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1D7D7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B63E5BF" w14:textId="77777777" w:rsidR="00000000" w:rsidRDefault="0015578C">
            <w:pPr>
              <w:jc w:val="right"/>
              <w:rPr>
                <w:rFonts w:eastAsia="Times New Roman"/>
                <w:sz w:val="20"/>
                <w:szCs w:val="20"/>
              </w:rPr>
            </w:pPr>
            <w:r>
              <w:rPr>
                <w:rFonts w:eastAsia="Times New Roman"/>
                <w:sz w:val="20"/>
                <w:szCs w:val="20"/>
              </w:rPr>
              <w:t>38</w:t>
            </w:r>
          </w:p>
        </w:tc>
        <w:tc>
          <w:tcPr>
            <w:tcW w:w="50" w:type="pct"/>
            <w:shd w:val="clear" w:color="auto" w:fill="FFFFFF"/>
            <w:noWrap/>
            <w:vAlign w:val="center"/>
            <w:hideMark/>
          </w:tcPr>
          <w:p w14:paraId="7271B935" w14:textId="77777777" w:rsidR="00000000" w:rsidRDefault="0015578C">
            <w:pPr>
              <w:pStyle w:val="a3"/>
              <w:spacing w:before="0" w:beforeAutospacing="0" w:after="0" w:afterAutospacing="0"/>
              <w:rPr>
                <w:sz w:val="20"/>
                <w:szCs w:val="20"/>
              </w:rPr>
            </w:pPr>
            <w:r>
              <w:rPr>
                <w:sz w:val="20"/>
                <w:szCs w:val="20"/>
              </w:rPr>
              <w:t> </w:t>
            </w:r>
          </w:p>
        </w:tc>
      </w:tr>
      <w:tr w:rsidR="00000000" w14:paraId="2F63C8AC" w14:textId="77777777">
        <w:trPr>
          <w:trHeight w:val="225"/>
          <w:tblCellSpacing w:w="15" w:type="dxa"/>
        </w:trPr>
        <w:tc>
          <w:tcPr>
            <w:tcW w:w="0" w:type="auto"/>
            <w:shd w:val="clear" w:color="auto" w:fill="CCEEFF"/>
            <w:hideMark/>
          </w:tcPr>
          <w:p w14:paraId="660BA07D" w14:textId="77777777" w:rsidR="00000000" w:rsidRDefault="0015578C">
            <w:pPr>
              <w:pStyle w:val="a3"/>
              <w:spacing w:before="0" w:beforeAutospacing="0" w:after="0" w:afterAutospacing="0"/>
              <w:ind w:left="450"/>
              <w:rPr>
                <w:sz w:val="20"/>
                <w:szCs w:val="20"/>
              </w:rPr>
            </w:pPr>
            <w:r>
              <w:rPr>
                <w:sz w:val="20"/>
                <w:szCs w:val="20"/>
              </w:rPr>
              <w:t>Other income – Paycheck Protection Program loan forgiveness</w:t>
            </w:r>
          </w:p>
        </w:tc>
        <w:tc>
          <w:tcPr>
            <w:tcW w:w="50" w:type="pct"/>
            <w:shd w:val="clear" w:color="auto" w:fill="CCEEFF"/>
            <w:noWrap/>
            <w:vAlign w:val="center"/>
            <w:hideMark/>
          </w:tcPr>
          <w:p w14:paraId="6718D10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E1899F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0D6918F"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29B011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F8525D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09B78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9D334CC" w14:textId="77777777" w:rsidR="00000000" w:rsidRDefault="0015578C">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14:paraId="169D6621" w14:textId="77777777" w:rsidR="00000000" w:rsidRDefault="0015578C">
            <w:pPr>
              <w:rPr>
                <w:rFonts w:eastAsia="Times New Roman"/>
                <w:sz w:val="20"/>
                <w:szCs w:val="20"/>
              </w:rPr>
            </w:pPr>
            <w:r>
              <w:rPr>
                <w:rFonts w:eastAsia="Times New Roman"/>
                <w:sz w:val="20"/>
                <w:szCs w:val="20"/>
              </w:rPr>
              <w:t>)</w:t>
            </w:r>
          </w:p>
        </w:tc>
      </w:tr>
      <w:tr w:rsidR="00000000" w14:paraId="5393AA46" w14:textId="77777777">
        <w:trPr>
          <w:trHeight w:val="225"/>
          <w:tblCellSpacing w:w="15" w:type="dxa"/>
        </w:trPr>
        <w:tc>
          <w:tcPr>
            <w:tcW w:w="0" w:type="auto"/>
            <w:shd w:val="clear" w:color="auto" w:fill="FFFFFF"/>
            <w:hideMark/>
          </w:tcPr>
          <w:p w14:paraId="2216294E" w14:textId="77777777" w:rsidR="00000000" w:rsidRDefault="0015578C">
            <w:pPr>
              <w:pStyle w:val="a3"/>
              <w:spacing w:before="0" w:beforeAutospacing="0" w:after="0" w:afterAutospacing="0"/>
              <w:ind w:left="450"/>
              <w:rPr>
                <w:sz w:val="20"/>
                <w:szCs w:val="20"/>
              </w:rPr>
            </w:pPr>
            <w:r>
              <w:rPr>
                <w:sz w:val="20"/>
                <w:szCs w:val="20"/>
              </w:rPr>
              <w:t>Mineral property impairment</w:t>
            </w:r>
          </w:p>
        </w:tc>
        <w:tc>
          <w:tcPr>
            <w:tcW w:w="50" w:type="pct"/>
            <w:shd w:val="clear" w:color="auto" w:fill="FFFFFF"/>
            <w:noWrap/>
            <w:vAlign w:val="center"/>
            <w:hideMark/>
          </w:tcPr>
          <w:p w14:paraId="473B5F5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BC65E4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41CC947"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F6274B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F23AA9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653C86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73C1321" w14:textId="77777777" w:rsidR="00000000" w:rsidRDefault="0015578C">
            <w:pPr>
              <w:jc w:val="right"/>
              <w:rPr>
                <w:rFonts w:eastAsia="Times New Roman"/>
                <w:sz w:val="20"/>
                <w:szCs w:val="20"/>
              </w:rPr>
            </w:pPr>
            <w:r>
              <w:rPr>
                <w:rFonts w:eastAsia="Times New Roman"/>
                <w:sz w:val="20"/>
                <w:szCs w:val="20"/>
              </w:rPr>
              <w:t>17</w:t>
            </w:r>
          </w:p>
        </w:tc>
        <w:tc>
          <w:tcPr>
            <w:tcW w:w="50" w:type="pct"/>
            <w:shd w:val="clear" w:color="auto" w:fill="FFFFFF"/>
            <w:noWrap/>
            <w:vAlign w:val="center"/>
            <w:hideMark/>
          </w:tcPr>
          <w:p w14:paraId="76B68831" w14:textId="77777777" w:rsidR="00000000" w:rsidRDefault="0015578C">
            <w:pPr>
              <w:pStyle w:val="a3"/>
              <w:spacing w:before="0" w:beforeAutospacing="0" w:after="0" w:afterAutospacing="0"/>
              <w:rPr>
                <w:sz w:val="20"/>
                <w:szCs w:val="20"/>
              </w:rPr>
            </w:pPr>
            <w:r>
              <w:rPr>
                <w:sz w:val="20"/>
                <w:szCs w:val="20"/>
              </w:rPr>
              <w:t> </w:t>
            </w:r>
          </w:p>
        </w:tc>
      </w:tr>
      <w:tr w:rsidR="00000000" w14:paraId="1537F361" w14:textId="77777777">
        <w:trPr>
          <w:trHeight w:val="225"/>
          <w:tblCellSpacing w:w="15" w:type="dxa"/>
        </w:trPr>
        <w:tc>
          <w:tcPr>
            <w:tcW w:w="0" w:type="auto"/>
            <w:shd w:val="clear" w:color="auto" w:fill="CCEEFF"/>
            <w:hideMark/>
          </w:tcPr>
          <w:p w14:paraId="62F81D9D" w14:textId="77777777" w:rsidR="00000000" w:rsidRDefault="0015578C">
            <w:pPr>
              <w:pStyle w:val="a3"/>
              <w:spacing w:before="0" w:beforeAutospacing="0" w:after="0" w:afterAutospacing="0"/>
              <w:ind w:left="450"/>
              <w:rPr>
                <w:sz w:val="20"/>
                <w:szCs w:val="20"/>
              </w:rPr>
            </w:pPr>
            <w:r>
              <w:rPr>
                <w:sz w:val="20"/>
                <w:szCs w:val="20"/>
              </w:rPr>
              <w:t>Employee stock option expense</w:t>
            </w:r>
          </w:p>
        </w:tc>
        <w:tc>
          <w:tcPr>
            <w:tcW w:w="50" w:type="pct"/>
            <w:shd w:val="clear" w:color="auto" w:fill="CCEEFF"/>
            <w:noWrap/>
            <w:vAlign w:val="center"/>
            <w:hideMark/>
          </w:tcPr>
          <w:p w14:paraId="6394F63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4B752B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7ECCDB5" w14:textId="77777777" w:rsidR="00000000" w:rsidRDefault="0015578C">
            <w:pPr>
              <w:jc w:val="right"/>
              <w:rPr>
                <w:rFonts w:eastAsia="Times New Roman"/>
                <w:sz w:val="20"/>
                <w:szCs w:val="20"/>
              </w:rPr>
            </w:pPr>
            <w:r>
              <w:rPr>
                <w:rFonts w:eastAsia="Times New Roman"/>
                <w:sz w:val="20"/>
                <w:szCs w:val="20"/>
              </w:rPr>
              <w:t>338</w:t>
            </w:r>
          </w:p>
        </w:tc>
        <w:tc>
          <w:tcPr>
            <w:tcW w:w="50" w:type="pct"/>
            <w:shd w:val="clear" w:color="auto" w:fill="CCEEFF"/>
            <w:noWrap/>
            <w:vAlign w:val="center"/>
            <w:hideMark/>
          </w:tcPr>
          <w:p w14:paraId="029C7E7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8AB2E7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A2218F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923CF9C" w14:textId="77777777" w:rsidR="00000000" w:rsidRDefault="0015578C">
            <w:pPr>
              <w:jc w:val="right"/>
              <w:rPr>
                <w:rFonts w:eastAsia="Times New Roman"/>
                <w:sz w:val="20"/>
                <w:szCs w:val="20"/>
              </w:rPr>
            </w:pPr>
            <w:r>
              <w:rPr>
                <w:rFonts w:eastAsia="Times New Roman"/>
                <w:sz w:val="20"/>
                <w:szCs w:val="20"/>
              </w:rPr>
              <w:t>124</w:t>
            </w:r>
          </w:p>
        </w:tc>
        <w:tc>
          <w:tcPr>
            <w:tcW w:w="50" w:type="pct"/>
            <w:shd w:val="clear" w:color="auto" w:fill="CCEEFF"/>
            <w:noWrap/>
            <w:vAlign w:val="center"/>
            <w:hideMark/>
          </w:tcPr>
          <w:p w14:paraId="2DE06964" w14:textId="77777777" w:rsidR="00000000" w:rsidRDefault="0015578C">
            <w:pPr>
              <w:pStyle w:val="a3"/>
              <w:spacing w:before="0" w:beforeAutospacing="0" w:after="0" w:afterAutospacing="0"/>
              <w:rPr>
                <w:sz w:val="20"/>
                <w:szCs w:val="20"/>
              </w:rPr>
            </w:pPr>
            <w:r>
              <w:rPr>
                <w:sz w:val="20"/>
                <w:szCs w:val="20"/>
              </w:rPr>
              <w:t> </w:t>
            </w:r>
          </w:p>
        </w:tc>
      </w:tr>
      <w:tr w:rsidR="00000000" w14:paraId="25AEF7D6" w14:textId="77777777">
        <w:trPr>
          <w:trHeight w:val="225"/>
          <w:tblCellSpacing w:w="15" w:type="dxa"/>
        </w:trPr>
        <w:tc>
          <w:tcPr>
            <w:tcW w:w="0" w:type="auto"/>
            <w:shd w:val="clear" w:color="auto" w:fill="FFFFFF"/>
            <w:hideMark/>
          </w:tcPr>
          <w:p w14:paraId="1E807FBF" w14:textId="77777777" w:rsidR="00000000" w:rsidRDefault="0015578C">
            <w:pPr>
              <w:pStyle w:val="a3"/>
              <w:spacing w:before="0" w:beforeAutospacing="0" w:after="0" w:afterAutospacing="0"/>
              <w:ind w:left="450"/>
              <w:rPr>
                <w:sz w:val="20"/>
                <w:szCs w:val="20"/>
              </w:rPr>
            </w:pPr>
            <w:r>
              <w:rPr>
                <w:sz w:val="20"/>
                <w:szCs w:val="20"/>
              </w:rPr>
              <w:t>Depreciation</w:t>
            </w:r>
          </w:p>
        </w:tc>
        <w:tc>
          <w:tcPr>
            <w:tcW w:w="50" w:type="pct"/>
            <w:shd w:val="clear" w:color="auto" w:fill="FFFFFF"/>
            <w:noWrap/>
            <w:vAlign w:val="center"/>
            <w:hideMark/>
          </w:tcPr>
          <w:p w14:paraId="42B17C0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DEF265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A9F2B6D" w14:textId="77777777" w:rsidR="00000000" w:rsidRDefault="0015578C">
            <w:pPr>
              <w:jc w:val="right"/>
              <w:rPr>
                <w:rFonts w:eastAsia="Times New Roman"/>
                <w:sz w:val="20"/>
                <w:szCs w:val="20"/>
              </w:rPr>
            </w:pPr>
            <w:r>
              <w:rPr>
                <w:rFonts w:eastAsia="Times New Roman"/>
                <w:sz w:val="20"/>
                <w:szCs w:val="20"/>
              </w:rPr>
              <w:t>29</w:t>
            </w:r>
          </w:p>
        </w:tc>
        <w:tc>
          <w:tcPr>
            <w:tcW w:w="50" w:type="pct"/>
            <w:shd w:val="clear" w:color="auto" w:fill="FFFFFF"/>
            <w:noWrap/>
            <w:vAlign w:val="center"/>
            <w:hideMark/>
          </w:tcPr>
          <w:p w14:paraId="5751E18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B466F6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82BCCE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361A77F" w14:textId="77777777" w:rsidR="00000000" w:rsidRDefault="0015578C">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14:paraId="74636F3A" w14:textId="77777777" w:rsidR="00000000" w:rsidRDefault="0015578C">
            <w:pPr>
              <w:pStyle w:val="a3"/>
              <w:spacing w:before="0" w:beforeAutospacing="0" w:after="0" w:afterAutospacing="0"/>
              <w:rPr>
                <w:sz w:val="20"/>
                <w:szCs w:val="20"/>
              </w:rPr>
            </w:pPr>
            <w:r>
              <w:rPr>
                <w:sz w:val="20"/>
                <w:szCs w:val="20"/>
              </w:rPr>
              <w:t> </w:t>
            </w:r>
          </w:p>
        </w:tc>
      </w:tr>
      <w:tr w:rsidR="00000000" w14:paraId="3E9A9301" w14:textId="77777777">
        <w:trPr>
          <w:trHeight w:val="225"/>
          <w:tblCellSpacing w:w="15" w:type="dxa"/>
        </w:trPr>
        <w:tc>
          <w:tcPr>
            <w:tcW w:w="0" w:type="auto"/>
            <w:shd w:val="clear" w:color="auto" w:fill="CCEEFF"/>
            <w:hideMark/>
          </w:tcPr>
          <w:p w14:paraId="446698A5" w14:textId="77777777" w:rsidR="00000000" w:rsidRDefault="0015578C">
            <w:pPr>
              <w:pStyle w:val="a3"/>
              <w:spacing w:before="0" w:beforeAutospacing="0" w:after="0" w:afterAutospacing="0"/>
              <w:ind w:left="450"/>
              <w:rPr>
                <w:sz w:val="20"/>
                <w:szCs w:val="20"/>
              </w:rPr>
            </w:pPr>
            <w:r>
              <w:rPr>
                <w:sz w:val="20"/>
                <w:szCs w:val="20"/>
              </w:rPr>
              <w:t>Amortization of right of use lease asset</w:t>
            </w:r>
          </w:p>
        </w:tc>
        <w:tc>
          <w:tcPr>
            <w:tcW w:w="50" w:type="pct"/>
            <w:shd w:val="clear" w:color="auto" w:fill="CCEEFF"/>
            <w:noWrap/>
            <w:vAlign w:val="center"/>
            <w:hideMark/>
          </w:tcPr>
          <w:p w14:paraId="2EFACBD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66B693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1AF9ECC" w14:textId="77777777" w:rsidR="00000000" w:rsidRDefault="0015578C">
            <w:pPr>
              <w:jc w:val="right"/>
              <w:rPr>
                <w:rFonts w:eastAsia="Times New Roman"/>
                <w:sz w:val="20"/>
                <w:szCs w:val="20"/>
              </w:rPr>
            </w:pPr>
            <w:r>
              <w:rPr>
                <w:rFonts w:eastAsia="Times New Roman"/>
                <w:sz w:val="20"/>
                <w:szCs w:val="20"/>
              </w:rPr>
              <w:t>40</w:t>
            </w:r>
          </w:p>
        </w:tc>
        <w:tc>
          <w:tcPr>
            <w:tcW w:w="50" w:type="pct"/>
            <w:shd w:val="clear" w:color="auto" w:fill="CCEEFF"/>
            <w:noWrap/>
            <w:vAlign w:val="center"/>
            <w:hideMark/>
          </w:tcPr>
          <w:p w14:paraId="096BC6B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6B2FC5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87C01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1E02EEE" w14:textId="77777777" w:rsidR="00000000" w:rsidRDefault="0015578C">
            <w:pPr>
              <w:jc w:val="right"/>
              <w:rPr>
                <w:rFonts w:eastAsia="Times New Roman"/>
                <w:sz w:val="20"/>
                <w:szCs w:val="20"/>
              </w:rPr>
            </w:pPr>
            <w:r>
              <w:rPr>
                <w:rFonts w:eastAsia="Times New Roman"/>
                <w:sz w:val="20"/>
                <w:szCs w:val="20"/>
              </w:rPr>
              <w:t>40</w:t>
            </w:r>
          </w:p>
        </w:tc>
        <w:tc>
          <w:tcPr>
            <w:tcW w:w="50" w:type="pct"/>
            <w:shd w:val="clear" w:color="auto" w:fill="CCEEFF"/>
            <w:noWrap/>
            <w:vAlign w:val="center"/>
            <w:hideMark/>
          </w:tcPr>
          <w:p w14:paraId="507549BC" w14:textId="77777777" w:rsidR="00000000" w:rsidRDefault="0015578C">
            <w:pPr>
              <w:pStyle w:val="a3"/>
              <w:spacing w:before="0" w:beforeAutospacing="0" w:after="0" w:afterAutospacing="0"/>
              <w:rPr>
                <w:sz w:val="20"/>
                <w:szCs w:val="20"/>
              </w:rPr>
            </w:pPr>
            <w:r>
              <w:rPr>
                <w:sz w:val="20"/>
                <w:szCs w:val="20"/>
              </w:rPr>
              <w:t> </w:t>
            </w:r>
          </w:p>
        </w:tc>
      </w:tr>
      <w:tr w:rsidR="00000000" w14:paraId="7BFB2F89" w14:textId="77777777">
        <w:trPr>
          <w:trHeight w:val="225"/>
          <w:tblCellSpacing w:w="15" w:type="dxa"/>
        </w:trPr>
        <w:tc>
          <w:tcPr>
            <w:tcW w:w="0" w:type="auto"/>
            <w:shd w:val="clear" w:color="auto" w:fill="FFFFFF"/>
            <w:hideMark/>
          </w:tcPr>
          <w:p w14:paraId="4B0661CF" w14:textId="77777777" w:rsidR="00000000" w:rsidRDefault="0015578C">
            <w:pPr>
              <w:pStyle w:val="a3"/>
              <w:spacing w:before="0" w:beforeAutospacing="0" w:after="0" w:afterAutospacing="0"/>
              <w:ind w:left="450"/>
              <w:rPr>
                <w:sz w:val="20"/>
                <w:szCs w:val="20"/>
              </w:rPr>
            </w:pPr>
            <w:r>
              <w:rPr>
                <w:sz w:val="20"/>
                <w:szCs w:val="20"/>
              </w:rPr>
              <w:t>Changes in operating assets and liabilities:</w:t>
            </w:r>
          </w:p>
        </w:tc>
        <w:tc>
          <w:tcPr>
            <w:tcW w:w="50" w:type="pct"/>
            <w:shd w:val="clear" w:color="auto" w:fill="FFFFFF"/>
            <w:noWrap/>
            <w:vAlign w:val="center"/>
            <w:hideMark/>
          </w:tcPr>
          <w:p w14:paraId="4EE310E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80B309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053510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757E99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2A8DE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37B515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CECCDF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3A5D578" w14:textId="77777777" w:rsidR="00000000" w:rsidRDefault="0015578C">
            <w:pPr>
              <w:pStyle w:val="a3"/>
              <w:spacing w:before="0" w:beforeAutospacing="0" w:after="0" w:afterAutospacing="0"/>
              <w:rPr>
                <w:sz w:val="20"/>
                <w:szCs w:val="20"/>
              </w:rPr>
            </w:pPr>
            <w:r>
              <w:rPr>
                <w:sz w:val="20"/>
                <w:szCs w:val="20"/>
              </w:rPr>
              <w:t> </w:t>
            </w:r>
          </w:p>
        </w:tc>
      </w:tr>
      <w:tr w:rsidR="00000000" w14:paraId="29DBE136" w14:textId="77777777">
        <w:trPr>
          <w:trHeight w:val="225"/>
          <w:tblCellSpacing w:w="15" w:type="dxa"/>
        </w:trPr>
        <w:tc>
          <w:tcPr>
            <w:tcW w:w="0" w:type="auto"/>
            <w:shd w:val="clear" w:color="auto" w:fill="CCEEFF"/>
            <w:hideMark/>
          </w:tcPr>
          <w:p w14:paraId="6E5B9DE4" w14:textId="77777777" w:rsidR="00000000" w:rsidRDefault="0015578C">
            <w:pPr>
              <w:pStyle w:val="a3"/>
              <w:spacing w:before="0" w:beforeAutospacing="0" w:after="0" w:afterAutospacing="0"/>
              <w:ind w:left="675"/>
              <w:rPr>
                <w:sz w:val="20"/>
                <w:szCs w:val="20"/>
              </w:rPr>
            </w:pPr>
            <w:r>
              <w:rPr>
                <w:sz w:val="20"/>
                <w:szCs w:val="20"/>
              </w:rPr>
              <w:t>Prepaid expenses and other current assets</w:t>
            </w:r>
          </w:p>
        </w:tc>
        <w:tc>
          <w:tcPr>
            <w:tcW w:w="50" w:type="pct"/>
            <w:shd w:val="clear" w:color="auto" w:fill="CCEEFF"/>
            <w:noWrap/>
            <w:vAlign w:val="center"/>
            <w:hideMark/>
          </w:tcPr>
          <w:p w14:paraId="4BC52F3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6B1F0E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374B606" w14:textId="77777777" w:rsidR="00000000" w:rsidRDefault="0015578C">
            <w:pPr>
              <w:jc w:val="right"/>
              <w:rPr>
                <w:rFonts w:eastAsia="Times New Roman"/>
                <w:sz w:val="20"/>
                <w:szCs w:val="20"/>
              </w:rPr>
            </w:pPr>
            <w:r>
              <w:rPr>
                <w:rFonts w:eastAsia="Times New Roman"/>
                <w:sz w:val="20"/>
                <w:szCs w:val="20"/>
              </w:rPr>
              <w:t>265</w:t>
            </w:r>
          </w:p>
        </w:tc>
        <w:tc>
          <w:tcPr>
            <w:tcW w:w="50" w:type="pct"/>
            <w:shd w:val="clear" w:color="auto" w:fill="CCEEFF"/>
            <w:noWrap/>
            <w:vAlign w:val="center"/>
            <w:hideMark/>
          </w:tcPr>
          <w:p w14:paraId="3F77DCA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45979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7A31DC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7B9D620" w14:textId="77777777" w:rsidR="00000000" w:rsidRDefault="0015578C">
            <w:pPr>
              <w:jc w:val="right"/>
              <w:rPr>
                <w:rFonts w:eastAsia="Times New Roman"/>
                <w:sz w:val="20"/>
                <w:szCs w:val="20"/>
              </w:rPr>
            </w:pPr>
            <w:r>
              <w:rPr>
                <w:rFonts w:eastAsia="Times New Roman"/>
                <w:sz w:val="20"/>
                <w:szCs w:val="20"/>
              </w:rPr>
              <w:t>(277</w:t>
            </w:r>
          </w:p>
        </w:tc>
        <w:tc>
          <w:tcPr>
            <w:tcW w:w="50" w:type="pct"/>
            <w:shd w:val="clear" w:color="auto" w:fill="CCEEFF"/>
            <w:noWrap/>
            <w:vAlign w:val="bottom"/>
            <w:hideMark/>
          </w:tcPr>
          <w:p w14:paraId="6F584F02" w14:textId="77777777" w:rsidR="00000000" w:rsidRDefault="0015578C">
            <w:pPr>
              <w:rPr>
                <w:rFonts w:eastAsia="Times New Roman"/>
                <w:sz w:val="20"/>
                <w:szCs w:val="20"/>
              </w:rPr>
            </w:pPr>
            <w:r>
              <w:rPr>
                <w:rFonts w:eastAsia="Times New Roman"/>
                <w:sz w:val="20"/>
                <w:szCs w:val="20"/>
              </w:rPr>
              <w:t>)</w:t>
            </w:r>
          </w:p>
        </w:tc>
      </w:tr>
      <w:tr w:rsidR="00000000" w14:paraId="555E44C7" w14:textId="77777777">
        <w:trPr>
          <w:trHeight w:val="225"/>
          <w:tblCellSpacing w:w="15" w:type="dxa"/>
        </w:trPr>
        <w:tc>
          <w:tcPr>
            <w:tcW w:w="0" w:type="auto"/>
            <w:shd w:val="clear" w:color="auto" w:fill="FFFFFF"/>
            <w:hideMark/>
          </w:tcPr>
          <w:p w14:paraId="735B943A" w14:textId="77777777" w:rsidR="00000000" w:rsidRDefault="0015578C">
            <w:pPr>
              <w:pStyle w:val="a3"/>
              <w:spacing w:before="0" w:beforeAutospacing="0" w:after="0" w:afterAutospacing="0"/>
              <w:ind w:left="675"/>
              <w:rPr>
                <w:sz w:val="20"/>
                <w:szCs w:val="20"/>
              </w:rPr>
            </w:pPr>
            <w:r>
              <w:rPr>
                <w:sz w:val="20"/>
                <w:szCs w:val="20"/>
              </w:rPr>
              <w:t>Accounts payable and other current liabilities</w:t>
            </w:r>
          </w:p>
        </w:tc>
        <w:tc>
          <w:tcPr>
            <w:tcW w:w="50" w:type="pct"/>
            <w:shd w:val="clear" w:color="auto" w:fill="FFFFFF"/>
            <w:noWrap/>
            <w:vAlign w:val="center"/>
            <w:hideMark/>
          </w:tcPr>
          <w:p w14:paraId="1B527D7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46A3220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7B5C64EA" w14:textId="77777777" w:rsidR="00000000" w:rsidRDefault="0015578C">
            <w:pPr>
              <w:jc w:val="right"/>
              <w:rPr>
                <w:rFonts w:eastAsia="Times New Roman"/>
                <w:sz w:val="20"/>
                <w:szCs w:val="20"/>
              </w:rPr>
            </w:pPr>
            <w:r>
              <w:rPr>
                <w:rFonts w:eastAsia="Times New Roman"/>
                <w:sz w:val="20"/>
                <w:szCs w:val="20"/>
              </w:rPr>
              <w:t>(51</w:t>
            </w:r>
          </w:p>
        </w:tc>
        <w:tc>
          <w:tcPr>
            <w:tcW w:w="50" w:type="pct"/>
            <w:shd w:val="clear" w:color="auto" w:fill="FFFFFF"/>
            <w:noWrap/>
            <w:tcMar>
              <w:top w:w="0" w:type="dxa"/>
              <w:left w:w="0" w:type="dxa"/>
              <w:bottom w:w="15" w:type="dxa"/>
              <w:right w:w="0" w:type="dxa"/>
            </w:tcMar>
            <w:vAlign w:val="bottom"/>
            <w:hideMark/>
          </w:tcPr>
          <w:p w14:paraId="22985C12"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A10EA2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5F34B7C"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1A396CE" w14:textId="77777777" w:rsidR="00000000" w:rsidRDefault="0015578C">
            <w:pPr>
              <w:jc w:val="right"/>
              <w:rPr>
                <w:rFonts w:eastAsia="Times New Roman"/>
                <w:sz w:val="20"/>
                <w:szCs w:val="20"/>
              </w:rPr>
            </w:pPr>
            <w:r>
              <w:rPr>
                <w:rFonts w:eastAsia="Times New Roman"/>
                <w:sz w:val="20"/>
                <w:szCs w:val="20"/>
              </w:rPr>
              <w:t>(17</w:t>
            </w:r>
          </w:p>
        </w:tc>
        <w:tc>
          <w:tcPr>
            <w:tcW w:w="50" w:type="pct"/>
            <w:shd w:val="clear" w:color="auto" w:fill="FFFFFF"/>
            <w:noWrap/>
            <w:tcMar>
              <w:top w:w="0" w:type="dxa"/>
              <w:left w:w="0" w:type="dxa"/>
              <w:bottom w:w="15" w:type="dxa"/>
              <w:right w:w="0" w:type="dxa"/>
            </w:tcMar>
            <w:vAlign w:val="bottom"/>
            <w:hideMark/>
          </w:tcPr>
          <w:p w14:paraId="5BDD56F8" w14:textId="77777777" w:rsidR="00000000" w:rsidRDefault="0015578C">
            <w:pPr>
              <w:rPr>
                <w:rFonts w:eastAsia="Times New Roman"/>
                <w:sz w:val="20"/>
                <w:szCs w:val="20"/>
              </w:rPr>
            </w:pPr>
            <w:r>
              <w:rPr>
                <w:rFonts w:eastAsia="Times New Roman"/>
                <w:sz w:val="20"/>
                <w:szCs w:val="20"/>
              </w:rPr>
              <w:t>)</w:t>
            </w:r>
          </w:p>
        </w:tc>
      </w:tr>
      <w:tr w:rsidR="00000000" w14:paraId="29696919" w14:textId="77777777">
        <w:trPr>
          <w:trHeight w:val="225"/>
          <w:tblCellSpacing w:w="15" w:type="dxa"/>
        </w:trPr>
        <w:tc>
          <w:tcPr>
            <w:tcW w:w="0" w:type="auto"/>
            <w:shd w:val="clear" w:color="auto" w:fill="CCEEFF"/>
            <w:hideMark/>
          </w:tcPr>
          <w:p w14:paraId="1C817A96" w14:textId="77777777" w:rsidR="00000000" w:rsidRDefault="0015578C">
            <w:pPr>
              <w:pStyle w:val="a3"/>
              <w:spacing w:before="0" w:beforeAutospacing="0" w:after="0" w:afterAutospacing="0"/>
              <w:ind w:left="450"/>
              <w:rPr>
                <w:sz w:val="20"/>
                <w:szCs w:val="20"/>
              </w:rPr>
            </w:pPr>
            <w:r>
              <w:rPr>
                <w:sz w:val="20"/>
                <w:szCs w:val="20"/>
              </w:rPr>
              <w:t>Net cash used in operating activities</w:t>
            </w:r>
          </w:p>
        </w:tc>
        <w:tc>
          <w:tcPr>
            <w:tcW w:w="50" w:type="pct"/>
            <w:shd w:val="clear" w:color="auto" w:fill="CCEEFF"/>
            <w:noWrap/>
            <w:vAlign w:val="center"/>
            <w:hideMark/>
          </w:tcPr>
          <w:p w14:paraId="2E487C5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2DD824FA"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80F43D7" w14:textId="77777777" w:rsidR="00000000" w:rsidRDefault="0015578C">
            <w:pPr>
              <w:jc w:val="right"/>
              <w:rPr>
                <w:rFonts w:eastAsia="Times New Roman"/>
                <w:sz w:val="20"/>
                <w:szCs w:val="20"/>
              </w:rPr>
            </w:pPr>
            <w:r>
              <w:rPr>
                <w:rFonts w:eastAsia="Times New Roman"/>
                <w:sz w:val="20"/>
                <w:szCs w:val="20"/>
              </w:rPr>
              <w:t>(2,900</w:t>
            </w:r>
          </w:p>
        </w:tc>
        <w:tc>
          <w:tcPr>
            <w:tcW w:w="50" w:type="pct"/>
            <w:shd w:val="clear" w:color="auto" w:fill="CCEEFF"/>
            <w:noWrap/>
            <w:tcMar>
              <w:top w:w="0" w:type="dxa"/>
              <w:left w:w="0" w:type="dxa"/>
              <w:bottom w:w="15" w:type="dxa"/>
              <w:right w:w="0" w:type="dxa"/>
            </w:tcMar>
            <w:vAlign w:val="bottom"/>
            <w:hideMark/>
          </w:tcPr>
          <w:p w14:paraId="5CAA71B6"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1D92E7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53D8021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20D5000D" w14:textId="77777777" w:rsidR="00000000" w:rsidRDefault="0015578C">
            <w:pPr>
              <w:jc w:val="right"/>
              <w:rPr>
                <w:rFonts w:eastAsia="Times New Roman"/>
                <w:sz w:val="20"/>
                <w:szCs w:val="20"/>
              </w:rPr>
            </w:pPr>
            <w:r>
              <w:rPr>
                <w:rFonts w:eastAsia="Times New Roman"/>
                <w:sz w:val="20"/>
                <w:szCs w:val="20"/>
              </w:rPr>
              <w:t>(2,157</w:t>
            </w:r>
          </w:p>
        </w:tc>
        <w:tc>
          <w:tcPr>
            <w:tcW w:w="50" w:type="pct"/>
            <w:shd w:val="clear" w:color="auto" w:fill="CCEEFF"/>
            <w:noWrap/>
            <w:tcMar>
              <w:top w:w="0" w:type="dxa"/>
              <w:left w:w="0" w:type="dxa"/>
              <w:bottom w:w="15" w:type="dxa"/>
              <w:right w:w="0" w:type="dxa"/>
            </w:tcMar>
            <w:vAlign w:val="bottom"/>
            <w:hideMark/>
          </w:tcPr>
          <w:p w14:paraId="266FC871" w14:textId="77777777" w:rsidR="00000000" w:rsidRDefault="0015578C">
            <w:pPr>
              <w:rPr>
                <w:rFonts w:eastAsia="Times New Roman"/>
                <w:sz w:val="20"/>
                <w:szCs w:val="20"/>
              </w:rPr>
            </w:pPr>
            <w:r>
              <w:rPr>
                <w:rFonts w:eastAsia="Times New Roman"/>
                <w:sz w:val="20"/>
                <w:szCs w:val="20"/>
              </w:rPr>
              <w:t>)</w:t>
            </w:r>
          </w:p>
        </w:tc>
      </w:tr>
      <w:tr w:rsidR="00000000" w14:paraId="058EDBB8" w14:textId="77777777">
        <w:trPr>
          <w:trHeight w:val="225"/>
          <w:tblCellSpacing w:w="15" w:type="dxa"/>
        </w:trPr>
        <w:tc>
          <w:tcPr>
            <w:tcW w:w="0" w:type="auto"/>
            <w:shd w:val="clear" w:color="auto" w:fill="FFFFFF"/>
            <w:vAlign w:val="center"/>
            <w:hideMark/>
          </w:tcPr>
          <w:p w14:paraId="4BF1B9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3777F4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A59FAF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18FDB67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84DB9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8DE3E7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10E8C1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621C8D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22C290" w14:textId="77777777" w:rsidR="00000000" w:rsidRDefault="0015578C">
            <w:pPr>
              <w:pStyle w:val="a3"/>
              <w:spacing w:before="0" w:beforeAutospacing="0" w:after="0" w:afterAutospacing="0"/>
              <w:rPr>
                <w:sz w:val="20"/>
                <w:szCs w:val="20"/>
              </w:rPr>
            </w:pPr>
            <w:r>
              <w:rPr>
                <w:sz w:val="20"/>
                <w:szCs w:val="20"/>
              </w:rPr>
              <w:t> </w:t>
            </w:r>
          </w:p>
        </w:tc>
      </w:tr>
      <w:tr w:rsidR="00000000" w14:paraId="1779D0D1" w14:textId="77777777">
        <w:trPr>
          <w:trHeight w:val="225"/>
          <w:tblCellSpacing w:w="15" w:type="dxa"/>
        </w:trPr>
        <w:tc>
          <w:tcPr>
            <w:tcW w:w="0" w:type="auto"/>
            <w:shd w:val="clear" w:color="auto" w:fill="CCEEFF"/>
            <w:hideMark/>
          </w:tcPr>
          <w:p w14:paraId="548FC74F" w14:textId="77777777" w:rsidR="00000000" w:rsidRDefault="0015578C">
            <w:pPr>
              <w:pStyle w:val="a3"/>
              <w:spacing w:before="0" w:beforeAutospacing="0" w:after="0" w:afterAutospacing="0"/>
              <w:rPr>
                <w:sz w:val="20"/>
                <w:szCs w:val="20"/>
              </w:rPr>
            </w:pPr>
            <w:r>
              <w:rPr>
                <w:rStyle w:val="a4"/>
                <w:sz w:val="20"/>
                <w:szCs w:val="20"/>
              </w:rPr>
              <w:t>Investing activities:</w:t>
            </w:r>
          </w:p>
        </w:tc>
        <w:tc>
          <w:tcPr>
            <w:tcW w:w="50" w:type="pct"/>
            <w:shd w:val="clear" w:color="auto" w:fill="CCEEFF"/>
            <w:noWrap/>
            <w:vAlign w:val="center"/>
            <w:hideMark/>
          </w:tcPr>
          <w:p w14:paraId="2ADDF4A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FFF3AB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1D7BE04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45822A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435CA6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EA3206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231DAA8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42340CD" w14:textId="77777777" w:rsidR="00000000" w:rsidRDefault="0015578C">
            <w:pPr>
              <w:pStyle w:val="a3"/>
              <w:spacing w:before="0" w:beforeAutospacing="0" w:after="0" w:afterAutospacing="0"/>
              <w:rPr>
                <w:sz w:val="20"/>
                <w:szCs w:val="20"/>
              </w:rPr>
            </w:pPr>
            <w:r>
              <w:rPr>
                <w:sz w:val="20"/>
                <w:szCs w:val="20"/>
              </w:rPr>
              <w:t> </w:t>
            </w:r>
          </w:p>
        </w:tc>
      </w:tr>
      <w:tr w:rsidR="00000000" w14:paraId="1FBC6966" w14:textId="77777777">
        <w:trPr>
          <w:trHeight w:val="225"/>
          <w:tblCellSpacing w:w="15" w:type="dxa"/>
        </w:trPr>
        <w:tc>
          <w:tcPr>
            <w:tcW w:w="0" w:type="auto"/>
            <w:shd w:val="clear" w:color="auto" w:fill="FFFFFF"/>
            <w:hideMark/>
          </w:tcPr>
          <w:p w14:paraId="374C9B52" w14:textId="77777777" w:rsidR="00000000" w:rsidRDefault="0015578C">
            <w:pPr>
              <w:pStyle w:val="a3"/>
              <w:spacing w:before="0" w:beforeAutospacing="0" w:after="0" w:afterAutospacing="0"/>
              <w:ind w:left="225"/>
              <w:rPr>
                <w:sz w:val="20"/>
                <w:szCs w:val="20"/>
              </w:rPr>
            </w:pPr>
            <w:r>
              <w:rPr>
                <w:sz w:val="20"/>
                <w:szCs w:val="20"/>
              </w:rPr>
              <w:t>Sale of short-term investments – net</w:t>
            </w:r>
          </w:p>
        </w:tc>
        <w:tc>
          <w:tcPr>
            <w:tcW w:w="50" w:type="pct"/>
            <w:shd w:val="clear" w:color="auto" w:fill="FFFFFF"/>
            <w:noWrap/>
            <w:vAlign w:val="center"/>
            <w:hideMark/>
          </w:tcPr>
          <w:p w14:paraId="10EF77E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DD6931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BD65EA2" w14:textId="77777777" w:rsidR="00000000" w:rsidRDefault="0015578C">
            <w:pPr>
              <w:jc w:val="right"/>
              <w:rPr>
                <w:rFonts w:eastAsia="Times New Roman"/>
                <w:sz w:val="20"/>
                <w:szCs w:val="20"/>
              </w:rPr>
            </w:pPr>
            <w:r>
              <w:rPr>
                <w:rFonts w:eastAsia="Times New Roman"/>
                <w:sz w:val="20"/>
                <w:szCs w:val="20"/>
              </w:rPr>
              <w:t>1,028</w:t>
            </w:r>
          </w:p>
        </w:tc>
        <w:tc>
          <w:tcPr>
            <w:tcW w:w="50" w:type="pct"/>
            <w:shd w:val="clear" w:color="auto" w:fill="FFFFFF"/>
            <w:noWrap/>
            <w:vAlign w:val="center"/>
            <w:hideMark/>
          </w:tcPr>
          <w:p w14:paraId="29F92EF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78A8EF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9B9B8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1A994C7" w14:textId="77777777" w:rsidR="00000000" w:rsidRDefault="0015578C">
            <w:pPr>
              <w:jc w:val="right"/>
              <w:rPr>
                <w:rFonts w:eastAsia="Times New Roman"/>
                <w:sz w:val="20"/>
                <w:szCs w:val="20"/>
              </w:rPr>
            </w:pPr>
            <w:r>
              <w:rPr>
                <w:rFonts w:eastAsia="Times New Roman"/>
                <w:sz w:val="20"/>
                <w:szCs w:val="20"/>
              </w:rPr>
              <w:t>609</w:t>
            </w:r>
          </w:p>
        </w:tc>
        <w:tc>
          <w:tcPr>
            <w:tcW w:w="50" w:type="pct"/>
            <w:shd w:val="clear" w:color="auto" w:fill="FFFFFF"/>
            <w:noWrap/>
            <w:vAlign w:val="center"/>
            <w:hideMark/>
          </w:tcPr>
          <w:p w14:paraId="41BD8C4E" w14:textId="77777777" w:rsidR="00000000" w:rsidRDefault="0015578C">
            <w:pPr>
              <w:pStyle w:val="a3"/>
              <w:spacing w:before="0" w:beforeAutospacing="0" w:after="0" w:afterAutospacing="0"/>
              <w:rPr>
                <w:sz w:val="20"/>
                <w:szCs w:val="20"/>
              </w:rPr>
            </w:pPr>
            <w:r>
              <w:rPr>
                <w:sz w:val="20"/>
                <w:szCs w:val="20"/>
              </w:rPr>
              <w:t> </w:t>
            </w:r>
          </w:p>
        </w:tc>
      </w:tr>
      <w:tr w:rsidR="00000000" w14:paraId="1C52B4CB" w14:textId="77777777">
        <w:trPr>
          <w:trHeight w:val="225"/>
          <w:tblCellSpacing w:w="15" w:type="dxa"/>
        </w:trPr>
        <w:tc>
          <w:tcPr>
            <w:tcW w:w="0" w:type="auto"/>
            <w:shd w:val="clear" w:color="auto" w:fill="CCEEFF"/>
            <w:hideMark/>
          </w:tcPr>
          <w:p w14:paraId="1A243876" w14:textId="77777777" w:rsidR="00000000" w:rsidRDefault="0015578C">
            <w:pPr>
              <w:pStyle w:val="a3"/>
              <w:spacing w:before="0" w:beforeAutospacing="0" w:after="0" w:afterAutospacing="0"/>
              <w:ind w:left="225"/>
              <w:rPr>
                <w:sz w:val="20"/>
                <w:szCs w:val="20"/>
              </w:rPr>
            </w:pPr>
            <w:r>
              <w:rPr>
                <w:sz w:val="20"/>
                <w:szCs w:val="20"/>
              </w:rPr>
              <w:t>Additions to mineral property</w:t>
            </w:r>
          </w:p>
        </w:tc>
        <w:tc>
          <w:tcPr>
            <w:tcW w:w="50" w:type="pct"/>
            <w:shd w:val="clear" w:color="auto" w:fill="CCEEFF"/>
            <w:noWrap/>
            <w:vAlign w:val="center"/>
            <w:hideMark/>
          </w:tcPr>
          <w:p w14:paraId="7A96C88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596DB3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7640162" w14:textId="77777777" w:rsidR="00000000" w:rsidRDefault="0015578C">
            <w:pPr>
              <w:jc w:val="right"/>
              <w:rPr>
                <w:rFonts w:eastAsia="Times New Roman"/>
                <w:sz w:val="20"/>
                <w:szCs w:val="20"/>
              </w:rPr>
            </w:pPr>
            <w:r>
              <w:rPr>
                <w:rFonts w:eastAsia="Times New Roman"/>
                <w:sz w:val="20"/>
                <w:szCs w:val="20"/>
              </w:rPr>
              <w:t>(340</w:t>
            </w:r>
          </w:p>
        </w:tc>
        <w:tc>
          <w:tcPr>
            <w:tcW w:w="50" w:type="pct"/>
            <w:shd w:val="clear" w:color="auto" w:fill="CCEEFF"/>
            <w:noWrap/>
            <w:vAlign w:val="bottom"/>
            <w:hideMark/>
          </w:tcPr>
          <w:p w14:paraId="2295B584"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6461432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25ACDF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09D6F66" w14:textId="77777777" w:rsidR="00000000" w:rsidRDefault="0015578C">
            <w:pPr>
              <w:jc w:val="right"/>
              <w:rPr>
                <w:rFonts w:eastAsia="Times New Roman"/>
                <w:sz w:val="20"/>
                <w:szCs w:val="20"/>
              </w:rPr>
            </w:pPr>
            <w:r>
              <w:rPr>
                <w:rFonts w:eastAsia="Times New Roman"/>
                <w:sz w:val="20"/>
                <w:szCs w:val="20"/>
              </w:rPr>
              <w:t>(635</w:t>
            </w:r>
          </w:p>
        </w:tc>
        <w:tc>
          <w:tcPr>
            <w:tcW w:w="50" w:type="pct"/>
            <w:shd w:val="clear" w:color="auto" w:fill="CCEEFF"/>
            <w:noWrap/>
            <w:vAlign w:val="bottom"/>
            <w:hideMark/>
          </w:tcPr>
          <w:p w14:paraId="62C78C00" w14:textId="77777777" w:rsidR="00000000" w:rsidRDefault="0015578C">
            <w:pPr>
              <w:rPr>
                <w:rFonts w:eastAsia="Times New Roman"/>
                <w:sz w:val="20"/>
                <w:szCs w:val="20"/>
              </w:rPr>
            </w:pPr>
            <w:r>
              <w:rPr>
                <w:rFonts w:eastAsia="Times New Roman"/>
                <w:sz w:val="20"/>
                <w:szCs w:val="20"/>
              </w:rPr>
              <w:t>)</w:t>
            </w:r>
          </w:p>
        </w:tc>
      </w:tr>
      <w:tr w:rsidR="00000000" w14:paraId="047225DB" w14:textId="77777777">
        <w:trPr>
          <w:trHeight w:val="225"/>
          <w:tblCellSpacing w:w="15" w:type="dxa"/>
        </w:trPr>
        <w:tc>
          <w:tcPr>
            <w:tcW w:w="0" w:type="auto"/>
            <w:shd w:val="clear" w:color="auto" w:fill="FFFFFF"/>
            <w:hideMark/>
          </w:tcPr>
          <w:p w14:paraId="2BEE8C97" w14:textId="77777777" w:rsidR="00000000" w:rsidRDefault="0015578C">
            <w:pPr>
              <w:pStyle w:val="a3"/>
              <w:spacing w:before="0" w:beforeAutospacing="0" w:after="0" w:afterAutospacing="0"/>
              <w:ind w:left="225"/>
              <w:rPr>
                <w:sz w:val="20"/>
                <w:szCs w:val="20"/>
              </w:rPr>
            </w:pPr>
            <w:r>
              <w:rPr>
                <w:sz w:val="20"/>
                <w:szCs w:val="20"/>
              </w:rPr>
              <w:t>Sale of marketable equity securities</w:t>
            </w:r>
          </w:p>
        </w:tc>
        <w:tc>
          <w:tcPr>
            <w:tcW w:w="50" w:type="pct"/>
            <w:shd w:val="clear" w:color="auto" w:fill="FFFFFF"/>
            <w:noWrap/>
            <w:vAlign w:val="center"/>
            <w:hideMark/>
          </w:tcPr>
          <w:p w14:paraId="7994433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7E35DF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8987D35" w14:textId="77777777" w:rsidR="00000000" w:rsidRDefault="0015578C">
            <w:pPr>
              <w:jc w:val="right"/>
              <w:rPr>
                <w:rFonts w:eastAsia="Times New Roman"/>
                <w:sz w:val="20"/>
                <w:szCs w:val="20"/>
              </w:rPr>
            </w:pPr>
            <w:r>
              <w:rPr>
                <w:rFonts w:eastAsia="Times New Roman"/>
                <w:sz w:val="20"/>
                <w:szCs w:val="20"/>
              </w:rPr>
              <w:t>63</w:t>
            </w:r>
          </w:p>
        </w:tc>
        <w:tc>
          <w:tcPr>
            <w:tcW w:w="50" w:type="pct"/>
            <w:shd w:val="clear" w:color="auto" w:fill="FFFFFF"/>
            <w:noWrap/>
            <w:vAlign w:val="center"/>
            <w:hideMark/>
          </w:tcPr>
          <w:p w14:paraId="0D08481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1C2CC0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9195C4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CF579FD" w14:textId="77777777" w:rsidR="00000000" w:rsidRDefault="0015578C">
            <w:pPr>
              <w:jc w:val="right"/>
              <w:rPr>
                <w:rFonts w:eastAsia="Times New Roman"/>
                <w:sz w:val="20"/>
                <w:szCs w:val="20"/>
              </w:rPr>
            </w:pPr>
            <w:r>
              <w:rPr>
                <w:rFonts w:eastAsia="Times New Roman"/>
                <w:sz w:val="20"/>
                <w:szCs w:val="20"/>
              </w:rPr>
              <w:t>147</w:t>
            </w:r>
          </w:p>
        </w:tc>
        <w:tc>
          <w:tcPr>
            <w:tcW w:w="50" w:type="pct"/>
            <w:shd w:val="clear" w:color="auto" w:fill="FFFFFF"/>
            <w:noWrap/>
            <w:vAlign w:val="center"/>
            <w:hideMark/>
          </w:tcPr>
          <w:p w14:paraId="5055BE4B" w14:textId="77777777" w:rsidR="00000000" w:rsidRDefault="0015578C">
            <w:pPr>
              <w:pStyle w:val="a3"/>
              <w:spacing w:before="0" w:beforeAutospacing="0" w:after="0" w:afterAutospacing="0"/>
              <w:rPr>
                <w:sz w:val="20"/>
                <w:szCs w:val="20"/>
              </w:rPr>
            </w:pPr>
            <w:r>
              <w:rPr>
                <w:sz w:val="20"/>
                <w:szCs w:val="20"/>
              </w:rPr>
              <w:t> </w:t>
            </w:r>
          </w:p>
        </w:tc>
      </w:tr>
      <w:tr w:rsidR="00000000" w14:paraId="71359FF2" w14:textId="77777777">
        <w:trPr>
          <w:trHeight w:val="225"/>
          <w:tblCellSpacing w:w="15" w:type="dxa"/>
        </w:trPr>
        <w:tc>
          <w:tcPr>
            <w:tcW w:w="0" w:type="auto"/>
            <w:shd w:val="clear" w:color="auto" w:fill="CCEEFF"/>
            <w:hideMark/>
          </w:tcPr>
          <w:p w14:paraId="2A22F789" w14:textId="77777777" w:rsidR="00000000" w:rsidRDefault="0015578C">
            <w:pPr>
              <w:pStyle w:val="a3"/>
              <w:spacing w:before="0" w:beforeAutospacing="0" w:after="0" w:afterAutospacing="0"/>
              <w:ind w:left="225"/>
              <w:rPr>
                <w:sz w:val="20"/>
                <w:szCs w:val="20"/>
              </w:rPr>
            </w:pPr>
            <w:r>
              <w:rPr>
                <w:sz w:val="20"/>
                <w:szCs w:val="20"/>
              </w:rPr>
              <w:t>Sale of derivative instruments – net</w:t>
            </w:r>
          </w:p>
        </w:tc>
        <w:tc>
          <w:tcPr>
            <w:tcW w:w="50" w:type="pct"/>
            <w:shd w:val="clear" w:color="auto" w:fill="CCEEFF"/>
            <w:noWrap/>
            <w:vAlign w:val="center"/>
            <w:hideMark/>
          </w:tcPr>
          <w:p w14:paraId="1A7F065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623A4C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07455D4"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A0D9E6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783918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73421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9BB0F7F" w14:textId="77777777" w:rsidR="00000000" w:rsidRDefault="0015578C">
            <w:pPr>
              <w:jc w:val="right"/>
              <w:rPr>
                <w:rFonts w:eastAsia="Times New Roman"/>
                <w:sz w:val="20"/>
                <w:szCs w:val="20"/>
              </w:rPr>
            </w:pPr>
            <w:r>
              <w:rPr>
                <w:rFonts w:eastAsia="Times New Roman"/>
                <w:sz w:val="20"/>
                <w:szCs w:val="20"/>
              </w:rPr>
              <w:t>8</w:t>
            </w:r>
          </w:p>
        </w:tc>
        <w:tc>
          <w:tcPr>
            <w:tcW w:w="50" w:type="pct"/>
            <w:shd w:val="clear" w:color="auto" w:fill="CCEEFF"/>
            <w:noWrap/>
            <w:vAlign w:val="center"/>
            <w:hideMark/>
          </w:tcPr>
          <w:p w14:paraId="784E5C3E" w14:textId="77777777" w:rsidR="00000000" w:rsidRDefault="0015578C">
            <w:pPr>
              <w:pStyle w:val="a3"/>
              <w:spacing w:before="0" w:beforeAutospacing="0" w:after="0" w:afterAutospacing="0"/>
              <w:rPr>
                <w:sz w:val="20"/>
                <w:szCs w:val="20"/>
              </w:rPr>
            </w:pPr>
            <w:r>
              <w:rPr>
                <w:sz w:val="20"/>
                <w:szCs w:val="20"/>
              </w:rPr>
              <w:t> </w:t>
            </w:r>
          </w:p>
        </w:tc>
      </w:tr>
      <w:tr w:rsidR="00000000" w14:paraId="6BCFAB66" w14:textId="77777777">
        <w:trPr>
          <w:trHeight w:val="225"/>
          <w:tblCellSpacing w:w="15" w:type="dxa"/>
        </w:trPr>
        <w:tc>
          <w:tcPr>
            <w:tcW w:w="0" w:type="auto"/>
            <w:shd w:val="clear" w:color="auto" w:fill="FFFFFF"/>
            <w:hideMark/>
          </w:tcPr>
          <w:p w14:paraId="3145F6A2" w14:textId="77777777" w:rsidR="00000000" w:rsidRDefault="0015578C">
            <w:pPr>
              <w:pStyle w:val="a3"/>
              <w:spacing w:before="0" w:beforeAutospacing="0" w:after="0" w:afterAutospacing="0"/>
              <w:ind w:left="225"/>
              <w:rPr>
                <w:sz w:val="20"/>
                <w:szCs w:val="20"/>
              </w:rPr>
            </w:pPr>
            <w:r>
              <w:rPr>
                <w:sz w:val="20"/>
                <w:szCs w:val="20"/>
              </w:rPr>
              <w:t>Additions to other assets</w:t>
            </w:r>
          </w:p>
        </w:tc>
        <w:tc>
          <w:tcPr>
            <w:tcW w:w="50" w:type="pct"/>
            <w:shd w:val="clear" w:color="auto" w:fill="FFFFFF"/>
            <w:noWrap/>
            <w:vAlign w:val="center"/>
            <w:hideMark/>
          </w:tcPr>
          <w:p w14:paraId="64137818"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9F3295A"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0864C77" w14:textId="77777777" w:rsidR="00000000" w:rsidRDefault="0015578C">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bottom"/>
            <w:hideMark/>
          </w:tcPr>
          <w:p w14:paraId="1B306B37"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B8DEBBB"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7E993B1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77D29F0" w14:textId="77777777" w:rsidR="00000000" w:rsidRDefault="0015578C">
            <w:pPr>
              <w:jc w:val="right"/>
              <w:rPr>
                <w:rFonts w:eastAsia="Times New Roman"/>
                <w:sz w:val="20"/>
                <w:szCs w:val="20"/>
              </w:rPr>
            </w:pPr>
            <w:r>
              <w:rPr>
                <w:rFonts w:eastAsia="Times New Roman"/>
                <w:sz w:val="20"/>
                <w:szCs w:val="20"/>
              </w:rPr>
              <w:t>(39</w:t>
            </w:r>
          </w:p>
        </w:tc>
        <w:tc>
          <w:tcPr>
            <w:tcW w:w="50" w:type="pct"/>
            <w:shd w:val="clear" w:color="auto" w:fill="FFFFFF"/>
            <w:noWrap/>
            <w:tcMar>
              <w:top w:w="0" w:type="dxa"/>
              <w:left w:w="0" w:type="dxa"/>
              <w:bottom w:w="15" w:type="dxa"/>
              <w:right w:w="0" w:type="dxa"/>
            </w:tcMar>
            <w:vAlign w:val="bottom"/>
            <w:hideMark/>
          </w:tcPr>
          <w:p w14:paraId="77BEBFC4" w14:textId="77777777" w:rsidR="00000000" w:rsidRDefault="0015578C">
            <w:pPr>
              <w:rPr>
                <w:rFonts w:eastAsia="Times New Roman"/>
                <w:sz w:val="20"/>
                <w:szCs w:val="20"/>
              </w:rPr>
            </w:pPr>
            <w:r>
              <w:rPr>
                <w:rFonts w:eastAsia="Times New Roman"/>
                <w:sz w:val="20"/>
                <w:szCs w:val="20"/>
              </w:rPr>
              <w:t>)</w:t>
            </w:r>
          </w:p>
        </w:tc>
      </w:tr>
      <w:tr w:rsidR="00000000" w14:paraId="293DF86D" w14:textId="77777777">
        <w:trPr>
          <w:trHeight w:val="225"/>
          <w:tblCellSpacing w:w="15" w:type="dxa"/>
        </w:trPr>
        <w:tc>
          <w:tcPr>
            <w:tcW w:w="0" w:type="auto"/>
            <w:shd w:val="clear" w:color="auto" w:fill="CCEEFF"/>
            <w:hideMark/>
          </w:tcPr>
          <w:p w14:paraId="18EF6929" w14:textId="77777777" w:rsidR="00000000" w:rsidRDefault="0015578C">
            <w:pPr>
              <w:pStyle w:val="a3"/>
              <w:spacing w:before="0" w:beforeAutospacing="0" w:after="0" w:afterAutospacing="0"/>
              <w:ind w:left="450"/>
              <w:rPr>
                <w:sz w:val="20"/>
                <w:szCs w:val="20"/>
              </w:rPr>
            </w:pPr>
            <w:r>
              <w:rPr>
                <w:sz w:val="20"/>
                <w:szCs w:val="20"/>
              </w:rPr>
              <w:t>Net cash provided by investing activities</w:t>
            </w:r>
          </w:p>
        </w:tc>
        <w:tc>
          <w:tcPr>
            <w:tcW w:w="50" w:type="pct"/>
            <w:shd w:val="clear" w:color="auto" w:fill="CCEEFF"/>
            <w:noWrap/>
            <w:vAlign w:val="center"/>
            <w:hideMark/>
          </w:tcPr>
          <w:p w14:paraId="33A1FC2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6853F94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788E0136" w14:textId="77777777" w:rsidR="00000000" w:rsidRDefault="0015578C">
            <w:pPr>
              <w:jc w:val="right"/>
              <w:rPr>
                <w:rFonts w:eastAsia="Times New Roman"/>
                <w:sz w:val="20"/>
                <w:szCs w:val="20"/>
              </w:rPr>
            </w:pPr>
            <w:r>
              <w:rPr>
                <w:rFonts w:eastAsia="Times New Roman"/>
                <w:sz w:val="20"/>
                <w:szCs w:val="20"/>
              </w:rPr>
              <w:t>701</w:t>
            </w:r>
          </w:p>
        </w:tc>
        <w:tc>
          <w:tcPr>
            <w:tcW w:w="50" w:type="pct"/>
            <w:shd w:val="clear" w:color="auto" w:fill="CCEEFF"/>
            <w:noWrap/>
            <w:tcMar>
              <w:top w:w="0" w:type="dxa"/>
              <w:left w:w="0" w:type="dxa"/>
              <w:bottom w:w="15" w:type="dxa"/>
              <w:right w:w="0" w:type="dxa"/>
            </w:tcMar>
            <w:vAlign w:val="center"/>
            <w:hideMark/>
          </w:tcPr>
          <w:p w14:paraId="7AD1633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D7EC5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6F931B86"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7993D3EB" w14:textId="77777777" w:rsidR="00000000" w:rsidRDefault="0015578C">
            <w:pPr>
              <w:jc w:val="right"/>
              <w:rPr>
                <w:rFonts w:eastAsia="Times New Roman"/>
                <w:sz w:val="20"/>
                <w:szCs w:val="20"/>
              </w:rPr>
            </w:pPr>
            <w:r>
              <w:rPr>
                <w:rFonts w:eastAsia="Times New Roman"/>
                <w:sz w:val="20"/>
                <w:szCs w:val="20"/>
              </w:rPr>
              <w:t>90</w:t>
            </w:r>
          </w:p>
        </w:tc>
        <w:tc>
          <w:tcPr>
            <w:tcW w:w="50" w:type="pct"/>
            <w:shd w:val="clear" w:color="auto" w:fill="CCEEFF"/>
            <w:noWrap/>
            <w:tcMar>
              <w:top w:w="0" w:type="dxa"/>
              <w:left w:w="0" w:type="dxa"/>
              <w:bottom w:w="15" w:type="dxa"/>
              <w:right w:w="0" w:type="dxa"/>
            </w:tcMar>
            <w:vAlign w:val="center"/>
            <w:hideMark/>
          </w:tcPr>
          <w:p w14:paraId="3735E278" w14:textId="77777777" w:rsidR="00000000" w:rsidRDefault="0015578C">
            <w:pPr>
              <w:pStyle w:val="a3"/>
              <w:spacing w:before="0" w:beforeAutospacing="0" w:after="0" w:afterAutospacing="0"/>
              <w:rPr>
                <w:sz w:val="20"/>
                <w:szCs w:val="20"/>
              </w:rPr>
            </w:pPr>
            <w:r>
              <w:rPr>
                <w:sz w:val="20"/>
                <w:szCs w:val="20"/>
              </w:rPr>
              <w:t> </w:t>
            </w:r>
          </w:p>
        </w:tc>
      </w:tr>
      <w:tr w:rsidR="00000000" w14:paraId="744A9519" w14:textId="77777777">
        <w:trPr>
          <w:trHeight w:val="225"/>
          <w:tblCellSpacing w:w="15" w:type="dxa"/>
        </w:trPr>
        <w:tc>
          <w:tcPr>
            <w:tcW w:w="0" w:type="auto"/>
            <w:shd w:val="clear" w:color="auto" w:fill="FFFFFF"/>
            <w:vAlign w:val="center"/>
            <w:hideMark/>
          </w:tcPr>
          <w:p w14:paraId="4970377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10D20E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FB4391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5FFF659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3E97F8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FCEACA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6C1214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3A26B8F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A92FEEC" w14:textId="77777777" w:rsidR="00000000" w:rsidRDefault="0015578C">
            <w:pPr>
              <w:pStyle w:val="a3"/>
              <w:spacing w:before="0" w:beforeAutospacing="0" w:after="0" w:afterAutospacing="0"/>
              <w:rPr>
                <w:sz w:val="20"/>
                <w:szCs w:val="20"/>
              </w:rPr>
            </w:pPr>
            <w:r>
              <w:rPr>
                <w:sz w:val="20"/>
                <w:szCs w:val="20"/>
              </w:rPr>
              <w:t> </w:t>
            </w:r>
          </w:p>
        </w:tc>
      </w:tr>
      <w:tr w:rsidR="00000000" w14:paraId="0003A06A" w14:textId="77777777">
        <w:trPr>
          <w:trHeight w:val="225"/>
          <w:tblCellSpacing w:w="15" w:type="dxa"/>
        </w:trPr>
        <w:tc>
          <w:tcPr>
            <w:tcW w:w="0" w:type="auto"/>
            <w:shd w:val="clear" w:color="auto" w:fill="CCEEFF"/>
            <w:hideMark/>
          </w:tcPr>
          <w:p w14:paraId="6C46D98A" w14:textId="77777777" w:rsidR="00000000" w:rsidRDefault="0015578C">
            <w:pPr>
              <w:pStyle w:val="a3"/>
              <w:spacing w:before="0" w:beforeAutospacing="0" w:after="0" w:afterAutospacing="0"/>
              <w:rPr>
                <w:sz w:val="20"/>
                <w:szCs w:val="20"/>
              </w:rPr>
            </w:pPr>
            <w:r>
              <w:rPr>
                <w:rStyle w:val="a4"/>
                <w:sz w:val="20"/>
                <w:szCs w:val="20"/>
              </w:rPr>
              <w:t>Financing activities:</w:t>
            </w:r>
          </w:p>
        </w:tc>
        <w:tc>
          <w:tcPr>
            <w:tcW w:w="50" w:type="pct"/>
            <w:shd w:val="clear" w:color="auto" w:fill="CCEEFF"/>
            <w:noWrap/>
            <w:vAlign w:val="center"/>
            <w:hideMark/>
          </w:tcPr>
          <w:p w14:paraId="75146DE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BC930F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6068BC9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D18AC0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8D407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3EF1BF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571029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21E5084" w14:textId="77777777" w:rsidR="00000000" w:rsidRDefault="0015578C">
            <w:pPr>
              <w:pStyle w:val="a3"/>
              <w:spacing w:before="0" w:beforeAutospacing="0" w:after="0" w:afterAutospacing="0"/>
              <w:rPr>
                <w:sz w:val="20"/>
                <w:szCs w:val="20"/>
              </w:rPr>
            </w:pPr>
            <w:r>
              <w:rPr>
                <w:sz w:val="20"/>
                <w:szCs w:val="20"/>
              </w:rPr>
              <w:t> </w:t>
            </w:r>
          </w:p>
        </w:tc>
      </w:tr>
      <w:tr w:rsidR="00000000" w14:paraId="1D40BF11" w14:textId="77777777">
        <w:trPr>
          <w:trHeight w:val="225"/>
          <w:tblCellSpacing w:w="15" w:type="dxa"/>
        </w:trPr>
        <w:tc>
          <w:tcPr>
            <w:tcW w:w="0" w:type="auto"/>
            <w:shd w:val="clear" w:color="auto" w:fill="FFFFFF"/>
            <w:hideMark/>
          </w:tcPr>
          <w:p w14:paraId="262DA86C" w14:textId="77777777" w:rsidR="00000000" w:rsidRDefault="0015578C">
            <w:pPr>
              <w:pStyle w:val="a3"/>
              <w:spacing w:before="0" w:beforeAutospacing="0" w:after="0" w:afterAutospacing="0"/>
              <w:ind w:left="225"/>
              <w:rPr>
                <w:sz w:val="20"/>
                <w:szCs w:val="20"/>
              </w:rPr>
            </w:pPr>
            <w:r>
              <w:rPr>
                <w:sz w:val="20"/>
                <w:szCs w:val="20"/>
              </w:rPr>
              <w:t>Issuance of common stock – net of issuance costs</w:t>
            </w:r>
          </w:p>
        </w:tc>
        <w:tc>
          <w:tcPr>
            <w:tcW w:w="50" w:type="pct"/>
            <w:shd w:val="clear" w:color="auto" w:fill="FFFFFF"/>
            <w:noWrap/>
            <w:vAlign w:val="center"/>
            <w:hideMark/>
          </w:tcPr>
          <w:p w14:paraId="40A30DA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A4EAB5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7104CFF" w14:textId="77777777" w:rsidR="00000000" w:rsidRDefault="0015578C">
            <w:pPr>
              <w:jc w:val="right"/>
              <w:rPr>
                <w:rFonts w:eastAsia="Times New Roman"/>
                <w:sz w:val="20"/>
                <w:szCs w:val="20"/>
              </w:rPr>
            </w:pPr>
            <w:r>
              <w:rPr>
                <w:rFonts w:eastAsia="Times New Roman"/>
                <w:sz w:val="20"/>
                <w:szCs w:val="20"/>
              </w:rPr>
              <w:t>2,023</w:t>
            </w:r>
          </w:p>
        </w:tc>
        <w:tc>
          <w:tcPr>
            <w:tcW w:w="50" w:type="pct"/>
            <w:shd w:val="clear" w:color="auto" w:fill="FFFFFF"/>
            <w:noWrap/>
            <w:vAlign w:val="center"/>
            <w:hideMark/>
          </w:tcPr>
          <w:p w14:paraId="5766C06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F0339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8F8119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FC73FEC" w14:textId="77777777" w:rsidR="00000000" w:rsidRDefault="0015578C">
            <w:pPr>
              <w:jc w:val="right"/>
              <w:rPr>
                <w:rFonts w:eastAsia="Times New Roman"/>
                <w:sz w:val="20"/>
                <w:szCs w:val="20"/>
              </w:rPr>
            </w:pPr>
            <w:r>
              <w:rPr>
                <w:rFonts w:eastAsia="Times New Roman"/>
                <w:sz w:val="20"/>
                <w:szCs w:val="20"/>
              </w:rPr>
              <w:t>1,841</w:t>
            </w:r>
          </w:p>
        </w:tc>
        <w:tc>
          <w:tcPr>
            <w:tcW w:w="50" w:type="pct"/>
            <w:shd w:val="clear" w:color="auto" w:fill="FFFFFF"/>
            <w:noWrap/>
            <w:vAlign w:val="center"/>
            <w:hideMark/>
          </w:tcPr>
          <w:p w14:paraId="69EBFC73" w14:textId="77777777" w:rsidR="00000000" w:rsidRDefault="0015578C">
            <w:pPr>
              <w:pStyle w:val="a3"/>
              <w:spacing w:before="0" w:beforeAutospacing="0" w:after="0" w:afterAutospacing="0"/>
              <w:rPr>
                <w:sz w:val="20"/>
                <w:szCs w:val="20"/>
              </w:rPr>
            </w:pPr>
            <w:r>
              <w:rPr>
                <w:sz w:val="20"/>
                <w:szCs w:val="20"/>
              </w:rPr>
              <w:t> </w:t>
            </w:r>
          </w:p>
        </w:tc>
      </w:tr>
      <w:tr w:rsidR="00000000" w14:paraId="41072EB9" w14:textId="77777777">
        <w:trPr>
          <w:trHeight w:val="225"/>
          <w:tblCellSpacing w:w="15" w:type="dxa"/>
        </w:trPr>
        <w:tc>
          <w:tcPr>
            <w:tcW w:w="0" w:type="auto"/>
            <w:shd w:val="clear" w:color="auto" w:fill="CCEEFF"/>
            <w:hideMark/>
          </w:tcPr>
          <w:p w14:paraId="57EEA93E" w14:textId="77777777" w:rsidR="00000000" w:rsidRDefault="0015578C">
            <w:pPr>
              <w:pStyle w:val="a3"/>
              <w:spacing w:before="0" w:beforeAutospacing="0" w:after="0" w:afterAutospacing="0"/>
              <w:ind w:left="225"/>
              <w:rPr>
                <w:sz w:val="20"/>
                <w:szCs w:val="20"/>
              </w:rPr>
            </w:pPr>
            <w:r>
              <w:rPr>
                <w:sz w:val="20"/>
                <w:szCs w:val="20"/>
              </w:rPr>
              <w:t>Stock options exercised for cash</w:t>
            </w:r>
          </w:p>
        </w:tc>
        <w:tc>
          <w:tcPr>
            <w:tcW w:w="50" w:type="pct"/>
            <w:shd w:val="clear" w:color="auto" w:fill="CCEEFF"/>
            <w:noWrap/>
            <w:vAlign w:val="center"/>
            <w:hideMark/>
          </w:tcPr>
          <w:p w14:paraId="79DFA6F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1414F36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02C972C9" w14:textId="77777777" w:rsidR="00000000" w:rsidRDefault="0015578C">
            <w:pPr>
              <w:jc w:val="right"/>
              <w:rPr>
                <w:rFonts w:eastAsia="Times New Roman"/>
                <w:sz w:val="20"/>
                <w:szCs w:val="20"/>
              </w:rPr>
            </w:pPr>
            <w:r>
              <w:rPr>
                <w:rFonts w:eastAsia="Times New Roman"/>
                <w:sz w:val="20"/>
                <w:szCs w:val="20"/>
              </w:rPr>
              <w:t>30</w:t>
            </w:r>
          </w:p>
        </w:tc>
        <w:tc>
          <w:tcPr>
            <w:tcW w:w="50" w:type="pct"/>
            <w:shd w:val="clear" w:color="auto" w:fill="CCEEFF"/>
            <w:noWrap/>
            <w:tcMar>
              <w:top w:w="0" w:type="dxa"/>
              <w:left w:w="0" w:type="dxa"/>
              <w:bottom w:w="15" w:type="dxa"/>
              <w:right w:w="0" w:type="dxa"/>
            </w:tcMar>
            <w:vAlign w:val="center"/>
            <w:hideMark/>
          </w:tcPr>
          <w:p w14:paraId="0545326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AAA974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D7A0F5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1EAB72FF" w14:textId="77777777" w:rsidR="00000000" w:rsidRDefault="0015578C">
            <w:pPr>
              <w:jc w:val="right"/>
              <w:rPr>
                <w:rFonts w:eastAsia="Times New Roman"/>
                <w:sz w:val="20"/>
                <w:szCs w:val="20"/>
              </w:rPr>
            </w:pPr>
            <w:r>
              <w:rPr>
                <w:rFonts w:eastAsia="Times New Roman"/>
                <w:sz w:val="20"/>
                <w:szCs w:val="20"/>
              </w:rPr>
              <w:t>83</w:t>
            </w:r>
          </w:p>
        </w:tc>
        <w:tc>
          <w:tcPr>
            <w:tcW w:w="50" w:type="pct"/>
            <w:shd w:val="clear" w:color="auto" w:fill="CCEEFF"/>
            <w:noWrap/>
            <w:tcMar>
              <w:top w:w="0" w:type="dxa"/>
              <w:left w:w="0" w:type="dxa"/>
              <w:bottom w:w="15" w:type="dxa"/>
              <w:right w:w="0" w:type="dxa"/>
            </w:tcMar>
            <w:vAlign w:val="center"/>
            <w:hideMark/>
          </w:tcPr>
          <w:p w14:paraId="326753D0" w14:textId="77777777" w:rsidR="00000000" w:rsidRDefault="0015578C">
            <w:pPr>
              <w:pStyle w:val="a3"/>
              <w:spacing w:before="0" w:beforeAutospacing="0" w:after="0" w:afterAutospacing="0"/>
              <w:rPr>
                <w:sz w:val="20"/>
                <w:szCs w:val="20"/>
              </w:rPr>
            </w:pPr>
            <w:r>
              <w:rPr>
                <w:sz w:val="20"/>
                <w:szCs w:val="20"/>
              </w:rPr>
              <w:t> </w:t>
            </w:r>
          </w:p>
        </w:tc>
      </w:tr>
      <w:tr w:rsidR="00000000" w14:paraId="151A0D47" w14:textId="77777777">
        <w:trPr>
          <w:trHeight w:val="225"/>
          <w:tblCellSpacing w:w="15" w:type="dxa"/>
        </w:trPr>
        <w:tc>
          <w:tcPr>
            <w:tcW w:w="0" w:type="auto"/>
            <w:shd w:val="clear" w:color="auto" w:fill="FFFFFF"/>
            <w:hideMark/>
          </w:tcPr>
          <w:p w14:paraId="4B985915" w14:textId="77777777" w:rsidR="00000000" w:rsidRDefault="0015578C">
            <w:pPr>
              <w:pStyle w:val="a3"/>
              <w:spacing w:before="0" w:beforeAutospacing="0" w:after="0" w:afterAutospacing="0"/>
              <w:ind w:left="450"/>
              <w:rPr>
                <w:sz w:val="20"/>
                <w:szCs w:val="20"/>
              </w:rPr>
            </w:pPr>
            <w:r>
              <w:rPr>
                <w:sz w:val="20"/>
                <w:szCs w:val="20"/>
              </w:rPr>
              <w:t>Net cash provided by financing activities</w:t>
            </w:r>
          </w:p>
        </w:tc>
        <w:tc>
          <w:tcPr>
            <w:tcW w:w="50" w:type="pct"/>
            <w:shd w:val="clear" w:color="auto" w:fill="FFFFFF"/>
            <w:noWrap/>
            <w:vAlign w:val="center"/>
            <w:hideMark/>
          </w:tcPr>
          <w:p w14:paraId="2E9E475B"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92447E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4FE7143A" w14:textId="77777777" w:rsidR="00000000" w:rsidRDefault="0015578C">
            <w:pPr>
              <w:jc w:val="right"/>
              <w:rPr>
                <w:rFonts w:eastAsia="Times New Roman"/>
                <w:sz w:val="20"/>
                <w:szCs w:val="20"/>
              </w:rPr>
            </w:pPr>
            <w:r>
              <w:rPr>
                <w:rFonts w:eastAsia="Times New Roman"/>
                <w:sz w:val="20"/>
                <w:szCs w:val="20"/>
              </w:rPr>
              <w:t>2,053</w:t>
            </w:r>
          </w:p>
        </w:tc>
        <w:tc>
          <w:tcPr>
            <w:tcW w:w="50" w:type="pct"/>
            <w:shd w:val="clear" w:color="auto" w:fill="FFFFFF"/>
            <w:noWrap/>
            <w:tcMar>
              <w:top w:w="0" w:type="dxa"/>
              <w:left w:w="0" w:type="dxa"/>
              <w:bottom w:w="15" w:type="dxa"/>
              <w:right w:w="0" w:type="dxa"/>
            </w:tcMar>
            <w:vAlign w:val="center"/>
            <w:hideMark/>
          </w:tcPr>
          <w:p w14:paraId="6EFFCE7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6A0531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FA08B7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3D136CEF" w14:textId="77777777" w:rsidR="00000000" w:rsidRDefault="0015578C">
            <w:pPr>
              <w:jc w:val="right"/>
              <w:rPr>
                <w:rFonts w:eastAsia="Times New Roman"/>
                <w:sz w:val="20"/>
                <w:szCs w:val="20"/>
              </w:rPr>
            </w:pPr>
            <w:r>
              <w:rPr>
                <w:rFonts w:eastAsia="Times New Roman"/>
                <w:sz w:val="20"/>
                <w:szCs w:val="20"/>
              </w:rPr>
              <w:t>1,924</w:t>
            </w:r>
          </w:p>
        </w:tc>
        <w:tc>
          <w:tcPr>
            <w:tcW w:w="50" w:type="pct"/>
            <w:shd w:val="clear" w:color="auto" w:fill="FFFFFF"/>
            <w:noWrap/>
            <w:tcMar>
              <w:top w:w="0" w:type="dxa"/>
              <w:left w:w="0" w:type="dxa"/>
              <w:bottom w:w="15" w:type="dxa"/>
              <w:right w:w="0" w:type="dxa"/>
            </w:tcMar>
            <w:vAlign w:val="center"/>
            <w:hideMark/>
          </w:tcPr>
          <w:p w14:paraId="2D46EDB5" w14:textId="77777777" w:rsidR="00000000" w:rsidRDefault="0015578C">
            <w:pPr>
              <w:pStyle w:val="a3"/>
              <w:spacing w:before="0" w:beforeAutospacing="0" w:after="0" w:afterAutospacing="0"/>
              <w:rPr>
                <w:sz w:val="20"/>
                <w:szCs w:val="20"/>
              </w:rPr>
            </w:pPr>
            <w:r>
              <w:rPr>
                <w:sz w:val="20"/>
                <w:szCs w:val="20"/>
              </w:rPr>
              <w:t> </w:t>
            </w:r>
          </w:p>
        </w:tc>
      </w:tr>
      <w:tr w:rsidR="00000000" w14:paraId="16FD83BF" w14:textId="77777777">
        <w:trPr>
          <w:trHeight w:val="225"/>
          <w:tblCellSpacing w:w="15" w:type="dxa"/>
        </w:trPr>
        <w:tc>
          <w:tcPr>
            <w:tcW w:w="0" w:type="auto"/>
            <w:shd w:val="clear" w:color="auto" w:fill="CCEEFF"/>
            <w:vAlign w:val="center"/>
            <w:hideMark/>
          </w:tcPr>
          <w:p w14:paraId="237C0C1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8E7FFF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7541A2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607CE9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31A3D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0B10E2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377A65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5034FA5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75F325" w14:textId="77777777" w:rsidR="00000000" w:rsidRDefault="0015578C">
            <w:pPr>
              <w:pStyle w:val="a3"/>
              <w:spacing w:before="0" w:beforeAutospacing="0" w:after="0" w:afterAutospacing="0"/>
              <w:rPr>
                <w:sz w:val="20"/>
                <w:szCs w:val="20"/>
              </w:rPr>
            </w:pPr>
            <w:r>
              <w:rPr>
                <w:sz w:val="20"/>
                <w:szCs w:val="20"/>
              </w:rPr>
              <w:t> </w:t>
            </w:r>
          </w:p>
        </w:tc>
      </w:tr>
      <w:tr w:rsidR="00000000" w14:paraId="0074340D" w14:textId="77777777">
        <w:trPr>
          <w:trHeight w:val="225"/>
          <w:tblCellSpacing w:w="15" w:type="dxa"/>
        </w:trPr>
        <w:tc>
          <w:tcPr>
            <w:tcW w:w="0" w:type="auto"/>
            <w:shd w:val="clear" w:color="auto" w:fill="FFFFFF"/>
            <w:hideMark/>
          </w:tcPr>
          <w:p w14:paraId="16B3FDCC" w14:textId="77777777" w:rsidR="00000000" w:rsidRDefault="0015578C">
            <w:pPr>
              <w:pStyle w:val="a3"/>
              <w:spacing w:before="0" w:beforeAutospacing="0" w:after="0" w:afterAutospacing="0"/>
              <w:rPr>
                <w:sz w:val="20"/>
                <w:szCs w:val="20"/>
              </w:rPr>
            </w:pPr>
            <w:r>
              <w:rPr>
                <w:sz w:val="20"/>
                <w:szCs w:val="20"/>
              </w:rPr>
              <w:t>Net decrease in cash and cash equivalents</w:t>
            </w:r>
          </w:p>
        </w:tc>
        <w:tc>
          <w:tcPr>
            <w:tcW w:w="50" w:type="pct"/>
            <w:shd w:val="clear" w:color="auto" w:fill="FFFFFF"/>
            <w:noWrap/>
            <w:vAlign w:val="center"/>
            <w:hideMark/>
          </w:tcPr>
          <w:p w14:paraId="121C328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ECC5B4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0D7CADA" w14:textId="77777777" w:rsidR="00000000" w:rsidRDefault="0015578C">
            <w:pPr>
              <w:jc w:val="right"/>
              <w:rPr>
                <w:rFonts w:eastAsia="Times New Roman"/>
                <w:sz w:val="20"/>
                <w:szCs w:val="20"/>
              </w:rPr>
            </w:pPr>
            <w:r>
              <w:rPr>
                <w:rFonts w:eastAsia="Times New Roman"/>
                <w:sz w:val="20"/>
                <w:szCs w:val="20"/>
              </w:rPr>
              <w:t>(146</w:t>
            </w:r>
          </w:p>
        </w:tc>
        <w:tc>
          <w:tcPr>
            <w:tcW w:w="50" w:type="pct"/>
            <w:shd w:val="clear" w:color="auto" w:fill="FFFFFF"/>
            <w:noWrap/>
            <w:vAlign w:val="bottom"/>
            <w:hideMark/>
          </w:tcPr>
          <w:p w14:paraId="518DEF47"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D2147B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0C917E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DA73D15" w14:textId="77777777" w:rsidR="00000000" w:rsidRDefault="0015578C">
            <w:pPr>
              <w:jc w:val="right"/>
              <w:rPr>
                <w:rFonts w:eastAsia="Times New Roman"/>
                <w:sz w:val="20"/>
                <w:szCs w:val="20"/>
              </w:rPr>
            </w:pPr>
            <w:r>
              <w:rPr>
                <w:rFonts w:eastAsia="Times New Roman"/>
                <w:sz w:val="20"/>
                <w:szCs w:val="20"/>
              </w:rPr>
              <w:t>(143</w:t>
            </w:r>
          </w:p>
        </w:tc>
        <w:tc>
          <w:tcPr>
            <w:tcW w:w="50" w:type="pct"/>
            <w:shd w:val="clear" w:color="auto" w:fill="FFFFFF"/>
            <w:noWrap/>
            <w:vAlign w:val="bottom"/>
            <w:hideMark/>
          </w:tcPr>
          <w:p w14:paraId="63DF16A2" w14:textId="77777777" w:rsidR="00000000" w:rsidRDefault="0015578C">
            <w:pPr>
              <w:rPr>
                <w:rFonts w:eastAsia="Times New Roman"/>
                <w:sz w:val="20"/>
                <w:szCs w:val="20"/>
              </w:rPr>
            </w:pPr>
            <w:r>
              <w:rPr>
                <w:rFonts w:eastAsia="Times New Roman"/>
                <w:sz w:val="20"/>
                <w:szCs w:val="20"/>
              </w:rPr>
              <w:t>)</w:t>
            </w:r>
          </w:p>
        </w:tc>
      </w:tr>
      <w:tr w:rsidR="00000000" w14:paraId="28A80CD0" w14:textId="77777777">
        <w:trPr>
          <w:trHeight w:val="225"/>
          <w:tblCellSpacing w:w="15" w:type="dxa"/>
        </w:trPr>
        <w:tc>
          <w:tcPr>
            <w:tcW w:w="0" w:type="auto"/>
            <w:shd w:val="clear" w:color="auto" w:fill="CCEEFF"/>
            <w:hideMark/>
          </w:tcPr>
          <w:p w14:paraId="04FD791E" w14:textId="77777777" w:rsidR="00000000" w:rsidRDefault="0015578C">
            <w:pPr>
              <w:pStyle w:val="a3"/>
              <w:spacing w:before="0" w:beforeAutospacing="0" w:after="0" w:afterAutospacing="0"/>
              <w:rPr>
                <w:sz w:val="20"/>
                <w:szCs w:val="20"/>
              </w:rPr>
            </w:pPr>
            <w:r>
              <w:rPr>
                <w:rStyle w:val="a4"/>
                <w:sz w:val="20"/>
                <w:szCs w:val="20"/>
              </w:rPr>
              <w:t>Cash and cash equivalents, beginning of year</w:t>
            </w:r>
          </w:p>
        </w:tc>
        <w:tc>
          <w:tcPr>
            <w:tcW w:w="50" w:type="pct"/>
            <w:shd w:val="clear" w:color="auto" w:fill="CCEEFF"/>
            <w:noWrap/>
            <w:vAlign w:val="center"/>
            <w:hideMark/>
          </w:tcPr>
          <w:p w14:paraId="0B1C35B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5444725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60E36686" w14:textId="77777777" w:rsidR="00000000" w:rsidRDefault="0015578C">
            <w:pPr>
              <w:jc w:val="right"/>
              <w:rPr>
                <w:rFonts w:eastAsia="Times New Roman"/>
                <w:sz w:val="20"/>
                <w:szCs w:val="20"/>
              </w:rPr>
            </w:pPr>
            <w:r>
              <w:rPr>
                <w:rFonts w:eastAsia="Times New Roman"/>
                <w:sz w:val="20"/>
                <w:szCs w:val="20"/>
              </w:rPr>
              <w:t>462</w:t>
            </w:r>
          </w:p>
        </w:tc>
        <w:tc>
          <w:tcPr>
            <w:tcW w:w="50" w:type="pct"/>
            <w:shd w:val="clear" w:color="auto" w:fill="CCEEFF"/>
            <w:noWrap/>
            <w:tcMar>
              <w:top w:w="0" w:type="dxa"/>
              <w:left w:w="0" w:type="dxa"/>
              <w:bottom w:w="15" w:type="dxa"/>
              <w:right w:w="0" w:type="dxa"/>
            </w:tcMar>
            <w:vAlign w:val="center"/>
            <w:hideMark/>
          </w:tcPr>
          <w:p w14:paraId="0EE11CD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D1B343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47B0492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0F41997" w14:textId="77777777" w:rsidR="00000000" w:rsidRDefault="0015578C">
            <w:pPr>
              <w:jc w:val="right"/>
              <w:rPr>
                <w:rFonts w:eastAsia="Times New Roman"/>
                <w:sz w:val="20"/>
                <w:szCs w:val="20"/>
              </w:rPr>
            </w:pPr>
            <w:r>
              <w:rPr>
                <w:rFonts w:eastAsia="Times New Roman"/>
                <w:sz w:val="20"/>
                <w:szCs w:val="20"/>
              </w:rPr>
              <w:t>605</w:t>
            </w:r>
          </w:p>
        </w:tc>
        <w:tc>
          <w:tcPr>
            <w:tcW w:w="50" w:type="pct"/>
            <w:shd w:val="clear" w:color="auto" w:fill="CCEEFF"/>
            <w:noWrap/>
            <w:tcMar>
              <w:top w:w="0" w:type="dxa"/>
              <w:left w:w="0" w:type="dxa"/>
              <w:bottom w:w="15" w:type="dxa"/>
              <w:right w:w="0" w:type="dxa"/>
            </w:tcMar>
            <w:vAlign w:val="center"/>
            <w:hideMark/>
          </w:tcPr>
          <w:p w14:paraId="3F869251" w14:textId="77777777" w:rsidR="00000000" w:rsidRDefault="0015578C">
            <w:pPr>
              <w:pStyle w:val="a3"/>
              <w:spacing w:before="0" w:beforeAutospacing="0" w:after="0" w:afterAutospacing="0"/>
              <w:rPr>
                <w:sz w:val="20"/>
                <w:szCs w:val="20"/>
              </w:rPr>
            </w:pPr>
            <w:r>
              <w:rPr>
                <w:sz w:val="20"/>
                <w:szCs w:val="20"/>
              </w:rPr>
              <w:t> </w:t>
            </w:r>
          </w:p>
        </w:tc>
      </w:tr>
      <w:tr w:rsidR="00000000" w14:paraId="3FD50C7E" w14:textId="77777777">
        <w:trPr>
          <w:trHeight w:val="225"/>
          <w:tblCellSpacing w:w="15" w:type="dxa"/>
        </w:trPr>
        <w:tc>
          <w:tcPr>
            <w:tcW w:w="0" w:type="auto"/>
            <w:shd w:val="clear" w:color="auto" w:fill="FFFFFF"/>
            <w:hideMark/>
          </w:tcPr>
          <w:p w14:paraId="520043CE" w14:textId="77777777" w:rsidR="00000000" w:rsidRDefault="0015578C">
            <w:pPr>
              <w:pStyle w:val="a3"/>
              <w:spacing w:before="0" w:beforeAutospacing="0" w:after="0" w:afterAutospacing="0"/>
              <w:rPr>
                <w:sz w:val="20"/>
                <w:szCs w:val="20"/>
              </w:rPr>
            </w:pPr>
            <w:r>
              <w:rPr>
                <w:rStyle w:val="a4"/>
                <w:sz w:val="20"/>
                <w:szCs w:val="20"/>
              </w:rPr>
              <w:t>Cash and cash equivalents, end of year</w:t>
            </w:r>
          </w:p>
        </w:tc>
        <w:tc>
          <w:tcPr>
            <w:tcW w:w="50" w:type="pct"/>
            <w:shd w:val="clear" w:color="auto" w:fill="FFFFFF"/>
            <w:noWrap/>
            <w:vAlign w:val="center"/>
            <w:hideMark/>
          </w:tcPr>
          <w:p w14:paraId="6F36112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083DAEF0"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416CDAAB" w14:textId="77777777" w:rsidR="00000000" w:rsidRDefault="0015578C">
            <w:pPr>
              <w:jc w:val="right"/>
              <w:rPr>
                <w:rFonts w:eastAsia="Times New Roman"/>
                <w:sz w:val="20"/>
                <w:szCs w:val="20"/>
              </w:rPr>
            </w:pPr>
            <w:r>
              <w:rPr>
                <w:rFonts w:eastAsia="Times New Roman"/>
                <w:sz w:val="20"/>
                <w:szCs w:val="20"/>
              </w:rPr>
              <w:t>316</w:t>
            </w:r>
          </w:p>
        </w:tc>
        <w:tc>
          <w:tcPr>
            <w:tcW w:w="50" w:type="pct"/>
            <w:shd w:val="clear" w:color="auto" w:fill="FFFFFF"/>
            <w:noWrap/>
            <w:tcMar>
              <w:top w:w="0" w:type="dxa"/>
              <w:left w:w="0" w:type="dxa"/>
              <w:bottom w:w="15" w:type="dxa"/>
              <w:right w:w="0" w:type="dxa"/>
            </w:tcMar>
            <w:vAlign w:val="center"/>
            <w:hideMark/>
          </w:tcPr>
          <w:p w14:paraId="080DB5C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1035D1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49175EB3"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2098D1F8" w14:textId="77777777" w:rsidR="00000000" w:rsidRDefault="0015578C">
            <w:pPr>
              <w:jc w:val="right"/>
              <w:rPr>
                <w:rFonts w:eastAsia="Times New Roman"/>
                <w:sz w:val="20"/>
                <w:szCs w:val="20"/>
              </w:rPr>
            </w:pPr>
            <w:r>
              <w:rPr>
                <w:rFonts w:eastAsia="Times New Roman"/>
                <w:sz w:val="20"/>
                <w:szCs w:val="20"/>
              </w:rPr>
              <w:t>462</w:t>
            </w:r>
          </w:p>
        </w:tc>
        <w:tc>
          <w:tcPr>
            <w:tcW w:w="50" w:type="pct"/>
            <w:shd w:val="clear" w:color="auto" w:fill="FFFFFF"/>
            <w:noWrap/>
            <w:tcMar>
              <w:top w:w="0" w:type="dxa"/>
              <w:left w:w="0" w:type="dxa"/>
              <w:bottom w:w="15" w:type="dxa"/>
              <w:right w:w="0" w:type="dxa"/>
            </w:tcMar>
            <w:vAlign w:val="center"/>
            <w:hideMark/>
          </w:tcPr>
          <w:p w14:paraId="21BBE1E0" w14:textId="77777777" w:rsidR="00000000" w:rsidRDefault="0015578C">
            <w:pPr>
              <w:pStyle w:val="a3"/>
              <w:spacing w:before="0" w:beforeAutospacing="0" w:after="0" w:afterAutospacing="0"/>
              <w:rPr>
                <w:sz w:val="20"/>
                <w:szCs w:val="20"/>
              </w:rPr>
            </w:pPr>
            <w:r>
              <w:rPr>
                <w:sz w:val="20"/>
                <w:szCs w:val="20"/>
              </w:rPr>
              <w:t> </w:t>
            </w:r>
          </w:p>
        </w:tc>
      </w:tr>
      <w:tr w:rsidR="00000000" w14:paraId="230470F0" w14:textId="77777777">
        <w:trPr>
          <w:trHeight w:val="225"/>
          <w:tblCellSpacing w:w="15" w:type="dxa"/>
        </w:trPr>
        <w:tc>
          <w:tcPr>
            <w:tcW w:w="0" w:type="auto"/>
            <w:shd w:val="clear" w:color="auto" w:fill="CCEEFF"/>
            <w:vAlign w:val="center"/>
            <w:hideMark/>
          </w:tcPr>
          <w:p w14:paraId="6B4D078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525AF8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1CB11B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3673DDF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6164A6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0323CA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4E5CB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234898C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31AB7A8" w14:textId="77777777" w:rsidR="00000000" w:rsidRDefault="0015578C">
            <w:pPr>
              <w:pStyle w:val="a3"/>
              <w:spacing w:before="0" w:beforeAutospacing="0" w:after="0" w:afterAutospacing="0"/>
              <w:rPr>
                <w:sz w:val="20"/>
                <w:szCs w:val="20"/>
              </w:rPr>
            </w:pPr>
            <w:r>
              <w:rPr>
                <w:sz w:val="20"/>
                <w:szCs w:val="20"/>
              </w:rPr>
              <w:t> </w:t>
            </w:r>
          </w:p>
        </w:tc>
      </w:tr>
      <w:tr w:rsidR="00000000" w14:paraId="1DFB9F1C" w14:textId="77777777">
        <w:trPr>
          <w:trHeight w:val="225"/>
          <w:tblCellSpacing w:w="15" w:type="dxa"/>
        </w:trPr>
        <w:tc>
          <w:tcPr>
            <w:tcW w:w="0" w:type="auto"/>
            <w:shd w:val="clear" w:color="auto" w:fill="FFFFFF"/>
            <w:hideMark/>
          </w:tcPr>
          <w:p w14:paraId="7C6D76E8" w14:textId="77777777" w:rsidR="00000000" w:rsidRDefault="0015578C">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FFFFFF"/>
            <w:noWrap/>
            <w:vAlign w:val="center"/>
            <w:hideMark/>
          </w:tcPr>
          <w:p w14:paraId="0E77ACA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0282F3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40A7CD3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0794D7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89E945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6ACD47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2F5F09B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C052F7C" w14:textId="77777777" w:rsidR="00000000" w:rsidRDefault="0015578C">
            <w:pPr>
              <w:pStyle w:val="a3"/>
              <w:spacing w:before="0" w:beforeAutospacing="0" w:after="0" w:afterAutospacing="0"/>
              <w:rPr>
                <w:sz w:val="20"/>
                <w:szCs w:val="20"/>
              </w:rPr>
            </w:pPr>
            <w:r>
              <w:rPr>
                <w:sz w:val="20"/>
                <w:szCs w:val="20"/>
              </w:rPr>
              <w:t> </w:t>
            </w:r>
          </w:p>
        </w:tc>
      </w:tr>
      <w:tr w:rsidR="00000000" w14:paraId="24F36ED1" w14:textId="77777777">
        <w:trPr>
          <w:trHeight w:val="225"/>
          <w:tblCellSpacing w:w="15" w:type="dxa"/>
        </w:trPr>
        <w:tc>
          <w:tcPr>
            <w:tcW w:w="0" w:type="auto"/>
            <w:shd w:val="clear" w:color="auto" w:fill="CCEEFF"/>
            <w:hideMark/>
          </w:tcPr>
          <w:p w14:paraId="5913C0C6" w14:textId="77777777" w:rsidR="00000000" w:rsidRDefault="0015578C">
            <w:pPr>
              <w:pStyle w:val="a3"/>
              <w:spacing w:before="0" w:beforeAutospacing="0" w:after="0" w:afterAutospacing="0"/>
              <w:ind w:left="225"/>
              <w:rPr>
                <w:sz w:val="20"/>
                <w:szCs w:val="20"/>
              </w:rPr>
            </w:pPr>
            <w:r>
              <w:rPr>
                <w:sz w:val="20"/>
                <w:szCs w:val="20"/>
              </w:rPr>
              <w:t>Accrued mineral property acquisition costs included in accounts payable</w:t>
            </w:r>
          </w:p>
        </w:tc>
        <w:tc>
          <w:tcPr>
            <w:tcW w:w="50" w:type="pct"/>
            <w:shd w:val="clear" w:color="auto" w:fill="CCEEFF"/>
            <w:noWrap/>
            <w:vAlign w:val="center"/>
            <w:hideMark/>
          </w:tcPr>
          <w:p w14:paraId="65D7505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031B60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E201822"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04AAD0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DD269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E1D123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C4FBE44" w14:textId="77777777" w:rsidR="00000000" w:rsidRDefault="0015578C">
            <w:pPr>
              <w:jc w:val="right"/>
              <w:rPr>
                <w:rFonts w:eastAsia="Times New Roman"/>
                <w:sz w:val="20"/>
                <w:szCs w:val="20"/>
              </w:rPr>
            </w:pPr>
            <w:r>
              <w:rPr>
                <w:rFonts w:eastAsia="Times New Roman"/>
                <w:sz w:val="20"/>
                <w:szCs w:val="20"/>
              </w:rPr>
              <w:t>60</w:t>
            </w:r>
          </w:p>
        </w:tc>
        <w:tc>
          <w:tcPr>
            <w:tcW w:w="50" w:type="pct"/>
            <w:shd w:val="clear" w:color="auto" w:fill="CCEEFF"/>
            <w:noWrap/>
            <w:vAlign w:val="center"/>
            <w:hideMark/>
          </w:tcPr>
          <w:p w14:paraId="6A42EFB9" w14:textId="77777777" w:rsidR="00000000" w:rsidRDefault="0015578C">
            <w:pPr>
              <w:pStyle w:val="a3"/>
              <w:spacing w:before="0" w:beforeAutospacing="0" w:after="0" w:afterAutospacing="0"/>
              <w:rPr>
                <w:sz w:val="20"/>
                <w:szCs w:val="20"/>
              </w:rPr>
            </w:pPr>
            <w:r>
              <w:rPr>
                <w:sz w:val="20"/>
                <w:szCs w:val="20"/>
              </w:rPr>
              <w:t> </w:t>
            </w:r>
          </w:p>
        </w:tc>
      </w:tr>
      <w:tr w:rsidR="00000000" w14:paraId="23ED377B" w14:textId="77777777">
        <w:trPr>
          <w:trHeight w:val="225"/>
          <w:tblCellSpacing w:w="15" w:type="dxa"/>
        </w:trPr>
        <w:tc>
          <w:tcPr>
            <w:tcW w:w="0" w:type="auto"/>
            <w:shd w:val="clear" w:color="auto" w:fill="FFFFFF"/>
            <w:hideMark/>
          </w:tcPr>
          <w:p w14:paraId="29EEFCE7" w14:textId="77777777" w:rsidR="00000000" w:rsidRDefault="0015578C">
            <w:pPr>
              <w:pStyle w:val="a3"/>
              <w:spacing w:before="0" w:beforeAutospacing="0" w:after="0" w:afterAutospacing="0"/>
              <w:ind w:left="225"/>
              <w:rPr>
                <w:sz w:val="20"/>
                <w:szCs w:val="20"/>
              </w:rPr>
            </w:pPr>
            <w:r>
              <w:rPr>
                <w:sz w:val="20"/>
                <w:szCs w:val="20"/>
              </w:rPr>
              <w:t>Acquisition of right to use asset</w:t>
            </w:r>
          </w:p>
        </w:tc>
        <w:tc>
          <w:tcPr>
            <w:tcW w:w="50" w:type="pct"/>
            <w:shd w:val="clear" w:color="auto" w:fill="FFFFFF"/>
            <w:noWrap/>
            <w:vAlign w:val="center"/>
            <w:hideMark/>
          </w:tcPr>
          <w:p w14:paraId="5068ED8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646C418E"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281BE0AB"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086D22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F39917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3E8F4865"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19D91852" w14:textId="77777777" w:rsidR="00000000" w:rsidRDefault="0015578C">
            <w:pPr>
              <w:jc w:val="right"/>
              <w:rPr>
                <w:rFonts w:eastAsia="Times New Roman"/>
                <w:sz w:val="20"/>
                <w:szCs w:val="20"/>
              </w:rPr>
            </w:pPr>
            <w:r>
              <w:rPr>
                <w:rFonts w:eastAsia="Times New Roman"/>
                <w:sz w:val="20"/>
                <w:szCs w:val="20"/>
              </w:rPr>
              <w:t>99</w:t>
            </w:r>
          </w:p>
        </w:tc>
        <w:tc>
          <w:tcPr>
            <w:tcW w:w="50" w:type="pct"/>
            <w:shd w:val="clear" w:color="auto" w:fill="FFFFFF"/>
            <w:noWrap/>
            <w:vAlign w:val="center"/>
            <w:hideMark/>
          </w:tcPr>
          <w:p w14:paraId="3886BC29" w14:textId="77777777" w:rsidR="00000000" w:rsidRDefault="0015578C">
            <w:pPr>
              <w:pStyle w:val="a3"/>
              <w:spacing w:before="0" w:beforeAutospacing="0" w:after="0" w:afterAutospacing="0"/>
              <w:rPr>
                <w:sz w:val="20"/>
                <w:szCs w:val="20"/>
              </w:rPr>
            </w:pPr>
            <w:r>
              <w:rPr>
                <w:sz w:val="20"/>
                <w:szCs w:val="20"/>
              </w:rPr>
              <w:t> </w:t>
            </w:r>
          </w:p>
        </w:tc>
      </w:tr>
    </w:tbl>
    <w:p w14:paraId="5E762134" w14:textId="77777777" w:rsidR="00000000" w:rsidRDefault="0015578C">
      <w:pPr>
        <w:pStyle w:val="a3"/>
        <w:spacing w:before="0" w:beforeAutospacing="0" w:after="0" w:afterAutospacing="0"/>
        <w:jc w:val="both"/>
        <w:rPr>
          <w:sz w:val="20"/>
          <w:szCs w:val="20"/>
        </w:rPr>
      </w:pPr>
      <w:r>
        <w:rPr>
          <w:sz w:val="20"/>
          <w:szCs w:val="20"/>
        </w:rPr>
        <w:t> </w:t>
      </w:r>
    </w:p>
    <w:p w14:paraId="74E4B894" w14:textId="77777777" w:rsidR="00000000" w:rsidRDefault="0015578C">
      <w:pPr>
        <w:pStyle w:val="a3"/>
        <w:spacing w:before="0" w:beforeAutospacing="0" w:after="0" w:afterAutospacing="0"/>
        <w:jc w:val="both"/>
        <w:rPr>
          <w:sz w:val="20"/>
          <w:szCs w:val="20"/>
        </w:rPr>
      </w:pPr>
      <w:r>
        <w:rPr>
          <w:sz w:val="20"/>
          <w:szCs w:val="20"/>
        </w:rPr>
        <w:t>See Notes to Consolidated Financial Statements.</w:t>
      </w:r>
    </w:p>
    <w:p w14:paraId="058A0D2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C0DE9F8" w14:textId="77777777">
        <w:trPr>
          <w:trHeight w:val="225"/>
          <w:tblCellSpacing w:w="15" w:type="dxa"/>
        </w:trPr>
        <w:tc>
          <w:tcPr>
            <w:tcW w:w="0" w:type="auto"/>
            <w:vAlign w:val="center"/>
            <w:hideMark/>
          </w:tcPr>
          <w:p w14:paraId="1C27C06E" w14:textId="77777777" w:rsidR="00000000" w:rsidRDefault="0015578C">
            <w:pPr>
              <w:rPr>
                <w:rFonts w:eastAsia="Times New Roman"/>
                <w:sz w:val="20"/>
                <w:szCs w:val="20"/>
              </w:rPr>
            </w:pPr>
            <w:r>
              <w:rPr>
                <w:rFonts w:eastAsia="Times New Roman"/>
                <w:sz w:val="20"/>
                <w:szCs w:val="20"/>
              </w:rPr>
              <w:t> </w:t>
            </w:r>
          </w:p>
        </w:tc>
      </w:tr>
      <w:tr w:rsidR="00000000" w14:paraId="290709CB" w14:textId="77777777">
        <w:trPr>
          <w:trHeight w:val="225"/>
          <w:tblCellSpacing w:w="15" w:type="dxa"/>
        </w:trPr>
        <w:tc>
          <w:tcPr>
            <w:tcW w:w="0" w:type="auto"/>
            <w:tcBorders>
              <w:bottom w:val="single" w:sz="6" w:space="0" w:color="000000"/>
            </w:tcBorders>
            <w:vAlign w:val="center"/>
            <w:hideMark/>
          </w:tcPr>
          <w:p w14:paraId="7CD596CC" w14:textId="77777777" w:rsidR="00000000" w:rsidRDefault="0015578C">
            <w:pPr>
              <w:jc w:val="center"/>
              <w:rPr>
                <w:rFonts w:eastAsia="Times New Roman"/>
                <w:sz w:val="20"/>
                <w:szCs w:val="20"/>
              </w:rPr>
            </w:pPr>
            <w:r>
              <w:rPr>
                <w:rFonts w:eastAsia="Times New Roman"/>
                <w:sz w:val="20"/>
                <w:szCs w:val="20"/>
              </w:rPr>
              <w:t>F-6</w:t>
            </w:r>
          </w:p>
        </w:tc>
      </w:tr>
      <w:tr w:rsidR="00000000" w14:paraId="052D6F34" w14:textId="77777777">
        <w:trPr>
          <w:trHeight w:val="225"/>
          <w:tblCellSpacing w:w="15" w:type="dxa"/>
        </w:trPr>
        <w:tc>
          <w:tcPr>
            <w:tcW w:w="0" w:type="auto"/>
            <w:vAlign w:val="center"/>
            <w:hideMark/>
          </w:tcPr>
          <w:p w14:paraId="0E0F89FD" w14:textId="77777777" w:rsidR="00000000" w:rsidRDefault="0015578C">
            <w:pPr>
              <w:rPr>
                <w:rFonts w:eastAsia="Times New Roman"/>
                <w:sz w:val="20"/>
                <w:szCs w:val="20"/>
              </w:rPr>
            </w:pPr>
          </w:p>
        </w:tc>
      </w:tr>
      <w:tr w:rsidR="00000000" w14:paraId="67FF9EE8" w14:textId="77777777">
        <w:trPr>
          <w:trHeight w:val="225"/>
          <w:tblCellSpacing w:w="15" w:type="dxa"/>
        </w:trPr>
        <w:tc>
          <w:tcPr>
            <w:tcW w:w="0" w:type="auto"/>
            <w:vAlign w:val="center"/>
            <w:hideMark/>
          </w:tcPr>
          <w:p w14:paraId="3B0FCB86"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54801235" w14:textId="77777777" w:rsidR="00000000" w:rsidRDefault="0015578C">
      <w:pPr>
        <w:pStyle w:val="a3"/>
        <w:spacing w:before="0" w:beforeAutospacing="0" w:after="0" w:afterAutospacing="0"/>
        <w:jc w:val="both"/>
        <w:rPr>
          <w:sz w:val="20"/>
          <w:szCs w:val="20"/>
        </w:rPr>
      </w:pPr>
      <w:r>
        <w:rPr>
          <w:sz w:val="20"/>
          <w:szCs w:val="20"/>
        </w:rPr>
        <w:t> </w:t>
      </w:r>
    </w:p>
    <w:p w14:paraId="5047529F" w14:textId="77777777" w:rsidR="00000000" w:rsidRDefault="0015578C">
      <w:pPr>
        <w:pStyle w:val="a3"/>
        <w:spacing w:before="0" w:beforeAutospacing="0" w:after="0" w:afterAutospacing="0"/>
        <w:jc w:val="center"/>
        <w:rPr>
          <w:sz w:val="20"/>
          <w:szCs w:val="20"/>
        </w:rPr>
      </w:pPr>
      <w:r>
        <w:rPr>
          <w:rStyle w:val="atag"/>
          <w:sz w:val="20"/>
          <w:szCs w:val="20"/>
        </w:rPr>
        <w:t>SOLITARIO ZINC CORP</w:t>
      </w:r>
      <w:r>
        <w:rPr>
          <w:rStyle w:val="atag"/>
          <w:sz w:val="20"/>
          <w:szCs w:val="20"/>
        </w:rPr>
        <w:t>.</w:t>
      </w:r>
    </w:p>
    <w:p w14:paraId="5B396FA8" w14:textId="77777777" w:rsidR="00000000" w:rsidRDefault="0015578C">
      <w:pPr>
        <w:pStyle w:val="a3"/>
        <w:spacing w:before="0" w:beforeAutospacing="0" w:after="0" w:afterAutospacing="0"/>
        <w:jc w:val="center"/>
        <w:rPr>
          <w:sz w:val="20"/>
          <w:szCs w:val="20"/>
        </w:rPr>
      </w:pPr>
      <w:r>
        <w:rPr>
          <w:sz w:val="20"/>
          <w:szCs w:val="20"/>
        </w:rPr>
        <w:t>NOTES TO CONSOLIDATED FINANCIAL STATEMENTS</w:t>
      </w:r>
    </w:p>
    <w:p w14:paraId="457D6E53" w14:textId="77777777" w:rsidR="00000000" w:rsidRDefault="0015578C">
      <w:pPr>
        <w:pStyle w:val="a3"/>
        <w:spacing w:before="0" w:beforeAutospacing="0" w:after="0" w:afterAutospacing="0"/>
        <w:jc w:val="center"/>
        <w:rPr>
          <w:sz w:val="20"/>
          <w:szCs w:val="20"/>
        </w:rPr>
      </w:pPr>
      <w:r>
        <w:rPr>
          <w:sz w:val="20"/>
          <w:szCs w:val="20"/>
        </w:rPr>
        <w:t>For the years ended December 31, 2022 and 2021</w:t>
      </w:r>
    </w:p>
    <w:p w14:paraId="77FE4E60" w14:textId="77777777" w:rsidR="00000000" w:rsidRDefault="0015578C">
      <w:pPr>
        <w:pStyle w:val="a3"/>
        <w:spacing w:before="0" w:beforeAutospacing="0" w:after="0" w:afterAutospacing="0"/>
        <w:jc w:val="both"/>
        <w:rPr>
          <w:sz w:val="20"/>
          <w:szCs w:val="20"/>
        </w:rPr>
      </w:pPr>
      <w:r>
        <w:rPr>
          <w:sz w:val="20"/>
          <w:szCs w:val="20"/>
        </w:rPr>
        <w:t> </w:t>
      </w:r>
    </w:p>
    <w:p w14:paraId="7211AC1D" w14:textId="77777777" w:rsidR="00000000" w:rsidRDefault="0015578C">
      <w:pPr>
        <w:pStyle w:val="a3"/>
        <w:spacing w:before="0" w:beforeAutospacing="0" w:after="0" w:afterAutospacing="0"/>
        <w:jc w:val="both"/>
        <w:rPr>
          <w:sz w:val="20"/>
          <w:szCs w:val="20"/>
        </w:rPr>
      </w:pPr>
      <w:r>
        <w:rPr>
          <w:sz w:val="20"/>
          <w:szCs w:val="20"/>
        </w:rPr>
        <w:t xml:space="preserve">1. </w:t>
      </w:r>
      <w:r>
        <w:rPr>
          <w:sz w:val="20"/>
          <w:szCs w:val="20"/>
          <w:u w:val="single"/>
        </w:rPr>
        <w:t>Business and Summary of Significant Accounting Policies</w:t>
      </w:r>
    </w:p>
    <w:p w14:paraId="2B04BC76" w14:textId="77777777" w:rsidR="00000000" w:rsidRDefault="0015578C">
      <w:pPr>
        <w:pStyle w:val="a3"/>
        <w:spacing w:before="0" w:beforeAutospacing="0" w:after="0" w:afterAutospacing="0"/>
        <w:jc w:val="both"/>
        <w:rPr>
          <w:sz w:val="20"/>
          <w:szCs w:val="20"/>
        </w:rPr>
      </w:pPr>
      <w:r>
        <w:rPr>
          <w:sz w:val="20"/>
          <w:szCs w:val="20"/>
        </w:rPr>
        <w:t> </w:t>
      </w:r>
    </w:p>
    <w:p w14:paraId="6FBED24E" w14:textId="77777777" w:rsidR="00000000" w:rsidRDefault="0015578C">
      <w:pPr>
        <w:pStyle w:val="a3"/>
        <w:spacing w:before="0" w:beforeAutospacing="0" w:after="0" w:afterAutospacing="0"/>
        <w:jc w:val="both"/>
        <w:rPr>
          <w:sz w:val="20"/>
          <w:szCs w:val="20"/>
        </w:rPr>
      </w:pPr>
      <w:r>
        <w:rPr>
          <w:rStyle w:val="a7"/>
          <w:sz w:val="20"/>
          <w:szCs w:val="20"/>
        </w:rPr>
        <w:t>Business and company formation</w:t>
      </w:r>
    </w:p>
    <w:p w14:paraId="0696F991" w14:textId="77777777" w:rsidR="00000000" w:rsidRDefault="0015578C">
      <w:pPr>
        <w:pStyle w:val="a3"/>
        <w:spacing w:before="0" w:beforeAutospacing="0" w:after="0" w:afterAutospacing="0"/>
        <w:jc w:val="both"/>
        <w:rPr>
          <w:sz w:val="20"/>
          <w:szCs w:val="20"/>
        </w:rPr>
      </w:pPr>
      <w:r>
        <w:rPr>
          <w:sz w:val="20"/>
          <w:szCs w:val="20"/>
        </w:rPr>
        <w:t> </w:t>
      </w:r>
    </w:p>
    <w:p w14:paraId="68F0F3A2" w14:textId="77777777" w:rsidR="00000000" w:rsidRDefault="0015578C">
      <w:pPr>
        <w:pStyle w:val="a3"/>
        <w:spacing w:before="0" w:beforeAutospacing="0" w:after="0" w:afterAutospacing="0"/>
        <w:ind w:firstLine="675"/>
        <w:jc w:val="both"/>
        <w:rPr>
          <w:sz w:val="20"/>
          <w:szCs w:val="20"/>
        </w:rPr>
      </w:pPr>
      <w:r>
        <w:rPr>
          <w:sz w:val="20"/>
          <w:szCs w:val="20"/>
        </w:rPr>
        <w:t>Solitario Zinc Corp. (“Solitario,” or the “Company”) is an exploration stage company as defined by rules issued by the United States Securities and Exchange Commission (the “SEC”). Solitario was incorporated in the state of Colorado on November 15, 1984 as</w:t>
      </w:r>
      <w:r>
        <w:rPr>
          <w:sz w:val="20"/>
          <w:szCs w:val="20"/>
        </w:rPr>
        <w:t xml:space="preserve"> a wholly-owned subsidiary of Crown Resources Corporation ("Crown"). In July 1994, Solitario became a publicly traded company on the Toronto Stock Exchange (the "TSX") through its initial public offering. Solitario has been actively involved in mineral exp</w:t>
      </w:r>
      <w:r>
        <w:rPr>
          <w:sz w:val="20"/>
          <w:szCs w:val="20"/>
        </w:rPr>
        <w:t>loration since 1993. Solitario’s primary business is to acquire exploration mineral properties or royalties and/or discover economic deposits on its mineral properties and advance these deposits, either on its own or through joint ventures, up to the devel</w:t>
      </w:r>
      <w:r>
        <w:rPr>
          <w:sz w:val="20"/>
          <w:szCs w:val="20"/>
        </w:rPr>
        <w:t>opment stage. At that point, or sometime prior to that point, Solitario would likely attempt to sell its mineral properties, pursue their development either on its own or through a joint venture with a partner that has expertise in mining operations, or cr</w:t>
      </w:r>
      <w:r>
        <w:rPr>
          <w:sz w:val="20"/>
          <w:szCs w:val="20"/>
        </w:rPr>
        <w:t xml:space="preserve">eate a royalty with a third party that continues to advance the property. Solitario is primarily focused on the acquisition and exploration of precious metal, zinc and other base metal exploration mineral properties. In addition to focusing on its mineral </w:t>
      </w:r>
      <w:r>
        <w:rPr>
          <w:sz w:val="20"/>
          <w:szCs w:val="20"/>
        </w:rPr>
        <w:t>exploration properties and the evaluation of mineral properties for acquisition, Solitario also evaluates potential strategic transactions for the acquisition of new precious and base metal properties and assets with exploration potential or business combi</w:t>
      </w:r>
      <w:r>
        <w:rPr>
          <w:sz w:val="20"/>
          <w:szCs w:val="20"/>
        </w:rPr>
        <w:t>nations that Solitario determines to be favorable to Solitario.</w:t>
      </w:r>
    </w:p>
    <w:p w14:paraId="7EBF8462" w14:textId="77777777" w:rsidR="00000000" w:rsidRDefault="0015578C">
      <w:pPr>
        <w:pStyle w:val="a3"/>
        <w:spacing w:before="0" w:beforeAutospacing="0" w:after="0" w:afterAutospacing="0"/>
        <w:jc w:val="both"/>
        <w:rPr>
          <w:sz w:val="20"/>
          <w:szCs w:val="20"/>
        </w:rPr>
      </w:pPr>
      <w:r>
        <w:rPr>
          <w:sz w:val="20"/>
          <w:szCs w:val="20"/>
        </w:rPr>
        <w:t> </w:t>
      </w:r>
    </w:p>
    <w:p w14:paraId="1446B172" w14:textId="77777777" w:rsidR="00000000" w:rsidRDefault="0015578C">
      <w:pPr>
        <w:pStyle w:val="a3"/>
        <w:spacing w:before="0" w:beforeAutospacing="0" w:after="0" w:afterAutospacing="0"/>
        <w:ind w:firstLine="675"/>
        <w:jc w:val="both"/>
        <w:rPr>
          <w:sz w:val="20"/>
          <w:szCs w:val="20"/>
        </w:rPr>
      </w:pPr>
      <w:r>
        <w:rPr>
          <w:sz w:val="20"/>
          <w:szCs w:val="20"/>
        </w:rPr>
        <w:t>Solitario has recorded revenue in the past from the sale of mineral properties. Revenues and / or proceeds from the sale or joint venture of properties or assets have not been a consistent a</w:t>
      </w:r>
      <w:r>
        <w:rPr>
          <w:sz w:val="20"/>
          <w:szCs w:val="20"/>
        </w:rPr>
        <w:t>nnual source of cash and would only occur in the future, if at all, on an infrequent basis.</w:t>
      </w:r>
    </w:p>
    <w:p w14:paraId="7712100B" w14:textId="77777777" w:rsidR="00000000" w:rsidRDefault="0015578C">
      <w:pPr>
        <w:pStyle w:val="a3"/>
        <w:spacing w:before="0" w:beforeAutospacing="0" w:after="0" w:afterAutospacing="0"/>
        <w:jc w:val="both"/>
        <w:rPr>
          <w:sz w:val="20"/>
          <w:szCs w:val="20"/>
        </w:rPr>
      </w:pPr>
      <w:r>
        <w:rPr>
          <w:sz w:val="20"/>
          <w:szCs w:val="20"/>
        </w:rPr>
        <w:t> </w:t>
      </w:r>
    </w:p>
    <w:p w14:paraId="0AFE6797" w14:textId="77777777" w:rsidR="00000000" w:rsidRDefault="0015578C">
      <w:pPr>
        <w:pStyle w:val="a3"/>
        <w:spacing w:before="0" w:beforeAutospacing="0" w:after="0" w:afterAutospacing="0"/>
        <w:ind w:firstLine="675"/>
        <w:jc w:val="both"/>
        <w:rPr>
          <w:sz w:val="20"/>
          <w:szCs w:val="20"/>
        </w:rPr>
      </w:pPr>
      <w:r>
        <w:rPr>
          <w:sz w:val="20"/>
          <w:szCs w:val="20"/>
        </w:rPr>
        <w:t>Solitario currently considers its carried interest in the Florida Canyon project in Peru, its interest in the Lik project in Alaska and its interest in the Golden</w:t>
      </w:r>
      <w:r>
        <w:rPr>
          <w:sz w:val="20"/>
          <w:szCs w:val="20"/>
        </w:rPr>
        <w:t xml:space="preserve"> Crest project in South Dakota to be its core mineral property assets. Nexa Resources, Ltd. (“Nexa”), Solitario’s joint venture partner, is continuing the exploration and furtherance of the Florida Canyon project and Solitario is monitoring progress at Flo</w:t>
      </w:r>
      <w:r>
        <w:rPr>
          <w:sz w:val="20"/>
          <w:szCs w:val="20"/>
        </w:rPr>
        <w:t>rida Canyon. Solitario is working with its 50% joint venture partner, Teck American Incorporated, a wholly owned subsidiary of Teck Resources Limited (both companies are referred to as “Teck”), in the Lik deposit to further the exploration of the Lik proje</w:t>
      </w:r>
      <w:r>
        <w:rPr>
          <w:sz w:val="20"/>
          <w:szCs w:val="20"/>
        </w:rPr>
        <w:t>ct, and to evaluate potential development plans for the Lik project. Solitario is conducting mineral exploration of its Golden Crest project on its own.</w:t>
      </w:r>
    </w:p>
    <w:p w14:paraId="5CD8CD6B" w14:textId="77777777" w:rsidR="00000000" w:rsidRDefault="0015578C">
      <w:pPr>
        <w:pStyle w:val="a3"/>
        <w:spacing w:before="0" w:beforeAutospacing="0" w:after="0" w:afterAutospacing="0"/>
        <w:jc w:val="both"/>
        <w:rPr>
          <w:sz w:val="20"/>
          <w:szCs w:val="20"/>
        </w:rPr>
      </w:pPr>
      <w:r>
        <w:rPr>
          <w:sz w:val="20"/>
          <w:szCs w:val="20"/>
        </w:rPr>
        <w:t> </w:t>
      </w:r>
    </w:p>
    <w:p w14:paraId="044D593E" w14:textId="77777777" w:rsidR="00000000" w:rsidRDefault="0015578C">
      <w:pPr>
        <w:pStyle w:val="a3"/>
        <w:spacing w:before="0" w:beforeAutospacing="0" w:after="0" w:afterAutospacing="0"/>
        <w:ind w:firstLine="675"/>
        <w:jc w:val="both"/>
        <w:rPr>
          <w:sz w:val="20"/>
          <w:szCs w:val="20"/>
        </w:rPr>
      </w:pPr>
      <w:r>
        <w:rPr>
          <w:sz w:val="20"/>
          <w:szCs w:val="20"/>
        </w:rPr>
        <w:t>As of December 31, 2022 and 2021, Solitario has balances of cash and short-term investments that Soli</w:t>
      </w:r>
      <w:r>
        <w:rPr>
          <w:sz w:val="20"/>
          <w:szCs w:val="20"/>
        </w:rPr>
        <w:t>tario anticipates using, in part, to further the development of the Florida Canyon project, the Lik project and the Golden Crest project and to potentially acquire additional mineral property assets. The fluctuations in precious metal and other commodity p</w:t>
      </w:r>
      <w:r>
        <w:rPr>
          <w:sz w:val="20"/>
          <w:szCs w:val="20"/>
        </w:rPr>
        <w:t>rices have contributed to a challenging environment for mineral exploration and development, which has created opportunities as well as challenges for the potential acquisition of early-stage and advanced mineral exploration projects or other related asset</w:t>
      </w:r>
      <w:r>
        <w:rPr>
          <w:sz w:val="20"/>
          <w:szCs w:val="20"/>
        </w:rPr>
        <w:t>s at potentially attractive terms.</w:t>
      </w:r>
    </w:p>
    <w:p w14:paraId="26654B0F" w14:textId="77777777" w:rsidR="00000000" w:rsidRDefault="0015578C">
      <w:pPr>
        <w:pStyle w:val="a3"/>
        <w:spacing w:before="0" w:beforeAutospacing="0" w:after="0" w:afterAutospacing="0"/>
        <w:jc w:val="both"/>
        <w:rPr>
          <w:sz w:val="20"/>
          <w:szCs w:val="20"/>
        </w:rPr>
      </w:pPr>
      <w:r>
        <w:rPr>
          <w:sz w:val="20"/>
          <w:szCs w:val="20"/>
        </w:rPr>
        <w:t> </w:t>
      </w:r>
    </w:p>
    <w:p w14:paraId="16FD4662" w14:textId="77777777" w:rsidR="00000000" w:rsidRDefault="0015578C">
      <w:pPr>
        <w:pStyle w:val="a3"/>
        <w:spacing w:before="0" w:beforeAutospacing="0" w:after="0" w:afterAutospacing="0"/>
        <w:jc w:val="both"/>
        <w:rPr>
          <w:sz w:val="20"/>
          <w:szCs w:val="20"/>
        </w:rPr>
      </w:pPr>
      <w:r>
        <w:rPr>
          <w:rStyle w:val="a7"/>
          <w:sz w:val="20"/>
          <w:szCs w:val="20"/>
        </w:rPr>
        <w:t>Financial reporting</w:t>
      </w:r>
    </w:p>
    <w:p w14:paraId="0D81DF78" w14:textId="77777777" w:rsidR="00000000" w:rsidRDefault="0015578C">
      <w:pPr>
        <w:pStyle w:val="a3"/>
        <w:spacing w:before="0" w:beforeAutospacing="0" w:after="0" w:afterAutospacing="0"/>
        <w:jc w:val="both"/>
        <w:rPr>
          <w:sz w:val="20"/>
          <w:szCs w:val="20"/>
        </w:rPr>
      </w:pPr>
      <w:r>
        <w:rPr>
          <w:sz w:val="20"/>
          <w:szCs w:val="20"/>
        </w:rPr>
        <w:t> </w:t>
      </w:r>
    </w:p>
    <w:p w14:paraId="4A66A51B" w14:textId="77777777" w:rsidR="00000000" w:rsidRDefault="0015578C">
      <w:pPr>
        <w:pStyle w:val="a3"/>
        <w:spacing w:before="0" w:beforeAutospacing="0" w:after="0" w:afterAutospacing="0"/>
        <w:ind w:firstLine="675"/>
        <w:jc w:val="both"/>
        <w:rPr>
          <w:sz w:val="20"/>
          <w:szCs w:val="20"/>
        </w:rPr>
      </w:pPr>
      <w:r>
        <w:rPr>
          <w:sz w:val="20"/>
          <w:szCs w:val="20"/>
        </w:rPr>
        <w:t>The consolidated financial statements include the accounts of Solitario and its wholly owned subsidiaries. All significant intercompany accounts and transactions have been eliminated in consolidation. The consolidated financial statements are prepared in a</w:t>
      </w:r>
      <w:r>
        <w:rPr>
          <w:sz w:val="20"/>
          <w:szCs w:val="20"/>
        </w:rPr>
        <w:t>ccordance with accounting principles generally accepted in the United States of America ("generally accepted accounting principles") and are expressed in US dollars.</w:t>
      </w:r>
    </w:p>
    <w:p w14:paraId="5ED8E495" w14:textId="77777777" w:rsidR="00000000" w:rsidRDefault="0015578C">
      <w:pPr>
        <w:pStyle w:val="a3"/>
        <w:spacing w:before="0" w:beforeAutospacing="0" w:after="0" w:afterAutospacing="0"/>
        <w:jc w:val="both"/>
        <w:rPr>
          <w:sz w:val="20"/>
          <w:szCs w:val="20"/>
        </w:rPr>
      </w:pPr>
      <w:r>
        <w:rPr>
          <w:sz w:val="20"/>
          <w:szCs w:val="20"/>
        </w:rPr>
        <w:t> </w:t>
      </w:r>
    </w:p>
    <w:p w14:paraId="41C617EC" w14:textId="77777777" w:rsidR="00000000" w:rsidRDefault="0015578C">
      <w:pPr>
        <w:pStyle w:val="a3"/>
        <w:spacing w:before="0" w:beforeAutospacing="0" w:after="0" w:afterAutospacing="0"/>
        <w:jc w:val="both"/>
        <w:rPr>
          <w:sz w:val="20"/>
          <w:szCs w:val="20"/>
        </w:rPr>
      </w:pPr>
      <w:r>
        <w:rPr>
          <w:rStyle w:val="a7"/>
          <w:sz w:val="20"/>
          <w:szCs w:val="20"/>
        </w:rPr>
        <w:t>Revenue recognition</w:t>
      </w:r>
    </w:p>
    <w:p w14:paraId="679092DF" w14:textId="77777777" w:rsidR="00000000" w:rsidRDefault="0015578C">
      <w:pPr>
        <w:pStyle w:val="a3"/>
        <w:spacing w:before="0" w:beforeAutospacing="0" w:after="0" w:afterAutospacing="0"/>
        <w:jc w:val="both"/>
        <w:rPr>
          <w:sz w:val="20"/>
          <w:szCs w:val="20"/>
        </w:rPr>
      </w:pPr>
      <w:r>
        <w:rPr>
          <w:sz w:val="20"/>
          <w:szCs w:val="20"/>
        </w:rPr>
        <w:t> </w:t>
      </w:r>
    </w:p>
    <w:p w14:paraId="305F628F" w14:textId="77777777" w:rsidR="00000000" w:rsidRDefault="0015578C">
      <w:pPr>
        <w:pStyle w:val="a3"/>
        <w:spacing w:before="0" w:beforeAutospacing="0" w:after="0" w:afterAutospacing="0"/>
        <w:ind w:firstLine="675"/>
        <w:jc w:val="both"/>
        <w:rPr>
          <w:sz w:val="20"/>
          <w:szCs w:val="20"/>
        </w:rPr>
      </w:pPr>
      <w:r>
        <w:rPr>
          <w:sz w:val="20"/>
          <w:szCs w:val="20"/>
        </w:rPr>
        <w:t>Solitario has recorded revenue from the sale of exploration minera</w:t>
      </w:r>
      <w:r>
        <w:rPr>
          <w:sz w:val="20"/>
          <w:szCs w:val="20"/>
        </w:rPr>
        <w:t>l properties and joint venture property payments. Solitario’s policy is to recognize revenue from the sale of its exploration mineral properties (those without reserves) on a property-by-property basis, computed as the cash received and / or collectable re</w:t>
      </w:r>
      <w:r>
        <w:rPr>
          <w:sz w:val="20"/>
          <w:szCs w:val="20"/>
        </w:rPr>
        <w:t>ceivables less any capitalized cost. Payments received for the sale of exploration property interests that are less than the properties cost are recorded as a reduction of the related property's capitalized cost. In addition, Solitario’s policy is to recog</w:t>
      </w:r>
      <w:r>
        <w:rPr>
          <w:sz w:val="20"/>
          <w:szCs w:val="20"/>
        </w:rPr>
        <w:t>nize revenue on any receipts of joint venture property payments in excess of its capitalized costs on a property that Solitario may lease to another mining company.</w:t>
      </w:r>
    </w:p>
    <w:p w14:paraId="5654D0D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56B87B2F" w14:textId="77777777">
        <w:trPr>
          <w:trHeight w:val="225"/>
          <w:tblCellSpacing w:w="15" w:type="dxa"/>
        </w:trPr>
        <w:tc>
          <w:tcPr>
            <w:tcW w:w="0" w:type="auto"/>
            <w:vAlign w:val="center"/>
            <w:hideMark/>
          </w:tcPr>
          <w:p w14:paraId="0EDD3149" w14:textId="77777777" w:rsidR="00000000" w:rsidRDefault="0015578C">
            <w:pPr>
              <w:rPr>
                <w:rFonts w:eastAsia="Times New Roman"/>
                <w:sz w:val="20"/>
                <w:szCs w:val="20"/>
              </w:rPr>
            </w:pPr>
            <w:r>
              <w:rPr>
                <w:rFonts w:eastAsia="Times New Roman"/>
                <w:sz w:val="20"/>
                <w:szCs w:val="20"/>
              </w:rPr>
              <w:t> </w:t>
            </w:r>
          </w:p>
        </w:tc>
      </w:tr>
      <w:tr w:rsidR="00000000" w14:paraId="76BAC937" w14:textId="77777777">
        <w:trPr>
          <w:trHeight w:val="225"/>
          <w:tblCellSpacing w:w="15" w:type="dxa"/>
        </w:trPr>
        <w:tc>
          <w:tcPr>
            <w:tcW w:w="0" w:type="auto"/>
            <w:tcBorders>
              <w:bottom w:val="single" w:sz="6" w:space="0" w:color="000000"/>
            </w:tcBorders>
            <w:vAlign w:val="center"/>
            <w:hideMark/>
          </w:tcPr>
          <w:p w14:paraId="7E5AA6B7" w14:textId="77777777" w:rsidR="00000000" w:rsidRDefault="0015578C">
            <w:pPr>
              <w:jc w:val="center"/>
              <w:rPr>
                <w:rFonts w:eastAsia="Times New Roman"/>
                <w:sz w:val="20"/>
                <w:szCs w:val="20"/>
              </w:rPr>
            </w:pPr>
            <w:r>
              <w:rPr>
                <w:rFonts w:eastAsia="Times New Roman"/>
                <w:sz w:val="20"/>
                <w:szCs w:val="20"/>
              </w:rPr>
              <w:t>F-7</w:t>
            </w:r>
          </w:p>
        </w:tc>
      </w:tr>
      <w:tr w:rsidR="00000000" w14:paraId="2F347203" w14:textId="77777777">
        <w:trPr>
          <w:trHeight w:val="225"/>
          <w:tblCellSpacing w:w="15" w:type="dxa"/>
        </w:trPr>
        <w:tc>
          <w:tcPr>
            <w:tcW w:w="0" w:type="auto"/>
            <w:vAlign w:val="center"/>
            <w:hideMark/>
          </w:tcPr>
          <w:p w14:paraId="76C6443B" w14:textId="77777777" w:rsidR="00000000" w:rsidRDefault="0015578C">
            <w:pPr>
              <w:rPr>
                <w:rFonts w:eastAsia="Times New Roman"/>
                <w:sz w:val="20"/>
                <w:szCs w:val="20"/>
              </w:rPr>
            </w:pPr>
          </w:p>
        </w:tc>
      </w:tr>
      <w:tr w:rsidR="00000000" w14:paraId="3CBBF01E" w14:textId="77777777">
        <w:trPr>
          <w:trHeight w:val="225"/>
          <w:tblCellSpacing w:w="15" w:type="dxa"/>
        </w:trPr>
        <w:tc>
          <w:tcPr>
            <w:tcW w:w="0" w:type="auto"/>
            <w:vAlign w:val="center"/>
            <w:hideMark/>
          </w:tcPr>
          <w:p w14:paraId="0A06AA32"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10F79255" w14:textId="77777777" w:rsidR="00000000" w:rsidRDefault="0015578C">
      <w:pPr>
        <w:pStyle w:val="a3"/>
        <w:spacing w:before="0" w:beforeAutospacing="0" w:after="0" w:afterAutospacing="0"/>
        <w:jc w:val="both"/>
        <w:rPr>
          <w:sz w:val="20"/>
          <w:szCs w:val="20"/>
        </w:rPr>
      </w:pPr>
      <w:r>
        <w:rPr>
          <w:sz w:val="20"/>
          <w:szCs w:val="20"/>
        </w:rPr>
        <w:t> </w:t>
      </w:r>
    </w:p>
    <w:p w14:paraId="04B57BC8" w14:textId="77777777" w:rsidR="00000000" w:rsidRDefault="0015578C">
      <w:pPr>
        <w:pStyle w:val="a3"/>
        <w:spacing w:before="0" w:beforeAutospacing="0" w:after="0" w:afterAutospacing="0"/>
        <w:ind w:firstLine="675"/>
        <w:jc w:val="both"/>
        <w:rPr>
          <w:sz w:val="20"/>
          <w:szCs w:val="20"/>
        </w:rPr>
      </w:pPr>
      <w:r>
        <w:rPr>
          <w:sz w:val="20"/>
          <w:szCs w:val="20"/>
        </w:rPr>
        <w:t>Solitario has not recognized any revenue during 2022 or 2021. Solitario expects any property sales in the future to be on an infrequent basis. Solitario last recognized revenue in 2019 from the sale of certain royalties and in 2018 from the sale of its roy</w:t>
      </w:r>
      <w:r>
        <w:rPr>
          <w:sz w:val="20"/>
          <w:szCs w:val="20"/>
        </w:rPr>
        <w:t>alty in the Yanacocha property. Solitario does not expect to record joint venture property payments on any of its currently held properties for the foreseeable future. Historically, Solitario’s revenues have been infrequent and significant individual trans</w:t>
      </w:r>
      <w:r>
        <w:rPr>
          <w:sz w:val="20"/>
          <w:szCs w:val="20"/>
        </w:rPr>
        <w:t>actions have only been from sales to well known or vetted mining companies. Solitario has never had a return on any of its sales recorded as revenue in its history and does not anticipate it will recognize any estimated returns on any potential future reco</w:t>
      </w:r>
      <w:r>
        <w:rPr>
          <w:sz w:val="20"/>
          <w:szCs w:val="20"/>
        </w:rPr>
        <w:t>rded revenues.</w:t>
      </w:r>
    </w:p>
    <w:p w14:paraId="415A6446" w14:textId="77777777" w:rsidR="00000000" w:rsidRDefault="0015578C">
      <w:pPr>
        <w:pStyle w:val="a3"/>
        <w:spacing w:before="0" w:beforeAutospacing="0" w:after="0" w:afterAutospacing="0"/>
        <w:jc w:val="both"/>
        <w:rPr>
          <w:sz w:val="20"/>
          <w:szCs w:val="20"/>
        </w:rPr>
      </w:pPr>
      <w:r>
        <w:rPr>
          <w:sz w:val="20"/>
          <w:szCs w:val="20"/>
        </w:rPr>
        <w:t> </w:t>
      </w:r>
    </w:p>
    <w:p w14:paraId="43C5A93F" w14:textId="77777777" w:rsidR="00000000" w:rsidRDefault="0015578C">
      <w:pPr>
        <w:pStyle w:val="a3"/>
        <w:spacing w:before="0" w:beforeAutospacing="0" w:after="0" w:afterAutospacing="0"/>
        <w:jc w:val="both"/>
        <w:rPr>
          <w:sz w:val="20"/>
          <w:szCs w:val="20"/>
        </w:rPr>
      </w:pPr>
      <w:r>
        <w:rPr>
          <w:rStyle w:val="a7"/>
          <w:sz w:val="20"/>
          <w:szCs w:val="20"/>
        </w:rPr>
        <w:t>Use of estimates</w:t>
      </w:r>
    </w:p>
    <w:p w14:paraId="10FAAB3C" w14:textId="77777777" w:rsidR="00000000" w:rsidRDefault="0015578C">
      <w:pPr>
        <w:pStyle w:val="a3"/>
        <w:spacing w:before="0" w:beforeAutospacing="0" w:after="0" w:afterAutospacing="0"/>
        <w:jc w:val="both"/>
        <w:rPr>
          <w:sz w:val="20"/>
          <w:szCs w:val="20"/>
        </w:rPr>
      </w:pPr>
      <w:r>
        <w:rPr>
          <w:sz w:val="20"/>
          <w:szCs w:val="20"/>
        </w:rPr>
        <w:t> </w:t>
      </w:r>
    </w:p>
    <w:p w14:paraId="7B87CC00" w14:textId="77777777" w:rsidR="00000000" w:rsidRDefault="0015578C">
      <w:pPr>
        <w:pStyle w:val="a3"/>
        <w:spacing w:before="0" w:beforeAutospacing="0" w:after="0" w:afterAutospacing="0"/>
        <w:ind w:firstLine="675"/>
        <w:jc w:val="both"/>
        <w:rPr>
          <w:sz w:val="20"/>
          <w:szCs w:val="20"/>
        </w:rPr>
      </w:pPr>
      <w:r>
        <w:rPr>
          <w:sz w:val="20"/>
          <w:szCs w:val="20"/>
        </w:rPr>
        <w:t>The preparation of financial statements in conformity with generally accepted accounting principles requires management to make estimates and assumptions that affect the reported amounts of assets and liabilities and dis</w:t>
      </w:r>
      <w:r>
        <w:rPr>
          <w:sz w:val="20"/>
          <w:szCs w:val="20"/>
        </w:rPr>
        <w:t>closure of contingent assets and liabilities at the date of the financial statements and the reported amounts of revenues and expenses during the reporting period. Actual results could differ from those estimates. Some of the more significant estimates inc</w:t>
      </w:r>
      <w:r>
        <w:rPr>
          <w:sz w:val="20"/>
          <w:szCs w:val="20"/>
        </w:rPr>
        <w:t>luded in the preparation of Solitario's financial statements pertain to: (i) the recoverability of its investment in mineral properties related to its mineral exploration properties and their future exploration potential; (ii) the fair value of stock optio</w:t>
      </w:r>
      <w:r>
        <w:rPr>
          <w:sz w:val="20"/>
          <w:szCs w:val="20"/>
        </w:rPr>
        <w:t>n grants to employees; (iii) the ability of Solitario to realize its deferred tax assets; and (iv) Solitario's investment in marketable equity securities.</w:t>
      </w:r>
    </w:p>
    <w:p w14:paraId="23AA067A" w14:textId="77777777" w:rsidR="00000000" w:rsidRDefault="0015578C">
      <w:pPr>
        <w:pStyle w:val="a3"/>
        <w:spacing w:before="0" w:beforeAutospacing="0" w:after="0" w:afterAutospacing="0"/>
        <w:jc w:val="both"/>
        <w:rPr>
          <w:sz w:val="20"/>
          <w:szCs w:val="20"/>
        </w:rPr>
      </w:pPr>
      <w:r>
        <w:rPr>
          <w:sz w:val="20"/>
          <w:szCs w:val="20"/>
        </w:rPr>
        <w:t> </w:t>
      </w:r>
    </w:p>
    <w:p w14:paraId="4CC72E24" w14:textId="77777777" w:rsidR="00000000" w:rsidRDefault="0015578C">
      <w:pPr>
        <w:pStyle w:val="a3"/>
        <w:spacing w:before="0" w:beforeAutospacing="0" w:after="0" w:afterAutospacing="0"/>
        <w:ind w:firstLine="675"/>
        <w:jc w:val="both"/>
        <w:rPr>
          <w:sz w:val="20"/>
          <w:szCs w:val="20"/>
        </w:rPr>
      </w:pPr>
      <w:r>
        <w:rPr>
          <w:sz w:val="20"/>
          <w:szCs w:val="20"/>
        </w:rPr>
        <w:t>In performing its activities, Solitario has incurred certain costs for mineral properties. The reco</w:t>
      </w:r>
      <w:r>
        <w:rPr>
          <w:sz w:val="20"/>
          <w:szCs w:val="20"/>
        </w:rPr>
        <w:t>very of these costs is ultimately dependent upon the sale of mineral property interests or the development of economically recoverable mineral reserves and the ability of Solitario to obtain the necessary permits and financing to successfully place the pro</w:t>
      </w:r>
      <w:r>
        <w:rPr>
          <w:sz w:val="20"/>
          <w:szCs w:val="20"/>
        </w:rPr>
        <w:t>perties into production, and upon future profitable operations, none of which is assured.</w:t>
      </w:r>
    </w:p>
    <w:p w14:paraId="10420149" w14:textId="77777777" w:rsidR="00000000" w:rsidRDefault="0015578C">
      <w:pPr>
        <w:pStyle w:val="a3"/>
        <w:spacing w:before="0" w:beforeAutospacing="0" w:after="0" w:afterAutospacing="0"/>
        <w:jc w:val="both"/>
        <w:rPr>
          <w:sz w:val="20"/>
          <w:szCs w:val="20"/>
        </w:rPr>
      </w:pPr>
      <w:r>
        <w:rPr>
          <w:sz w:val="20"/>
          <w:szCs w:val="20"/>
        </w:rPr>
        <w:t> </w:t>
      </w:r>
    </w:p>
    <w:p w14:paraId="4F37F7B4" w14:textId="77777777" w:rsidR="00000000" w:rsidRDefault="0015578C">
      <w:pPr>
        <w:pStyle w:val="a3"/>
        <w:spacing w:before="0" w:beforeAutospacing="0" w:after="0" w:afterAutospacing="0"/>
        <w:jc w:val="both"/>
        <w:rPr>
          <w:sz w:val="20"/>
          <w:szCs w:val="20"/>
        </w:rPr>
      </w:pPr>
      <w:r>
        <w:rPr>
          <w:rStyle w:val="a7"/>
          <w:sz w:val="20"/>
          <w:szCs w:val="20"/>
        </w:rPr>
        <w:t>Cash and cash equivalents</w:t>
      </w:r>
    </w:p>
    <w:p w14:paraId="31269859" w14:textId="77777777" w:rsidR="00000000" w:rsidRDefault="0015578C">
      <w:pPr>
        <w:pStyle w:val="a3"/>
        <w:spacing w:before="0" w:beforeAutospacing="0" w:after="0" w:afterAutospacing="0"/>
        <w:jc w:val="both"/>
        <w:rPr>
          <w:sz w:val="20"/>
          <w:szCs w:val="20"/>
        </w:rPr>
      </w:pPr>
      <w:r>
        <w:rPr>
          <w:sz w:val="20"/>
          <w:szCs w:val="20"/>
        </w:rPr>
        <w:t> </w:t>
      </w:r>
    </w:p>
    <w:p w14:paraId="30AF4DA6" w14:textId="77777777" w:rsidR="00000000" w:rsidRDefault="0015578C">
      <w:pPr>
        <w:pStyle w:val="a3"/>
        <w:spacing w:before="0" w:beforeAutospacing="0" w:after="0" w:afterAutospacing="0"/>
        <w:ind w:firstLine="675"/>
        <w:jc w:val="both"/>
        <w:rPr>
          <w:sz w:val="20"/>
          <w:szCs w:val="20"/>
        </w:rPr>
      </w:pPr>
      <w:r>
        <w:rPr>
          <w:sz w:val="20"/>
          <w:szCs w:val="20"/>
        </w:rPr>
        <w:t>Cash equivalents include investments in highly liquid money-market securities with original maturities of three months or less when purc</w:t>
      </w:r>
      <w:r>
        <w:rPr>
          <w:sz w:val="20"/>
          <w:szCs w:val="20"/>
        </w:rPr>
        <w:t>hased. At December 31, 2022, approximately $293,000 of Solitario’s cash and cash equivalents are held in brokerage accounts and foreign banks, which are not covered under the Federal Deposit Insurance Corporation (“FDIC”) rules for the United States.</w:t>
      </w:r>
    </w:p>
    <w:p w14:paraId="50429F70" w14:textId="77777777" w:rsidR="00000000" w:rsidRDefault="0015578C">
      <w:pPr>
        <w:pStyle w:val="a3"/>
        <w:spacing w:before="0" w:beforeAutospacing="0" w:after="0" w:afterAutospacing="0"/>
        <w:jc w:val="both"/>
        <w:rPr>
          <w:sz w:val="20"/>
          <w:szCs w:val="20"/>
        </w:rPr>
      </w:pPr>
      <w:r>
        <w:rPr>
          <w:sz w:val="20"/>
          <w:szCs w:val="20"/>
        </w:rPr>
        <w:t> </w:t>
      </w:r>
    </w:p>
    <w:p w14:paraId="26EB6621" w14:textId="77777777" w:rsidR="00000000" w:rsidRDefault="0015578C">
      <w:pPr>
        <w:pStyle w:val="a3"/>
        <w:spacing w:before="0" w:beforeAutospacing="0" w:after="0" w:afterAutospacing="0"/>
        <w:jc w:val="both"/>
        <w:rPr>
          <w:sz w:val="20"/>
          <w:szCs w:val="20"/>
        </w:rPr>
      </w:pPr>
      <w:r>
        <w:rPr>
          <w:rStyle w:val="a7"/>
          <w:sz w:val="20"/>
          <w:szCs w:val="20"/>
        </w:rPr>
        <w:t>Sho</w:t>
      </w:r>
      <w:r>
        <w:rPr>
          <w:rStyle w:val="a7"/>
          <w:sz w:val="20"/>
          <w:szCs w:val="20"/>
        </w:rPr>
        <w:t>rt-term investments</w:t>
      </w:r>
    </w:p>
    <w:p w14:paraId="2FB9BCAE" w14:textId="77777777" w:rsidR="00000000" w:rsidRDefault="0015578C">
      <w:pPr>
        <w:pStyle w:val="a3"/>
        <w:spacing w:before="0" w:beforeAutospacing="0" w:after="0" w:afterAutospacing="0"/>
        <w:jc w:val="both"/>
        <w:rPr>
          <w:sz w:val="20"/>
          <w:szCs w:val="20"/>
        </w:rPr>
      </w:pPr>
      <w:r>
        <w:rPr>
          <w:sz w:val="20"/>
          <w:szCs w:val="20"/>
        </w:rPr>
        <w:t> </w:t>
      </w:r>
    </w:p>
    <w:p w14:paraId="03883E00" w14:textId="77777777" w:rsidR="00000000" w:rsidRDefault="0015578C">
      <w:pPr>
        <w:pStyle w:val="a3"/>
        <w:spacing w:before="0" w:beforeAutospacing="0" w:after="0" w:afterAutospacing="0"/>
        <w:ind w:firstLine="675"/>
        <w:jc w:val="both"/>
        <w:rPr>
          <w:sz w:val="20"/>
          <w:szCs w:val="20"/>
        </w:rPr>
      </w:pPr>
      <w:r>
        <w:rPr>
          <w:sz w:val="20"/>
          <w:szCs w:val="20"/>
        </w:rPr>
        <w:t xml:space="preserve">At December 31, 2022, Solitario has United States Treasury securities (“USTS”) with maturities of 15 days to one year, recorded at their fair value of $3,951,000 compared to USTS recorded at their fair value of $4,236,000 at December </w:t>
      </w:r>
      <w:r>
        <w:rPr>
          <w:sz w:val="20"/>
          <w:szCs w:val="20"/>
        </w:rPr>
        <w:t>31, 2021. At December 31, 2021, Solitario also held FDIC insured bank certificates of deposit (“CD’s”) with face values between $100,000 and $250,000 and maturities of three months to one year, which are recorded at their fair value of $851,000. Solitario’</w:t>
      </w:r>
      <w:r>
        <w:rPr>
          <w:sz w:val="20"/>
          <w:szCs w:val="20"/>
        </w:rPr>
        <w:t>s short-term investments are recorded at their fair value based upon quoted market prices. During the year ended December 31, 2022 and 2021 the non-cash decrease in the fair value of its short-term investments, due primarily to changes in interest rates on</w:t>
      </w:r>
      <w:r>
        <w:rPr>
          <w:sz w:val="20"/>
          <w:szCs w:val="20"/>
        </w:rPr>
        <w:t xml:space="preserve"> held securities, was $108,000 and $102,000, respectively. The short-term investments are highly liquid and may be sold in their entirety at any time at their quoted market price and are classified as a current asset.</w:t>
      </w:r>
    </w:p>
    <w:p w14:paraId="1CBF30DD" w14:textId="77777777" w:rsidR="00000000" w:rsidRDefault="0015578C">
      <w:pPr>
        <w:pStyle w:val="a3"/>
        <w:spacing w:before="0" w:beforeAutospacing="0" w:after="0" w:afterAutospacing="0"/>
        <w:jc w:val="both"/>
        <w:rPr>
          <w:sz w:val="20"/>
          <w:szCs w:val="20"/>
        </w:rPr>
      </w:pPr>
      <w:r>
        <w:rPr>
          <w:sz w:val="20"/>
          <w:szCs w:val="20"/>
        </w:rPr>
        <w:t> </w:t>
      </w:r>
    </w:p>
    <w:p w14:paraId="6DC23DDD" w14:textId="77777777" w:rsidR="00000000" w:rsidRDefault="0015578C">
      <w:pPr>
        <w:pStyle w:val="a3"/>
        <w:spacing w:before="0" w:beforeAutospacing="0" w:after="0" w:afterAutospacing="0"/>
        <w:jc w:val="both"/>
        <w:rPr>
          <w:sz w:val="20"/>
          <w:szCs w:val="20"/>
        </w:rPr>
      </w:pPr>
      <w:r>
        <w:rPr>
          <w:rStyle w:val="a7"/>
          <w:sz w:val="20"/>
          <w:szCs w:val="20"/>
        </w:rPr>
        <w:t>Mineral properties</w:t>
      </w:r>
    </w:p>
    <w:p w14:paraId="4FCC2E3C" w14:textId="77777777" w:rsidR="00000000" w:rsidRDefault="0015578C">
      <w:pPr>
        <w:pStyle w:val="a3"/>
        <w:spacing w:before="0" w:beforeAutospacing="0" w:after="0" w:afterAutospacing="0"/>
        <w:jc w:val="both"/>
        <w:rPr>
          <w:sz w:val="20"/>
          <w:szCs w:val="20"/>
        </w:rPr>
      </w:pPr>
      <w:r>
        <w:rPr>
          <w:sz w:val="20"/>
          <w:szCs w:val="20"/>
        </w:rPr>
        <w:t> </w:t>
      </w:r>
    </w:p>
    <w:p w14:paraId="6716A3D0" w14:textId="77777777" w:rsidR="00000000" w:rsidRDefault="0015578C">
      <w:pPr>
        <w:pStyle w:val="a3"/>
        <w:spacing w:before="0" w:beforeAutospacing="0" w:after="0" w:afterAutospacing="0"/>
        <w:ind w:firstLine="675"/>
        <w:jc w:val="both"/>
        <w:rPr>
          <w:sz w:val="20"/>
          <w:szCs w:val="20"/>
        </w:rPr>
      </w:pPr>
      <w:r>
        <w:rPr>
          <w:sz w:val="20"/>
          <w:szCs w:val="20"/>
        </w:rPr>
        <w:t>Solitario expenses all exploration costs incurred on its mineral properties prior to the establishment of proven and probable reserves through the completion of a feasibility study. Initial acquisition costs of its mineral properties are capitalized. Solit</w:t>
      </w:r>
      <w:r>
        <w:rPr>
          <w:sz w:val="20"/>
          <w:szCs w:val="20"/>
        </w:rPr>
        <w:t>ario regularly performs evaluations of its investment in mineral properties to assess the recoverability and/or the residual value of its investments in these assets. All long-lived assets are reviewed for impairment whenever events or circumstances change</w:t>
      </w:r>
      <w:r>
        <w:rPr>
          <w:sz w:val="20"/>
          <w:szCs w:val="20"/>
        </w:rPr>
        <w:t xml:space="preserve"> which indicate the carrying amount of an asset may not be recoverable, utilizing established guidelines based upon undiscounted future net cash flows from the asset or upon the determination that certain exploration properties do not have sufficient poten</w:t>
      </w:r>
      <w:r>
        <w:rPr>
          <w:sz w:val="20"/>
          <w:szCs w:val="20"/>
        </w:rPr>
        <w:t>tial for economic mineralization.</w:t>
      </w:r>
    </w:p>
    <w:p w14:paraId="6A97519B" w14:textId="77777777" w:rsidR="00000000" w:rsidRDefault="0015578C">
      <w:pPr>
        <w:pStyle w:val="a3"/>
        <w:spacing w:before="0" w:beforeAutospacing="0" w:after="0" w:afterAutospacing="0"/>
        <w:jc w:val="both"/>
        <w:rPr>
          <w:sz w:val="20"/>
          <w:szCs w:val="20"/>
        </w:rPr>
      </w:pPr>
      <w:r>
        <w:rPr>
          <w:sz w:val="20"/>
          <w:szCs w:val="20"/>
        </w:rPr>
        <w:t> </w:t>
      </w:r>
    </w:p>
    <w:p w14:paraId="4A22887E" w14:textId="77777777" w:rsidR="00000000" w:rsidRDefault="0015578C">
      <w:pPr>
        <w:pStyle w:val="a3"/>
        <w:spacing w:before="0" w:beforeAutospacing="0" w:after="0" w:afterAutospacing="0"/>
        <w:jc w:val="both"/>
        <w:rPr>
          <w:sz w:val="20"/>
          <w:szCs w:val="20"/>
        </w:rPr>
      </w:pPr>
      <w:r>
        <w:rPr>
          <w:rStyle w:val="a7"/>
          <w:sz w:val="20"/>
          <w:szCs w:val="20"/>
        </w:rPr>
        <w:t>Derivative instruments</w:t>
      </w:r>
    </w:p>
    <w:p w14:paraId="29DB13CE" w14:textId="77777777" w:rsidR="00000000" w:rsidRDefault="0015578C">
      <w:pPr>
        <w:pStyle w:val="a3"/>
        <w:spacing w:before="0" w:beforeAutospacing="0" w:after="0" w:afterAutospacing="0"/>
        <w:jc w:val="both"/>
        <w:rPr>
          <w:sz w:val="20"/>
          <w:szCs w:val="20"/>
        </w:rPr>
      </w:pPr>
      <w:r>
        <w:rPr>
          <w:sz w:val="20"/>
          <w:szCs w:val="20"/>
        </w:rPr>
        <w:t> </w:t>
      </w:r>
    </w:p>
    <w:p w14:paraId="54938AFE" w14:textId="77777777" w:rsidR="00000000" w:rsidRDefault="0015578C">
      <w:pPr>
        <w:pStyle w:val="a3"/>
        <w:spacing w:before="0" w:beforeAutospacing="0" w:after="0" w:afterAutospacing="0"/>
        <w:ind w:firstLine="675"/>
        <w:jc w:val="both"/>
        <w:rPr>
          <w:sz w:val="20"/>
          <w:szCs w:val="20"/>
        </w:rPr>
      </w:pPr>
      <w:r>
        <w:rPr>
          <w:sz w:val="20"/>
          <w:szCs w:val="20"/>
        </w:rPr>
        <w:t>Solitario accounts for its derivative instruments in accordance with ASC 815, "Accounting for Derivative Instruments and Hedging Activities" (“ASC 815”). During 2019, Solitario acquired certain V</w:t>
      </w:r>
      <w:r>
        <w:rPr>
          <w:sz w:val="20"/>
          <w:szCs w:val="20"/>
        </w:rPr>
        <w:t>endetta Mining Corp. (“Vendetta”) units, which included Vendetta Warrants (defined below). Changes in fair value of the Vendetta Warrants are recognized in the statements of operations in the period of change as gain or loss on derivative instruments. Soli</w:t>
      </w:r>
      <w:r>
        <w:rPr>
          <w:sz w:val="20"/>
          <w:szCs w:val="20"/>
        </w:rPr>
        <w:t>tario has entered into covered calls from time to time on its investment in Kinross Gold Corporation (“Kinross”) marketable equity securities. Solitario has not designated its covered calls as hedging instruments and any changes in the fair value of the co</w:t>
      </w:r>
      <w:r>
        <w:rPr>
          <w:sz w:val="20"/>
          <w:szCs w:val="20"/>
        </w:rPr>
        <w:t>vered calls are recognized in the statements of operations in the period of the change as gain or loss on derivative instruments.</w:t>
      </w:r>
    </w:p>
    <w:p w14:paraId="3B48253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B1F0A03" w14:textId="77777777">
        <w:trPr>
          <w:trHeight w:val="225"/>
          <w:tblCellSpacing w:w="15" w:type="dxa"/>
        </w:trPr>
        <w:tc>
          <w:tcPr>
            <w:tcW w:w="0" w:type="auto"/>
            <w:vAlign w:val="center"/>
            <w:hideMark/>
          </w:tcPr>
          <w:p w14:paraId="59C87AE2" w14:textId="77777777" w:rsidR="00000000" w:rsidRDefault="0015578C">
            <w:pPr>
              <w:rPr>
                <w:rFonts w:eastAsia="Times New Roman"/>
                <w:sz w:val="20"/>
                <w:szCs w:val="20"/>
              </w:rPr>
            </w:pPr>
            <w:r>
              <w:rPr>
                <w:rFonts w:eastAsia="Times New Roman"/>
                <w:sz w:val="20"/>
                <w:szCs w:val="20"/>
              </w:rPr>
              <w:t> </w:t>
            </w:r>
          </w:p>
        </w:tc>
      </w:tr>
      <w:tr w:rsidR="00000000" w14:paraId="799FB20F" w14:textId="77777777">
        <w:trPr>
          <w:trHeight w:val="225"/>
          <w:tblCellSpacing w:w="15" w:type="dxa"/>
        </w:trPr>
        <w:tc>
          <w:tcPr>
            <w:tcW w:w="0" w:type="auto"/>
            <w:tcBorders>
              <w:bottom w:val="single" w:sz="6" w:space="0" w:color="000000"/>
            </w:tcBorders>
            <w:vAlign w:val="center"/>
            <w:hideMark/>
          </w:tcPr>
          <w:p w14:paraId="70D01417" w14:textId="77777777" w:rsidR="00000000" w:rsidRDefault="0015578C">
            <w:pPr>
              <w:jc w:val="center"/>
              <w:rPr>
                <w:rFonts w:eastAsia="Times New Roman"/>
                <w:sz w:val="20"/>
                <w:szCs w:val="20"/>
              </w:rPr>
            </w:pPr>
            <w:r>
              <w:rPr>
                <w:rFonts w:eastAsia="Times New Roman"/>
                <w:sz w:val="20"/>
                <w:szCs w:val="20"/>
              </w:rPr>
              <w:t>F-8</w:t>
            </w:r>
          </w:p>
        </w:tc>
      </w:tr>
      <w:tr w:rsidR="00000000" w14:paraId="653584A8" w14:textId="77777777">
        <w:trPr>
          <w:trHeight w:val="225"/>
          <w:tblCellSpacing w:w="15" w:type="dxa"/>
        </w:trPr>
        <w:tc>
          <w:tcPr>
            <w:tcW w:w="0" w:type="auto"/>
            <w:vAlign w:val="center"/>
            <w:hideMark/>
          </w:tcPr>
          <w:p w14:paraId="7E7EE574" w14:textId="77777777" w:rsidR="00000000" w:rsidRDefault="0015578C">
            <w:pPr>
              <w:rPr>
                <w:rFonts w:eastAsia="Times New Roman"/>
                <w:sz w:val="20"/>
                <w:szCs w:val="20"/>
              </w:rPr>
            </w:pPr>
          </w:p>
        </w:tc>
      </w:tr>
      <w:tr w:rsidR="00000000" w14:paraId="136F0245" w14:textId="77777777">
        <w:trPr>
          <w:trHeight w:val="225"/>
          <w:tblCellSpacing w:w="15" w:type="dxa"/>
        </w:trPr>
        <w:tc>
          <w:tcPr>
            <w:tcW w:w="0" w:type="auto"/>
            <w:vAlign w:val="center"/>
            <w:hideMark/>
          </w:tcPr>
          <w:p w14:paraId="512F0210"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24B6DE78" w14:textId="77777777" w:rsidR="00000000" w:rsidRDefault="0015578C">
      <w:pPr>
        <w:pStyle w:val="a3"/>
        <w:spacing w:before="0" w:beforeAutospacing="0" w:after="0" w:afterAutospacing="0"/>
        <w:jc w:val="both"/>
        <w:rPr>
          <w:sz w:val="20"/>
          <w:szCs w:val="20"/>
        </w:rPr>
      </w:pPr>
      <w:r>
        <w:rPr>
          <w:sz w:val="20"/>
          <w:szCs w:val="20"/>
        </w:rPr>
        <w:t> </w:t>
      </w:r>
    </w:p>
    <w:p w14:paraId="16816D6D" w14:textId="77777777" w:rsidR="00000000" w:rsidRDefault="0015578C">
      <w:pPr>
        <w:pStyle w:val="a3"/>
        <w:spacing w:before="0" w:beforeAutospacing="0" w:after="0" w:afterAutospacing="0"/>
        <w:jc w:val="both"/>
        <w:rPr>
          <w:sz w:val="20"/>
          <w:szCs w:val="20"/>
        </w:rPr>
      </w:pPr>
      <w:r>
        <w:rPr>
          <w:rStyle w:val="a7"/>
          <w:sz w:val="20"/>
          <w:szCs w:val="20"/>
        </w:rPr>
        <w:t>Fair value</w:t>
      </w:r>
    </w:p>
    <w:p w14:paraId="7E4F9B2D" w14:textId="77777777" w:rsidR="00000000" w:rsidRDefault="0015578C">
      <w:pPr>
        <w:pStyle w:val="a3"/>
        <w:spacing w:before="0" w:beforeAutospacing="0" w:after="0" w:afterAutospacing="0"/>
        <w:jc w:val="both"/>
        <w:rPr>
          <w:sz w:val="20"/>
          <w:szCs w:val="20"/>
        </w:rPr>
      </w:pPr>
      <w:r>
        <w:rPr>
          <w:sz w:val="20"/>
          <w:szCs w:val="20"/>
        </w:rPr>
        <w:t> </w:t>
      </w:r>
    </w:p>
    <w:p w14:paraId="4F011079" w14:textId="77777777" w:rsidR="00000000" w:rsidRDefault="0015578C">
      <w:pPr>
        <w:pStyle w:val="a3"/>
        <w:spacing w:before="0" w:beforeAutospacing="0" w:after="0" w:afterAutospacing="0"/>
        <w:ind w:firstLine="675"/>
        <w:jc w:val="both"/>
        <w:rPr>
          <w:sz w:val="20"/>
          <w:szCs w:val="20"/>
        </w:rPr>
      </w:pPr>
      <w:r>
        <w:rPr>
          <w:sz w:val="20"/>
          <w:szCs w:val="20"/>
        </w:rPr>
        <w:t>Financial Accounting Standards Board ASC 820, “Fair Value Measurements and Disclosures” (“ASC 820”) establishes a framework for measuring fair value and requires enhanced disclosures about fair value measurements. ASC 820 clarifies that fair value is an ex</w:t>
      </w:r>
      <w:r>
        <w:rPr>
          <w:sz w:val="20"/>
          <w:szCs w:val="20"/>
        </w:rPr>
        <w:t>it price, representing the amount that would be received to sell an asset or paid to transfer a liability in an orderly transaction between market participants. Solitario's short-term investments in USTS and CD’s, its marketable equity securities and any c</w:t>
      </w:r>
      <w:r>
        <w:rPr>
          <w:sz w:val="20"/>
          <w:szCs w:val="20"/>
        </w:rPr>
        <w:t>overed call options against those marketable equity securities are carried at their estimated fair value based on quoted market prices. See Note 8, “Fair Value of Financial Instruments,” below.</w:t>
      </w:r>
    </w:p>
    <w:p w14:paraId="76E1C6FF" w14:textId="77777777" w:rsidR="00000000" w:rsidRDefault="0015578C">
      <w:pPr>
        <w:pStyle w:val="a3"/>
        <w:spacing w:before="0" w:beforeAutospacing="0" w:after="0" w:afterAutospacing="0"/>
        <w:jc w:val="both"/>
        <w:rPr>
          <w:sz w:val="20"/>
          <w:szCs w:val="20"/>
        </w:rPr>
      </w:pPr>
      <w:r>
        <w:rPr>
          <w:sz w:val="20"/>
          <w:szCs w:val="20"/>
        </w:rPr>
        <w:t> </w:t>
      </w:r>
    </w:p>
    <w:p w14:paraId="4E9C2B0F" w14:textId="77777777" w:rsidR="00000000" w:rsidRDefault="0015578C">
      <w:pPr>
        <w:pStyle w:val="a3"/>
        <w:spacing w:before="0" w:beforeAutospacing="0" w:after="0" w:afterAutospacing="0"/>
        <w:jc w:val="both"/>
        <w:rPr>
          <w:sz w:val="20"/>
          <w:szCs w:val="20"/>
        </w:rPr>
      </w:pPr>
      <w:r>
        <w:rPr>
          <w:rStyle w:val="a7"/>
          <w:sz w:val="20"/>
          <w:szCs w:val="20"/>
        </w:rPr>
        <w:t>Marketable equity securities</w:t>
      </w:r>
    </w:p>
    <w:p w14:paraId="582CB331" w14:textId="77777777" w:rsidR="00000000" w:rsidRDefault="0015578C">
      <w:pPr>
        <w:pStyle w:val="a3"/>
        <w:spacing w:before="0" w:beforeAutospacing="0" w:after="0" w:afterAutospacing="0"/>
        <w:jc w:val="both"/>
        <w:rPr>
          <w:sz w:val="20"/>
          <w:szCs w:val="20"/>
        </w:rPr>
      </w:pPr>
      <w:r>
        <w:rPr>
          <w:sz w:val="20"/>
          <w:szCs w:val="20"/>
        </w:rPr>
        <w:t> </w:t>
      </w:r>
    </w:p>
    <w:p w14:paraId="45E34959" w14:textId="77777777" w:rsidR="00000000" w:rsidRDefault="0015578C">
      <w:pPr>
        <w:pStyle w:val="a3"/>
        <w:spacing w:before="0" w:beforeAutospacing="0" w:after="0" w:afterAutospacing="0"/>
        <w:ind w:firstLine="675"/>
        <w:jc w:val="both"/>
        <w:rPr>
          <w:sz w:val="20"/>
          <w:szCs w:val="20"/>
        </w:rPr>
      </w:pPr>
      <w:r>
        <w:rPr>
          <w:sz w:val="20"/>
          <w:szCs w:val="20"/>
        </w:rPr>
        <w:t>Solitario's investments in ma</w:t>
      </w:r>
      <w:r>
        <w:rPr>
          <w:sz w:val="20"/>
          <w:szCs w:val="20"/>
        </w:rPr>
        <w:t>rketable equity securities are carried at fair value, which is based upon quoted prices of the securities owned. Solitario records investments in marketable equity securities for investments in publicly traded marketable equity securities for which it does</w:t>
      </w:r>
      <w:r>
        <w:rPr>
          <w:sz w:val="20"/>
          <w:szCs w:val="20"/>
        </w:rPr>
        <w:t xml:space="preserve"> not exercise significant control and where Solitario has no representation on the board of directors of those companies and exercises no control over the management of those companies. The cost and realized gain or loss on marketable equity securities sol</w:t>
      </w:r>
      <w:r>
        <w:rPr>
          <w:sz w:val="20"/>
          <w:szCs w:val="20"/>
        </w:rPr>
        <w:t>d is determined by the specific identification method. Changes in fair value on Solitario’s holdings of marketable equity securities are recorded as unrealized gain or loss in the consolidated statement of operations.</w:t>
      </w:r>
    </w:p>
    <w:p w14:paraId="3B81C069" w14:textId="77777777" w:rsidR="00000000" w:rsidRDefault="0015578C">
      <w:pPr>
        <w:pStyle w:val="a3"/>
        <w:spacing w:before="0" w:beforeAutospacing="0" w:after="0" w:afterAutospacing="0"/>
        <w:jc w:val="both"/>
        <w:rPr>
          <w:sz w:val="20"/>
          <w:szCs w:val="20"/>
        </w:rPr>
      </w:pPr>
      <w:r>
        <w:rPr>
          <w:sz w:val="20"/>
          <w:szCs w:val="20"/>
        </w:rPr>
        <w:t> </w:t>
      </w:r>
    </w:p>
    <w:p w14:paraId="7BBF5741" w14:textId="77777777" w:rsidR="00000000" w:rsidRDefault="0015578C">
      <w:pPr>
        <w:pStyle w:val="a3"/>
        <w:spacing w:before="0" w:beforeAutospacing="0" w:after="0" w:afterAutospacing="0"/>
        <w:jc w:val="both"/>
        <w:rPr>
          <w:sz w:val="20"/>
          <w:szCs w:val="20"/>
        </w:rPr>
      </w:pPr>
      <w:r>
        <w:rPr>
          <w:rStyle w:val="a7"/>
          <w:sz w:val="20"/>
          <w:szCs w:val="20"/>
        </w:rPr>
        <w:t>Foreign exchange</w:t>
      </w:r>
    </w:p>
    <w:p w14:paraId="76835404" w14:textId="77777777" w:rsidR="00000000" w:rsidRDefault="0015578C">
      <w:pPr>
        <w:pStyle w:val="a3"/>
        <w:spacing w:before="0" w:beforeAutospacing="0" w:after="0" w:afterAutospacing="0"/>
        <w:jc w:val="both"/>
        <w:rPr>
          <w:sz w:val="20"/>
          <w:szCs w:val="20"/>
        </w:rPr>
      </w:pPr>
      <w:r>
        <w:rPr>
          <w:sz w:val="20"/>
          <w:szCs w:val="20"/>
        </w:rPr>
        <w:t> </w:t>
      </w:r>
    </w:p>
    <w:p w14:paraId="273B23F4" w14:textId="77777777" w:rsidR="00000000" w:rsidRDefault="0015578C">
      <w:pPr>
        <w:pStyle w:val="a3"/>
        <w:spacing w:before="0" w:beforeAutospacing="0" w:after="0" w:afterAutospacing="0"/>
        <w:ind w:firstLine="675"/>
        <w:jc w:val="both"/>
        <w:rPr>
          <w:sz w:val="20"/>
          <w:szCs w:val="20"/>
        </w:rPr>
      </w:pPr>
      <w:r>
        <w:rPr>
          <w:sz w:val="20"/>
          <w:szCs w:val="20"/>
        </w:rPr>
        <w:t>The United States</w:t>
      </w:r>
      <w:r>
        <w:rPr>
          <w:sz w:val="20"/>
          <w:szCs w:val="20"/>
        </w:rPr>
        <w:t xml:space="preserve"> dollar is the functional currency for all of Solitario's foreign subsidiaries. Although Solitario's South American exploration activities during 2022 and 2021 were conducted primarily in Peru, a portion of the payments for the land, leasehold and explorat</w:t>
      </w:r>
      <w:r>
        <w:rPr>
          <w:sz w:val="20"/>
          <w:szCs w:val="20"/>
        </w:rPr>
        <w:t>ion agreements as well as certain exploration activities are denominated in United States dollars. Inter-company funding is transacted in United States dollars. Foreign currency gains and losses are included in the results of operations in the period in wh</w:t>
      </w:r>
      <w:r>
        <w:rPr>
          <w:sz w:val="20"/>
          <w:szCs w:val="20"/>
        </w:rPr>
        <w:t>ich they occur.</w:t>
      </w:r>
    </w:p>
    <w:p w14:paraId="22DEFCEB" w14:textId="77777777" w:rsidR="00000000" w:rsidRDefault="0015578C">
      <w:pPr>
        <w:pStyle w:val="a3"/>
        <w:spacing w:before="0" w:beforeAutospacing="0" w:after="0" w:afterAutospacing="0"/>
        <w:jc w:val="both"/>
        <w:rPr>
          <w:sz w:val="20"/>
          <w:szCs w:val="20"/>
        </w:rPr>
      </w:pPr>
      <w:r>
        <w:rPr>
          <w:sz w:val="20"/>
          <w:szCs w:val="20"/>
        </w:rPr>
        <w:t> </w:t>
      </w:r>
    </w:p>
    <w:p w14:paraId="5F997C77" w14:textId="77777777" w:rsidR="00000000" w:rsidRDefault="0015578C">
      <w:pPr>
        <w:pStyle w:val="a3"/>
        <w:spacing w:before="0" w:beforeAutospacing="0" w:after="0" w:afterAutospacing="0"/>
        <w:jc w:val="both"/>
        <w:rPr>
          <w:sz w:val="20"/>
          <w:szCs w:val="20"/>
        </w:rPr>
      </w:pPr>
      <w:r>
        <w:rPr>
          <w:rStyle w:val="a7"/>
          <w:sz w:val="20"/>
          <w:szCs w:val="20"/>
        </w:rPr>
        <w:t>Income taxes</w:t>
      </w:r>
    </w:p>
    <w:p w14:paraId="1E48CACF" w14:textId="77777777" w:rsidR="00000000" w:rsidRDefault="0015578C">
      <w:pPr>
        <w:pStyle w:val="a3"/>
        <w:spacing w:before="0" w:beforeAutospacing="0" w:after="0" w:afterAutospacing="0"/>
        <w:jc w:val="both"/>
        <w:rPr>
          <w:sz w:val="20"/>
          <w:szCs w:val="20"/>
        </w:rPr>
      </w:pPr>
      <w:r>
        <w:rPr>
          <w:sz w:val="20"/>
          <w:szCs w:val="20"/>
        </w:rPr>
        <w:t> </w:t>
      </w:r>
    </w:p>
    <w:p w14:paraId="6999180D" w14:textId="77777777" w:rsidR="00000000" w:rsidRDefault="0015578C">
      <w:pPr>
        <w:pStyle w:val="a3"/>
        <w:spacing w:before="0" w:beforeAutospacing="0" w:after="0" w:afterAutospacing="0"/>
        <w:ind w:firstLine="675"/>
        <w:jc w:val="both"/>
        <w:rPr>
          <w:sz w:val="20"/>
          <w:szCs w:val="20"/>
        </w:rPr>
      </w:pPr>
      <w:r>
        <w:rPr>
          <w:sz w:val="20"/>
          <w:szCs w:val="20"/>
        </w:rPr>
        <w:t>Solitario accounts for income taxes in accordance with ASC 740, “Accounting for Income Taxes” (“ASC 740”). Under ASC 740, income taxes are provided for the tax effects of transactions reported in the financial statements an</w:t>
      </w:r>
      <w:r>
        <w:rPr>
          <w:sz w:val="20"/>
          <w:szCs w:val="20"/>
        </w:rPr>
        <w:t>d consist of taxes currently due plus deferred taxes related to certain income and expenses recognized in different periods for financial and income tax reporting purposes. Deferred tax assets and liabilities represent the future tax return consequences of</w:t>
      </w:r>
      <w:r>
        <w:rPr>
          <w:sz w:val="20"/>
          <w:szCs w:val="20"/>
        </w:rPr>
        <w:t xml:space="preserve"> those differences, which will either be taxable or deductible when the assets and liabilities are recovered or settled. Deferred taxes are also recognized for operating losses and tax credits that are available to offset future taxable income and income t</w:t>
      </w:r>
      <w:r>
        <w:rPr>
          <w:sz w:val="20"/>
          <w:szCs w:val="20"/>
        </w:rPr>
        <w:t>axes, respectively. A valuation allowance is provided if it is more likely than not that some portion or all of the deferred tax assets will not be realized.</w:t>
      </w:r>
    </w:p>
    <w:p w14:paraId="313C950C" w14:textId="77777777" w:rsidR="00000000" w:rsidRDefault="0015578C">
      <w:pPr>
        <w:pStyle w:val="a3"/>
        <w:spacing w:before="0" w:beforeAutospacing="0" w:after="0" w:afterAutospacing="0"/>
        <w:jc w:val="both"/>
        <w:rPr>
          <w:sz w:val="20"/>
          <w:szCs w:val="20"/>
        </w:rPr>
      </w:pPr>
      <w:r>
        <w:rPr>
          <w:sz w:val="20"/>
          <w:szCs w:val="20"/>
        </w:rPr>
        <w:t> </w:t>
      </w:r>
    </w:p>
    <w:p w14:paraId="7C2EBD88" w14:textId="77777777" w:rsidR="00000000" w:rsidRDefault="0015578C">
      <w:pPr>
        <w:pStyle w:val="a3"/>
        <w:spacing w:before="0" w:beforeAutospacing="0" w:after="0" w:afterAutospacing="0"/>
        <w:jc w:val="both"/>
        <w:rPr>
          <w:sz w:val="20"/>
          <w:szCs w:val="20"/>
        </w:rPr>
      </w:pPr>
      <w:r>
        <w:rPr>
          <w:rStyle w:val="a7"/>
          <w:sz w:val="20"/>
          <w:szCs w:val="20"/>
        </w:rPr>
        <w:t>Accounting for uncertainty in income taxes</w:t>
      </w:r>
    </w:p>
    <w:p w14:paraId="2829F1E2" w14:textId="77777777" w:rsidR="00000000" w:rsidRDefault="0015578C">
      <w:pPr>
        <w:pStyle w:val="a3"/>
        <w:spacing w:before="0" w:beforeAutospacing="0" w:after="0" w:afterAutospacing="0"/>
        <w:jc w:val="both"/>
        <w:rPr>
          <w:sz w:val="20"/>
          <w:szCs w:val="20"/>
        </w:rPr>
      </w:pPr>
      <w:r>
        <w:rPr>
          <w:sz w:val="20"/>
          <w:szCs w:val="20"/>
        </w:rPr>
        <w:t> </w:t>
      </w:r>
    </w:p>
    <w:p w14:paraId="6C313F18" w14:textId="77777777" w:rsidR="00000000" w:rsidRDefault="0015578C">
      <w:pPr>
        <w:pStyle w:val="a3"/>
        <w:spacing w:before="0" w:beforeAutospacing="0" w:after="0" w:afterAutospacing="0"/>
        <w:ind w:firstLine="675"/>
        <w:jc w:val="both"/>
        <w:rPr>
          <w:sz w:val="20"/>
          <w:szCs w:val="20"/>
        </w:rPr>
      </w:pPr>
      <w:r>
        <w:rPr>
          <w:sz w:val="20"/>
          <w:szCs w:val="20"/>
        </w:rPr>
        <w:t>ASC 740 clarifies the accounting for uncertainty in</w:t>
      </w:r>
      <w:r>
        <w:rPr>
          <w:sz w:val="20"/>
          <w:szCs w:val="20"/>
        </w:rPr>
        <w:t xml:space="preserve"> income taxes recognized in a company's financial statements. ASC 740 prescribes a recognition threshold and measurement attribute for the financial statement recognition and measurement of a tax position taken or expected to be taken in a tax return. ASC </w:t>
      </w:r>
      <w:r>
        <w:rPr>
          <w:sz w:val="20"/>
          <w:szCs w:val="20"/>
        </w:rPr>
        <w:t xml:space="preserve">740 also provides guidance on derecognition, classification, interest and penalties, accounting in interim periods, disclosure, and transition. ASC 740 provides that a company's tax position will be considered settled if the taxing authority has completed </w:t>
      </w:r>
      <w:r>
        <w:rPr>
          <w:sz w:val="20"/>
          <w:szCs w:val="20"/>
        </w:rPr>
        <w:t xml:space="preserve">its examination, the company does not plan to appeal, and it is remote that the taxing authority would reexamine the tax position in the future. These provisions of ASC 740 had no effect on Solitario's financial position or results of operations. See Note </w:t>
      </w:r>
      <w:r>
        <w:rPr>
          <w:sz w:val="20"/>
          <w:szCs w:val="20"/>
        </w:rPr>
        <w:t>6, “Income Taxes,” below.</w:t>
      </w:r>
    </w:p>
    <w:p w14:paraId="384E6D50" w14:textId="77777777" w:rsidR="00000000" w:rsidRDefault="0015578C">
      <w:pPr>
        <w:pStyle w:val="a3"/>
        <w:spacing w:before="0" w:beforeAutospacing="0" w:after="0" w:afterAutospacing="0"/>
        <w:jc w:val="both"/>
        <w:rPr>
          <w:sz w:val="20"/>
          <w:szCs w:val="20"/>
        </w:rPr>
      </w:pPr>
      <w:r>
        <w:rPr>
          <w:sz w:val="20"/>
          <w:szCs w:val="20"/>
        </w:rPr>
        <w:t> </w:t>
      </w:r>
    </w:p>
    <w:p w14:paraId="33C457A0" w14:textId="77777777" w:rsidR="00000000" w:rsidRDefault="0015578C">
      <w:pPr>
        <w:pStyle w:val="a3"/>
        <w:spacing w:before="0" w:beforeAutospacing="0" w:after="0" w:afterAutospacing="0"/>
        <w:jc w:val="both"/>
        <w:rPr>
          <w:sz w:val="20"/>
          <w:szCs w:val="20"/>
        </w:rPr>
      </w:pPr>
      <w:r>
        <w:rPr>
          <w:rStyle w:val="a7"/>
          <w:sz w:val="20"/>
          <w:szCs w:val="20"/>
        </w:rPr>
        <w:t>Earnings per share</w:t>
      </w:r>
    </w:p>
    <w:p w14:paraId="0E626C7F" w14:textId="77777777" w:rsidR="00000000" w:rsidRDefault="0015578C">
      <w:pPr>
        <w:pStyle w:val="a3"/>
        <w:spacing w:before="0" w:beforeAutospacing="0" w:after="0" w:afterAutospacing="0"/>
        <w:jc w:val="both"/>
        <w:rPr>
          <w:sz w:val="20"/>
          <w:szCs w:val="20"/>
        </w:rPr>
      </w:pPr>
      <w:r>
        <w:rPr>
          <w:sz w:val="20"/>
          <w:szCs w:val="20"/>
        </w:rPr>
        <w:t> </w:t>
      </w:r>
    </w:p>
    <w:p w14:paraId="70E8EFAB" w14:textId="77777777" w:rsidR="00000000" w:rsidRDefault="0015578C">
      <w:pPr>
        <w:pStyle w:val="a3"/>
        <w:spacing w:before="0" w:beforeAutospacing="0" w:after="0" w:afterAutospacing="0"/>
        <w:ind w:firstLine="675"/>
        <w:jc w:val="both"/>
        <w:rPr>
          <w:sz w:val="20"/>
          <w:szCs w:val="20"/>
        </w:rPr>
      </w:pPr>
      <w:r>
        <w:rPr>
          <w:sz w:val="20"/>
          <w:szCs w:val="20"/>
        </w:rPr>
        <w:t>The calculation of basic and diluted earnings (loss) per share is based on the weighted average number of shares of common stock outstanding during the years ended December 31, 2022 and 2021. Potentially dil</w:t>
      </w:r>
      <w:r>
        <w:rPr>
          <w:sz w:val="20"/>
          <w:szCs w:val="20"/>
        </w:rPr>
        <w:t>utive shares, consisting of outstanding common stock options of 5,390,000 and 5,513,000, respectively, exercisable for Solitario common shares were excluded from the calculation of diluted loss per share for the year ended December 31, 2022 and 2021 becaus</w:t>
      </w:r>
      <w:r>
        <w:rPr>
          <w:sz w:val="20"/>
          <w:szCs w:val="20"/>
        </w:rPr>
        <w:t>e the effects were anti-dilutive.</w:t>
      </w:r>
    </w:p>
    <w:p w14:paraId="333F616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0FA842D" w14:textId="77777777">
        <w:trPr>
          <w:trHeight w:val="225"/>
          <w:tblCellSpacing w:w="15" w:type="dxa"/>
        </w:trPr>
        <w:tc>
          <w:tcPr>
            <w:tcW w:w="0" w:type="auto"/>
            <w:vAlign w:val="center"/>
            <w:hideMark/>
          </w:tcPr>
          <w:p w14:paraId="218907BC" w14:textId="77777777" w:rsidR="00000000" w:rsidRDefault="0015578C">
            <w:pPr>
              <w:rPr>
                <w:rFonts w:eastAsia="Times New Roman"/>
                <w:sz w:val="20"/>
                <w:szCs w:val="20"/>
              </w:rPr>
            </w:pPr>
            <w:r>
              <w:rPr>
                <w:rFonts w:eastAsia="Times New Roman"/>
                <w:sz w:val="20"/>
                <w:szCs w:val="20"/>
              </w:rPr>
              <w:t> </w:t>
            </w:r>
          </w:p>
        </w:tc>
      </w:tr>
      <w:tr w:rsidR="00000000" w14:paraId="2A3EC945" w14:textId="77777777">
        <w:trPr>
          <w:trHeight w:val="225"/>
          <w:tblCellSpacing w:w="15" w:type="dxa"/>
        </w:trPr>
        <w:tc>
          <w:tcPr>
            <w:tcW w:w="0" w:type="auto"/>
            <w:tcBorders>
              <w:bottom w:val="single" w:sz="6" w:space="0" w:color="000000"/>
            </w:tcBorders>
            <w:vAlign w:val="center"/>
            <w:hideMark/>
          </w:tcPr>
          <w:p w14:paraId="45AD73C3" w14:textId="77777777" w:rsidR="00000000" w:rsidRDefault="0015578C">
            <w:pPr>
              <w:jc w:val="center"/>
              <w:rPr>
                <w:rFonts w:eastAsia="Times New Roman"/>
                <w:sz w:val="20"/>
                <w:szCs w:val="20"/>
              </w:rPr>
            </w:pPr>
            <w:r>
              <w:rPr>
                <w:rFonts w:eastAsia="Times New Roman"/>
                <w:sz w:val="20"/>
                <w:szCs w:val="20"/>
              </w:rPr>
              <w:t>F-9</w:t>
            </w:r>
          </w:p>
        </w:tc>
      </w:tr>
      <w:tr w:rsidR="00000000" w14:paraId="6078566F" w14:textId="77777777">
        <w:trPr>
          <w:trHeight w:val="225"/>
          <w:tblCellSpacing w:w="15" w:type="dxa"/>
        </w:trPr>
        <w:tc>
          <w:tcPr>
            <w:tcW w:w="0" w:type="auto"/>
            <w:vAlign w:val="center"/>
            <w:hideMark/>
          </w:tcPr>
          <w:p w14:paraId="45BC3635" w14:textId="77777777" w:rsidR="00000000" w:rsidRDefault="0015578C">
            <w:pPr>
              <w:rPr>
                <w:rFonts w:eastAsia="Times New Roman"/>
                <w:sz w:val="20"/>
                <w:szCs w:val="20"/>
              </w:rPr>
            </w:pPr>
          </w:p>
        </w:tc>
      </w:tr>
      <w:tr w:rsidR="00000000" w14:paraId="1860C9F2" w14:textId="77777777">
        <w:trPr>
          <w:trHeight w:val="225"/>
          <w:tblCellSpacing w:w="15" w:type="dxa"/>
        </w:trPr>
        <w:tc>
          <w:tcPr>
            <w:tcW w:w="0" w:type="auto"/>
            <w:vAlign w:val="center"/>
            <w:hideMark/>
          </w:tcPr>
          <w:p w14:paraId="0398CF99"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54300694" w14:textId="77777777" w:rsidR="00000000" w:rsidRDefault="0015578C">
      <w:pPr>
        <w:pStyle w:val="a3"/>
        <w:spacing w:before="0" w:beforeAutospacing="0" w:after="0" w:afterAutospacing="0"/>
        <w:jc w:val="both"/>
        <w:rPr>
          <w:sz w:val="20"/>
          <w:szCs w:val="20"/>
        </w:rPr>
      </w:pPr>
      <w:r>
        <w:rPr>
          <w:sz w:val="20"/>
          <w:szCs w:val="20"/>
        </w:rPr>
        <w:t> </w:t>
      </w:r>
    </w:p>
    <w:p w14:paraId="51794869" w14:textId="77777777" w:rsidR="00000000" w:rsidRDefault="0015578C">
      <w:pPr>
        <w:pStyle w:val="a3"/>
        <w:spacing w:before="0" w:beforeAutospacing="0" w:after="0" w:afterAutospacing="0"/>
        <w:jc w:val="both"/>
        <w:rPr>
          <w:sz w:val="20"/>
          <w:szCs w:val="20"/>
        </w:rPr>
      </w:pPr>
      <w:r>
        <w:rPr>
          <w:rStyle w:val="a7"/>
          <w:sz w:val="20"/>
          <w:szCs w:val="20"/>
        </w:rPr>
        <w:t>Employee stock compensation and incentive plans</w:t>
      </w:r>
    </w:p>
    <w:p w14:paraId="34DBCC85" w14:textId="77777777" w:rsidR="00000000" w:rsidRDefault="0015578C">
      <w:pPr>
        <w:pStyle w:val="a3"/>
        <w:spacing w:before="0" w:beforeAutospacing="0" w:after="0" w:afterAutospacing="0"/>
        <w:jc w:val="both"/>
        <w:rPr>
          <w:sz w:val="20"/>
          <w:szCs w:val="20"/>
        </w:rPr>
      </w:pPr>
      <w:r>
        <w:rPr>
          <w:sz w:val="20"/>
          <w:szCs w:val="20"/>
        </w:rPr>
        <w:t> </w:t>
      </w:r>
    </w:p>
    <w:p w14:paraId="6F41E520" w14:textId="77777777" w:rsidR="00000000" w:rsidRDefault="0015578C">
      <w:pPr>
        <w:pStyle w:val="a3"/>
        <w:spacing w:before="0" w:beforeAutospacing="0" w:after="0" w:afterAutospacing="0"/>
        <w:ind w:firstLine="675"/>
        <w:jc w:val="both"/>
        <w:rPr>
          <w:sz w:val="20"/>
          <w:szCs w:val="20"/>
        </w:rPr>
      </w:pPr>
      <w:r>
        <w:rPr>
          <w:sz w:val="20"/>
          <w:szCs w:val="20"/>
        </w:rPr>
        <w:t>Solitario classifies all of its stock options as equity options in accordance with the provisions of ASC 718, “Compensation – Stock Compensation.” See Note 10, “Employee Stock Compensation Plans,” below.</w:t>
      </w:r>
    </w:p>
    <w:p w14:paraId="4E000285" w14:textId="77777777" w:rsidR="00000000" w:rsidRDefault="0015578C">
      <w:pPr>
        <w:pStyle w:val="a3"/>
        <w:spacing w:before="0" w:beforeAutospacing="0" w:after="0" w:afterAutospacing="0"/>
        <w:jc w:val="both"/>
        <w:rPr>
          <w:sz w:val="20"/>
          <w:szCs w:val="20"/>
        </w:rPr>
      </w:pPr>
      <w:r>
        <w:rPr>
          <w:sz w:val="20"/>
          <w:szCs w:val="20"/>
        </w:rPr>
        <w:t> </w:t>
      </w:r>
    </w:p>
    <w:p w14:paraId="716D98EE" w14:textId="77777777" w:rsidR="00000000" w:rsidRDefault="0015578C">
      <w:pPr>
        <w:pStyle w:val="a3"/>
        <w:spacing w:before="0" w:beforeAutospacing="0" w:after="0" w:afterAutospacing="0"/>
        <w:jc w:val="both"/>
        <w:rPr>
          <w:sz w:val="20"/>
          <w:szCs w:val="20"/>
        </w:rPr>
      </w:pPr>
      <w:r>
        <w:rPr>
          <w:rStyle w:val="a7"/>
          <w:sz w:val="20"/>
          <w:szCs w:val="20"/>
        </w:rPr>
        <w:t>Risks and Uncertainties</w:t>
      </w:r>
    </w:p>
    <w:p w14:paraId="1490E2E4" w14:textId="77777777" w:rsidR="00000000" w:rsidRDefault="0015578C">
      <w:pPr>
        <w:pStyle w:val="a3"/>
        <w:spacing w:before="0" w:beforeAutospacing="0" w:after="0" w:afterAutospacing="0"/>
        <w:jc w:val="both"/>
        <w:rPr>
          <w:sz w:val="20"/>
          <w:szCs w:val="20"/>
        </w:rPr>
      </w:pPr>
      <w:r>
        <w:rPr>
          <w:sz w:val="20"/>
          <w:szCs w:val="20"/>
        </w:rPr>
        <w:t> </w:t>
      </w:r>
    </w:p>
    <w:p w14:paraId="155D0532" w14:textId="77777777" w:rsidR="00000000" w:rsidRDefault="0015578C">
      <w:pPr>
        <w:pStyle w:val="a3"/>
        <w:spacing w:before="0" w:beforeAutospacing="0" w:after="0" w:afterAutospacing="0"/>
        <w:ind w:firstLine="675"/>
        <w:jc w:val="both"/>
        <w:rPr>
          <w:sz w:val="20"/>
          <w:szCs w:val="20"/>
        </w:rPr>
      </w:pPr>
      <w:r>
        <w:rPr>
          <w:sz w:val="20"/>
          <w:szCs w:val="20"/>
        </w:rPr>
        <w:t>Solitario faces risks re</w:t>
      </w:r>
      <w:r>
        <w:rPr>
          <w:sz w:val="20"/>
          <w:szCs w:val="20"/>
        </w:rPr>
        <w:t>lated to health epidemics and other outbreaks of communicable diseases, which could significantly disrupt its operations and may materially and adversely affect its business and financial conditions.</w:t>
      </w:r>
    </w:p>
    <w:p w14:paraId="2C9D03C4" w14:textId="77777777" w:rsidR="00000000" w:rsidRDefault="0015578C">
      <w:pPr>
        <w:pStyle w:val="a3"/>
        <w:spacing w:before="0" w:beforeAutospacing="0" w:after="0" w:afterAutospacing="0"/>
        <w:jc w:val="both"/>
        <w:rPr>
          <w:sz w:val="20"/>
          <w:szCs w:val="20"/>
        </w:rPr>
      </w:pPr>
      <w:r>
        <w:rPr>
          <w:sz w:val="20"/>
          <w:szCs w:val="20"/>
        </w:rPr>
        <w:t> </w:t>
      </w:r>
    </w:p>
    <w:p w14:paraId="1EA63D50" w14:textId="77777777" w:rsidR="00000000" w:rsidRDefault="0015578C">
      <w:pPr>
        <w:pStyle w:val="a3"/>
        <w:spacing w:before="0" w:beforeAutospacing="0" w:after="0" w:afterAutospacing="0"/>
        <w:ind w:firstLine="675"/>
        <w:jc w:val="both"/>
        <w:rPr>
          <w:sz w:val="20"/>
          <w:szCs w:val="20"/>
        </w:rPr>
      </w:pPr>
      <w:r>
        <w:rPr>
          <w:sz w:val="20"/>
          <w:szCs w:val="20"/>
        </w:rPr>
        <w:t>Solitario’s business still could be adversely impacted</w:t>
      </w:r>
      <w:r>
        <w:rPr>
          <w:sz w:val="20"/>
          <w:szCs w:val="20"/>
        </w:rPr>
        <w:t xml:space="preserve"> by the effects of the coronavirus (“COVID-19”) or other epidemics or pandemics. Solitario continues to evaluate the effects of COVID-19 on its operations and at times during the pandemic has taken pro-active steps to address the impacts on its operations,</w:t>
      </w:r>
      <w:r>
        <w:rPr>
          <w:sz w:val="20"/>
          <w:szCs w:val="20"/>
        </w:rPr>
        <w:t xml:space="preserve"> including at times reducing costs, in response to the economic uncertainty associated with potential risks from COVID-19. These prior cost reductions included implementing salary reductions and evaluating and reducing certain planned 2021 exploration prog</w:t>
      </w:r>
      <w:r>
        <w:rPr>
          <w:sz w:val="20"/>
          <w:szCs w:val="20"/>
        </w:rPr>
        <w:t xml:space="preserve">rams through its joint venture partners at the Florida Canyon and Lik exploration projects. Certain of Solitario’s joint venture partners have, from time to time, modified plans with respect to the projects in which Solitario holds an interest in response </w:t>
      </w:r>
      <w:r>
        <w:rPr>
          <w:sz w:val="20"/>
          <w:szCs w:val="20"/>
        </w:rPr>
        <w:t>to the COVID-19 pandemic. Also, Solitairo has evaluated the potential impacts on its ability to access future traditional funding sources on the same or reasonably similar terms as in past periods. Solitario will continue to monitor the effects of COVID-19</w:t>
      </w:r>
      <w:r>
        <w:rPr>
          <w:sz w:val="20"/>
          <w:szCs w:val="20"/>
        </w:rPr>
        <w:t xml:space="preserve"> on its operations, financial condition, and liquidity. However, the extent to which COVID-19 ultimately impacts Solitario’s business, including its exploration and other activities and the market for its securities, will depend on future developments, whi</w:t>
      </w:r>
      <w:r>
        <w:rPr>
          <w:sz w:val="20"/>
          <w:szCs w:val="20"/>
        </w:rPr>
        <w:t>ch are highly uncertain and cannot be predicted at this time, and include the duration, severity and scope of any new outbreak and the actions taken to contain or treat the COVID-19 pandemic.</w:t>
      </w:r>
    </w:p>
    <w:p w14:paraId="6A8AE7FF" w14:textId="77777777" w:rsidR="00000000" w:rsidRDefault="0015578C">
      <w:pPr>
        <w:pStyle w:val="a3"/>
        <w:spacing w:before="0" w:beforeAutospacing="0" w:after="0" w:afterAutospacing="0"/>
        <w:jc w:val="both"/>
        <w:rPr>
          <w:sz w:val="20"/>
          <w:szCs w:val="20"/>
        </w:rPr>
      </w:pPr>
      <w:r>
        <w:rPr>
          <w:sz w:val="20"/>
          <w:szCs w:val="20"/>
        </w:rPr>
        <w:t> </w:t>
      </w:r>
    </w:p>
    <w:p w14:paraId="6DF31BD8" w14:textId="77777777" w:rsidR="00000000" w:rsidRDefault="0015578C">
      <w:pPr>
        <w:pStyle w:val="a3"/>
        <w:spacing w:before="0" w:beforeAutospacing="0" w:after="0" w:afterAutospacing="0"/>
        <w:jc w:val="both"/>
        <w:rPr>
          <w:sz w:val="20"/>
          <w:szCs w:val="20"/>
        </w:rPr>
      </w:pPr>
      <w:r>
        <w:rPr>
          <w:sz w:val="20"/>
          <w:szCs w:val="20"/>
        </w:rPr>
        <w:t xml:space="preserve">2. </w:t>
      </w:r>
      <w:r>
        <w:rPr>
          <w:sz w:val="20"/>
          <w:szCs w:val="20"/>
          <w:u w:val="single"/>
        </w:rPr>
        <w:t>Mineral Properties</w:t>
      </w:r>
      <w:r>
        <w:rPr>
          <w:sz w:val="20"/>
          <w:szCs w:val="20"/>
        </w:rPr>
        <w:t>:</w:t>
      </w:r>
    </w:p>
    <w:p w14:paraId="22801120" w14:textId="77777777" w:rsidR="00000000" w:rsidRDefault="0015578C">
      <w:pPr>
        <w:pStyle w:val="a3"/>
        <w:spacing w:before="0" w:beforeAutospacing="0" w:after="0" w:afterAutospacing="0"/>
        <w:jc w:val="both"/>
        <w:rPr>
          <w:sz w:val="20"/>
          <w:szCs w:val="20"/>
        </w:rPr>
      </w:pPr>
      <w:r>
        <w:rPr>
          <w:sz w:val="20"/>
          <w:szCs w:val="20"/>
        </w:rPr>
        <w:t> </w:t>
      </w:r>
    </w:p>
    <w:p w14:paraId="261DC295" w14:textId="77777777" w:rsidR="00000000" w:rsidRDefault="0015578C">
      <w:pPr>
        <w:pStyle w:val="a3"/>
        <w:spacing w:before="0" w:beforeAutospacing="0" w:after="0" w:afterAutospacing="0"/>
        <w:ind w:firstLine="675"/>
        <w:jc w:val="both"/>
        <w:rPr>
          <w:sz w:val="20"/>
          <w:szCs w:val="20"/>
        </w:rPr>
      </w:pPr>
      <w:r>
        <w:rPr>
          <w:sz w:val="20"/>
          <w:szCs w:val="20"/>
        </w:rPr>
        <w:t>The following table details Solitario’s capitalized investment in exploration mineral property:</w:t>
      </w:r>
    </w:p>
    <w:p w14:paraId="5EBE8C51"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5E612545" w14:textId="77777777">
        <w:trPr>
          <w:trHeight w:val="225"/>
          <w:tblCellSpacing w:w="15" w:type="dxa"/>
        </w:trPr>
        <w:tc>
          <w:tcPr>
            <w:tcW w:w="0" w:type="auto"/>
            <w:vAlign w:val="bottom"/>
            <w:hideMark/>
          </w:tcPr>
          <w:p w14:paraId="4F19F67C"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3211E4F0"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7388A89F"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5CB9C901" w14:textId="77777777" w:rsidR="00000000" w:rsidRDefault="0015578C">
            <w:pPr>
              <w:pStyle w:val="a3"/>
              <w:spacing w:before="0" w:beforeAutospacing="0" w:after="0" w:afterAutospacing="0"/>
              <w:rPr>
                <w:sz w:val="20"/>
                <w:szCs w:val="20"/>
              </w:rPr>
            </w:pPr>
            <w:r>
              <w:rPr>
                <w:sz w:val="20"/>
                <w:szCs w:val="20"/>
              </w:rPr>
              <w:t> </w:t>
            </w:r>
          </w:p>
        </w:tc>
      </w:tr>
      <w:tr w:rsidR="00000000" w14:paraId="5863EF61" w14:textId="77777777">
        <w:trPr>
          <w:trHeight w:val="225"/>
          <w:tblCellSpacing w:w="15" w:type="dxa"/>
        </w:trPr>
        <w:tc>
          <w:tcPr>
            <w:tcW w:w="0" w:type="auto"/>
            <w:vAlign w:val="center"/>
            <w:hideMark/>
          </w:tcPr>
          <w:p w14:paraId="4FDFB636"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45E0FE8"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37950C67"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6C098C1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54FD21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23C0C95"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74BB8180" w14:textId="77777777" w:rsidR="00000000" w:rsidRDefault="0015578C">
            <w:pPr>
              <w:pStyle w:val="a3"/>
              <w:spacing w:before="0" w:beforeAutospacing="0" w:after="0" w:afterAutospacing="0"/>
              <w:rPr>
                <w:sz w:val="20"/>
                <w:szCs w:val="20"/>
              </w:rPr>
            </w:pPr>
            <w:r>
              <w:rPr>
                <w:sz w:val="20"/>
                <w:szCs w:val="20"/>
              </w:rPr>
              <w:t> </w:t>
            </w:r>
          </w:p>
        </w:tc>
      </w:tr>
      <w:tr w:rsidR="00000000" w14:paraId="0C97A7BC" w14:textId="77777777">
        <w:trPr>
          <w:trHeight w:val="225"/>
          <w:tblCellSpacing w:w="15" w:type="dxa"/>
        </w:trPr>
        <w:tc>
          <w:tcPr>
            <w:tcW w:w="0" w:type="auto"/>
            <w:hideMark/>
          </w:tcPr>
          <w:p w14:paraId="0CE33B07" w14:textId="77777777" w:rsidR="00000000" w:rsidRDefault="0015578C">
            <w:pPr>
              <w:pStyle w:val="a3"/>
              <w:spacing w:before="0" w:beforeAutospacing="0" w:after="0" w:afterAutospacing="0"/>
              <w:rPr>
                <w:sz w:val="20"/>
                <w:szCs w:val="20"/>
              </w:rPr>
            </w:pPr>
            <w:r>
              <w:rPr>
                <w:sz w:val="20"/>
                <w:szCs w:val="20"/>
              </w:rPr>
              <w:t>Exploration</w:t>
            </w:r>
          </w:p>
        </w:tc>
        <w:tc>
          <w:tcPr>
            <w:tcW w:w="50" w:type="pct"/>
            <w:noWrap/>
            <w:vAlign w:val="center"/>
            <w:hideMark/>
          </w:tcPr>
          <w:p w14:paraId="045C2668"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5E3A135C"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7505975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728D0760"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2760F56C"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DB3FA57" w14:textId="77777777" w:rsidR="00000000" w:rsidRDefault="0015578C">
            <w:pPr>
              <w:pStyle w:val="a3"/>
              <w:spacing w:before="0" w:beforeAutospacing="0" w:after="0" w:afterAutospacing="0"/>
              <w:rPr>
                <w:sz w:val="20"/>
                <w:szCs w:val="20"/>
              </w:rPr>
            </w:pPr>
            <w:r>
              <w:rPr>
                <w:sz w:val="20"/>
                <w:szCs w:val="20"/>
              </w:rPr>
              <w:t> </w:t>
            </w:r>
          </w:p>
        </w:tc>
      </w:tr>
      <w:tr w:rsidR="00000000" w14:paraId="3A745CD4" w14:textId="77777777">
        <w:trPr>
          <w:trHeight w:val="225"/>
          <w:tblCellSpacing w:w="15" w:type="dxa"/>
        </w:trPr>
        <w:tc>
          <w:tcPr>
            <w:tcW w:w="0" w:type="auto"/>
            <w:shd w:val="clear" w:color="auto" w:fill="CCEEFF"/>
            <w:hideMark/>
          </w:tcPr>
          <w:p w14:paraId="310A9FC1" w14:textId="77777777" w:rsidR="00000000" w:rsidRDefault="0015578C">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14:paraId="7F9F7B6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44D81B9"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4C765A51" w14:textId="77777777" w:rsidR="00000000" w:rsidRDefault="0015578C">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14:paraId="7373B3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8BB6E0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977F11C"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969835B" w14:textId="77777777" w:rsidR="00000000" w:rsidRDefault="0015578C">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14:paraId="3FE11F23" w14:textId="77777777" w:rsidR="00000000" w:rsidRDefault="0015578C">
            <w:pPr>
              <w:pStyle w:val="a3"/>
              <w:spacing w:before="0" w:beforeAutospacing="0" w:after="0" w:afterAutospacing="0"/>
              <w:rPr>
                <w:sz w:val="20"/>
                <w:szCs w:val="20"/>
              </w:rPr>
            </w:pPr>
            <w:r>
              <w:rPr>
                <w:sz w:val="20"/>
                <w:szCs w:val="20"/>
              </w:rPr>
              <w:t> </w:t>
            </w:r>
          </w:p>
        </w:tc>
      </w:tr>
      <w:tr w:rsidR="00000000" w14:paraId="41FD8B30" w14:textId="77777777">
        <w:trPr>
          <w:trHeight w:val="225"/>
          <w:tblCellSpacing w:w="15" w:type="dxa"/>
        </w:trPr>
        <w:tc>
          <w:tcPr>
            <w:tcW w:w="0" w:type="auto"/>
            <w:shd w:val="clear" w:color="auto" w:fill="FFFFFF"/>
            <w:hideMark/>
          </w:tcPr>
          <w:p w14:paraId="1D1A0610" w14:textId="77777777" w:rsidR="00000000" w:rsidRDefault="0015578C">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14:paraId="0A674D8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381548D2"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23977CE7" w14:textId="77777777" w:rsidR="00000000" w:rsidRDefault="0015578C">
            <w:pPr>
              <w:jc w:val="right"/>
              <w:rPr>
                <w:rFonts w:eastAsia="Times New Roman"/>
                <w:sz w:val="20"/>
                <w:szCs w:val="20"/>
              </w:rPr>
            </w:pPr>
            <w:r>
              <w:rPr>
                <w:rFonts w:eastAsia="Times New Roman"/>
                <w:sz w:val="20"/>
                <w:szCs w:val="20"/>
              </w:rPr>
              <w:t>1,035</w:t>
            </w:r>
          </w:p>
        </w:tc>
        <w:tc>
          <w:tcPr>
            <w:tcW w:w="50" w:type="pct"/>
            <w:shd w:val="clear" w:color="auto" w:fill="FFFFFF"/>
            <w:noWrap/>
            <w:tcMar>
              <w:top w:w="0" w:type="dxa"/>
              <w:left w:w="0" w:type="dxa"/>
              <w:bottom w:w="15" w:type="dxa"/>
              <w:right w:w="0" w:type="dxa"/>
            </w:tcMar>
            <w:vAlign w:val="center"/>
            <w:hideMark/>
          </w:tcPr>
          <w:p w14:paraId="059F70E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0BA1BB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EC6FDC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03016B4C" w14:textId="77777777" w:rsidR="00000000" w:rsidRDefault="0015578C">
            <w:pPr>
              <w:jc w:val="right"/>
              <w:rPr>
                <w:rFonts w:eastAsia="Times New Roman"/>
                <w:sz w:val="20"/>
                <w:szCs w:val="20"/>
              </w:rPr>
            </w:pPr>
            <w:r>
              <w:rPr>
                <w:rFonts w:eastAsia="Times New Roman"/>
                <w:sz w:val="20"/>
                <w:szCs w:val="20"/>
              </w:rPr>
              <w:t>695</w:t>
            </w:r>
          </w:p>
        </w:tc>
        <w:tc>
          <w:tcPr>
            <w:tcW w:w="50" w:type="pct"/>
            <w:shd w:val="clear" w:color="auto" w:fill="FFFFFF"/>
            <w:noWrap/>
            <w:tcMar>
              <w:top w:w="0" w:type="dxa"/>
              <w:left w:w="0" w:type="dxa"/>
              <w:bottom w:w="15" w:type="dxa"/>
              <w:right w:w="0" w:type="dxa"/>
            </w:tcMar>
            <w:vAlign w:val="center"/>
            <w:hideMark/>
          </w:tcPr>
          <w:p w14:paraId="687DED17" w14:textId="77777777" w:rsidR="00000000" w:rsidRDefault="0015578C">
            <w:pPr>
              <w:pStyle w:val="a3"/>
              <w:spacing w:before="0" w:beforeAutospacing="0" w:after="0" w:afterAutospacing="0"/>
              <w:rPr>
                <w:sz w:val="20"/>
                <w:szCs w:val="20"/>
              </w:rPr>
            </w:pPr>
            <w:r>
              <w:rPr>
                <w:sz w:val="20"/>
                <w:szCs w:val="20"/>
              </w:rPr>
              <w:t> </w:t>
            </w:r>
          </w:p>
        </w:tc>
      </w:tr>
      <w:tr w:rsidR="00000000" w14:paraId="48249231" w14:textId="77777777">
        <w:trPr>
          <w:trHeight w:val="225"/>
          <w:tblCellSpacing w:w="15" w:type="dxa"/>
        </w:trPr>
        <w:tc>
          <w:tcPr>
            <w:tcW w:w="0" w:type="auto"/>
            <w:shd w:val="clear" w:color="auto" w:fill="CCEEFF"/>
            <w:hideMark/>
          </w:tcPr>
          <w:p w14:paraId="36D17646" w14:textId="77777777" w:rsidR="00000000" w:rsidRDefault="0015578C">
            <w:pPr>
              <w:pStyle w:val="a3"/>
              <w:spacing w:before="0" w:beforeAutospacing="0" w:after="0" w:afterAutospacing="0"/>
              <w:ind w:left="450"/>
              <w:rPr>
                <w:sz w:val="20"/>
                <w:szCs w:val="20"/>
              </w:rPr>
            </w:pPr>
            <w:r>
              <w:rPr>
                <w:sz w:val="20"/>
                <w:szCs w:val="20"/>
              </w:rPr>
              <w:t>Total exploration mineral property</w:t>
            </w:r>
          </w:p>
        </w:tc>
        <w:tc>
          <w:tcPr>
            <w:tcW w:w="50" w:type="pct"/>
            <w:shd w:val="clear" w:color="auto" w:fill="CCEEFF"/>
            <w:noWrap/>
            <w:vAlign w:val="center"/>
            <w:hideMark/>
          </w:tcPr>
          <w:p w14:paraId="1CB319F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1DF918D1"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7839C0D8" w14:textId="77777777" w:rsidR="00000000" w:rsidRDefault="0015578C">
            <w:pPr>
              <w:jc w:val="right"/>
              <w:rPr>
                <w:rFonts w:eastAsia="Times New Roman"/>
                <w:sz w:val="20"/>
                <w:szCs w:val="20"/>
              </w:rPr>
            </w:pPr>
            <w:r>
              <w:rPr>
                <w:rFonts w:eastAsia="Times New Roman"/>
                <w:sz w:val="20"/>
                <w:szCs w:val="20"/>
              </w:rPr>
              <w:t>16,646</w:t>
            </w:r>
          </w:p>
        </w:tc>
        <w:tc>
          <w:tcPr>
            <w:tcW w:w="50" w:type="pct"/>
            <w:shd w:val="clear" w:color="auto" w:fill="CCEEFF"/>
            <w:noWrap/>
            <w:tcMar>
              <w:top w:w="0" w:type="dxa"/>
              <w:left w:w="0" w:type="dxa"/>
              <w:bottom w:w="15" w:type="dxa"/>
              <w:right w:w="0" w:type="dxa"/>
            </w:tcMar>
            <w:vAlign w:val="center"/>
            <w:hideMark/>
          </w:tcPr>
          <w:p w14:paraId="5AA8242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7F54B6"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52E1CFF0"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3BF313E9" w14:textId="77777777" w:rsidR="00000000" w:rsidRDefault="0015578C">
            <w:pPr>
              <w:jc w:val="right"/>
              <w:rPr>
                <w:rFonts w:eastAsia="Times New Roman"/>
                <w:sz w:val="20"/>
                <w:szCs w:val="20"/>
              </w:rPr>
            </w:pPr>
            <w:r>
              <w:rPr>
                <w:rFonts w:eastAsia="Times New Roman"/>
                <w:sz w:val="20"/>
                <w:szCs w:val="20"/>
              </w:rPr>
              <w:t>16,306</w:t>
            </w:r>
          </w:p>
        </w:tc>
        <w:tc>
          <w:tcPr>
            <w:tcW w:w="50" w:type="pct"/>
            <w:shd w:val="clear" w:color="auto" w:fill="CCEEFF"/>
            <w:noWrap/>
            <w:tcMar>
              <w:top w:w="0" w:type="dxa"/>
              <w:left w:w="0" w:type="dxa"/>
              <w:bottom w:w="15" w:type="dxa"/>
              <w:right w:w="0" w:type="dxa"/>
            </w:tcMar>
            <w:vAlign w:val="center"/>
            <w:hideMark/>
          </w:tcPr>
          <w:p w14:paraId="774FB6CB" w14:textId="77777777" w:rsidR="00000000" w:rsidRDefault="0015578C">
            <w:pPr>
              <w:pStyle w:val="a3"/>
              <w:spacing w:before="0" w:beforeAutospacing="0" w:after="0" w:afterAutospacing="0"/>
              <w:rPr>
                <w:sz w:val="20"/>
                <w:szCs w:val="20"/>
              </w:rPr>
            </w:pPr>
            <w:r>
              <w:rPr>
                <w:sz w:val="20"/>
                <w:szCs w:val="20"/>
              </w:rPr>
              <w:t> </w:t>
            </w:r>
          </w:p>
        </w:tc>
      </w:tr>
    </w:tbl>
    <w:p w14:paraId="3E0932CC" w14:textId="77777777" w:rsidR="00000000" w:rsidRDefault="0015578C">
      <w:pPr>
        <w:pStyle w:val="a3"/>
        <w:spacing w:before="0" w:beforeAutospacing="0" w:after="0" w:afterAutospacing="0"/>
        <w:jc w:val="both"/>
        <w:rPr>
          <w:sz w:val="20"/>
          <w:szCs w:val="20"/>
        </w:rPr>
      </w:pPr>
      <w:r>
        <w:rPr>
          <w:sz w:val="20"/>
          <w:szCs w:val="20"/>
        </w:rPr>
        <w:t> </w:t>
      </w:r>
    </w:p>
    <w:p w14:paraId="01EEA384" w14:textId="77777777" w:rsidR="00000000" w:rsidRDefault="0015578C">
      <w:pPr>
        <w:pStyle w:val="a3"/>
        <w:spacing w:before="0" w:beforeAutospacing="0" w:after="0" w:afterAutospacing="0"/>
        <w:jc w:val="both"/>
        <w:rPr>
          <w:sz w:val="20"/>
          <w:szCs w:val="20"/>
        </w:rPr>
      </w:pPr>
      <w:r>
        <w:rPr>
          <w:rStyle w:val="a7"/>
          <w:sz w:val="20"/>
          <w:szCs w:val="20"/>
        </w:rPr>
        <w:t>Exploration property</w:t>
      </w:r>
    </w:p>
    <w:p w14:paraId="3B03A58B" w14:textId="77777777" w:rsidR="00000000" w:rsidRDefault="0015578C">
      <w:pPr>
        <w:pStyle w:val="a3"/>
        <w:spacing w:before="0" w:beforeAutospacing="0" w:after="0" w:afterAutospacing="0"/>
        <w:jc w:val="both"/>
        <w:rPr>
          <w:sz w:val="20"/>
          <w:szCs w:val="20"/>
        </w:rPr>
      </w:pPr>
      <w:r>
        <w:rPr>
          <w:sz w:val="20"/>
          <w:szCs w:val="20"/>
        </w:rPr>
        <w:t> </w:t>
      </w:r>
    </w:p>
    <w:p w14:paraId="15F28DE2" w14:textId="77777777" w:rsidR="00000000" w:rsidRDefault="0015578C">
      <w:pPr>
        <w:pStyle w:val="a3"/>
        <w:spacing w:before="0" w:beforeAutospacing="0" w:after="0" w:afterAutospacing="0"/>
        <w:ind w:firstLine="675"/>
        <w:jc w:val="both"/>
        <w:rPr>
          <w:sz w:val="20"/>
          <w:szCs w:val="20"/>
        </w:rPr>
      </w:pPr>
      <w:r>
        <w:rPr>
          <w:sz w:val="20"/>
          <w:szCs w:val="20"/>
        </w:rPr>
        <w:t>Solitario's exploration mineral properties at December 31, 2022 and 2021 consist of use rights related to its exploration properties, and the value of such assets is primarily driven by the nature and amount of economic mineral ore believed to be contained</w:t>
      </w:r>
      <w:r>
        <w:rPr>
          <w:sz w:val="20"/>
          <w:szCs w:val="20"/>
        </w:rPr>
        <w:t xml:space="preserve">, or potentially contained, in such properties. The amounts capitalized as mineral properties include concession and lease or option acquisition costs. Capitalized costs related to a mineral property represent its fair value at the time it was acquired or </w:t>
      </w:r>
      <w:r>
        <w:rPr>
          <w:sz w:val="20"/>
          <w:szCs w:val="20"/>
        </w:rPr>
        <w:t>the cost to acquire the property, as appropriate. At December 31, 2022, none of Solitario’s exploration properties have production (are operating) or contain proven or probable reserves. Solitario's exploration mineral properties represent interests in pro</w:t>
      </w:r>
      <w:r>
        <w:rPr>
          <w:sz w:val="20"/>
          <w:szCs w:val="20"/>
        </w:rPr>
        <w:t>perties that Solitario believes have exploration and development potential. Solitario's mineral use rights generally are enforceable regardless of whether proven and probable reserves have been established.</w:t>
      </w:r>
    </w:p>
    <w:p w14:paraId="1539CD0E" w14:textId="77777777" w:rsidR="00000000" w:rsidRDefault="0015578C">
      <w:pPr>
        <w:pStyle w:val="a3"/>
        <w:spacing w:before="0" w:beforeAutospacing="0" w:after="0" w:afterAutospacing="0"/>
        <w:jc w:val="both"/>
        <w:rPr>
          <w:sz w:val="20"/>
          <w:szCs w:val="20"/>
        </w:rPr>
      </w:pPr>
      <w:r>
        <w:rPr>
          <w:sz w:val="20"/>
          <w:szCs w:val="20"/>
        </w:rPr>
        <w:t> </w:t>
      </w:r>
    </w:p>
    <w:p w14:paraId="657C3D2B" w14:textId="77777777" w:rsidR="00000000" w:rsidRDefault="0015578C">
      <w:pPr>
        <w:pStyle w:val="a3"/>
        <w:spacing w:before="0" w:beforeAutospacing="0" w:after="0" w:afterAutospacing="0"/>
        <w:jc w:val="both"/>
        <w:rPr>
          <w:sz w:val="20"/>
          <w:szCs w:val="20"/>
        </w:rPr>
      </w:pPr>
      <w:r>
        <w:rPr>
          <w:sz w:val="20"/>
          <w:szCs w:val="20"/>
          <w:u w:val="single"/>
        </w:rPr>
        <w:t>Golden Crest</w:t>
      </w:r>
    </w:p>
    <w:p w14:paraId="6A438577" w14:textId="77777777" w:rsidR="00000000" w:rsidRDefault="0015578C">
      <w:pPr>
        <w:pStyle w:val="a3"/>
        <w:spacing w:before="0" w:beforeAutospacing="0" w:after="0" w:afterAutospacing="0"/>
        <w:jc w:val="both"/>
        <w:rPr>
          <w:sz w:val="20"/>
          <w:szCs w:val="20"/>
        </w:rPr>
      </w:pPr>
      <w:r>
        <w:rPr>
          <w:sz w:val="20"/>
          <w:szCs w:val="20"/>
        </w:rPr>
        <w:t> </w:t>
      </w:r>
    </w:p>
    <w:p w14:paraId="3B64272F" w14:textId="77777777" w:rsidR="00000000" w:rsidRDefault="0015578C">
      <w:pPr>
        <w:pStyle w:val="a3"/>
        <w:spacing w:before="0" w:beforeAutospacing="0" w:after="0" w:afterAutospacing="0"/>
        <w:ind w:firstLine="675"/>
        <w:jc w:val="both"/>
        <w:rPr>
          <w:sz w:val="20"/>
          <w:szCs w:val="20"/>
        </w:rPr>
      </w:pPr>
      <w:r>
        <w:rPr>
          <w:sz w:val="20"/>
          <w:szCs w:val="20"/>
        </w:rPr>
        <w:t>On May 27, 2021, Solitario enter</w:t>
      </w:r>
      <w:r>
        <w:rPr>
          <w:sz w:val="20"/>
          <w:szCs w:val="20"/>
        </w:rPr>
        <w:t>ed into a lease agreement (the “Golden Crest Agreement”) whereby Solitario acquired exclusive exploration rights in certain claims (the “GC Claims”) in the Black Hills region of South Dakota. The GC Claims are part of Solitario’s Golden Crest project. Term</w:t>
      </w:r>
      <w:r>
        <w:rPr>
          <w:sz w:val="20"/>
          <w:szCs w:val="20"/>
        </w:rPr>
        <w:t xml:space="preserve">s of the Golden Crest Agreement include scheduled payments to the underlying owner of $65,000 paid upon signing and the payment to the underlying owner of $60,000 at the first anniversary date during 2022. Solitario recorded an initial acquisition cost of </w:t>
      </w:r>
      <w:r>
        <w:rPr>
          <w:sz w:val="20"/>
          <w:szCs w:val="20"/>
        </w:rPr>
        <w:t>$125,000 during 2021 related to these required payments. In addition, to continue the lease, Solitario has agreed to pay, at its option, the underlying owner escalating annual payments over five years that total $340,000 and annual payments of $150,000 the</w:t>
      </w:r>
      <w:r>
        <w:rPr>
          <w:sz w:val="20"/>
          <w:szCs w:val="20"/>
        </w:rPr>
        <w:t>reafter, which will be expensed as paid. Solitario has agreed to pay the underlying owner an additional success fee of $1.00 per ounce of gold in the event Solitario files a 43-101 qualified resource of up to 1.5 million ounces of gold or a maximum of $1,5</w:t>
      </w:r>
      <w:r>
        <w:rPr>
          <w:sz w:val="20"/>
          <w:szCs w:val="20"/>
        </w:rPr>
        <w:t>00,000. Solitario has agreed to escalating work commitments, at Solitario’s option, on the GC Claims and an area of interest around the GC claims totaling $3,000,000 during the first five years of the lease, with the first-year minimum exploration expendit</w:t>
      </w:r>
      <w:r>
        <w:rPr>
          <w:sz w:val="20"/>
          <w:szCs w:val="20"/>
        </w:rPr>
        <w:t>ures of $200,000, which Solitario exceeded during 2022. The term of the Golden Crest Agreement is for twenty years and is automatically extended as long as Solitario is performing any exploration, development or mining activities on the GC Claims. The unde</w:t>
      </w:r>
      <w:r>
        <w:rPr>
          <w:sz w:val="20"/>
          <w:szCs w:val="20"/>
        </w:rPr>
        <w:t>rlying owner retained a 2.0% Net Smelter Return royalty. Solitario will have the option, but not the obligation, to reduce the Net Smelter Return royalty to 1.0% by paying the owner $1,000,000.</w:t>
      </w:r>
    </w:p>
    <w:p w14:paraId="0C4000B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FA0D5CC" w14:textId="77777777">
        <w:trPr>
          <w:trHeight w:val="225"/>
          <w:tblCellSpacing w:w="15" w:type="dxa"/>
        </w:trPr>
        <w:tc>
          <w:tcPr>
            <w:tcW w:w="0" w:type="auto"/>
            <w:vAlign w:val="center"/>
            <w:hideMark/>
          </w:tcPr>
          <w:p w14:paraId="0E67CFF0" w14:textId="77777777" w:rsidR="00000000" w:rsidRDefault="0015578C">
            <w:pPr>
              <w:rPr>
                <w:rFonts w:eastAsia="Times New Roman"/>
                <w:sz w:val="20"/>
                <w:szCs w:val="20"/>
              </w:rPr>
            </w:pPr>
            <w:r>
              <w:rPr>
                <w:rFonts w:eastAsia="Times New Roman"/>
                <w:sz w:val="20"/>
                <w:szCs w:val="20"/>
              </w:rPr>
              <w:t> </w:t>
            </w:r>
          </w:p>
        </w:tc>
      </w:tr>
      <w:tr w:rsidR="00000000" w14:paraId="07BDAAD6" w14:textId="77777777">
        <w:trPr>
          <w:trHeight w:val="225"/>
          <w:tblCellSpacing w:w="15" w:type="dxa"/>
        </w:trPr>
        <w:tc>
          <w:tcPr>
            <w:tcW w:w="0" w:type="auto"/>
            <w:tcBorders>
              <w:bottom w:val="single" w:sz="6" w:space="0" w:color="000000"/>
            </w:tcBorders>
            <w:vAlign w:val="center"/>
            <w:hideMark/>
          </w:tcPr>
          <w:p w14:paraId="1836C203" w14:textId="77777777" w:rsidR="00000000" w:rsidRDefault="0015578C">
            <w:pPr>
              <w:jc w:val="center"/>
              <w:rPr>
                <w:rFonts w:eastAsia="Times New Roman"/>
                <w:sz w:val="20"/>
                <w:szCs w:val="20"/>
              </w:rPr>
            </w:pPr>
            <w:r>
              <w:rPr>
                <w:rFonts w:eastAsia="Times New Roman"/>
                <w:sz w:val="20"/>
                <w:szCs w:val="20"/>
              </w:rPr>
              <w:t>F-10</w:t>
            </w:r>
          </w:p>
        </w:tc>
      </w:tr>
      <w:tr w:rsidR="00000000" w14:paraId="0E2056BF" w14:textId="77777777">
        <w:trPr>
          <w:trHeight w:val="225"/>
          <w:tblCellSpacing w:w="15" w:type="dxa"/>
        </w:trPr>
        <w:tc>
          <w:tcPr>
            <w:tcW w:w="0" w:type="auto"/>
            <w:vAlign w:val="center"/>
            <w:hideMark/>
          </w:tcPr>
          <w:p w14:paraId="124F7AA2" w14:textId="77777777" w:rsidR="00000000" w:rsidRDefault="0015578C">
            <w:pPr>
              <w:rPr>
                <w:rFonts w:eastAsia="Times New Roman"/>
                <w:sz w:val="20"/>
                <w:szCs w:val="20"/>
              </w:rPr>
            </w:pPr>
          </w:p>
        </w:tc>
      </w:tr>
      <w:tr w:rsidR="00000000" w14:paraId="3C71FDA1" w14:textId="77777777">
        <w:trPr>
          <w:trHeight w:val="225"/>
          <w:tblCellSpacing w:w="15" w:type="dxa"/>
        </w:trPr>
        <w:tc>
          <w:tcPr>
            <w:tcW w:w="0" w:type="auto"/>
            <w:vAlign w:val="center"/>
            <w:hideMark/>
          </w:tcPr>
          <w:p w14:paraId="09AC9237"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7C1BE56C" w14:textId="77777777" w:rsidR="00000000" w:rsidRDefault="0015578C">
      <w:pPr>
        <w:pStyle w:val="a3"/>
        <w:spacing w:before="0" w:beforeAutospacing="0" w:after="0" w:afterAutospacing="0"/>
        <w:jc w:val="both"/>
        <w:rPr>
          <w:sz w:val="20"/>
          <w:szCs w:val="20"/>
        </w:rPr>
      </w:pPr>
      <w:r>
        <w:rPr>
          <w:sz w:val="20"/>
          <w:szCs w:val="20"/>
        </w:rPr>
        <w:t> </w:t>
      </w:r>
    </w:p>
    <w:p w14:paraId="553D5B91" w14:textId="77777777" w:rsidR="00000000" w:rsidRDefault="0015578C">
      <w:pPr>
        <w:pStyle w:val="a3"/>
        <w:spacing w:before="0" w:beforeAutospacing="0" w:after="0" w:afterAutospacing="0"/>
        <w:ind w:firstLine="675"/>
        <w:jc w:val="both"/>
        <w:rPr>
          <w:sz w:val="20"/>
          <w:szCs w:val="20"/>
        </w:rPr>
      </w:pPr>
      <w:r>
        <w:rPr>
          <w:sz w:val="20"/>
          <w:szCs w:val="20"/>
        </w:rPr>
        <w:t xml:space="preserve">In addition, through December 31, 2022, Solitario has staked additional mineral claims, including some claims included in an area of interest of the GC Claims and claims not related to the GC Claims, as part of the Golden Crest project. As of December 31, </w:t>
      </w:r>
      <w:r>
        <w:rPr>
          <w:sz w:val="20"/>
          <w:szCs w:val="20"/>
        </w:rPr>
        <w:t>2022 and 2021 Solitario has capitalized costs for staking, initial filing fees, legal and other costs of $1,035,000 and $695,000 as initial acquisition costs related to the Golden Crest project.</w:t>
      </w:r>
    </w:p>
    <w:p w14:paraId="2DEEA2EB" w14:textId="77777777" w:rsidR="00000000" w:rsidRDefault="0015578C">
      <w:pPr>
        <w:pStyle w:val="a3"/>
        <w:spacing w:before="0" w:beforeAutospacing="0" w:after="0" w:afterAutospacing="0"/>
        <w:jc w:val="both"/>
        <w:rPr>
          <w:sz w:val="20"/>
          <w:szCs w:val="20"/>
        </w:rPr>
      </w:pPr>
      <w:r>
        <w:rPr>
          <w:sz w:val="20"/>
          <w:szCs w:val="20"/>
        </w:rPr>
        <w:t> </w:t>
      </w:r>
    </w:p>
    <w:p w14:paraId="36ECD1A9" w14:textId="77777777" w:rsidR="00000000" w:rsidRDefault="0015578C">
      <w:pPr>
        <w:pStyle w:val="a3"/>
        <w:spacing w:before="0" w:beforeAutospacing="0" w:after="0" w:afterAutospacing="0"/>
        <w:jc w:val="both"/>
        <w:rPr>
          <w:sz w:val="20"/>
          <w:szCs w:val="20"/>
        </w:rPr>
      </w:pPr>
      <w:r>
        <w:rPr>
          <w:sz w:val="20"/>
          <w:szCs w:val="20"/>
          <w:u w:val="single"/>
        </w:rPr>
        <w:t>Lik Property</w:t>
      </w:r>
    </w:p>
    <w:p w14:paraId="36341464" w14:textId="77777777" w:rsidR="00000000" w:rsidRDefault="0015578C">
      <w:pPr>
        <w:pStyle w:val="a3"/>
        <w:spacing w:before="0" w:beforeAutospacing="0" w:after="0" w:afterAutospacing="0"/>
        <w:jc w:val="both"/>
        <w:rPr>
          <w:sz w:val="20"/>
          <w:szCs w:val="20"/>
        </w:rPr>
      </w:pPr>
      <w:r>
        <w:rPr>
          <w:sz w:val="20"/>
          <w:szCs w:val="20"/>
        </w:rPr>
        <w:t> </w:t>
      </w:r>
    </w:p>
    <w:p w14:paraId="06FF0B8F" w14:textId="77777777" w:rsidR="00000000" w:rsidRDefault="0015578C">
      <w:pPr>
        <w:pStyle w:val="a3"/>
        <w:spacing w:before="0" w:beforeAutospacing="0" w:after="0" w:afterAutospacing="0"/>
        <w:ind w:firstLine="675"/>
        <w:jc w:val="both"/>
        <w:rPr>
          <w:sz w:val="20"/>
          <w:szCs w:val="20"/>
        </w:rPr>
      </w:pPr>
      <w:r>
        <w:rPr>
          <w:sz w:val="20"/>
          <w:szCs w:val="20"/>
        </w:rPr>
        <w:t xml:space="preserve">Solitario holds a 50% operating interest in </w:t>
      </w:r>
      <w:r>
        <w:rPr>
          <w:sz w:val="20"/>
          <w:szCs w:val="20"/>
        </w:rPr>
        <w:t>the Lik zinc-lead sliver property in northwest Alaska, which we acquired as part of the acquisition of Zazu Metals Corporation (“Zazu”) in July 2017. Solitario recorded its acquisition cost of $15,611,000 as mineral property at the date of acquisition. Tec</w:t>
      </w:r>
      <w:r>
        <w:rPr>
          <w:sz w:val="20"/>
          <w:szCs w:val="20"/>
        </w:rPr>
        <w:t>k is Solitario’s 50% partner on the Lik Project and acted as the project manager during 2022 and 2021.</w:t>
      </w:r>
    </w:p>
    <w:p w14:paraId="016B2E84" w14:textId="77777777" w:rsidR="00000000" w:rsidRDefault="0015578C">
      <w:pPr>
        <w:pStyle w:val="a3"/>
        <w:spacing w:before="0" w:beforeAutospacing="0" w:after="0" w:afterAutospacing="0"/>
        <w:jc w:val="both"/>
        <w:rPr>
          <w:sz w:val="20"/>
          <w:szCs w:val="20"/>
        </w:rPr>
      </w:pPr>
      <w:r>
        <w:rPr>
          <w:sz w:val="20"/>
          <w:szCs w:val="20"/>
        </w:rPr>
        <w:t> </w:t>
      </w:r>
    </w:p>
    <w:p w14:paraId="07E42EF6" w14:textId="77777777" w:rsidR="00000000" w:rsidRDefault="0015578C">
      <w:pPr>
        <w:pStyle w:val="a3"/>
        <w:spacing w:before="0" w:beforeAutospacing="0" w:after="0" w:afterAutospacing="0"/>
        <w:jc w:val="both"/>
        <w:rPr>
          <w:sz w:val="20"/>
          <w:szCs w:val="20"/>
        </w:rPr>
      </w:pPr>
      <w:r>
        <w:rPr>
          <w:sz w:val="20"/>
          <w:szCs w:val="20"/>
          <w:u w:val="single"/>
        </w:rPr>
        <w:t>Florida Canyon</w:t>
      </w:r>
    </w:p>
    <w:p w14:paraId="57EA3EE7" w14:textId="77777777" w:rsidR="00000000" w:rsidRDefault="0015578C">
      <w:pPr>
        <w:pStyle w:val="a3"/>
        <w:spacing w:before="0" w:beforeAutospacing="0" w:after="0" w:afterAutospacing="0"/>
        <w:jc w:val="both"/>
        <w:rPr>
          <w:sz w:val="20"/>
          <w:szCs w:val="20"/>
        </w:rPr>
      </w:pPr>
      <w:r>
        <w:rPr>
          <w:sz w:val="20"/>
          <w:szCs w:val="20"/>
        </w:rPr>
        <w:t> </w:t>
      </w:r>
    </w:p>
    <w:p w14:paraId="507BF75A" w14:textId="77777777" w:rsidR="00000000" w:rsidRDefault="0015578C">
      <w:pPr>
        <w:pStyle w:val="a3"/>
        <w:spacing w:before="0" w:beforeAutospacing="0" w:after="0" w:afterAutospacing="0"/>
        <w:ind w:firstLine="675"/>
        <w:jc w:val="both"/>
        <w:rPr>
          <w:sz w:val="20"/>
          <w:szCs w:val="20"/>
        </w:rPr>
      </w:pPr>
      <w:r>
        <w:rPr>
          <w:sz w:val="20"/>
          <w:szCs w:val="20"/>
        </w:rPr>
        <w:t xml:space="preserve">In addition to its capitalized exploration properties, Solitario has an interest in its Florida Canyon exploration concessions, which </w:t>
      </w:r>
      <w:r>
        <w:rPr>
          <w:sz w:val="20"/>
          <w:szCs w:val="20"/>
        </w:rPr>
        <w:t>are currently subject to a joint venture agreement where joint venture partners made stand-by joint venture payments to Solitario prior to January 1, 2015. Solitario previously recorded joint venture property payment revenue received in excess of capitaliz</w:t>
      </w:r>
      <w:r>
        <w:rPr>
          <w:sz w:val="20"/>
          <w:szCs w:val="20"/>
        </w:rPr>
        <w:t>ed costs. Per the joint venture agreement, as of December 31, 2022, no further standby joint-venture payments are due to Solitario on the Florida Canyon project. At December 31, 2022 and 2021, Solitario has no remaining capitalized costs related to its Flo</w:t>
      </w:r>
      <w:r>
        <w:rPr>
          <w:sz w:val="20"/>
          <w:szCs w:val="20"/>
        </w:rPr>
        <w:t>rida Canyon joint venture. Per the joint venture agreement with Nexa covering the Florida Canyon project, Solitario currently holds a 39% interest in the Florida Canyon zinc project. Nexa is required to fund 100% of exploration expenditures at Florida Cany</w:t>
      </w:r>
      <w:r>
        <w:rPr>
          <w:sz w:val="20"/>
          <w:szCs w:val="20"/>
        </w:rPr>
        <w:t>on, until Nexa commits to put the project into production based upon a positive feasibility study, at which time Nexa’s interest will increase from its current 61% interest to a 70% interest.</w:t>
      </w:r>
    </w:p>
    <w:p w14:paraId="3ECD082B" w14:textId="77777777" w:rsidR="00000000" w:rsidRDefault="0015578C">
      <w:pPr>
        <w:pStyle w:val="a3"/>
        <w:spacing w:before="0" w:beforeAutospacing="0" w:after="0" w:afterAutospacing="0"/>
        <w:jc w:val="both"/>
        <w:rPr>
          <w:sz w:val="20"/>
          <w:szCs w:val="20"/>
        </w:rPr>
      </w:pPr>
      <w:r>
        <w:rPr>
          <w:sz w:val="20"/>
          <w:szCs w:val="20"/>
        </w:rPr>
        <w:t> </w:t>
      </w:r>
    </w:p>
    <w:p w14:paraId="5ABF369B" w14:textId="77777777" w:rsidR="00000000" w:rsidRDefault="0015578C">
      <w:pPr>
        <w:pStyle w:val="a3"/>
        <w:spacing w:before="0" w:beforeAutospacing="0" w:after="0" w:afterAutospacing="0"/>
        <w:jc w:val="both"/>
        <w:rPr>
          <w:sz w:val="20"/>
          <w:szCs w:val="20"/>
        </w:rPr>
      </w:pPr>
      <w:r>
        <w:rPr>
          <w:rStyle w:val="a7"/>
          <w:sz w:val="20"/>
          <w:szCs w:val="20"/>
        </w:rPr>
        <w:t>Discontinued projects</w:t>
      </w:r>
    </w:p>
    <w:p w14:paraId="749EC21B" w14:textId="77777777" w:rsidR="00000000" w:rsidRDefault="0015578C">
      <w:pPr>
        <w:pStyle w:val="a3"/>
        <w:spacing w:before="0" w:beforeAutospacing="0" w:after="0" w:afterAutospacing="0"/>
        <w:jc w:val="both"/>
        <w:rPr>
          <w:sz w:val="20"/>
          <w:szCs w:val="20"/>
        </w:rPr>
      </w:pPr>
      <w:r>
        <w:rPr>
          <w:sz w:val="20"/>
          <w:szCs w:val="20"/>
        </w:rPr>
        <w:t> </w:t>
      </w:r>
    </w:p>
    <w:p w14:paraId="098971EF" w14:textId="77777777" w:rsidR="00000000" w:rsidRDefault="0015578C">
      <w:pPr>
        <w:pStyle w:val="a3"/>
        <w:spacing w:before="0" w:beforeAutospacing="0" w:after="0" w:afterAutospacing="0"/>
        <w:ind w:firstLine="675"/>
        <w:jc w:val="both"/>
        <w:rPr>
          <w:sz w:val="20"/>
          <w:szCs w:val="20"/>
        </w:rPr>
      </w:pPr>
      <w:r>
        <w:rPr>
          <w:sz w:val="20"/>
          <w:szCs w:val="20"/>
        </w:rPr>
        <w:t>During 2021 Solitario recorded $17,000</w:t>
      </w:r>
      <w:r>
        <w:rPr>
          <w:sz w:val="20"/>
          <w:szCs w:val="20"/>
        </w:rPr>
        <w:t xml:space="preserve"> of mineral property impairment related to its decision to abandon its Gold Coin project in Arizona. Solitario did not record any mineral property impairments during 2022.</w:t>
      </w:r>
    </w:p>
    <w:p w14:paraId="78E4957E" w14:textId="77777777" w:rsidR="00000000" w:rsidRDefault="0015578C">
      <w:pPr>
        <w:pStyle w:val="a3"/>
        <w:spacing w:before="0" w:beforeAutospacing="0" w:after="0" w:afterAutospacing="0"/>
        <w:jc w:val="both"/>
        <w:rPr>
          <w:sz w:val="20"/>
          <w:szCs w:val="20"/>
        </w:rPr>
      </w:pPr>
      <w:r>
        <w:rPr>
          <w:sz w:val="20"/>
          <w:szCs w:val="20"/>
        </w:rPr>
        <w:t> </w:t>
      </w:r>
    </w:p>
    <w:p w14:paraId="74480166" w14:textId="77777777" w:rsidR="00000000" w:rsidRDefault="0015578C">
      <w:pPr>
        <w:pStyle w:val="a3"/>
        <w:spacing w:before="0" w:beforeAutospacing="0" w:after="0" w:afterAutospacing="0"/>
        <w:jc w:val="both"/>
        <w:rPr>
          <w:sz w:val="20"/>
          <w:szCs w:val="20"/>
        </w:rPr>
      </w:pPr>
      <w:r>
        <w:rPr>
          <w:rStyle w:val="a7"/>
          <w:sz w:val="20"/>
          <w:szCs w:val="20"/>
        </w:rPr>
        <w:t>Exploration Expense</w:t>
      </w:r>
    </w:p>
    <w:p w14:paraId="096AA55D" w14:textId="77777777" w:rsidR="00000000" w:rsidRDefault="0015578C">
      <w:pPr>
        <w:pStyle w:val="a3"/>
        <w:spacing w:before="0" w:beforeAutospacing="0" w:after="0" w:afterAutospacing="0"/>
        <w:jc w:val="both"/>
        <w:rPr>
          <w:sz w:val="20"/>
          <w:szCs w:val="20"/>
        </w:rPr>
      </w:pPr>
      <w:r>
        <w:rPr>
          <w:sz w:val="20"/>
          <w:szCs w:val="20"/>
        </w:rPr>
        <w:t> </w:t>
      </w:r>
    </w:p>
    <w:p w14:paraId="5B568546" w14:textId="77777777" w:rsidR="00000000" w:rsidRDefault="0015578C">
      <w:pPr>
        <w:pStyle w:val="a3"/>
        <w:spacing w:before="0" w:beforeAutospacing="0" w:after="0" w:afterAutospacing="0"/>
        <w:ind w:firstLine="675"/>
        <w:jc w:val="both"/>
        <w:rPr>
          <w:sz w:val="20"/>
          <w:szCs w:val="20"/>
        </w:rPr>
      </w:pPr>
      <w:r>
        <w:rPr>
          <w:sz w:val="20"/>
          <w:szCs w:val="20"/>
        </w:rPr>
        <w:t>The following items comprised exploration expense:</w:t>
      </w:r>
    </w:p>
    <w:p w14:paraId="2143B9E1"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480BEB48" w14:textId="77777777">
        <w:trPr>
          <w:trHeight w:val="225"/>
          <w:tblCellSpacing w:w="15" w:type="dxa"/>
        </w:trPr>
        <w:tc>
          <w:tcPr>
            <w:tcW w:w="0" w:type="auto"/>
            <w:vAlign w:val="center"/>
            <w:hideMark/>
          </w:tcPr>
          <w:p w14:paraId="3E3EB25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64CD05C"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4BE20C99" w14:textId="77777777" w:rsidR="00000000" w:rsidRDefault="0015578C">
            <w:pPr>
              <w:pStyle w:val="a3"/>
              <w:spacing w:before="0" w:beforeAutospacing="0" w:after="0" w:afterAutospacing="0"/>
              <w:jc w:val="center"/>
              <w:rPr>
                <w:sz w:val="20"/>
                <w:szCs w:val="20"/>
              </w:rPr>
            </w:pPr>
            <w:r>
              <w:rPr>
                <w:sz w:val="20"/>
                <w:szCs w:val="20"/>
              </w:rPr>
              <w:t>F</w:t>
            </w:r>
            <w:r>
              <w:rPr>
                <w:sz w:val="20"/>
                <w:szCs w:val="20"/>
              </w:rPr>
              <w:t>or the year ended</w:t>
            </w:r>
          </w:p>
          <w:p w14:paraId="3A0A25BF"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3256D3E6" w14:textId="77777777" w:rsidR="00000000" w:rsidRDefault="0015578C">
            <w:pPr>
              <w:pStyle w:val="a3"/>
              <w:spacing w:before="0" w:beforeAutospacing="0" w:after="0" w:afterAutospacing="0"/>
              <w:rPr>
                <w:sz w:val="20"/>
                <w:szCs w:val="20"/>
              </w:rPr>
            </w:pPr>
            <w:r>
              <w:rPr>
                <w:sz w:val="20"/>
                <w:szCs w:val="20"/>
              </w:rPr>
              <w:t> </w:t>
            </w:r>
          </w:p>
        </w:tc>
      </w:tr>
      <w:tr w:rsidR="00000000" w14:paraId="34098737" w14:textId="77777777">
        <w:trPr>
          <w:trHeight w:val="225"/>
          <w:tblCellSpacing w:w="15" w:type="dxa"/>
        </w:trPr>
        <w:tc>
          <w:tcPr>
            <w:tcW w:w="0" w:type="auto"/>
            <w:vAlign w:val="bottom"/>
            <w:hideMark/>
          </w:tcPr>
          <w:p w14:paraId="0C4E0300"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27D5C24F"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E8C2A17"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7237829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69959E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419FF27"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045E6306" w14:textId="77777777" w:rsidR="00000000" w:rsidRDefault="0015578C">
            <w:pPr>
              <w:pStyle w:val="a3"/>
              <w:spacing w:before="0" w:beforeAutospacing="0" w:after="0" w:afterAutospacing="0"/>
              <w:rPr>
                <w:sz w:val="20"/>
                <w:szCs w:val="20"/>
              </w:rPr>
            </w:pPr>
            <w:r>
              <w:rPr>
                <w:sz w:val="20"/>
                <w:szCs w:val="20"/>
              </w:rPr>
              <w:t> </w:t>
            </w:r>
          </w:p>
        </w:tc>
      </w:tr>
      <w:tr w:rsidR="00000000" w14:paraId="32AF5FC9" w14:textId="77777777">
        <w:trPr>
          <w:trHeight w:val="225"/>
          <w:tblCellSpacing w:w="15" w:type="dxa"/>
        </w:trPr>
        <w:tc>
          <w:tcPr>
            <w:tcW w:w="0" w:type="auto"/>
            <w:shd w:val="clear" w:color="auto" w:fill="CCEEFF"/>
            <w:hideMark/>
          </w:tcPr>
          <w:p w14:paraId="6C951EFF" w14:textId="77777777" w:rsidR="00000000" w:rsidRDefault="0015578C">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14:paraId="2FD30A8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E48D568"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2FDF3B" w14:textId="77777777" w:rsidR="00000000" w:rsidRDefault="0015578C">
            <w:pPr>
              <w:jc w:val="right"/>
              <w:rPr>
                <w:rFonts w:eastAsia="Times New Roman"/>
                <w:sz w:val="20"/>
                <w:szCs w:val="20"/>
              </w:rPr>
            </w:pPr>
            <w:r>
              <w:rPr>
                <w:rFonts w:eastAsia="Times New Roman"/>
                <w:sz w:val="20"/>
                <w:szCs w:val="20"/>
              </w:rPr>
              <w:t>2,121</w:t>
            </w:r>
          </w:p>
        </w:tc>
        <w:tc>
          <w:tcPr>
            <w:tcW w:w="50" w:type="pct"/>
            <w:shd w:val="clear" w:color="auto" w:fill="CCEEFF"/>
            <w:noWrap/>
            <w:vAlign w:val="center"/>
            <w:hideMark/>
          </w:tcPr>
          <w:p w14:paraId="5693BC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CA865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3469E3E"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731A68A" w14:textId="77777777" w:rsidR="00000000" w:rsidRDefault="0015578C">
            <w:pPr>
              <w:jc w:val="right"/>
              <w:rPr>
                <w:rFonts w:eastAsia="Times New Roman"/>
                <w:sz w:val="20"/>
                <w:szCs w:val="20"/>
              </w:rPr>
            </w:pPr>
            <w:r>
              <w:rPr>
                <w:rFonts w:eastAsia="Times New Roman"/>
                <w:sz w:val="20"/>
                <w:szCs w:val="20"/>
              </w:rPr>
              <w:t>1,092</w:t>
            </w:r>
          </w:p>
        </w:tc>
        <w:tc>
          <w:tcPr>
            <w:tcW w:w="50" w:type="pct"/>
            <w:shd w:val="clear" w:color="auto" w:fill="CCEEFF"/>
            <w:noWrap/>
            <w:vAlign w:val="center"/>
            <w:hideMark/>
          </w:tcPr>
          <w:p w14:paraId="36CEB2D5" w14:textId="77777777" w:rsidR="00000000" w:rsidRDefault="0015578C">
            <w:pPr>
              <w:pStyle w:val="a3"/>
              <w:spacing w:before="0" w:beforeAutospacing="0" w:after="0" w:afterAutospacing="0"/>
              <w:rPr>
                <w:sz w:val="20"/>
                <w:szCs w:val="20"/>
              </w:rPr>
            </w:pPr>
            <w:r>
              <w:rPr>
                <w:sz w:val="20"/>
                <w:szCs w:val="20"/>
              </w:rPr>
              <w:t> </w:t>
            </w:r>
          </w:p>
        </w:tc>
      </w:tr>
      <w:tr w:rsidR="00000000" w14:paraId="2941F1DA" w14:textId="77777777">
        <w:trPr>
          <w:trHeight w:val="225"/>
          <w:tblCellSpacing w:w="15" w:type="dxa"/>
        </w:trPr>
        <w:tc>
          <w:tcPr>
            <w:tcW w:w="0" w:type="auto"/>
            <w:shd w:val="clear" w:color="auto" w:fill="FFFFFF"/>
            <w:hideMark/>
          </w:tcPr>
          <w:p w14:paraId="0CFA63A9" w14:textId="77777777" w:rsidR="00000000" w:rsidRDefault="0015578C">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14:paraId="7CCE025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63D9DEE"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04E0558F" w14:textId="77777777" w:rsidR="00000000" w:rsidRDefault="0015578C">
            <w:pPr>
              <w:jc w:val="right"/>
              <w:rPr>
                <w:rFonts w:eastAsia="Times New Roman"/>
                <w:sz w:val="20"/>
                <w:szCs w:val="20"/>
              </w:rPr>
            </w:pPr>
            <w:r>
              <w:rPr>
                <w:rFonts w:eastAsia="Times New Roman"/>
                <w:sz w:val="20"/>
                <w:szCs w:val="20"/>
              </w:rPr>
              <w:t>162</w:t>
            </w:r>
          </w:p>
        </w:tc>
        <w:tc>
          <w:tcPr>
            <w:tcW w:w="50" w:type="pct"/>
            <w:shd w:val="clear" w:color="auto" w:fill="FFFFFF"/>
            <w:noWrap/>
            <w:tcMar>
              <w:top w:w="0" w:type="dxa"/>
              <w:left w:w="0" w:type="dxa"/>
              <w:bottom w:w="15" w:type="dxa"/>
              <w:right w:w="0" w:type="dxa"/>
            </w:tcMar>
            <w:vAlign w:val="center"/>
            <w:hideMark/>
          </w:tcPr>
          <w:p w14:paraId="2D3EF4D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34498A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9A20F3F"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392FBB07" w14:textId="77777777" w:rsidR="00000000" w:rsidRDefault="0015578C">
            <w:pPr>
              <w:jc w:val="right"/>
              <w:rPr>
                <w:rFonts w:eastAsia="Times New Roman"/>
                <w:sz w:val="20"/>
                <w:szCs w:val="20"/>
              </w:rPr>
            </w:pPr>
            <w:r>
              <w:rPr>
                <w:rFonts w:eastAsia="Times New Roman"/>
                <w:sz w:val="20"/>
                <w:szCs w:val="20"/>
              </w:rPr>
              <w:t>106</w:t>
            </w:r>
          </w:p>
        </w:tc>
        <w:tc>
          <w:tcPr>
            <w:tcW w:w="50" w:type="pct"/>
            <w:shd w:val="clear" w:color="auto" w:fill="FFFFFF"/>
            <w:noWrap/>
            <w:tcMar>
              <w:top w:w="0" w:type="dxa"/>
              <w:left w:w="0" w:type="dxa"/>
              <w:bottom w:w="15" w:type="dxa"/>
              <w:right w:w="0" w:type="dxa"/>
            </w:tcMar>
            <w:vAlign w:val="center"/>
            <w:hideMark/>
          </w:tcPr>
          <w:p w14:paraId="7726DEE5" w14:textId="77777777" w:rsidR="00000000" w:rsidRDefault="0015578C">
            <w:pPr>
              <w:pStyle w:val="a3"/>
              <w:spacing w:before="0" w:beforeAutospacing="0" w:after="0" w:afterAutospacing="0"/>
              <w:rPr>
                <w:sz w:val="20"/>
                <w:szCs w:val="20"/>
              </w:rPr>
            </w:pPr>
            <w:r>
              <w:rPr>
                <w:sz w:val="20"/>
                <w:szCs w:val="20"/>
              </w:rPr>
              <w:t> </w:t>
            </w:r>
          </w:p>
        </w:tc>
      </w:tr>
      <w:tr w:rsidR="00000000" w14:paraId="4C82B448" w14:textId="77777777">
        <w:trPr>
          <w:trHeight w:val="225"/>
          <w:tblCellSpacing w:w="15" w:type="dxa"/>
        </w:trPr>
        <w:tc>
          <w:tcPr>
            <w:tcW w:w="0" w:type="auto"/>
            <w:shd w:val="clear" w:color="auto" w:fill="CCEEFF"/>
            <w:hideMark/>
          </w:tcPr>
          <w:p w14:paraId="61E7F902" w14:textId="77777777" w:rsidR="00000000" w:rsidRDefault="0015578C">
            <w:pPr>
              <w:pStyle w:val="a3"/>
              <w:spacing w:before="0" w:beforeAutospacing="0" w:after="0" w:afterAutospacing="0"/>
              <w:ind w:left="225"/>
              <w:rPr>
                <w:sz w:val="20"/>
                <w:szCs w:val="20"/>
              </w:rPr>
            </w:pPr>
            <w:r>
              <w:rPr>
                <w:sz w:val="20"/>
                <w:szCs w:val="20"/>
              </w:rPr>
              <w:t>Total exploration expense</w:t>
            </w:r>
          </w:p>
        </w:tc>
        <w:tc>
          <w:tcPr>
            <w:tcW w:w="50" w:type="pct"/>
            <w:shd w:val="clear" w:color="auto" w:fill="CCEEFF"/>
            <w:noWrap/>
            <w:vAlign w:val="center"/>
            <w:hideMark/>
          </w:tcPr>
          <w:p w14:paraId="1B48A024"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4C343375"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9A6FA0E" w14:textId="77777777" w:rsidR="00000000" w:rsidRDefault="0015578C">
            <w:pPr>
              <w:jc w:val="right"/>
              <w:rPr>
                <w:rFonts w:eastAsia="Times New Roman"/>
                <w:sz w:val="20"/>
                <w:szCs w:val="20"/>
              </w:rPr>
            </w:pPr>
            <w:r>
              <w:rPr>
                <w:rFonts w:eastAsia="Times New Roman"/>
                <w:sz w:val="20"/>
                <w:szCs w:val="20"/>
              </w:rPr>
              <w:t>2,283</w:t>
            </w:r>
          </w:p>
        </w:tc>
        <w:tc>
          <w:tcPr>
            <w:tcW w:w="50" w:type="pct"/>
            <w:shd w:val="clear" w:color="auto" w:fill="CCEEFF"/>
            <w:noWrap/>
            <w:tcMar>
              <w:top w:w="0" w:type="dxa"/>
              <w:left w:w="0" w:type="dxa"/>
              <w:bottom w:w="15" w:type="dxa"/>
              <w:right w:w="0" w:type="dxa"/>
            </w:tcMar>
            <w:vAlign w:val="center"/>
            <w:hideMark/>
          </w:tcPr>
          <w:p w14:paraId="65D3A9C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25F89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3FBE6789"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696D2D5" w14:textId="77777777" w:rsidR="00000000" w:rsidRDefault="0015578C">
            <w:pPr>
              <w:jc w:val="right"/>
              <w:rPr>
                <w:rFonts w:eastAsia="Times New Roman"/>
                <w:sz w:val="20"/>
                <w:szCs w:val="20"/>
              </w:rPr>
            </w:pPr>
            <w:r>
              <w:rPr>
                <w:rFonts w:eastAsia="Times New Roman"/>
                <w:sz w:val="20"/>
                <w:szCs w:val="20"/>
              </w:rPr>
              <w:t>1,198</w:t>
            </w:r>
          </w:p>
        </w:tc>
        <w:tc>
          <w:tcPr>
            <w:tcW w:w="50" w:type="pct"/>
            <w:shd w:val="clear" w:color="auto" w:fill="CCEEFF"/>
            <w:noWrap/>
            <w:tcMar>
              <w:top w:w="0" w:type="dxa"/>
              <w:left w:w="0" w:type="dxa"/>
              <w:bottom w:w="15" w:type="dxa"/>
              <w:right w:w="0" w:type="dxa"/>
            </w:tcMar>
            <w:vAlign w:val="center"/>
            <w:hideMark/>
          </w:tcPr>
          <w:p w14:paraId="6322E39C" w14:textId="77777777" w:rsidR="00000000" w:rsidRDefault="0015578C">
            <w:pPr>
              <w:pStyle w:val="a3"/>
              <w:spacing w:before="0" w:beforeAutospacing="0" w:after="0" w:afterAutospacing="0"/>
              <w:rPr>
                <w:sz w:val="20"/>
                <w:szCs w:val="20"/>
              </w:rPr>
            </w:pPr>
            <w:r>
              <w:rPr>
                <w:sz w:val="20"/>
                <w:szCs w:val="20"/>
              </w:rPr>
              <w:t> </w:t>
            </w:r>
          </w:p>
        </w:tc>
      </w:tr>
    </w:tbl>
    <w:p w14:paraId="4D4B1B7A" w14:textId="77777777" w:rsidR="00000000" w:rsidRDefault="0015578C">
      <w:pPr>
        <w:pStyle w:val="a3"/>
        <w:spacing w:before="0" w:beforeAutospacing="0" w:after="0" w:afterAutospacing="0"/>
        <w:jc w:val="both"/>
        <w:rPr>
          <w:sz w:val="20"/>
          <w:szCs w:val="20"/>
        </w:rPr>
      </w:pPr>
      <w:r>
        <w:rPr>
          <w:sz w:val="20"/>
          <w:szCs w:val="20"/>
        </w:rPr>
        <w:t> </w:t>
      </w:r>
    </w:p>
    <w:p w14:paraId="5569F1AF" w14:textId="77777777" w:rsidR="00000000" w:rsidRDefault="0015578C">
      <w:pPr>
        <w:pStyle w:val="a3"/>
        <w:spacing w:before="0" w:beforeAutospacing="0" w:after="0" w:afterAutospacing="0"/>
        <w:jc w:val="both"/>
        <w:rPr>
          <w:sz w:val="20"/>
          <w:szCs w:val="20"/>
        </w:rPr>
      </w:pPr>
      <w:r>
        <w:rPr>
          <w:sz w:val="20"/>
          <w:szCs w:val="20"/>
          <w:u w:val="single"/>
        </w:rPr>
        <w:t>Asset Retirement Obligation</w:t>
      </w:r>
    </w:p>
    <w:p w14:paraId="5C69A2A9" w14:textId="77777777" w:rsidR="00000000" w:rsidRDefault="0015578C">
      <w:pPr>
        <w:pStyle w:val="a3"/>
        <w:spacing w:before="0" w:beforeAutospacing="0" w:after="0" w:afterAutospacing="0"/>
        <w:jc w:val="both"/>
        <w:rPr>
          <w:sz w:val="20"/>
          <w:szCs w:val="20"/>
        </w:rPr>
      </w:pPr>
      <w:r>
        <w:rPr>
          <w:sz w:val="20"/>
          <w:szCs w:val="20"/>
        </w:rPr>
        <w:t> </w:t>
      </w:r>
    </w:p>
    <w:p w14:paraId="5B92104C" w14:textId="77777777" w:rsidR="00000000" w:rsidRDefault="0015578C">
      <w:pPr>
        <w:pStyle w:val="a3"/>
        <w:spacing w:before="0" w:beforeAutospacing="0" w:after="0" w:afterAutospacing="0"/>
        <w:ind w:firstLine="675"/>
        <w:jc w:val="both"/>
        <w:rPr>
          <w:sz w:val="20"/>
          <w:szCs w:val="20"/>
        </w:rPr>
      </w:pPr>
      <w:r>
        <w:rPr>
          <w:sz w:val="20"/>
          <w:szCs w:val="20"/>
        </w:rPr>
        <w:t xml:space="preserve">Solitario recorded an asset retirement obligation of $125,000 for Solitario’s estimated reclamation cost of the existing disturbance at the Lik project. This disturbance consists of an exploration camp including certain drill </w:t>
      </w:r>
      <w:r>
        <w:rPr>
          <w:sz w:val="20"/>
          <w:szCs w:val="20"/>
        </w:rPr>
        <w:t>sites and access roads at the camp. The estimate was based upon estimated cash costs for reclamation as determined by Solitario and its joint venture partner Teck and is supported by a permitting bond required by the State of Alaska, for which Solitario ha</w:t>
      </w:r>
      <w:r>
        <w:rPr>
          <w:sz w:val="20"/>
          <w:szCs w:val="20"/>
        </w:rPr>
        <w:t>s retained a reclamation bond insurance policy in the event Solitario or its 50% partner, Teck, do not complete required reclamation.</w:t>
      </w:r>
    </w:p>
    <w:p w14:paraId="0D882AD3" w14:textId="77777777" w:rsidR="00000000" w:rsidRDefault="0015578C">
      <w:pPr>
        <w:pStyle w:val="a3"/>
        <w:spacing w:before="0" w:beforeAutospacing="0" w:after="0" w:afterAutospacing="0"/>
        <w:jc w:val="both"/>
        <w:rPr>
          <w:sz w:val="20"/>
          <w:szCs w:val="20"/>
        </w:rPr>
      </w:pPr>
      <w:r>
        <w:rPr>
          <w:sz w:val="20"/>
          <w:szCs w:val="20"/>
        </w:rPr>
        <w:t> </w:t>
      </w:r>
    </w:p>
    <w:p w14:paraId="3BDF93C1" w14:textId="77777777" w:rsidR="00000000" w:rsidRDefault="0015578C">
      <w:pPr>
        <w:pStyle w:val="a3"/>
        <w:spacing w:before="0" w:beforeAutospacing="0" w:after="0" w:afterAutospacing="0"/>
        <w:ind w:firstLine="675"/>
        <w:jc w:val="both"/>
        <w:rPr>
          <w:sz w:val="20"/>
          <w:szCs w:val="20"/>
        </w:rPr>
      </w:pPr>
      <w:r>
        <w:rPr>
          <w:sz w:val="20"/>
          <w:szCs w:val="20"/>
        </w:rPr>
        <w:t>Solitario has not applied a discount rate to the recorded asset retirement obligation as the estimated time frame for re</w:t>
      </w:r>
      <w:r>
        <w:rPr>
          <w:sz w:val="20"/>
          <w:szCs w:val="20"/>
        </w:rPr>
        <w:t>clamation is not currently known, as reclamation is not expected to occur until the end of the Lik project life, which would follow future development and operations, the start of which cannot be estimated or assured at this time. Additionally, no deprecia</w:t>
      </w:r>
      <w:r>
        <w:rPr>
          <w:sz w:val="20"/>
          <w:szCs w:val="20"/>
        </w:rPr>
        <w:t>tion will be recorded on the related asset for the asset retirement obligation until the Lik project goes into operation, which cannot be assured.</w:t>
      </w:r>
    </w:p>
    <w:p w14:paraId="0B34284F"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FFA573B" w14:textId="77777777">
        <w:trPr>
          <w:trHeight w:val="225"/>
          <w:tblCellSpacing w:w="15" w:type="dxa"/>
        </w:trPr>
        <w:tc>
          <w:tcPr>
            <w:tcW w:w="0" w:type="auto"/>
            <w:vAlign w:val="center"/>
            <w:hideMark/>
          </w:tcPr>
          <w:p w14:paraId="6AFB2654" w14:textId="77777777" w:rsidR="00000000" w:rsidRDefault="0015578C">
            <w:pPr>
              <w:rPr>
                <w:rFonts w:eastAsia="Times New Roman"/>
                <w:sz w:val="20"/>
                <w:szCs w:val="20"/>
              </w:rPr>
            </w:pPr>
            <w:r>
              <w:rPr>
                <w:rFonts w:eastAsia="Times New Roman"/>
                <w:sz w:val="20"/>
                <w:szCs w:val="20"/>
              </w:rPr>
              <w:t> </w:t>
            </w:r>
          </w:p>
        </w:tc>
      </w:tr>
      <w:tr w:rsidR="00000000" w14:paraId="2191E4E5" w14:textId="77777777">
        <w:trPr>
          <w:trHeight w:val="225"/>
          <w:tblCellSpacing w:w="15" w:type="dxa"/>
        </w:trPr>
        <w:tc>
          <w:tcPr>
            <w:tcW w:w="0" w:type="auto"/>
            <w:tcBorders>
              <w:bottom w:val="single" w:sz="6" w:space="0" w:color="000000"/>
            </w:tcBorders>
            <w:vAlign w:val="center"/>
            <w:hideMark/>
          </w:tcPr>
          <w:p w14:paraId="01F14FE0" w14:textId="77777777" w:rsidR="00000000" w:rsidRDefault="0015578C">
            <w:pPr>
              <w:jc w:val="center"/>
              <w:rPr>
                <w:rFonts w:eastAsia="Times New Roman"/>
                <w:sz w:val="20"/>
                <w:szCs w:val="20"/>
              </w:rPr>
            </w:pPr>
            <w:r>
              <w:rPr>
                <w:rFonts w:eastAsia="Times New Roman"/>
                <w:sz w:val="20"/>
                <w:szCs w:val="20"/>
              </w:rPr>
              <w:t>F-11</w:t>
            </w:r>
          </w:p>
        </w:tc>
      </w:tr>
      <w:tr w:rsidR="00000000" w14:paraId="277B89B4" w14:textId="77777777">
        <w:trPr>
          <w:trHeight w:val="225"/>
          <w:tblCellSpacing w:w="15" w:type="dxa"/>
        </w:trPr>
        <w:tc>
          <w:tcPr>
            <w:tcW w:w="0" w:type="auto"/>
            <w:vAlign w:val="center"/>
            <w:hideMark/>
          </w:tcPr>
          <w:p w14:paraId="7506F896" w14:textId="77777777" w:rsidR="00000000" w:rsidRDefault="0015578C">
            <w:pPr>
              <w:rPr>
                <w:rFonts w:eastAsia="Times New Roman"/>
                <w:sz w:val="20"/>
                <w:szCs w:val="20"/>
              </w:rPr>
            </w:pPr>
          </w:p>
        </w:tc>
      </w:tr>
      <w:tr w:rsidR="00000000" w14:paraId="4CF7619F" w14:textId="77777777">
        <w:trPr>
          <w:trHeight w:val="225"/>
          <w:tblCellSpacing w:w="15" w:type="dxa"/>
        </w:trPr>
        <w:tc>
          <w:tcPr>
            <w:tcW w:w="0" w:type="auto"/>
            <w:vAlign w:val="center"/>
            <w:hideMark/>
          </w:tcPr>
          <w:p w14:paraId="495E97EE"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4968FAA3" w14:textId="77777777" w:rsidR="00000000" w:rsidRDefault="0015578C">
      <w:pPr>
        <w:pStyle w:val="a3"/>
        <w:spacing w:before="0" w:beforeAutospacing="0" w:after="0" w:afterAutospacing="0"/>
        <w:jc w:val="both"/>
        <w:rPr>
          <w:sz w:val="20"/>
          <w:szCs w:val="20"/>
        </w:rPr>
      </w:pPr>
      <w:r>
        <w:rPr>
          <w:sz w:val="20"/>
          <w:szCs w:val="20"/>
        </w:rPr>
        <w:t> </w:t>
      </w:r>
    </w:p>
    <w:p w14:paraId="5B640BF1" w14:textId="77777777" w:rsidR="00000000" w:rsidRDefault="0015578C">
      <w:pPr>
        <w:pStyle w:val="a3"/>
        <w:spacing w:before="0" w:beforeAutospacing="0" w:after="0" w:afterAutospacing="0"/>
        <w:ind w:firstLine="675"/>
        <w:jc w:val="both"/>
        <w:rPr>
          <w:sz w:val="20"/>
          <w:szCs w:val="20"/>
        </w:rPr>
      </w:pPr>
      <w:r>
        <w:rPr>
          <w:sz w:val="20"/>
          <w:szCs w:val="20"/>
        </w:rPr>
        <w:t xml:space="preserve">As of December 31, 2022, Solitario has no reclamation liability at its Florida Canyon project as Nexa is responsible for the costs at Florida Canyon, including reclamation, if any. In addition, the activities to date at Solitario’s Golden Crest project of </w:t>
      </w:r>
      <w:r>
        <w:rPr>
          <w:sz w:val="20"/>
          <w:szCs w:val="20"/>
        </w:rPr>
        <w:t>staking claims and mapping, soil and rock sampling, and assaying have not created any material environmental or other disturbances. Historically Solitario’s exploration activities have not resulted in any long-term environmental disturbances or liabilities</w:t>
      </w:r>
      <w:r>
        <w:rPr>
          <w:sz w:val="20"/>
          <w:szCs w:val="20"/>
        </w:rPr>
        <w:t xml:space="preserve"> and where there have been required restoration of disturbances, these have been completed contemporaneously with the completion of our mineral exploration activities.</w:t>
      </w:r>
    </w:p>
    <w:p w14:paraId="282AF664" w14:textId="77777777" w:rsidR="00000000" w:rsidRDefault="0015578C">
      <w:pPr>
        <w:pStyle w:val="a3"/>
        <w:spacing w:before="0" w:beforeAutospacing="0" w:after="0" w:afterAutospacing="0"/>
        <w:jc w:val="both"/>
        <w:rPr>
          <w:sz w:val="20"/>
          <w:szCs w:val="20"/>
        </w:rPr>
      </w:pPr>
      <w:r>
        <w:rPr>
          <w:sz w:val="20"/>
          <w:szCs w:val="20"/>
        </w:rPr>
        <w:t> </w:t>
      </w:r>
    </w:p>
    <w:p w14:paraId="133B2C01" w14:textId="77777777" w:rsidR="00000000" w:rsidRDefault="0015578C">
      <w:pPr>
        <w:pStyle w:val="a3"/>
        <w:spacing w:before="0" w:beforeAutospacing="0" w:after="0" w:afterAutospacing="0"/>
        <w:jc w:val="both"/>
        <w:rPr>
          <w:sz w:val="20"/>
          <w:szCs w:val="20"/>
        </w:rPr>
      </w:pPr>
      <w:r>
        <w:rPr>
          <w:sz w:val="20"/>
          <w:szCs w:val="20"/>
        </w:rPr>
        <w:t xml:space="preserve">3. </w:t>
      </w:r>
      <w:r>
        <w:rPr>
          <w:sz w:val="20"/>
          <w:szCs w:val="20"/>
          <w:u w:val="single"/>
        </w:rPr>
        <w:t>Marketable Equity Securities</w:t>
      </w:r>
    </w:p>
    <w:p w14:paraId="6013D563" w14:textId="77777777" w:rsidR="00000000" w:rsidRDefault="0015578C">
      <w:pPr>
        <w:pStyle w:val="a3"/>
        <w:spacing w:before="0" w:beforeAutospacing="0" w:after="0" w:afterAutospacing="0"/>
        <w:jc w:val="both"/>
        <w:rPr>
          <w:sz w:val="20"/>
          <w:szCs w:val="20"/>
        </w:rPr>
      </w:pPr>
      <w:r>
        <w:rPr>
          <w:sz w:val="20"/>
          <w:szCs w:val="20"/>
        </w:rPr>
        <w:t> </w:t>
      </w:r>
    </w:p>
    <w:p w14:paraId="73EE2B8D" w14:textId="77777777" w:rsidR="00000000" w:rsidRDefault="0015578C">
      <w:pPr>
        <w:pStyle w:val="a3"/>
        <w:spacing w:before="0" w:beforeAutospacing="0" w:after="0" w:afterAutospacing="0"/>
        <w:ind w:firstLine="675"/>
        <w:jc w:val="both"/>
        <w:rPr>
          <w:sz w:val="20"/>
          <w:szCs w:val="20"/>
        </w:rPr>
      </w:pPr>
      <w:r>
        <w:rPr>
          <w:sz w:val="20"/>
          <w:szCs w:val="20"/>
        </w:rPr>
        <w:t>During 2022 Solitario sold 1,250,000 shares of Vende</w:t>
      </w:r>
      <w:r>
        <w:rPr>
          <w:sz w:val="20"/>
          <w:szCs w:val="20"/>
        </w:rPr>
        <w:t>tta common stock for proceeds of $63,000 and recorded a realized loss on sale of $201,000. During 2021, Solitario sold (i) 2,550,000 shares of Vendetta common stock for proceeds of $112,000 and recorded a realized loss on the sale of $269,000; (ii) 430,000</w:t>
      </w:r>
      <w:r>
        <w:rPr>
          <w:sz w:val="20"/>
          <w:szCs w:val="20"/>
        </w:rPr>
        <w:t xml:space="preserve"> shares of TNR Gold Corp. (“TNR”) common stock for proceeds of $27,000 and recorded a realized gain on the sale of $19,000; and (iii) 3,200 shares of Vox Royalty Corp. (“Vox”) common stock for proceeds of $8,000 and recorded a realized gain on the sale of </w:t>
      </w:r>
      <w:r>
        <w:rPr>
          <w:sz w:val="20"/>
          <w:szCs w:val="20"/>
        </w:rPr>
        <w:t>$2,000.</w:t>
      </w:r>
    </w:p>
    <w:p w14:paraId="1309B257" w14:textId="77777777" w:rsidR="00000000" w:rsidRDefault="0015578C">
      <w:pPr>
        <w:pStyle w:val="a3"/>
        <w:spacing w:before="0" w:beforeAutospacing="0" w:after="0" w:afterAutospacing="0"/>
        <w:jc w:val="both"/>
        <w:rPr>
          <w:sz w:val="20"/>
          <w:szCs w:val="20"/>
        </w:rPr>
      </w:pPr>
      <w:r>
        <w:rPr>
          <w:sz w:val="20"/>
          <w:szCs w:val="20"/>
        </w:rPr>
        <w:t> </w:t>
      </w:r>
    </w:p>
    <w:p w14:paraId="760B7FA8" w14:textId="77777777" w:rsidR="00000000" w:rsidRDefault="0015578C">
      <w:pPr>
        <w:pStyle w:val="a3"/>
        <w:spacing w:before="0" w:beforeAutospacing="0" w:after="0" w:afterAutospacing="0"/>
        <w:ind w:firstLine="675"/>
        <w:jc w:val="both"/>
        <w:rPr>
          <w:sz w:val="20"/>
          <w:szCs w:val="20"/>
        </w:rPr>
      </w:pPr>
      <w:r>
        <w:rPr>
          <w:sz w:val="20"/>
          <w:szCs w:val="20"/>
        </w:rPr>
        <w:t>On July 31, 2019, Solitario purchased 3,450,000 Vendetta units for aggregate consideration of $233,000. Each unit consisted of one share of Vendetta common stock and one warrant which allows the holder to purchase one additional share of Vendetta</w:t>
      </w:r>
      <w:r>
        <w:rPr>
          <w:sz w:val="20"/>
          <w:szCs w:val="20"/>
        </w:rPr>
        <w:t xml:space="preserve"> common stock at a purchase price of Cdn$0.13 per share for a period of three years (the “Vendetta Warrants”). The Vendetta Warrants expired unexercised during 2022. During 2022 and 2021, Solitario recorded a loss on derivative instruments of $4,000 and $4</w:t>
      </w:r>
      <w:r>
        <w:rPr>
          <w:sz w:val="20"/>
          <w:szCs w:val="20"/>
        </w:rPr>
        <w:t>6,000, respectively, for the change in the value of the Vendetta Warrants.</w:t>
      </w:r>
    </w:p>
    <w:p w14:paraId="322D37E2" w14:textId="77777777" w:rsidR="00000000" w:rsidRDefault="0015578C">
      <w:pPr>
        <w:pStyle w:val="a3"/>
        <w:spacing w:before="0" w:beforeAutospacing="0" w:after="0" w:afterAutospacing="0"/>
        <w:jc w:val="both"/>
        <w:rPr>
          <w:sz w:val="20"/>
          <w:szCs w:val="20"/>
        </w:rPr>
      </w:pPr>
      <w:r>
        <w:rPr>
          <w:sz w:val="20"/>
          <w:szCs w:val="20"/>
        </w:rPr>
        <w:t> </w:t>
      </w:r>
    </w:p>
    <w:p w14:paraId="0BC5A9A7" w14:textId="77777777" w:rsidR="00000000" w:rsidRDefault="0015578C">
      <w:pPr>
        <w:pStyle w:val="a3"/>
        <w:spacing w:before="0" w:beforeAutospacing="0" w:after="0" w:afterAutospacing="0"/>
        <w:ind w:firstLine="675"/>
        <w:jc w:val="both"/>
        <w:rPr>
          <w:sz w:val="20"/>
          <w:szCs w:val="20"/>
        </w:rPr>
      </w:pPr>
      <w:r>
        <w:rPr>
          <w:sz w:val="20"/>
          <w:szCs w:val="20"/>
        </w:rPr>
        <w:t>At December 31, 2022 Solitario owns the following marketable equity securities:</w:t>
      </w:r>
    </w:p>
    <w:p w14:paraId="390A2943"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4063"/>
        <w:gridCol w:w="88"/>
        <w:gridCol w:w="88"/>
        <w:gridCol w:w="830"/>
        <w:gridCol w:w="88"/>
        <w:gridCol w:w="89"/>
        <w:gridCol w:w="131"/>
        <w:gridCol w:w="710"/>
        <w:gridCol w:w="89"/>
        <w:gridCol w:w="89"/>
        <w:gridCol w:w="89"/>
        <w:gridCol w:w="830"/>
        <w:gridCol w:w="89"/>
        <w:gridCol w:w="89"/>
        <w:gridCol w:w="130"/>
        <w:gridCol w:w="710"/>
        <w:gridCol w:w="104"/>
      </w:tblGrid>
      <w:tr w:rsidR="00000000" w14:paraId="32311AE2" w14:textId="77777777">
        <w:trPr>
          <w:trHeight w:val="225"/>
          <w:tblCellSpacing w:w="15" w:type="dxa"/>
        </w:trPr>
        <w:tc>
          <w:tcPr>
            <w:tcW w:w="0" w:type="auto"/>
            <w:vAlign w:val="center"/>
            <w:hideMark/>
          </w:tcPr>
          <w:p w14:paraId="55DDAEA7"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482292A"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00720AB3" w14:textId="77777777" w:rsidR="00000000" w:rsidRDefault="0015578C">
            <w:pPr>
              <w:pStyle w:val="a3"/>
              <w:spacing w:before="0" w:beforeAutospacing="0" w:after="0" w:afterAutospacing="0"/>
              <w:jc w:val="center"/>
              <w:rPr>
                <w:sz w:val="20"/>
                <w:szCs w:val="20"/>
              </w:rPr>
            </w:pPr>
            <w:r>
              <w:rPr>
                <w:sz w:val="20"/>
                <w:szCs w:val="20"/>
              </w:rPr>
              <w:t>Year ended</w:t>
            </w:r>
          </w:p>
          <w:p w14:paraId="321131B8" w14:textId="77777777" w:rsidR="00000000" w:rsidRDefault="0015578C">
            <w:pPr>
              <w:pStyle w:val="a3"/>
              <w:spacing w:before="0" w:beforeAutospacing="0" w:after="0" w:afterAutospacing="0"/>
              <w:jc w:val="center"/>
              <w:rPr>
                <w:sz w:val="20"/>
                <w:szCs w:val="20"/>
              </w:rPr>
            </w:pPr>
            <w:r>
              <w:rPr>
                <w:sz w:val="20"/>
                <w:szCs w:val="20"/>
              </w:rPr>
              <w:t>December 31, 2022</w:t>
            </w:r>
          </w:p>
        </w:tc>
        <w:tc>
          <w:tcPr>
            <w:tcW w:w="0" w:type="auto"/>
            <w:noWrap/>
            <w:vAlign w:val="center"/>
            <w:hideMark/>
          </w:tcPr>
          <w:p w14:paraId="58AD3EA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9488337"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3DDE932C" w14:textId="77777777" w:rsidR="00000000" w:rsidRDefault="0015578C">
            <w:pPr>
              <w:pStyle w:val="a3"/>
              <w:spacing w:before="0" w:beforeAutospacing="0" w:after="0" w:afterAutospacing="0"/>
              <w:jc w:val="center"/>
              <w:rPr>
                <w:sz w:val="20"/>
                <w:szCs w:val="20"/>
              </w:rPr>
            </w:pPr>
            <w:r>
              <w:rPr>
                <w:sz w:val="20"/>
                <w:szCs w:val="20"/>
              </w:rPr>
              <w:t>Year ended</w:t>
            </w:r>
          </w:p>
          <w:p w14:paraId="1EC0CFAF" w14:textId="77777777" w:rsidR="00000000" w:rsidRDefault="0015578C">
            <w:pPr>
              <w:pStyle w:val="a3"/>
              <w:spacing w:before="0" w:beforeAutospacing="0" w:after="0" w:afterAutospacing="0"/>
              <w:jc w:val="center"/>
              <w:rPr>
                <w:sz w:val="20"/>
                <w:szCs w:val="20"/>
              </w:rPr>
            </w:pPr>
            <w:r>
              <w:rPr>
                <w:sz w:val="20"/>
                <w:szCs w:val="20"/>
              </w:rPr>
              <w:t>December 31, 2021</w:t>
            </w:r>
          </w:p>
        </w:tc>
        <w:tc>
          <w:tcPr>
            <w:tcW w:w="0" w:type="auto"/>
            <w:noWrap/>
            <w:vAlign w:val="center"/>
            <w:hideMark/>
          </w:tcPr>
          <w:p w14:paraId="65EC381A" w14:textId="77777777" w:rsidR="00000000" w:rsidRDefault="0015578C">
            <w:pPr>
              <w:pStyle w:val="a3"/>
              <w:spacing w:before="0" w:beforeAutospacing="0" w:after="0" w:afterAutospacing="0"/>
              <w:rPr>
                <w:sz w:val="20"/>
                <w:szCs w:val="20"/>
              </w:rPr>
            </w:pPr>
            <w:r>
              <w:rPr>
                <w:sz w:val="20"/>
                <w:szCs w:val="20"/>
              </w:rPr>
              <w:t> </w:t>
            </w:r>
          </w:p>
        </w:tc>
      </w:tr>
      <w:tr w:rsidR="00000000" w14:paraId="51ABFBE6" w14:textId="77777777">
        <w:trPr>
          <w:trHeight w:val="225"/>
          <w:tblCellSpacing w:w="15" w:type="dxa"/>
        </w:trPr>
        <w:tc>
          <w:tcPr>
            <w:tcW w:w="0" w:type="auto"/>
            <w:vAlign w:val="center"/>
            <w:hideMark/>
          </w:tcPr>
          <w:p w14:paraId="20E116FC"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63B94F0"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66CDC1C2" w14:textId="77777777" w:rsidR="00000000" w:rsidRDefault="0015578C">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14:paraId="7E8F120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1B2AB18"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E5AA5F0" w14:textId="77777777" w:rsidR="00000000" w:rsidRDefault="0015578C">
            <w:pPr>
              <w:pStyle w:val="a3"/>
              <w:spacing w:before="0" w:beforeAutospacing="0" w:after="0" w:afterAutospacing="0"/>
              <w:jc w:val="center"/>
              <w:rPr>
                <w:sz w:val="20"/>
                <w:szCs w:val="20"/>
              </w:rPr>
            </w:pPr>
            <w:r>
              <w:rPr>
                <w:sz w:val="20"/>
                <w:szCs w:val="20"/>
              </w:rPr>
              <w:t>Fair value</w:t>
            </w:r>
          </w:p>
          <w:p w14:paraId="069CC973" w14:textId="77777777" w:rsidR="00000000" w:rsidRDefault="0015578C">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14:paraId="47E8EB6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D9C028C"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751A81CF" w14:textId="77777777" w:rsidR="00000000" w:rsidRDefault="0015578C">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14:paraId="14F2D0F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246995F"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976B9F7" w14:textId="77777777" w:rsidR="00000000" w:rsidRDefault="0015578C">
            <w:pPr>
              <w:pStyle w:val="a3"/>
              <w:spacing w:before="0" w:beforeAutospacing="0" w:after="0" w:afterAutospacing="0"/>
              <w:jc w:val="center"/>
              <w:rPr>
                <w:sz w:val="20"/>
                <w:szCs w:val="20"/>
              </w:rPr>
            </w:pPr>
            <w:r>
              <w:rPr>
                <w:sz w:val="20"/>
                <w:szCs w:val="20"/>
              </w:rPr>
              <w:t>Fair value</w:t>
            </w:r>
          </w:p>
          <w:p w14:paraId="4AC8F426" w14:textId="77777777" w:rsidR="00000000" w:rsidRDefault="0015578C">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14:paraId="1A4B3138" w14:textId="77777777" w:rsidR="00000000" w:rsidRDefault="0015578C">
            <w:pPr>
              <w:pStyle w:val="a3"/>
              <w:spacing w:before="0" w:beforeAutospacing="0" w:after="0" w:afterAutospacing="0"/>
              <w:rPr>
                <w:sz w:val="20"/>
                <w:szCs w:val="20"/>
              </w:rPr>
            </w:pPr>
            <w:r>
              <w:rPr>
                <w:sz w:val="20"/>
                <w:szCs w:val="20"/>
              </w:rPr>
              <w:t> </w:t>
            </w:r>
          </w:p>
        </w:tc>
      </w:tr>
      <w:tr w:rsidR="00000000" w14:paraId="1C1D72A8" w14:textId="77777777">
        <w:trPr>
          <w:trHeight w:val="225"/>
          <w:tblCellSpacing w:w="15" w:type="dxa"/>
        </w:trPr>
        <w:tc>
          <w:tcPr>
            <w:tcW w:w="0" w:type="auto"/>
            <w:shd w:val="clear" w:color="auto" w:fill="CCEEFF"/>
            <w:hideMark/>
          </w:tcPr>
          <w:p w14:paraId="4DEB7621" w14:textId="77777777" w:rsidR="00000000" w:rsidRDefault="0015578C">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14:paraId="5D1FA61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233422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37DB9CC" w14:textId="77777777" w:rsidR="00000000" w:rsidRDefault="0015578C">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14:paraId="294D829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D98305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282CCF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EFD563A" w14:textId="77777777" w:rsidR="00000000" w:rsidRDefault="0015578C">
            <w:pPr>
              <w:jc w:val="right"/>
              <w:rPr>
                <w:rFonts w:eastAsia="Times New Roman"/>
                <w:sz w:val="20"/>
                <w:szCs w:val="20"/>
              </w:rPr>
            </w:pPr>
            <w:r>
              <w:rPr>
                <w:rFonts w:eastAsia="Times New Roman"/>
                <w:sz w:val="20"/>
                <w:szCs w:val="20"/>
              </w:rPr>
              <w:t>409</w:t>
            </w:r>
          </w:p>
        </w:tc>
        <w:tc>
          <w:tcPr>
            <w:tcW w:w="50" w:type="pct"/>
            <w:shd w:val="clear" w:color="auto" w:fill="CCEEFF"/>
            <w:noWrap/>
            <w:vAlign w:val="center"/>
            <w:hideMark/>
          </w:tcPr>
          <w:p w14:paraId="77E1C1B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AD170B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FDE9B7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9FEDC6D" w14:textId="77777777" w:rsidR="00000000" w:rsidRDefault="0015578C">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14:paraId="215B244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08B9A1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6A396E9"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CE13CB8" w14:textId="77777777" w:rsidR="00000000" w:rsidRDefault="0015578C">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14:paraId="37E30AAD" w14:textId="77777777" w:rsidR="00000000" w:rsidRDefault="0015578C">
            <w:pPr>
              <w:pStyle w:val="a3"/>
              <w:spacing w:before="0" w:beforeAutospacing="0" w:after="0" w:afterAutospacing="0"/>
              <w:rPr>
                <w:sz w:val="20"/>
                <w:szCs w:val="20"/>
              </w:rPr>
            </w:pPr>
            <w:r>
              <w:rPr>
                <w:sz w:val="20"/>
                <w:szCs w:val="20"/>
              </w:rPr>
              <w:t> </w:t>
            </w:r>
          </w:p>
        </w:tc>
      </w:tr>
      <w:tr w:rsidR="00000000" w14:paraId="57A5CD7F" w14:textId="77777777">
        <w:trPr>
          <w:trHeight w:val="225"/>
          <w:tblCellSpacing w:w="15" w:type="dxa"/>
        </w:trPr>
        <w:tc>
          <w:tcPr>
            <w:tcW w:w="0" w:type="auto"/>
            <w:shd w:val="clear" w:color="auto" w:fill="FFFFFF"/>
            <w:hideMark/>
          </w:tcPr>
          <w:p w14:paraId="30C44869" w14:textId="77777777" w:rsidR="00000000" w:rsidRDefault="0015578C">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14:paraId="751AB28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C3F720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9057A89" w14:textId="77777777" w:rsidR="00000000" w:rsidRDefault="0015578C">
            <w:pPr>
              <w:jc w:val="right"/>
              <w:rPr>
                <w:rFonts w:eastAsia="Times New Roman"/>
                <w:sz w:val="20"/>
                <w:szCs w:val="20"/>
              </w:rPr>
            </w:pPr>
            <w:r>
              <w:rPr>
                <w:rFonts w:eastAsia="Times New Roman"/>
                <w:sz w:val="20"/>
                <w:szCs w:val="20"/>
              </w:rPr>
              <w:t>7,750,000</w:t>
            </w:r>
          </w:p>
        </w:tc>
        <w:tc>
          <w:tcPr>
            <w:tcW w:w="50" w:type="pct"/>
            <w:shd w:val="clear" w:color="auto" w:fill="FFFFFF"/>
            <w:noWrap/>
            <w:vAlign w:val="center"/>
            <w:hideMark/>
          </w:tcPr>
          <w:p w14:paraId="723AC25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33F7FD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6193AE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0F53576" w14:textId="77777777" w:rsidR="00000000" w:rsidRDefault="0015578C">
            <w:pPr>
              <w:jc w:val="right"/>
              <w:rPr>
                <w:rFonts w:eastAsia="Times New Roman"/>
                <w:sz w:val="20"/>
                <w:szCs w:val="20"/>
              </w:rPr>
            </w:pPr>
            <w:r>
              <w:rPr>
                <w:rFonts w:eastAsia="Times New Roman"/>
                <w:sz w:val="20"/>
                <w:szCs w:val="20"/>
              </w:rPr>
              <w:t>229</w:t>
            </w:r>
          </w:p>
        </w:tc>
        <w:tc>
          <w:tcPr>
            <w:tcW w:w="50" w:type="pct"/>
            <w:shd w:val="clear" w:color="auto" w:fill="FFFFFF"/>
            <w:noWrap/>
            <w:vAlign w:val="center"/>
            <w:hideMark/>
          </w:tcPr>
          <w:p w14:paraId="6A10DA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3A0993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322084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BA461F6" w14:textId="77777777" w:rsidR="00000000" w:rsidRDefault="0015578C">
            <w:pPr>
              <w:jc w:val="right"/>
              <w:rPr>
                <w:rFonts w:eastAsia="Times New Roman"/>
                <w:sz w:val="20"/>
                <w:szCs w:val="20"/>
              </w:rPr>
            </w:pPr>
            <w:r>
              <w:rPr>
                <w:rFonts w:eastAsia="Times New Roman"/>
                <w:sz w:val="20"/>
                <w:szCs w:val="20"/>
              </w:rPr>
              <w:t>9,000,000</w:t>
            </w:r>
          </w:p>
        </w:tc>
        <w:tc>
          <w:tcPr>
            <w:tcW w:w="50" w:type="pct"/>
            <w:shd w:val="clear" w:color="auto" w:fill="FFFFFF"/>
            <w:noWrap/>
            <w:vAlign w:val="center"/>
            <w:hideMark/>
          </w:tcPr>
          <w:p w14:paraId="5C4EEFD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B54AE6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AB46DD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6E63CE0" w14:textId="77777777" w:rsidR="00000000" w:rsidRDefault="0015578C">
            <w:pPr>
              <w:jc w:val="right"/>
              <w:rPr>
                <w:rFonts w:eastAsia="Times New Roman"/>
                <w:sz w:val="20"/>
                <w:szCs w:val="20"/>
              </w:rPr>
            </w:pPr>
            <w:r>
              <w:rPr>
                <w:rFonts w:eastAsia="Times New Roman"/>
                <w:sz w:val="20"/>
                <w:szCs w:val="20"/>
              </w:rPr>
              <w:t>356</w:t>
            </w:r>
          </w:p>
        </w:tc>
        <w:tc>
          <w:tcPr>
            <w:tcW w:w="50" w:type="pct"/>
            <w:shd w:val="clear" w:color="auto" w:fill="FFFFFF"/>
            <w:noWrap/>
            <w:vAlign w:val="center"/>
            <w:hideMark/>
          </w:tcPr>
          <w:p w14:paraId="59BA3590" w14:textId="77777777" w:rsidR="00000000" w:rsidRDefault="0015578C">
            <w:pPr>
              <w:pStyle w:val="a3"/>
              <w:spacing w:before="0" w:beforeAutospacing="0" w:after="0" w:afterAutospacing="0"/>
              <w:rPr>
                <w:sz w:val="20"/>
                <w:szCs w:val="20"/>
              </w:rPr>
            </w:pPr>
            <w:r>
              <w:rPr>
                <w:sz w:val="20"/>
                <w:szCs w:val="20"/>
              </w:rPr>
              <w:t> </w:t>
            </w:r>
          </w:p>
        </w:tc>
      </w:tr>
      <w:tr w:rsidR="00000000" w14:paraId="41AD790B" w14:textId="77777777">
        <w:trPr>
          <w:trHeight w:val="225"/>
          <w:tblCellSpacing w:w="15" w:type="dxa"/>
        </w:trPr>
        <w:tc>
          <w:tcPr>
            <w:tcW w:w="0" w:type="auto"/>
            <w:shd w:val="clear" w:color="auto" w:fill="CCEEFF"/>
            <w:hideMark/>
          </w:tcPr>
          <w:p w14:paraId="0EC96877" w14:textId="77777777" w:rsidR="00000000" w:rsidRDefault="0015578C">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14:paraId="5FB9633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620017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4E5B6FA" w14:textId="77777777" w:rsidR="00000000" w:rsidRDefault="0015578C">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14:paraId="2BA9993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467D1B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DE4065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FD3C9F6" w14:textId="77777777" w:rsidR="00000000" w:rsidRDefault="0015578C">
            <w:pPr>
              <w:jc w:val="right"/>
              <w:rPr>
                <w:rFonts w:eastAsia="Times New Roman"/>
                <w:sz w:val="20"/>
                <w:szCs w:val="20"/>
              </w:rPr>
            </w:pPr>
            <w:r>
              <w:rPr>
                <w:rFonts w:eastAsia="Times New Roman"/>
                <w:sz w:val="20"/>
                <w:szCs w:val="20"/>
              </w:rPr>
              <w:t>311</w:t>
            </w:r>
          </w:p>
        </w:tc>
        <w:tc>
          <w:tcPr>
            <w:tcW w:w="50" w:type="pct"/>
            <w:shd w:val="clear" w:color="auto" w:fill="CCEEFF"/>
            <w:noWrap/>
            <w:vAlign w:val="center"/>
            <w:hideMark/>
          </w:tcPr>
          <w:p w14:paraId="2AF7CF7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DECDA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185C16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358D4E6" w14:textId="77777777" w:rsidR="00000000" w:rsidRDefault="0015578C">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14:paraId="21EC3E8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F281CC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0E6018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2D540BA" w14:textId="77777777" w:rsidR="00000000" w:rsidRDefault="0015578C">
            <w:pPr>
              <w:jc w:val="right"/>
              <w:rPr>
                <w:rFonts w:eastAsia="Times New Roman"/>
                <w:sz w:val="20"/>
                <w:szCs w:val="20"/>
              </w:rPr>
            </w:pPr>
            <w:r>
              <w:rPr>
                <w:rFonts w:eastAsia="Times New Roman"/>
                <w:sz w:val="20"/>
                <w:szCs w:val="20"/>
              </w:rPr>
              <w:t>370</w:t>
            </w:r>
          </w:p>
        </w:tc>
        <w:tc>
          <w:tcPr>
            <w:tcW w:w="50" w:type="pct"/>
            <w:shd w:val="clear" w:color="auto" w:fill="CCEEFF"/>
            <w:noWrap/>
            <w:vAlign w:val="center"/>
            <w:hideMark/>
          </w:tcPr>
          <w:p w14:paraId="5A21119C" w14:textId="77777777" w:rsidR="00000000" w:rsidRDefault="0015578C">
            <w:pPr>
              <w:pStyle w:val="a3"/>
              <w:spacing w:before="0" w:beforeAutospacing="0" w:after="0" w:afterAutospacing="0"/>
              <w:rPr>
                <w:sz w:val="20"/>
                <w:szCs w:val="20"/>
              </w:rPr>
            </w:pPr>
            <w:r>
              <w:rPr>
                <w:sz w:val="20"/>
                <w:szCs w:val="20"/>
              </w:rPr>
              <w:t> </w:t>
            </w:r>
          </w:p>
        </w:tc>
      </w:tr>
      <w:tr w:rsidR="00000000" w14:paraId="6245FC37" w14:textId="77777777">
        <w:trPr>
          <w:trHeight w:val="225"/>
          <w:tblCellSpacing w:w="15" w:type="dxa"/>
        </w:trPr>
        <w:tc>
          <w:tcPr>
            <w:tcW w:w="0" w:type="auto"/>
            <w:shd w:val="clear" w:color="auto" w:fill="FFFFFF"/>
            <w:hideMark/>
          </w:tcPr>
          <w:p w14:paraId="37098000" w14:textId="77777777" w:rsidR="00000000" w:rsidRDefault="0015578C">
            <w:pPr>
              <w:pStyle w:val="a3"/>
              <w:spacing w:before="0" w:beforeAutospacing="0" w:after="0" w:afterAutospacing="0"/>
              <w:rPr>
                <w:sz w:val="20"/>
                <w:szCs w:val="20"/>
              </w:rPr>
            </w:pPr>
            <w:r>
              <w:rPr>
                <w:sz w:val="20"/>
                <w:szCs w:val="20"/>
              </w:rPr>
              <w:t>Highland Silver Corp.</w:t>
            </w:r>
          </w:p>
        </w:tc>
        <w:tc>
          <w:tcPr>
            <w:tcW w:w="50" w:type="pct"/>
            <w:shd w:val="clear" w:color="auto" w:fill="FFFFFF"/>
            <w:noWrap/>
            <w:vAlign w:val="center"/>
            <w:hideMark/>
          </w:tcPr>
          <w:p w14:paraId="0280542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028E89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C7061FF" w14:textId="77777777" w:rsidR="00000000" w:rsidRDefault="0015578C">
            <w:pPr>
              <w:jc w:val="right"/>
              <w:rPr>
                <w:rFonts w:eastAsia="Times New Roman"/>
                <w:sz w:val="20"/>
                <w:szCs w:val="20"/>
              </w:rPr>
            </w:pPr>
            <w:r>
              <w:rPr>
                <w:rFonts w:eastAsia="Times New Roman"/>
                <w:sz w:val="20"/>
                <w:szCs w:val="20"/>
              </w:rPr>
              <w:t>200,000</w:t>
            </w:r>
          </w:p>
        </w:tc>
        <w:tc>
          <w:tcPr>
            <w:tcW w:w="50" w:type="pct"/>
            <w:shd w:val="clear" w:color="auto" w:fill="FFFFFF"/>
            <w:noWrap/>
            <w:vAlign w:val="center"/>
            <w:hideMark/>
          </w:tcPr>
          <w:p w14:paraId="4E6C3C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955B07B"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760249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E68A0C1"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14:paraId="2EEBD52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85DB04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D4095F2"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21C52BF3"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14:paraId="2433C43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0FC7CD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14E9A7A"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F8907B8"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14:paraId="26FA1009" w14:textId="77777777" w:rsidR="00000000" w:rsidRDefault="0015578C">
            <w:pPr>
              <w:pStyle w:val="a3"/>
              <w:spacing w:before="0" w:beforeAutospacing="0" w:after="0" w:afterAutospacing="0"/>
              <w:rPr>
                <w:sz w:val="20"/>
                <w:szCs w:val="20"/>
              </w:rPr>
            </w:pPr>
            <w:r>
              <w:rPr>
                <w:sz w:val="20"/>
                <w:szCs w:val="20"/>
              </w:rPr>
              <w:t> </w:t>
            </w:r>
          </w:p>
        </w:tc>
      </w:tr>
      <w:tr w:rsidR="00000000" w14:paraId="582DC001" w14:textId="77777777">
        <w:trPr>
          <w:trHeight w:val="225"/>
          <w:tblCellSpacing w:w="15" w:type="dxa"/>
        </w:trPr>
        <w:tc>
          <w:tcPr>
            <w:tcW w:w="0" w:type="auto"/>
            <w:shd w:val="clear" w:color="auto" w:fill="CCEEFF"/>
            <w:hideMark/>
          </w:tcPr>
          <w:p w14:paraId="31E9A6BE" w14:textId="77777777" w:rsidR="00000000" w:rsidRDefault="0015578C">
            <w:pPr>
              <w:pStyle w:val="a3"/>
              <w:spacing w:before="0" w:beforeAutospacing="0" w:after="0" w:afterAutospacing="0"/>
              <w:ind w:left="225"/>
              <w:rPr>
                <w:sz w:val="20"/>
                <w:szCs w:val="20"/>
              </w:rPr>
            </w:pPr>
            <w:r>
              <w:rPr>
                <w:sz w:val="20"/>
                <w:szCs w:val="20"/>
              </w:rPr>
              <w:t>Total</w:t>
            </w:r>
          </w:p>
        </w:tc>
        <w:tc>
          <w:tcPr>
            <w:tcW w:w="50" w:type="pct"/>
            <w:shd w:val="clear" w:color="auto" w:fill="CCEEFF"/>
            <w:noWrap/>
            <w:vAlign w:val="center"/>
            <w:hideMark/>
          </w:tcPr>
          <w:p w14:paraId="6BAE9BE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4A0587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366FB69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BD5A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94707C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1501EDDB"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60EA382" w14:textId="77777777" w:rsidR="00000000" w:rsidRDefault="0015578C">
            <w:pPr>
              <w:jc w:val="right"/>
              <w:rPr>
                <w:rFonts w:eastAsia="Times New Roman"/>
                <w:sz w:val="20"/>
                <w:szCs w:val="20"/>
              </w:rPr>
            </w:pPr>
            <w:r>
              <w:rPr>
                <w:rFonts w:eastAsia="Times New Roman"/>
                <w:sz w:val="20"/>
                <w:szCs w:val="20"/>
              </w:rPr>
              <w:t>949</w:t>
            </w:r>
          </w:p>
        </w:tc>
        <w:tc>
          <w:tcPr>
            <w:tcW w:w="50" w:type="pct"/>
            <w:shd w:val="clear" w:color="auto" w:fill="CCEEFF"/>
            <w:noWrap/>
            <w:tcMar>
              <w:top w:w="0" w:type="dxa"/>
              <w:left w:w="0" w:type="dxa"/>
              <w:bottom w:w="15" w:type="dxa"/>
              <w:right w:w="0" w:type="dxa"/>
            </w:tcMar>
            <w:vAlign w:val="center"/>
            <w:hideMark/>
          </w:tcPr>
          <w:p w14:paraId="7AA3677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9C678F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7E1B38B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center"/>
            <w:hideMark/>
          </w:tcPr>
          <w:p w14:paraId="755C1CB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14:paraId="69C6C77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9DDF2A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22B19CEC"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12DDD770" w14:textId="77777777" w:rsidR="00000000" w:rsidRDefault="0015578C">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14:paraId="639EA506" w14:textId="77777777" w:rsidR="00000000" w:rsidRDefault="0015578C">
            <w:pPr>
              <w:pStyle w:val="a3"/>
              <w:spacing w:before="0" w:beforeAutospacing="0" w:after="0" w:afterAutospacing="0"/>
              <w:rPr>
                <w:sz w:val="20"/>
                <w:szCs w:val="20"/>
              </w:rPr>
            </w:pPr>
            <w:r>
              <w:rPr>
                <w:sz w:val="20"/>
                <w:szCs w:val="20"/>
              </w:rPr>
              <w:t> </w:t>
            </w:r>
          </w:p>
        </w:tc>
      </w:tr>
    </w:tbl>
    <w:p w14:paraId="6E2BC49F" w14:textId="77777777" w:rsidR="00000000" w:rsidRDefault="0015578C">
      <w:pPr>
        <w:pStyle w:val="a3"/>
        <w:spacing w:before="0" w:beforeAutospacing="0" w:after="0" w:afterAutospacing="0"/>
        <w:jc w:val="both"/>
        <w:rPr>
          <w:sz w:val="20"/>
          <w:szCs w:val="20"/>
        </w:rPr>
      </w:pPr>
      <w:r>
        <w:rPr>
          <w:sz w:val="20"/>
          <w:szCs w:val="20"/>
        </w:rPr>
        <w:t> </w:t>
      </w:r>
    </w:p>
    <w:p w14:paraId="2022F4EF" w14:textId="77777777" w:rsidR="00000000" w:rsidRDefault="0015578C">
      <w:pPr>
        <w:pStyle w:val="a3"/>
        <w:spacing w:before="0" w:beforeAutospacing="0" w:after="0" w:afterAutospacing="0"/>
        <w:ind w:firstLine="675"/>
        <w:jc w:val="both"/>
        <w:rPr>
          <w:sz w:val="20"/>
          <w:szCs w:val="20"/>
        </w:rPr>
      </w:pPr>
      <w:r>
        <w:rPr>
          <w:sz w:val="20"/>
          <w:szCs w:val="20"/>
        </w:rPr>
        <w:t>The following tables summarize Solitario’</w:t>
      </w:r>
      <w:r>
        <w:rPr>
          <w:sz w:val="20"/>
          <w:szCs w:val="20"/>
        </w:rPr>
        <w:t>s marketable equity securities and adjustments to fair value:</w:t>
      </w:r>
    </w:p>
    <w:p w14:paraId="781B4153"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584C3B5A" w14:textId="77777777">
        <w:trPr>
          <w:trHeight w:val="225"/>
          <w:tblCellSpacing w:w="15" w:type="dxa"/>
        </w:trPr>
        <w:tc>
          <w:tcPr>
            <w:tcW w:w="0" w:type="auto"/>
            <w:vAlign w:val="bottom"/>
            <w:hideMark/>
          </w:tcPr>
          <w:p w14:paraId="48A5F873" w14:textId="77777777" w:rsidR="00000000" w:rsidRDefault="0015578C">
            <w:pPr>
              <w:pStyle w:val="a3"/>
              <w:spacing w:before="0" w:beforeAutospacing="0" w:after="0" w:afterAutospacing="0"/>
              <w:jc w:val="both"/>
              <w:rPr>
                <w:sz w:val="20"/>
                <w:szCs w:val="20"/>
              </w:rPr>
            </w:pPr>
            <w:r>
              <w:rPr>
                <w:sz w:val="20"/>
                <w:szCs w:val="20"/>
              </w:rPr>
              <w:t>(in thousands)</w:t>
            </w:r>
          </w:p>
        </w:tc>
        <w:tc>
          <w:tcPr>
            <w:tcW w:w="0" w:type="auto"/>
            <w:noWrap/>
            <w:vAlign w:val="center"/>
            <w:hideMark/>
          </w:tcPr>
          <w:p w14:paraId="223931D1"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0738D0D5" w14:textId="77777777" w:rsidR="00000000" w:rsidRDefault="0015578C">
            <w:pPr>
              <w:pStyle w:val="a3"/>
              <w:spacing w:before="0" w:beforeAutospacing="0" w:after="0" w:afterAutospacing="0"/>
              <w:jc w:val="center"/>
              <w:rPr>
                <w:sz w:val="20"/>
                <w:szCs w:val="20"/>
              </w:rPr>
            </w:pPr>
            <w:r>
              <w:rPr>
                <w:sz w:val="20"/>
                <w:szCs w:val="20"/>
              </w:rPr>
              <w:t>Year ended</w:t>
            </w:r>
          </w:p>
          <w:p w14:paraId="29B02DCF"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66DA1B0A" w14:textId="77777777" w:rsidR="00000000" w:rsidRDefault="0015578C">
            <w:pPr>
              <w:pStyle w:val="a3"/>
              <w:spacing w:before="0" w:beforeAutospacing="0" w:after="0" w:afterAutospacing="0"/>
              <w:rPr>
                <w:sz w:val="20"/>
                <w:szCs w:val="20"/>
              </w:rPr>
            </w:pPr>
            <w:r>
              <w:rPr>
                <w:sz w:val="20"/>
                <w:szCs w:val="20"/>
              </w:rPr>
              <w:t> </w:t>
            </w:r>
          </w:p>
        </w:tc>
      </w:tr>
      <w:tr w:rsidR="00000000" w14:paraId="0D40CD63" w14:textId="77777777">
        <w:trPr>
          <w:trHeight w:val="225"/>
          <w:tblCellSpacing w:w="15" w:type="dxa"/>
        </w:trPr>
        <w:tc>
          <w:tcPr>
            <w:tcW w:w="0" w:type="auto"/>
            <w:vAlign w:val="center"/>
            <w:hideMark/>
          </w:tcPr>
          <w:p w14:paraId="7F8DDB0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018E554"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6228122"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04C0E95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7C49CF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CC6EBA6"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064B2E6D" w14:textId="77777777" w:rsidR="00000000" w:rsidRDefault="0015578C">
            <w:pPr>
              <w:pStyle w:val="a3"/>
              <w:spacing w:before="0" w:beforeAutospacing="0" w:after="0" w:afterAutospacing="0"/>
              <w:rPr>
                <w:sz w:val="20"/>
                <w:szCs w:val="20"/>
              </w:rPr>
            </w:pPr>
            <w:r>
              <w:rPr>
                <w:sz w:val="20"/>
                <w:szCs w:val="20"/>
              </w:rPr>
              <w:t> </w:t>
            </w:r>
          </w:p>
        </w:tc>
      </w:tr>
      <w:tr w:rsidR="00000000" w14:paraId="09282931" w14:textId="77777777">
        <w:trPr>
          <w:trHeight w:val="225"/>
          <w:tblCellSpacing w:w="15" w:type="dxa"/>
        </w:trPr>
        <w:tc>
          <w:tcPr>
            <w:tcW w:w="0" w:type="auto"/>
            <w:shd w:val="clear" w:color="auto" w:fill="CCEEFF"/>
            <w:hideMark/>
          </w:tcPr>
          <w:p w14:paraId="0A1414E0" w14:textId="77777777" w:rsidR="00000000" w:rsidRDefault="0015578C">
            <w:pPr>
              <w:pStyle w:val="a3"/>
              <w:spacing w:before="0" w:beforeAutospacing="0" w:after="0" w:afterAutospacing="0"/>
              <w:rPr>
                <w:sz w:val="20"/>
                <w:szCs w:val="20"/>
              </w:rPr>
            </w:pPr>
            <w:r>
              <w:rPr>
                <w:sz w:val="20"/>
                <w:szCs w:val="20"/>
              </w:rPr>
              <w:t>Marketable equity securities at cost</w:t>
            </w:r>
          </w:p>
        </w:tc>
        <w:tc>
          <w:tcPr>
            <w:tcW w:w="50" w:type="pct"/>
            <w:shd w:val="clear" w:color="auto" w:fill="CCEEFF"/>
            <w:noWrap/>
            <w:vAlign w:val="center"/>
            <w:hideMark/>
          </w:tcPr>
          <w:p w14:paraId="3F719AE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450A5B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F1A1B1" w14:textId="77777777" w:rsidR="00000000" w:rsidRDefault="0015578C">
            <w:pPr>
              <w:jc w:val="right"/>
              <w:rPr>
                <w:rFonts w:eastAsia="Times New Roman"/>
                <w:sz w:val="20"/>
                <w:szCs w:val="20"/>
              </w:rPr>
            </w:pPr>
            <w:r>
              <w:rPr>
                <w:rFonts w:eastAsia="Times New Roman"/>
                <w:sz w:val="20"/>
                <w:szCs w:val="20"/>
              </w:rPr>
              <w:t>1,440</w:t>
            </w:r>
          </w:p>
        </w:tc>
        <w:tc>
          <w:tcPr>
            <w:tcW w:w="50" w:type="pct"/>
            <w:shd w:val="clear" w:color="auto" w:fill="CCEEFF"/>
            <w:noWrap/>
            <w:vAlign w:val="center"/>
            <w:hideMark/>
          </w:tcPr>
          <w:p w14:paraId="64D4B8B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FBF7E9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068BB48"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4CE56AC2" w14:textId="77777777" w:rsidR="00000000" w:rsidRDefault="0015578C">
            <w:pPr>
              <w:jc w:val="right"/>
              <w:rPr>
                <w:rFonts w:eastAsia="Times New Roman"/>
                <w:sz w:val="20"/>
                <w:szCs w:val="20"/>
              </w:rPr>
            </w:pPr>
            <w:r>
              <w:rPr>
                <w:rFonts w:eastAsia="Times New Roman"/>
                <w:sz w:val="20"/>
                <w:szCs w:val="20"/>
              </w:rPr>
              <w:t>1,704</w:t>
            </w:r>
          </w:p>
        </w:tc>
        <w:tc>
          <w:tcPr>
            <w:tcW w:w="50" w:type="pct"/>
            <w:shd w:val="clear" w:color="auto" w:fill="CCEEFF"/>
            <w:noWrap/>
            <w:vAlign w:val="center"/>
            <w:hideMark/>
          </w:tcPr>
          <w:p w14:paraId="183D77C3" w14:textId="77777777" w:rsidR="00000000" w:rsidRDefault="0015578C">
            <w:pPr>
              <w:pStyle w:val="a3"/>
              <w:spacing w:before="0" w:beforeAutospacing="0" w:after="0" w:afterAutospacing="0"/>
              <w:rPr>
                <w:sz w:val="20"/>
                <w:szCs w:val="20"/>
              </w:rPr>
            </w:pPr>
            <w:r>
              <w:rPr>
                <w:sz w:val="20"/>
                <w:szCs w:val="20"/>
              </w:rPr>
              <w:t> </w:t>
            </w:r>
          </w:p>
        </w:tc>
      </w:tr>
      <w:tr w:rsidR="00000000" w14:paraId="4E88FF49" w14:textId="77777777">
        <w:trPr>
          <w:trHeight w:val="225"/>
          <w:tblCellSpacing w:w="15" w:type="dxa"/>
        </w:trPr>
        <w:tc>
          <w:tcPr>
            <w:tcW w:w="0" w:type="auto"/>
            <w:shd w:val="clear" w:color="auto" w:fill="FFFFFF"/>
            <w:hideMark/>
          </w:tcPr>
          <w:p w14:paraId="64C0FCDD" w14:textId="77777777" w:rsidR="00000000" w:rsidRDefault="0015578C">
            <w:pPr>
              <w:pStyle w:val="a3"/>
              <w:spacing w:before="0" w:beforeAutospacing="0" w:after="0" w:afterAutospacing="0"/>
              <w:rPr>
                <w:sz w:val="20"/>
                <w:szCs w:val="20"/>
              </w:rPr>
            </w:pPr>
            <w:r>
              <w:rPr>
                <w:sz w:val="20"/>
                <w:szCs w:val="20"/>
              </w:rPr>
              <w:t>Cumulative unrealized loss on marketable equity securities</w:t>
            </w:r>
          </w:p>
        </w:tc>
        <w:tc>
          <w:tcPr>
            <w:tcW w:w="50" w:type="pct"/>
            <w:shd w:val="clear" w:color="auto" w:fill="FFFFFF"/>
            <w:noWrap/>
            <w:vAlign w:val="center"/>
            <w:hideMark/>
          </w:tcPr>
          <w:p w14:paraId="5AB18FB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68E41D4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243070E" w14:textId="77777777" w:rsidR="00000000" w:rsidRDefault="0015578C">
            <w:pPr>
              <w:jc w:val="right"/>
              <w:rPr>
                <w:rFonts w:eastAsia="Times New Roman"/>
                <w:sz w:val="20"/>
                <w:szCs w:val="20"/>
              </w:rPr>
            </w:pPr>
            <w:r>
              <w:rPr>
                <w:rFonts w:eastAsia="Times New Roman"/>
                <w:sz w:val="20"/>
                <w:szCs w:val="20"/>
              </w:rPr>
              <w:t>(491</w:t>
            </w:r>
          </w:p>
        </w:tc>
        <w:tc>
          <w:tcPr>
            <w:tcW w:w="50" w:type="pct"/>
            <w:shd w:val="clear" w:color="auto" w:fill="FFFFFF"/>
            <w:noWrap/>
            <w:tcMar>
              <w:top w:w="0" w:type="dxa"/>
              <w:left w:w="0" w:type="dxa"/>
              <w:bottom w:w="15" w:type="dxa"/>
              <w:right w:w="0" w:type="dxa"/>
            </w:tcMar>
            <w:vAlign w:val="bottom"/>
            <w:hideMark/>
          </w:tcPr>
          <w:p w14:paraId="30725FA8"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ECC730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7465492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CB3474F" w14:textId="77777777" w:rsidR="00000000" w:rsidRDefault="0015578C">
            <w:pPr>
              <w:jc w:val="right"/>
              <w:rPr>
                <w:rFonts w:eastAsia="Times New Roman"/>
                <w:sz w:val="20"/>
                <w:szCs w:val="20"/>
              </w:rPr>
            </w:pPr>
            <w:r>
              <w:rPr>
                <w:rFonts w:eastAsia="Times New Roman"/>
                <w:sz w:val="20"/>
                <w:szCs w:val="20"/>
              </w:rPr>
              <w:t>(397</w:t>
            </w:r>
          </w:p>
        </w:tc>
        <w:tc>
          <w:tcPr>
            <w:tcW w:w="50" w:type="pct"/>
            <w:shd w:val="clear" w:color="auto" w:fill="FFFFFF"/>
            <w:noWrap/>
            <w:tcMar>
              <w:top w:w="0" w:type="dxa"/>
              <w:left w:w="0" w:type="dxa"/>
              <w:bottom w:w="15" w:type="dxa"/>
              <w:right w:w="0" w:type="dxa"/>
            </w:tcMar>
            <w:vAlign w:val="bottom"/>
            <w:hideMark/>
          </w:tcPr>
          <w:p w14:paraId="34C3971D" w14:textId="77777777" w:rsidR="00000000" w:rsidRDefault="0015578C">
            <w:pPr>
              <w:rPr>
                <w:rFonts w:eastAsia="Times New Roman"/>
                <w:sz w:val="20"/>
                <w:szCs w:val="20"/>
              </w:rPr>
            </w:pPr>
            <w:r>
              <w:rPr>
                <w:rFonts w:eastAsia="Times New Roman"/>
                <w:sz w:val="20"/>
                <w:szCs w:val="20"/>
              </w:rPr>
              <w:t>)</w:t>
            </w:r>
          </w:p>
        </w:tc>
      </w:tr>
      <w:tr w:rsidR="00000000" w14:paraId="437ED763" w14:textId="77777777">
        <w:trPr>
          <w:trHeight w:val="225"/>
          <w:tblCellSpacing w:w="15" w:type="dxa"/>
        </w:trPr>
        <w:tc>
          <w:tcPr>
            <w:tcW w:w="0" w:type="auto"/>
            <w:shd w:val="clear" w:color="auto" w:fill="CCEEFF"/>
            <w:hideMark/>
          </w:tcPr>
          <w:p w14:paraId="78B685DB" w14:textId="77777777" w:rsidR="00000000" w:rsidRDefault="0015578C">
            <w:pPr>
              <w:pStyle w:val="a3"/>
              <w:spacing w:before="0" w:beforeAutospacing="0" w:after="0" w:afterAutospacing="0"/>
              <w:rPr>
                <w:sz w:val="20"/>
                <w:szCs w:val="20"/>
              </w:rPr>
            </w:pPr>
            <w:r>
              <w:rPr>
                <w:sz w:val="20"/>
                <w:szCs w:val="20"/>
              </w:rPr>
              <w:t>Marketable equity securities at fair value</w:t>
            </w:r>
          </w:p>
        </w:tc>
        <w:tc>
          <w:tcPr>
            <w:tcW w:w="50" w:type="pct"/>
            <w:shd w:val="clear" w:color="auto" w:fill="CCEEFF"/>
            <w:noWrap/>
            <w:vAlign w:val="center"/>
            <w:hideMark/>
          </w:tcPr>
          <w:p w14:paraId="0D3A29C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0B62986F"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607E9092" w14:textId="77777777" w:rsidR="00000000" w:rsidRDefault="0015578C">
            <w:pPr>
              <w:jc w:val="right"/>
              <w:rPr>
                <w:rFonts w:eastAsia="Times New Roman"/>
                <w:sz w:val="20"/>
                <w:szCs w:val="20"/>
              </w:rPr>
            </w:pPr>
            <w:r>
              <w:rPr>
                <w:rFonts w:eastAsia="Times New Roman"/>
                <w:sz w:val="20"/>
                <w:szCs w:val="20"/>
              </w:rPr>
              <w:t>949</w:t>
            </w:r>
          </w:p>
        </w:tc>
        <w:tc>
          <w:tcPr>
            <w:tcW w:w="50" w:type="pct"/>
            <w:shd w:val="clear" w:color="auto" w:fill="CCEEFF"/>
            <w:noWrap/>
            <w:tcMar>
              <w:top w:w="0" w:type="dxa"/>
              <w:left w:w="0" w:type="dxa"/>
              <w:bottom w:w="15" w:type="dxa"/>
              <w:right w:w="0" w:type="dxa"/>
            </w:tcMar>
            <w:vAlign w:val="center"/>
            <w:hideMark/>
          </w:tcPr>
          <w:p w14:paraId="727D1E5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50289C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0D6CC042"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20186E75" w14:textId="77777777" w:rsidR="00000000" w:rsidRDefault="0015578C">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14:paraId="6452471C" w14:textId="77777777" w:rsidR="00000000" w:rsidRDefault="0015578C">
            <w:pPr>
              <w:pStyle w:val="a3"/>
              <w:spacing w:before="0" w:beforeAutospacing="0" w:after="0" w:afterAutospacing="0"/>
              <w:rPr>
                <w:sz w:val="20"/>
                <w:szCs w:val="20"/>
              </w:rPr>
            </w:pPr>
            <w:r>
              <w:rPr>
                <w:sz w:val="20"/>
                <w:szCs w:val="20"/>
              </w:rPr>
              <w:t> </w:t>
            </w:r>
          </w:p>
        </w:tc>
      </w:tr>
    </w:tbl>
    <w:p w14:paraId="7419BF1D" w14:textId="77777777" w:rsidR="00000000" w:rsidRDefault="0015578C">
      <w:pPr>
        <w:pStyle w:val="a3"/>
        <w:spacing w:before="0" w:beforeAutospacing="0" w:after="0" w:afterAutospacing="0"/>
        <w:jc w:val="both"/>
        <w:rPr>
          <w:sz w:val="20"/>
          <w:szCs w:val="20"/>
        </w:rPr>
      </w:pPr>
      <w:r>
        <w:rPr>
          <w:sz w:val="20"/>
          <w:szCs w:val="20"/>
        </w:rPr>
        <w:t> </w:t>
      </w:r>
    </w:p>
    <w:p w14:paraId="1AC5A6AF" w14:textId="77777777" w:rsidR="00000000" w:rsidRDefault="0015578C">
      <w:pPr>
        <w:pStyle w:val="a3"/>
        <w:spacing w:before="0" w:beforeAutospacing="0" w:after="0" w:afterAutospacing="0"/>
        <w:ind w:firstLine="675"/>
        <w:jc w:val="both"/>
        <w:rPr>
          <w:sz w:val="20"/>
          <w:szCs w:val="20"/>
        </w:rPr>
      </w:pPr>
      <w:r>
        <w:rPr>
          <w:sz w:val="20"/>
          <w:szCs w:val="20"/>
        </w:rPr>
        <w:t>The following table represents changes in marketable equity securities:</w:t>
      </w:r>
    </w:p>
    <w:p w14:paraId="2B9857D3" w14:textId="77777777" w:rsidR="00000000" w:rsidRDefault="0015578C">
      <w:pPr>
        <w:pStyle w:val="a3"/>
        <w:spacing w:before="0" w:beforeAutospacing="0" w:after="0" w:afterAutospacing="0"/>
        <w:ind w:firstLine="675"/>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468C97D4" w14:textId="77777777">
        <w:trPr>
          <w:trHeight w:val="225"/>
          <w:tblCellSpacing w:w="15" w:type="dxa"/>
        </w:trPr>
        <w:tc>
          <w:tcPr>
            <w:tcW w:w="0" w:type="auto"/>
            <w:vAlign w:val="bottom"/>
            <w:hideMark/>
          </w:tcPr>
          <w:p w14:paraId="0E6E01BD"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2D455919"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5877D8B7" w14:textId="77777777" w:rsidR="00000000" w:rsidRDefault="0015578C">
            <w:pPr>
              <w:pStyle w:val="a3"/>
              <w:spacing w:before="0" w:beforeAutospacing="0" w:after="0" w:afterAutospacing="0"/>
              <w:jc w:val="center"/>
              <w:rPr>
                <w:sz w:val="20"/>
                <w:szCs w:val="20"/>
              </w:rPr>
            </w:pPr>
            <w:r>
              <w:rPr>
                <w:sz w:val="20"/>
                <w:szCs w:val="20"/>
              </w:rPr>
              <w:t xml:space="preserve">Year ended </w:t>
            </w:r>
          </w:p>
          <w:p w14:paraId="08C1CD02"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0DE2881E" w14:textId="77777777" w:rsidR="00000000" w:rsidRDefault="0015578C">
            <w:pPr>
              <w:pStyle w:val="a3"/>
              <w:spacing w:before="0" w:beforeAutospacing="0" w:after="0" w:afterAutospacing="0"/>
              <w:rPr>
                <w:sz w:val="20"/>
                <w:szCs w:val="20"/>
              </w:rPr>
            </w:pPr>
            <w:r>
              <w:rPr>
                <w:sz w:val="20"/>
                <w:szCs w:val="20"/>
              </w:rPr>
              <w:t> </w:t>
            </w:r>
          </w:p>
        </w:tc>
      </w:tr>
      <w:tr w:rsidR="00000000" w14:paraId="0B04046A" w14:textId="77777777">
        <w:trPr>
          <w:trHeight w:val="225"/>
          <w:tblCellSpacing w:w="15" w:type="dxa"/>
        </w:trPr>
        <w:tc>
          <w:tcPr>
            <w:tcW w:w="0" w:type="auto"/>
            <w:vAlign w:val="center"/>
            <w:hideMark/>
          </w:tcPr>
          <w:p w14:paraId="1AA96AF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07891F7"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C849894"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65DE5CAD"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E963CCE"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04A76A27"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25A0204E" w14:textId="77777777" w:rsidR="00000000" w:rsidRDefault="0015578C">
            <w:pPr>
              <w:pStyle w:val="a3"/>
              <w:spacing w:before="0" w:beforeAutospacing="0" w:after="0" w:afterAutospacing="0"/>
              <w:rPr>
                <w:sz w:val="20"/>
                <w:szCs w:val="20"/>
              </w:rPr>
            </w:pPr>
            <w:r>
              <w:rPr>
                <w:sz w:val="20"/>
                <w:szCs w:val="20"/>
              </w:rPr>
              <w:t> </w:t>
            </w:r>
          </w:p>
        </w:tc>
      </w:tr>
      <w:tr w:rsidR="00000000" w14:paraId="5E021332" w14:textId="77777777">
        <w:trPr>
          <w:trHeight w:val="225"/>
          <w:tblCellSpacing w:w="15" w:type="dxa"/>
        </w:trPr>
        <w:tc>
          <w:tcPr>
            <w:tcW w:w="0" w:type="auto"/>
            <w:shd w:val="clear" w:color="auto" w:fill="CCEEFF"/>
            <w:hideMark/>
          </w:tcPr>
          <w:p w14:paraId="342A1333" w14:textId="77777777" w:rsidR="00000000" w:rsidRDefault="0015578C">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14:paraId="4D2F6A5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F0E5049"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32AD676" w14:textId="77777777" w:rsidR="00000000" w:rsidRDefault="0015578C">
            <w:pPr>
              <w:jc w:val="right"/>
              <w:rPr>
                <w:rFonts w:eastAsia="Times New Roman"/>
                <w:sz w:val="20"/>
                <w:szCs w:val="20"/>
              </w:rPr>
            </w:pPr>
            <w:r>
              <w:rPr>
                <w:rFonts w:eastAsia="Times New Roman"/>
                <w:sz w:val="20"/>
                <w:szCs w:val="20"/>
              </w:rPr>
              <w:t>264</w:t>
            </w:r>
          </w:p>
        </w:tc>
        <w:tc>
          <w:tcPr>
            <w:tcW w:w="50" w:type="pct"/>
            <w:shd w:val="clear" w:color="auto" w:fill="CCEEFF"/>
            <w:noWrap/>
            <w:vAlign w:val="center"/>
            <w:hideMark/>
          </w:tcPr>
          <w:p w14:paraId="2D7253D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60668C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EEF14DB"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4FFD8A0" w14:textId="77777777" w:rsidR="00000000" w:rsidRDefault="0015578C">
            <w:pPr>
              <w:jc w:val="right"/>
              <w:rPr>
                <w:rFonts w:eastAsia="Times New Roman"/>
                <w:sz w:val="20"/>
                <w:szCs w:val="20"/>
              </w:rPr>
            </w:pPr>
            <w:r>
              <w:rPr>
                <w:rFonts w:eastAsia="Times New Roman"/>
                <w:sz w:val="20"/>
                <w:szCs w:val="20"/>
              </w:rPr>
              <w:t>395</w:t>
            </w:r>
          </w:p>
        </w:tc>
        <w:tc>
          <w:tcPr>
            <w:tcW w:w="50" w:type="pct"/>
            <w:shd w:val="clear" w:color="auto" w:fill="CCEEFF"/>
            <w:noWrap/>
            <w:vAlign w:val="center"/>
            <w:hideMark/>
          </w:tcPr>
          <w:p w14:paraId="6626150A" w14:textId="77777777" w:rsidR="00000000" w:rsidRDefault="0015578C">
            <w:pPr>
              <w:pStyle w:val="a3"/>
              <w:spacing w:before="0" w:beforeAutospacing="0" w:after="0" w:afterAutospacing="0"/>
              <w:rPr>
                <w:sz w:val="20"/>
                <w:szCs w:val="20"/>
              </w:rPr>
            </w:pPr>
            <w:r>
              <w:rPr>
                <w:sz w:val="20"/>
                <w:szCs w:val="20"/>
              </w:rPr>
              <w:t> </w:t>
            </w:r>
          </w:p>
        </w:tc>
      </w:tr>
      <w:tr w:rsidR="00000000" w14:paraId="01661DCE" w14:textId="77777777">
        <w:trPr>
          <w:trHeight w:val="225"/>
          <w:tblCellSpacing w:w="15" w:type="dxa"/>
        </w:trPr>
        <w:tc>
          <w:tcPr>
            <w:tcW w:w="0" w:type="auto"/>
            <w:shd w:val="clear" w:color="auto" w:fill="FFFFFF"/>
            <w:hideMark/>
          </w:tcPr>
          <w:p w14:paraId="10A75AF4" w14:textId="77777777" w:rsidR="00000000" w:rsidRDefault="0015578C">
            <w:pPr>
              <w:pStyle w:val="a3"/>
              <w:spacing w:before="0" w:beforeAutospacing="0" w:after="0" w:afterAutospacing="0"/>
              <w:rPr>
                <w:sz w:val="20"/>
                <w:szCs w:val="20"/>
              </w:rPr>
            </w:pPr>
            <w:r>
              <w:rPr>
                <w:sz w:val="20"/>
                <w:szCs w:val="20"/>
              </w:rPr>
              <w:t xml:space="preserve">Realized loss on marketable equity securities sold </w:t>
            </w:r>
          </w:p>
        </w:tc>
        <w:tc>
          <w:tcPr>
            <w:tcW w:w="50" w:type="pct"/>
            <w:shd w:val="clear" w:color="auto" w:fill="FFFFFF"/>
            <w:noWrap/>
            <w:vAlign w:val="center"/>
            <w:hideMark/>
          </w:tcPr>
          <w:p w14:paraId="7F590ACB"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16000AE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1AAE1A67" w14:textId="77777777" w:rsidR="00000000" w:rsidRDefault="0015578C">
            <w:pPr>
              <w:jc w:val="right"/>
              <w:rPr>
                <w:rFonts w:eastAsia="Times New Roman"/>
                <w:sz w:val="20"/>
                <w:szCs w:val="20"/>
              </w:rPr>
            </w:pPr>
            <w:r>
              <w:rPr>
                <w:rFonts w:eastAsia="Times New Roman"/>
                <w:sz w:val="20"/>
                <w:szCs w:val="20"/>
              </w:rPr>
              <w:t>(201</w:t>
            </w:r>
          </w:p>
        </w:tc>
        <w:tc>
          <w:tcPr>
            <w:tcW w:w="50" w:type="pct"/>
            <w:shd w:val="clear" w:color="auto" w:fill="FFFFFF"/>
            <w:noWrap/>
            <w:tcMar>
              <w:top w:w="0" w:type="dxa"/>
              <w:left w:w="0" w:type="dxa"/>
              <w:bottom w:w="15" w:type="dxa"/>
              <w:right w:w="0" w:type="dxa"/>
            </w:tcMar>
            <w:vAlign w:val="bottom"/>
            <w:hideMark/>
          </w:tcPr>
          <w:p w14:paraId="2437B1E5"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07B054D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12B2995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68B24A8B" w14:textId="77777777" w:rsidR="00000000" w:rsidRDefault="0015578C">
            <w:pPr>
              <w:jc w:val="right"/>
              <w:rPr>
                <w:rFonts w:eastAsia="Times New Roman"/>
                <w:sz w:val="20"/>
                <w:szCs w:val="20"/>
              </w:rPr>
            </w:pPr>
            <w:r>
              <w:rPr>
                <w:rFonts w:eastAsia="Times New Roman"/>
                <w:sz w:val="20"/>
                <w:szCs w:val="20"/>
              </w:rPr>
              <w:t>(248</w:t>
            </w:r>
          </w:p>
        </w:tc>
        <w:tc>
          <w:tcPr>
            <w:tcW w:w="50" w:type="pct"/>
            <w:shd w:val="clear" w:color="auto" w:fill="FFFFFF"/>
            <w:noWrap/>
            <w:tcMar>
              <w:top w:w="0" w:type="dxa"/>
              <w:left w:w="0" w:type="dxa"/>
              <w:bottom w:w="15" w:type="dxa"/>
              <w:right w:w="0" w:type="dxa"/>
            </w:tcMar>
            <w:vAlign w:val="bottom"/>
            <w:hideMark/>
          </w:tcPr>
          <w:p w14:paraId="1AE29475" w14:textId="77777777" w:rsidR="00000000" w:rsidRDefault="0015578C">
            <w:pPr>
              <w:rPr>
                <w:rFonts w:eastAsia="Times New Roman"/>
                <w:sz w:val="20"/>
                <w:szCs w:val="20"/>
              </w:rPr>
            </w:pPr>
            <w:r>
              <w:rPr>
                <w:rFonts w:eastAsia="Times New Roman"/>
                <w:sz w:val="20"/>
                <w:szCs w:val="20"/>
              </w:rPr>
              <w:t>)</w:t>
            </w:r>
          </w:p>
        </w:tc>
      </w:tr>
      <w:tr w:rsidR="00000000" w14:paraId="0DEE41BA" w14:textId="77777777">
        <w:trPr>
          <w:trHeight w:val="225"/>
          <w:tblCellSpacing w:w="15" w:type="dxa"/>
        </w:trPr>
        <w:tc>
          <w:tcPr>
            <w:tcW w:w="0" w:type="auto"/>
            <w:shd w:val="clear" w:color="auto" w:fill="CCEEFF"/>
            <w:hideMark/>
          </w:tcPr>
          <w:p w14:paraId="45921E62" w14:textId="77777777" w:rsidR="00000000" w:rsidRDefault="0015578C">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14:paraId="11A4787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DAD0FA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33EE8B1" w14:textId="77777777" w:rsidR="00000000" w:rsidRDefault="0015578C">
            <w:pPr>
              <w:jc w:val="right"/>
              <w:rPr>
                <w:rFonts w:eastAsia="Times New Roman"/>
                <w:sz w:val="20"/>
                <w:szCs w:val="20"/>
              </w:rPr>
            </w:pPr>
            <w:r>
              <w:rPr>
                <w:rFonts w:eastAsia="Times New Roman"/>
                <w:sz w:val="20"/>
                <w:szCs w:val="20"/>
              </w:rPr>
              <w:t>(63</w:t>
            </w:r>
          </w:p>
        </w:tc>
        <w:tc>
          <w:tcPr>
            <w:tcW w:w="50" w:type="pct"/>
            <w:shd w:val="clear" w:color="auto" w:fill="CCEEFF"/>
            <w:noWrap/>
            <w:vAlign w:val="bottom"/>
            <w:hideMark/>
          </w:tcPr>
          <w:p w14:paraId="3F719290"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031064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D904A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E9369E8" w14:textId="77777777" w:rsidR="00000000" w:rsidRDefault="0015578C">
            <w:pPr>
              <w:jc w:val="right"/>
              <w:rPr>
                <w:rFonts w:eastAsia="Times New Roman"/>
                <w:sz w:val="20"/>
                <w:szCs w:val="20"/>
              </w:rPr>
            </w:pPr>
            <w:r>
              <w:rPr>
                <w:rFonts w:eastAsia="Times New Roman"/>
                <w:sz w:val="20"/>
                <w:szCs w:val="20"/>
              </w:rPr>
              <w:t>(147</w:t>
            </w:r>
          </w:p>
        </w:tc>
        <w:tc>
          <w:tcPr>
            <w:tcW w:w="50" w:type="pct"/>
            <w:shd w:val="clear" w:color="auto" w:fill="CCEEFF"/>
            <w:noWrap/>
            <w:vAlign w:val="bottom"/>
            <w:hideMark/>
          </w:tcPr>
          <w:p w14:paraId="2852DCD3" w14:textId="77777777" w:rsidR="00000000" w:rsidRDefault="0015578C">
            <w:pPr>
              <w:rPr>
                <w:rFonts w:eastAsia="Times New Roman"/>
                <w:sz w:val="20"/>
                <w:szCs w:val="20"/>
              </w:rPr>
            </w:pPr>
            <w:r>
              <w:rPr>
                <w:rFonts w:eastAsia="Times New Roman"/>
                <w:sz w:val="20"/>
                <w:szCs w:val="20"/>
              </w:rPr>
              <w:t>)</w:t>
            </w:r>
          </w:p>
        </w:tc>
      </w:tr>
      <w:tr w:rsidR="00000000" w14:paraId="0C8FA98A" w14:textId="77777777">
        <w:trPr>
          <w:trHeight w:val="225"/>
          <w:tblCellSpacing w:w="15" w:type="dxa"/>
        </w:trPr>
        <w:tc>
          <w:tcPr>
            <w:tcW w:w="0" w:type="auto"/>
            <w:shd w:val="clear" w:color="auto" w:fill="FFFFFF"/>
            <w:hideMark/>
          </w:tcPr>
          <w:p w14:paraId="085C4375" w14:textId="77777777" w:rsidR="00000000" w:rsidRDefault="0015578C">
            <w:pPr>
              <w:pStyle w:val="a3"/>
              <w:spacing w:before="0" w:beforeAutospacing="0" w:after="0" w:afterAutospacing="0"/>
              <w:rPr>
                <w:sz w:val="20"/>
                <w:szCs w:val="20"/>
              </w:rPr>
            </w:pPr>
            <w:r>
              <w:rPr>
                <w:sz w:val="20"/>
                <w:szCs w:val="20"/>
              </w:rPr>
              <w:t xml:space="preserve">Net loss on marketable equity securities </w:t>
            </w:r>
          </w:p>
        </w:tc>
        <w:tc>
          <w:tcPr>
            <w:tcW w:w="50" w:type="pct"/>
            <w:shd w:val="clear" w:color="auto" w:fill="FFFFFF"/>
            <w:noWrap/>
            <w:vAlign w:val="center"/>
            <w:hideMark/>
          </w:tcPr>
          <w:p w14:paraId="56948C8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E043F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59CB05B" w14:textId="77777777" w:rsidR="00000000" w:rsidRDefault="0015578C">
            <w:pPr>
              <w:jc w:val="right"/>
              <w:rPr>
                <w:rFonts w:eastAsia="Times New Roman"/>
                <w:sz w:val="20"/>
                <w:szCs w:val="20"/>
              </w:rPr>
            </w:pPr>
            <w:r>
              <w:rPr>
                <w:rFonts w:eastAsia="Times New Roman"/>
                <w:sz w:val="20"/>
                <w:szCs w:val="20"/>
              </w:rPr>
              <w:t>(295</w:t>
            </w:r>
          </w:p>
        </w:tc>
        <w:tc>
          <w:tcPr>
            <w:tcW w:w="50" w:type="pct"/>
            <w:shd w:val="clear" w:color="auto" w:fill="FFFFFF"/>
            <w:noWrap/>
            <w:vAlign w:val="bottom"/>
            <w:hideMark/>
          </w:tcPr>
          <w:p w14:paraId="67264110"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19AF0E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017E16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F2FC579" w14:textId="77777777" w:rsidR="00000000" w:rsidRDefault="0015578C">
            <w:pPr>
              <w:jc w:val="right"/>
              <w:rPr>
                <w:rFonts w:eastAsia="Times New Roman"/>
                <w:sz w:val="20"/>
                <w:szCs w:val="20"/>
              </w:rPr>
            </w:pPr>
            <w:r>
              <w:rPr>
                <w:rFonts w:eastAsia="Times New Roman"/>
                <w:sz w:val="20"/>
                <w:szCs w:val="20"/>
              </w:rPr>
              <w:t>(166</w:t>
            </w:r>
          </w:p>
        </w:tc>
        <w:tc>
          <w:tcPr>
            <w:tcW w:w="50" w:type="pct"/>
            <w:shd w:val="clear" w:color="auto" w:fill="FFFFFF"/>
            <w:noWrap/>
            <w:vAlign w:val="bottom"/>
            <w:hideMark/>
          </w:tcPr>
          <w:p w14:paraId="46B799AF" w14:textId="77777777" w:rsidR="00000000" w:rsidRDefault="0015578C">
            <w:pPr>
              <w:rPr>
                <w:rFonts w:eastAsia="Times New Roman"/>
                <w:sz w:val="20"/>
                <w:szCs w:val="20"/>
              </w:rPr>
            </w:pPr>
            <w:r>
              <w:rPr>
                <w:rFonts w:eastAsia="Times New Roman"/>
                <w:sz w:val="20"/>
                <w:szCs w:val="20"/>
              </w:rPr>
              <w:t>)</w:t>
            </w:r>
          </w:p>
        </w:tc>
      </w:tr>
      <w:tr w:rsidR="00000000" w14:paraId="6C72F38F" w14:textId="77777777">
        <w:trPr>
          <w:trHeight w:val="225"/>
          <w:tblCellSpacing w:w="15" w:type="dxa"/>
        </w:trPr>
        <w:tc>
          <w:tcPr>
            <w:tcW w:w="0" w:type="auto"/>
            <w:shd w:val="clear" w:color="auto" w:fill="CCEEFF"/>
            <w:hideMark/>
          </w:tcPr>
          <w:p w14:paraId="7E67DA3C" w14:textId="77777777" w:rsidR="00000000" w:rsidRDefault="0015578C">
            <w:pPr>
              <w:pStyle w:val="a3"/>
              <w:spacing w:before="0" w:beforeAutospacing="0" w:after="0" w:afterAutospacing="0"/>
              <w:rPr>
                <w:sz w:val="20"/>
                <w:szCs w:val="20"/>
              </w:rPr>
            </w:pPr>
            <w:r>
              <w:rPr>
                <w:sz w:val="20"/>
                <w:szCs w:val="20"/>
              </w:rPr>
              <w:t>Additions to marketable equity securities</w:t>
            </w:r>
          </w:p>
        </w:tc>
        <w:tc>
          <w:tcPr>
            <w:tcW w:w="50" w:type="pct"/>
            <w:shd w:val="clear" w:color="auto" w:fill="CCEEFF"/>
            <w:noWrap/>
            <w:vAlign w:val="center"/>
            <w:hideMark/>
          </w:tcPr>
          <w:p w14:paraId="712C3E7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496508B6"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440C11D9"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1E15829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A4046CE"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4EE92626"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61696D6C"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2497BE79" w14:textId="77777777" w:rsidR="00000000" w:rsidRDefault="0015578C">
            <w:pPr>
              <w:pStyle w:val="a3"/>
              <w:spacing w:before="0" w:beforeAutospacing="0" w:after="0" w:afterAutospacing="0"/>
              <w:rPr>
                <w:sz w:val="20"/>
                <w:szCs w:val="20"/>
              </w:rPr>
            </w:pPr>
            <w:r>
              <w:rPr>
                <w:sz w:val="20"/>
                <w:szCs w:val="20"/>
              </w:rPr>
              <w:t> </w:t>
            </w:r>
          </w:p>
        </w:tc>
      </w:tr>
      <w:tr w:rsidR="00000000" w14:paraId="0DF898DA" w14:textId="77777777">
        <w:trPr>
          <w:trHeight w:val="225"/>
          <w:tblCellSpacing w:w="15" w:type="dxa"/>
        </w:trPr>
        <w:tc>
          <w:tcPr>
            <w:tcW w:w="0" w:type="auto"/>
            <w:shd w:val="clear" w:color="auto" w:fill="FFFFFF"/>
            <w:hideMark/>
          </w:tcPr>
          <w:p w14:paraId="10F6995B" w14:textId="77777777" w:rsidR="00000000" w:rsidRDefault="0015578C">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FFFFFF"/>
            <w:noWrap/>
            <w:vAlign w:val="center"/>
            <w:hideMark/>
          </w:tcPr>
          <w:p w14:paraId="5F65FAD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66541E0F"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44120223" w14:textId="77777777" w:rsidR="00000000" w:rsidRDefault="0015578C">
            <w:pPr>
              <w:jc w:val="right"/>
              <w:rPr>
                <w:rFonts w:eastAsia="Times New Roman"/>
                <w:sz w:val="20"/>
                <w:szCs w:val="20"/>
              </w:rPr>
            </w:pPr>
            <w:r>
              <w:rPr>
                <w:rFonts w:eastAsia="Times New Roman"/>
                <w:sz w:val="20"/>
                <w:szCs w:val="20"/>
              </w:rPr>
              <w:t>(358</w:t>
            </w:r>
          </w:p>
        </w:tc>
        <w:tc>
          <w:tcPr>
            <w:tcW w:w="50" w:type="pct"/>
            <w:shd w:val="clear" w:color="auto" w:fill="FFFFFF"/>
            <w:noWrap/>
            <w:tcMar>
              <w:top w:w="0" w:type="dxa"/>
              <w:left w:w="0" w:type="dxa"/>
              <w:bottom w:w="15" w:type="dxa"/>
              <w:right w:w="0" w:type="dxa"/>
            </w:tcMar>
            <w:vAlign w:val="bottom"/>
            <w:hideMark/>
          </w:tcPr>
          <w:p w14:paraId="01E8C6A5"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A1957D2"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194AEFC1"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6ADC8F22" w14:textId="77777777" w:rsidR="00000000" w:rsidRDefault="0015578C">
            <w:pPr>
              <w:jc w:val="right"/>
              <w:rPr>
                <w:rFonts w:eastAsia="Times New Roman"/>
                <w:sz w:val="20"/>
                <w:szCs w:val="20"/>
              </w:rPr>
            </w:pPr>
            <w:r>
              <w:rPr>
                <w:rFonts w:eastAsia="Times New Roman"/>
                <w:sz w:val="20"/>
                <w:szCs w:val="20"/>
              </w:rPr>
              <w:t>(313</w:t>
            </w:r>
          </w:p>
        </w:tc>
        <w:tc>
          <w:tcPr>
            <w:tcW w:w="50" w:type="pct"/>
            <w:shd w:val="clear" w:color="auto" w:fill="FFFFFF"/>
            <w:noWrap/>
            <w:tcMar>
              <w:top w:w="0" w:type="dxa"/>
              <w:left w:w="0" w:type="dxa"/>
              <w:bottom w:w="15" w:type="dxa"/>
              <w:right w:w="0" w:type="dxa"/>
            </w:tcMar>
            <w:vAlign w:val="bottom"/>
            <w:hideMark/>
          </w:tcPr>
          <w:p w14:paraId="2A6C0B41" w14:textId="77777777" w:rsidR="00000000" w:rsidRDefault="0015578C">
            <w:pPr>
              <w:rPr>
                <w:rFonts w:eastAsia="Times New Roman"/>
                <w:sz w:val="20"/>
                <w:szCs w:val="20"/>
              </w:rPr>
            </w:pPr>
            <w:r>
              <w:rPr>
                <w:rFonts w:eastAsia="Times New Roman"/>
                <w:sz w:val="20"/>
                <w:szCs w:val="20"/>
              </w:rPr>
              <w:t>)</w:t>
            </w:r>
          </w:p>
        </w:tc>
      </w:tr>
    </w:tbl>
    <w:p w14:paraId="150CADA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CB8D25B" w14:textId="77777777">
        <w:trPr>
          <w:trHeight w:val="225"/>
          <w:tblCellSpacing w:w="15" w:type="dxa"/>
        </w:trPr>
        <w:tc>
          <w:tcPr>
            <w:tcW w:w="0" w:type="auto"/>
            <w:vAlign w:val="center"/>
            <w:hideMark/>
          </w:tcPr>
          <w:p w14:paraId="226F8E75" w14:textId="77777777" w:rsidR="00000000" w:rsidRDefault="0015578C">
            <w:pPr>
              <w:rPr>
                <w:rFonts w:eastAsia="Times New Roman"/>
                <w:sz w:val="20"/>
                <w:szCs w:val="20"/>
              </w:rPr>
            </w:pPr>
            <w:r>
              <w:rPr>
                <w:rFonts w:eastAsia="Times New Roman"/>
                <w:sz w:val="20"/>
                <w:szCs w:val="20"/>
              </w:rPr>
              <w:t> </w:t>
            </w:r>
          </w:p>
        </w:tc>
      </w:tr>
      <w:tr w:rsidR="00000000" w14:paraId="1E9CCB67" w14:textId="77777777">
        <w:trPr>
          <w:trHeight w:val="225"/>
          <w:tblCellSpacing w:w="15" w:type="dxa"/>
        </w:trPr>
        <w:tc>
          <w:tcPr>
            <w:tcW w:w="0" w:type="auto"/>
            <w:tcBorders>
              <w:bottom w:val="single" w:sz="6" w:space="0" w:color="000000"/>
            </w:tcBorders>
            <w:vAlign w:val="center"/>
            <w:hideMark/>
          </w:tcPr>
          <w:p w14:paraId="496ABB35" w14:textId="77777777" w:rsidR="00000000" w:rsidRDefault="0015578C">
            <w:pPr>
              <w:jc w:val="center"/>
              <w:rPr>
                <w:rFonts w:eastAsia="Times New Roman"/>
                <w:sz w:val="20"/>
                <w:szCs w:val="20"/>
              </w:rPr>
            </w:pPr>
            <w:r>
              <w:rPr>
                <w:rFonts w:eastAsia="Times New Roman"/>
                <w:sz w:val="20"/>
                <w:szCs w:val="20"/>
              </w:rPr>
              <w:t>F-12</w:t>
            </w:r>
          </w:p>
        </w:tc>
      </w:tr>
      <w:tr w:rsidR="00000000" w14:paraId="65B7EE75" w14:textId="77777777">
        <w:trPr>
          <w:trHeight w:val="225"/>
          <w:tblCellSpacing w:w="15" w:type="dxa"/>
        </w:trPr>
        <w:tc>
          <w:tcPr>
            <w:tcW w:w="0" w:type="auto"/>
            <w:vAlign w:val="center"/>
            <w:hideMark/>
          </w:tcPr>
          <w:p w14:paraId="0033FE85" w14:textId="77777777" w:rsidR="00000000" w:rsidRDefault="0015578C">
            <w:pPr>
              <w:rPr>
                <w:rFonts w:eastAsia="Times New Roman"/>
                <w:sz w:val="20"/>
                <w:szCs w:val="20"/>
              </w:rPr>
            </w:pPr>
          </w:p>
        </w:tc>
      </w:tr>
      <w:tr w:rsidR="00000000" w14:paraId="374A48EB" w14:textId="77777777">
        <w:trPr>
          <w:trHeight w:val="225"/>
          <w:tblCellSpacing w:w="15" w:type="dxa"/>
        </w:trPr>
        <w:tc>
          <w:tcPr>
            <w:tcW w:w="0" w:type="auto"/>
            <w:vAlign w:val="center"/>
            <w:hideMark/>
          </w:tcPr>
          <w:p w14:paraId="5C43FCE8"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37DC23C8" w14:textId="77777777" w:rsidR="00000000" w:rsidRDefault="0015578C">
      <w:pPr>
        <w:pStyle w:val="a3"/>
        <w:spacing w:before="0" w:beforeAutospacing="0" w:after="0" w:afterAutospacing="0"/>
        <w:jc w:val="both"/>
        <w:rPr>
          <w:sz w:val="20"/>
          <w:szCs w:val="20"/>
        </w:rPr>
      </w:pPr>
      <w:r>
        <w:rPr>
          <w:sz w:val="20"/>
          <w:szCs w:val="20"/>
        </w:rPr>
        <w:t> </w:t>
      </w:r>
    </w:p>
    <w:p w14:paraId="13558347" w14:textId="77777777" w:rsidR="00000000" w:rsidRDefault="0015578C">
      <w:pPr>
        <w:pStyle w:val="a3"/>
        <w:spacing w:before="0" w:beforeAutospacing="0" w:after="0" w:afterAutospacing="0"/>
        <w:ind w:firstLine="675"/>
        <w:jc w:val="both"/>
        <w:rPr>
          <w:sz w:val="20"/>
          <w:szCs w:val="20"/>
        </w:rPr>
      </w:pPr>
      <w:r>
        <w:rPr>
          <w:sz w:val="20"/>
          <w:szCs w:val="20"/>
        </w:rPr>
        <w:t xml:space="preserve">The following table represents the realized and unrealized gain (loss) on marketable equity securities:  </w:t>
      </w:r>
    </w:p>
    <w:p w14:paraId="529A098B"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1919E569" w14:textId="77777777">
        <w:trPr>
          <w:trHeight w:val="225"/>
          <w:tblCellSpacing w:w="15" w:type="dxa"/>
        </w:trPr>
        <w:tc>
          <w:tcPr>
            <w:tcW w:w="0" w:type="auto"/>
            <w:vAlign w:val="bottom"/>
            <w:hideMark/>
          </w:tcPr>
          <w:p w14:paraId="7A6CEFA9" w14:textId="77777777" w:rsidR="00000000" w:rsidRDefault="0015578C">
            <w:pPr>
              <w:pStyle w:val="a3"/>
              <w:spacing w:before="0" w:beforeAutospacing="0" w:after="0" w:afterAutospacing="0"/>
              <w:jc w:val="both"/>
              <w:rPr>
                <w:sz w:val="20"/>
                <w:szCs w:val="20"/>
              </w:rPr>
            </w:pPr>
            <w:r>
              <w:rPr>
                <w:sz w:val="20"/>
                <w:szCs w:val="20"/>
              </w:rPr>
              <w:t>(in thousands)</w:t>
            </w:r>
          </w:p>
        </w:tc>
        <w:tc>
          <w:tcPr>
            <w:tcW w:w="0" w:type="auto"/>
            <w:noWrap/>
            <w:vAlign w:val="center"/>
            <w:hideMark/>
          </w:tcPr>
          <w:p w14:paraId="40332240"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04B5D4D5" w14:textId="77777777" w:rsidR="00000000" w:rsidRDefault="0015578C">
            <w:pPr>
              <w:pStyle w:val="a3"/>
              <w:spacing w:before="0" w:beforeAutospacing="0" w:after="0" w:afterAutospacing="0"/>
              <w:jc w:val="center"/>
              <w:rPr>
                <w:sz w:val="20"/>
                <w:szCs w:val="20"/>
              </w:rPr>
            </w:pPr>
            <w:r>
              <w:rPr>
                <w:sz w:val="20"/>
                <w:szCs w:val="20"/>
              </w:rPr>
              <w:t>Year ended</w:t>
            </w:r>
          </w:p>
          <w:p w14:paraId="4EB2B237"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386BC2B8" w14:textId="77777777" w:rsidR="00000000" w:rsidRDefault="0015578C">
            <w:pPr>
              <w:pStyle w:val="a3"/>
              <w:spacing w:before="0" w:beforeAutospacing="0" w:after="0" w:afterAutospacing="0"/>
              <w:rPr>
                <w:sz w:val="20"/>
                <w:szCs w:val="20"/>
              </w:rPr>
            </w:pPr>
            <w:r>
              <w:rPr>
                <w:sz w:val="20"/>
                <w:szCs w:val="20"/>
              </w:rPr>
              <w:t> </w:t>
            </w:r>
          </w:p>
        </w:tc>
      </w:tr>
      <w:tr w:rsidR="00000000" w14:paraId="57A43DEB" w14:textId="77777777">
        <w:trPr>
          <w:trHeight w:val="225"/>
          <w:tblCellSpacing w:w="15" w:type="dxa"/>
        </w:trPr>
        <w:tc>
          <w:tcPr>
            <w:tcW w:w="0" w:type="auto"/>
            <w:vAlign w:val="center"/>
            <w:hideMark/>
          </w:tcPr>
          <w:p w14:paraId="1182BB73"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F5DD722"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E132193"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2EFBBF4C"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AE6979C"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B52FCB6"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49B59F11" w14:textId="77777777" w:rsidR="00000000" w:rsidRDefault="0015578C">
            <w:pPr>
              <w:pStyle w:val="a3"/>
              <w:spacing w:before="0" w:beforeAutospacing="0" w:after="0" w:afterAutospacing="0"/>
              <w:rPr>
                <w:sz w:val="20"/>
                <w:szCs w:val="20"/>
              </w:rPr>
            </w:pPr>
            <w:r>
              <w:rPr>
                <w:sz w:val="20"/>
                <w:szCs w:val="20"/>
              </w:rPr>
              <w:t> </w:t>
            </w:r>
          </w:p>
        </w:tc>
      </w:tr>
      <w:tr w:rsidR="00000000" w14:paraId="17DDC190" w14:textId="77777777">
        <w:trPr>
          <w:trHeight w:val="225"/>
          <w:tblCellSpacing w:w="15" w:type="dxa"/>
        </w:trPr>
        <w:tc>
          <w:tcPr>
            <w:tcW w:w="0" w:type="auto"/>
            <w:shd w:val="clear" w:color="auto" w:fill="CCEEFF"/>
            <w:hideMark/>
          </w:tcPr>
          <w:p w14:paraId="52E84C0B" w14:textId="77777777" w:rsidR="00000000" w:rsidRDefault="0015578C">
            <w:pPr>
              <w:pStyle w:val="a3"/>
              <w:spacing w:before="0" w:beforeAutospacing="0" w:after="0" w:afterAutospacing="0"/>
              <w:rPr>
                <w:sz w:val="20"/>
                <w:szCs w:val="20"/>
              </w:rPr>
            </w:pPr>
            <w:r>
              <w:rPr>
                <w:sz w:val="20"/>
                <w:szCs w:val="20"/>
              </w:rPr>
              <w:t>Unrealized (loss) gain on marketable equity securities</w:t>
            </w:r>
          </w:p>
        </w:tc>
        <w:tc>
          <w:tcPr>
            <w:tcW w:w="50" w:type="pct"/>
            <w:shd w:val="clear" w:color="auto" w:fill="CCEEFF"/>
            <w:noWrap/>
            <w:vAlign w:val="center"/>
            <w:hideMark/>
          </w:tcPr>
          <w:p w14:paraId="34BA1C8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2E49140"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5A51EE9" w14:textId="77777777" w:rsidR="00000000" w:rsidRDefault="0015578C">
            <w:pPr>
              <w:jc w:val="right"/>
              <w:rPr>
                <w:rFonts w:eastAsia="Times New Roman"/>
                <w:sz w:val="20"/>
                <w:szCs w:val="20"/>
              </w:rPr>
            </w:pPr>
            <w:r>
              <w:rPr>
                <w:rFonts w:eastAsia="Times New Roman"/>
                <w:sz w:val="20"/>
                <w:szCs w:val="20"/>
              </w:rPr>
              <w:t>(94</w:t>
            </w:r>
          </w:p>
        </w:tc>
        <w:tc>
          <w:tcPr>
            <w:tcW w:w="50" w:type="pct"/>
            <w:shd w:val="clear" w:color="auto" w:fill="CCEEFF"/>
            <w:noWrap/>
            <w:vAlign w:val="bottom"/>
            <w:hideMark/>
          </w:tcPr>
          <w:p w14:paraId="5A9FC89A"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EDFB4C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7281C27"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48CCCB6D" w14:textId="77777777" w:rsidR="00000000" w:rsidRDefault="0015578C">
            <w:pPr>
              <w:jc w:val="right"/>
              <w:rPr>
                <w:rFonts w:eastAsia="Times New Roman"/>
                <w:sz w:val="20"/>
                <w:szCs w:val="20"/>
              </w:rPr>
            </w:pPr>
            <w:r>
              <w:rPr>
                <w:rFonts w:eastAsia="Times New Roman"/>
                <w:sz w:val="20"/>
                <w:szCs w:val="20"/>
              </w:rPr>
              <w:t>82</w:t>
            </w:r>
          </w:p>
        </w:tc>
        <w:tc>
          <w:tcPr>
            <w:tcW w:w="50" w:type="pct"/>
            <w:shd w:val="clear" w:color="auto" w:fill="CCEEFF"/>
            <w:noWrap/>
            <w:vAlign w:val="center"/>
            <w:hideMark/>
          </w:tcPr>
          <w:p w14:paraId="73A4E478" w14:textId="77777777" w:rsidR="00000000" w:rsidRDefault="0015578C">
            <w:pPr>
              <w:pStyle w:val="a3"/>
              <w:spacing w:before="0" w:beforeAutospacing="0" w:after="0" w:afterAutospacing="0"/>
              <w:rPr>
                <w:sz w:val="20"/>
                <w:szCs w:val="20"/>
              </w:rPr>
            </w:pPr>
            <w:r>
              <w:rPr>
                <w:sz w:val="20"/>
                <w:szCs w:val="20"/>
              </w:rPr>
              <w:t> </w:t>
            </w:r>
          </w:p>
        </w:tc>
      </w:tr>
      <w:tr w:rsidR="00000000" w14:paraId="465E2318" w14:textId="77777777">
        <w:trPr>
          <w:trHeight w:val="225"/>
          <w:tblCellSpacing w:w="15" w:type="dxa"/>
        </w:trPr>
        <w:tc>
          <w:tcPr>
            <w:tcW w:w="0" w:type="auto"/>
            <w:shd w:val="clear" w:color="auto" w:fill="FFFFFF"/>
            <w:hideMark/>
          </w:tcPr>
          <w:p w14:paraId="31576F6E" w14:textId="77777777" w:rsidR="00000000" w:rsidRDefault="0015578C">
            <w:pPr>
              <w:pStyle w:val="a3"/>
              <w:spacing w:before="0" w:beforeAutospacing="0" w:after="0" w:afterAutospacing="0"/>
              <w:rPr>
                <w:sz w:val="20"/>
                <w:szCs w:val="20"/>
              </w:rPr>
            </w:pPr>
            <w:r>
              <w:rPr>
                <w:sz w:val="20"/>
                <w:szCs w:val="20"/>
              </w:rPr>
              <w:t>Realized loss on marketable equity securities sold</w:t>
            </w:r>
          </w:p>
        </w:tc>
        <w:tc>
          <w:tcPr>
            <w:tcW w:w="50" w:type="pct"/>
            <w:shd w:val="clear" w:color="auto" w:fill="FFFFFF"/>
            <w:noWrap/>
            <w:vAlign w:val="center"/>
            <w:hideMark/>
          </w:tcPr>
          <w:p w14:paraId="025A98B2"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68A08DF3"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72728056" w14:textId="77777777" w:rsidR="00000000" w:rsidRDefault="0015578C">
            <w:pPr>
              <w:jc w:val="right"/>
              <w:rPr>
                <w:rFonts w:eastAsia="Times New Roman"/>
                <w:sz w:val="20"/>
                <w:szCs w:val="20"/>
              </w:rPr>
            </w:pPr>
            <w:r>
              <w:rPr>
                <w:rFonts w:eastAsia="Times New Roman"/>
                <w:sz w:val="20"/>
                <w:szCs w:val="20"/>
              </w:rPr>
              <w:t>(201</w:t>
            </w:r>
          </w:p>
        </w:tc>
        <w:tc>
          <w:tcPr>
            <w:tcW w:w="50" w:type="pct"/>
            <w:shd w:val="clear" w:color="auto" w:fill="FFFFFF"/>
            <w:noWrap/>
            <w:tcMar>
              <w:top w:w="0" w:type="dxa"/>
              <w:left w:w="0" w:type="dxa"/>
              <w:bottom w:w="15" w:type="dxa"/>
              <w:right w:w="0" w:type="dxa"/>
            </w:tcMar>
            <w:vAlign w:val="bottom"/>
            <w:hideMark/>
          </w:tcPr>
          <w:p w14:paraId="2DB26B04"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30C03106"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8259256"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346BE14F" w14:textId="77777777" w:rsidR="00000000" w:rsidRDefault="0015578C">
            <w:pPr>
              <w:jc w:val="right"/>
              <w:rPr>
                <w:rFonts w:eastAsia="Times New Roman"/>
                <w:sz w:val="20"/>
                <w:szCs w:val="20"/>
              </w:rPr>
            </w:pPr>
            <w:r>
              <w:rPr>
                <w:rFonts w:eastAsia="Times New Roman"/>
                <w:sz w:val="20"/>
                <w:szCs w:val="20"/>
              </w:rPr>
              <w:t>(248</w:t>
            </w:r>
          </w:p>
        </w:tc>
        <w:tc>
          <w:tcPr>
            <w:tcW w:w="50" w:type="pct"/>
            <w:shd w:val="clear" w:color="auto" w:fill="FFFFFF"/>
            <w:noWrap/>
            <w:tcMar>
              <w:top w:w="0" w:type="dxa"/>
              <w:left w:w="0" w:type="dxa"/>
              <w:bottom w:w="15" w:type="dxa"/>
              <w:right w:w="0" w:type="dxa"/>
            </w:tcMar>
            <w:vAlign w:val="bottom"/>
            <w:hideMark/>
          </w:tcPr>
          <w:p w14:paraId="29AF550A" w14:textId="77777777" w:rsidR="00000000" w:rsidRDefault="0015578C">
            <w:pPr>
              <w:rPr>
                <w:rFonts w:eastAsia="Times New Roman"/>
                <w:sz w:val="20"/>
                <w:szCs w:val="20"/>
              </w:rPr>
            </w:pPr>
            <w:r>
              <w:rPr>
                <w:rFonts w:eastAsia="Times New Roman"/>
                <w:sz w:val="20"/>
                <w:szCs w:val="20"/>
              </w:rPr>
              <w:t>)</w:t>
            </w:r>
          </w:p>
        </w:tc>
      </w:tr>
      <w:tr w:rsidR="00000000" w14:paraId="1E59F7D4" w14:textId="77777777">
        <w:trPr>
          <w:trHeight w:val="225"/>
          <w:tblCellSpacing w:w="15" w:type="dxa"/>
        </w:trPr>
        <w:tc>
          <w:tcPr>
            <w:tcW w:w="0" w:type="auto"/>
            <w:shd w:val="clear" w:color="auto" w:fill="CCEEFF"/>
            <w:hideMark/>
          </w:tcPr>
          <w:p w14:paraId="24752DFB" w14:textId="77777777" w:rsidR="00000000" w:rsidRDefault="0015578C">
            <w:pPr>
              <w:pStyle w:val="a3"/>
              <w:spacing w:before="0" w:beforeAutospacing="0" w:after="0" w:afterAutospacing="0"/>
              <w:rPr>
                <w:sz w:val="20"/>
                <w:szCs w:val="20"/>
              </w:rPr>
            </w:pPr>
            <w:r>
              <w:rPr>
                <w:sz w:val="20"/>
                <w:szCs w:val="20"/>
              </w:rPr>
              <w:t>Net loss on marketable equity securities</w:t>
            </w:r>
          </w:p>
        </w:tc>
        <w:tc>
          <w:tcPr>
            <w:tcW w:w="50" w:type="pct"/>
            <w:shd w:val="clear" w:color="auto" w:fill="CCEEFF"/>
            <w:noWrap/>
            <w:vAlign w:val="center"/>
            <w:hideMark/>
          </w:tcPr>
          <w:p w14:paraId="3E71BCFE"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2C6C28B4"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4C623F5B" w14:textId="77777777" w:rsidR="00000000" w:rsidRDefault="0015578C">
            <w:pPr>
              <w:jc w:val="right"/>
              <w:rPr>
                <w:rFonts w:eastAsia="Times New Roman"/>
                <w:sz w:val="20"/>
                <w:szCs w:val="20"/>
              </w:rPr>
            </w:pPr>
            <w:r>
              <w:rPr>
                <w:rFonts w:eastAsia="Times New Roman"/>
                <w:sz w:val="20"/>
                <w:szCs w:val="20"/>
              </w:rPr>
              <w:t>(295</w:t>
            </w:r>
          </w:p>
        </w:tc>
        <w:tc>
          <w:tcPr>
            <w:tcW w:w="50" w:type="pct"/>
            <w:shd w:val="clear" w:color="auto" w:fill="CCEEFF"/>
            <w:noWrap/>
            <w:tcMar>
              <w:top w:w="0" w:type="dxa"/>
              <w:left w:w="0" w:type="dxa"/>
              <w:bottom w:w="15" w:type="dxa"/>
              <w:right w:w="0" w:type="dxa"/>
            </w:tcMar>
            <w:vAlign w:val="bottom"/>
            <w:hideMark/>
          </w:tcPr>
          <w:p w14:paraId="70256836"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661BDDD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561B9066"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7A7F7178" w14:textId="77777777" w:rsidR="00000000" w:rsidRDefault="0015578C">
            <w:pPr>
              <w:jc w:val="right"/>
              <w:rPr>
                <w:rFonts w:eastAsia="Times New Roman"/>
                <w:sz w:val="20"/>
                <w:szCs w:val="20"/>
              </w:rPr>
            </w:pPr>
            <w:r>
              <w:rPr>
                <w:rFonts w:eastAsia="Times New Roman"/>
                <w:sz w:val="20"/>
                <w:szCs w:val="20"/>
              </w:rPr>
              <w:t>(166</w:t>
            </w:r>
          </w:p>
        </w:tc>
        <w:tc>
          <w:tcPr>
            <w:tcW w:w="50" w:type="pct"/>
            <w:shd w:val="clear" w:color="auto" w:fill="CCEEFF"/>
            <w:noWrap/>
            <w:tcMar>
              <w:top w:w="0" w:type="dxa"/>
              <w:left w:w="0" w:type="dxa"/>
              <w:bottom w:w="15" w:type="dxa"/>
              <w:right w:w="0" w:type="dxa"/>
            </w:tcMar>
            <w:vAlign w:val="bottom"/>
            <w:hideMark/>
          </w:tcPr>
          <w:p w14:paraId="0630EF53" w14:textId="77777777" w:rsidR="00000000" w:rsidRDefault="0015578C">
            <w:pPr>
              <w:rPr>
                <w:rFonts w:eastAsia="Times New Roman"/>
                <w:sz w:val="20"/>
                <w:szCs w:val="20"/>
              </w:rPr>
            </w:pPr>
            <w:r>
              <w:rPr>
                <w:rFonts w:eastAsia="Times New Roman"/>
                <w:sz w:val="20"/>
                <w:szCs w:val="20"/>
              </w:rPr>
              <w:t>)</w:t>
            </w:r>
          </w:p>
        </w:tc>
      </w:tr>
    </w:tbl>
    <w:p w14:paraId="7C854E16" w14:textId="77777777" w:rsidR="00000000" w:rsidRDefault="0015578C">
      <w:pPr>
        <w:pStyle w:val="a3"/>
        <w:spacing w:before="0" w:beforeAutospacing="0" w:after="0" w:afterAutospacing="0"/>
        <w:jc w:val="both"/>
        <w:rPr>
          <w:sz w:val="20"/>
          <w:szCs w:val="20"/>
        </w:rPr>
      </w:pPr>
      <w:r>
        <w:rPr>
          <w:sz w:val="20"/>
          <w:szCs w:val="20"/>
        </w:rPr>
        <w:t> </w:t>
      </w:r>
    </w:p>
    <w:p w14:paraId="2111AC89" w14:textId="77777777" w:rsidR="00000000" w:rsidRDefault="0015578C">
      <w:pPr>
        <w:pStyle w:val="a3"/>
        <w:spacing w:before="0" w:beforeAutospacing="0" w:after="0" w:afterAutospacing="0"/>
        <w:jc w:val="both"/>
        <w:rPr>
          <w:sz w:val="20"/>
          <w:szCs w:val="20"/>
        </w:rPr>
      </w:pPr>
      <w:r>
        <w:rPr>
          <w:rStyle w:val="a7"/>
          <w:sz w:val="20"/>
          <w:szCs w:val="20"/>
        </w:rPr>
        <w:t>Other Income</w:t>
      </w:r>
    </w:p>
    <w:p w14:paraId="3E14D810" w14:textId="77777777" w:rsidR="00000000" w:rsidRDefault="0015578C">
      <w:pPr>
        <w:pStyle w:val="a3"/>
        <w:spacing w:before="0" w:beforeAutospacing="0" w:after="0" w:afterAutospacing="0"/>
        <w:jc w:val="both"/>
        <w:rPr>
          <w:sz w:val="20"/>
          <w:szCs w:val="20"/>
        </w:rPr>
      </w:pPr>
      <w:r>
        <w:rPr>
          <w:sz w:val="20"/>
          <w:szCs w:val="20"/>
        </w:rPr>
        <w:t> </w:t>
      </w:r>
    </w:p>
    <w:p w14:paraId="40B1C4EA" w14:textId="77777777" w:rsidR="00000000" w:rsidRDefault="0015578C">
      <w:pPr>
        <w:pStyle w:val="a3"/>
        <w:spacing w:before="0" w:beforeAutospacing="0" w:after="0" w:afterAutospacing="0"/>
        <w:ind w:firstLine="675"/>
        <w:jc w:val="both"/>
        <w:rPr>
          <w:sz w:val="20"/>
          <w:szCs w:val="20"/>
        </w:rPr>
      </w:pPr>
      <w:r>
        <w:rPr>
          <w:sz w:val="20"/>
          <w:szCs w:val="20"/>
        </w:rPr>
        <w:t>During 2022, Solitario sold rights to certain exploration data on a non-owned mineral property upon which Solitario had previously done exploration activities. The data was sold to Highland Silver Corp., a Canadian exploration company (“Highland”) for $20,</w:t>
      </w:r>
      <w:r>
        <w:rPr>
          <w:sz w:val="20"/>
          <w:szCs w:val="20"/>
        </w:rPr>
        <w:t>000 cash and 200,000 shares of Highland common stock. On the date of sale, the Highland common stock carried a restrictive legend. The shares were not available for trade on the date of sale and at December 31, 2022 and no value has been assigned to the co</w:t>
      </w:r>
      <w:r>
        <w:rPr>
          <w:sz w:val="20"/>
          <w:szCs w:val="20"/>
        </w:rPr>
        <w:t>mmon stock. Solitario recorded $20,000 of other income on the date of the sale. Any future changes to the value of the Highland common stock owned by Solitario will be recorded as changes in value of marketable equity securities.</w:t>
      </w:r>
    </w:p>
    <w:p w14:paraId="7EDC1C72" w14:textId="77777777" w:rsidR="00000000" w:rsidRDefault="0015578C">
      <w:pPr>
        <w:pStyle w:val="a3"/>
        <w:spacing w:before="0" w:beforeAutospacing="0" w:after="0" w:afterAutospacing="0"/>
        <w:jc w:val="both"/>
        <w:rPr>
          <w:sz w:val="20"/>
          <w:szCs w:val="20"/>
        </w:rPr>
      </w:pPr>
      <w:r>
        <w:rPr>
          <w:sz w:val="20"/>
          <w:szCs w:val="20"/>
        </w:rPr>
        <w:t> </w:t>
      </w:r>
    </w:p>
    <w:p w14:paraId="5D3C40A4" w14:textId="77777777" w:rsidR="00000000" w:rsidRDefault="0015578C">
      <w:pPr>
        <w:pStyle w:val="a3"/>
        <w:spacing w:before="0" w:beforeAutospacing="0" w:after="0" w:afterAutospacing="0"/>
        <w:jc w:val="both"/>
        <w:rPr>
          <w:sz w:val="20"/>
          <w:szCs w:val="20"/>
        </w:rPr>
      </w:pPr>
      <w:r>
        <w:rPr>
          <w:sz w:val="20"/>
          <w:szCs w:val="20"/>
        </w:rPr>
        <w:t xml:space="preserve">4. </w:t>
      </w:r>
      <w:r>
        <w:rPr>
          <w:sz w:val="20"/>
          <w:szCs w:val="20"/>
          <w:u w:val="single"/>
        </w:rPr>
        <w:t>Operating Lease</w:t>
      </w:r>
    </w:p>
    <w:p w14:paraId="6B88BDE6" w14:textId="77777777" w:rsidR="00000000" w:rsidRDefault="0015578C">
      <w:pPr>
        <w:pStyle w:val="a3"/>
        <w:spacing w:before="0" w:beforeAutospacing="0" w:after="0" w:afterAutospacing="0"/>
        <w:jc w:val="both"/>
        <w:rPr>
          <w:sz w:val="20"/>
          <w:szCs w:val="20"/>
        </w:rPr>
      </w:pPr>
      <w:r>
        <w:rPr>
          <w:sz w:val="20"/>
          <w:szCs w:val="20"/>
        </w:rPr>
        <w:t> </w:t>
      </w:r>
    </w:p>
    <w:p w14:paraId="77EA1717" w14:textId="77777777" w:rsidR="00000000" w:rsidRDefault="0015578C">
      <w:pPr>
        <w:pStyle w:val="a3"/>
        <w:spacing w:before="0" w:beforeAutospacing="0" w:after="0" w:afterAutospacing="0"/>
        <w:ind w:firstLine="675"/>
        <w:jc w:val="both"/>
        <w:rPr>
          <w:sz w:val="20"/>
          <w:szCs w:val="20"/>
        </w:rPr>
      </w:pPr>
      <w:r>
        <w:rPr>
          <w:sz w:val="20"/>
          <w:szCs w:val="20"/>
        </w:rPr>
        <w:t>Sol</w:t>
      </w:r>
      <w:r>
        <w:rPr>
          <w:sz w:val="20"/>
          <w:szCs w:val="20"/>
        </w:rPr>
        <w:t>itario accounts for its leases in accordance with ASC 842. Solitario leases one facility, its Wheat Ridge, Colorado administrative office (the “WR Lease”), that has a term of more than one year. Solitario has no other significant operating lease costs. The</w:t>
      </w:r>
      <w:r>
        <w:rPr>
          <w:sz w:val="20"/>
          <w:szCs w:val="20"/>
        </w:rPr>
        <w:t xml:space="preserve"> WR Lease was extended to October 2023 during 2021 and Solitario recorded a net increase in right of use assets of $99,000 during 2021 upon the extension of the WR Lease. The WR Lease is classified as an operating lease and has a remaining term of 10 month</w:t>
      </w:r>
      <w:r>
        <w:rPr>
          <w:sz w:val="20"/>
          <w:szCs w:val="20"/>
        </w:rPr>
        <w:t>s at December 31, 2022. The right-of-use office lease asset for the WR Lease is classified as other assets and the related liability as a current office lease liability in the consolidated balance sheet. Lease expense is recognized on a straight-line basis</w:t>
      </w:r>
      <w:r>
        <w:rPr>
          <w:sz w:val="20"/>
          <w:szCs w:val="20"/>
        </w:rPr>
        <w:t xml:space="preserve"> over the lease term, with variable lease payments recognized in the period those payments are incurred.</w:t>
      </w:r>
    </w:p>
    <w:p w14:paraId="6A84B4FB" w14:textId="77777777" w:rsidR="00000000" w:rsidRDefault="0015578C">
      <w:pPr>
        <w:pStyle w:val="a3"/>
        <w:spacing w:before="0" w:beforeAutospacing="0" w:after="0" w:afterAutospacing="0"/>
        <w:jc w:val="both"/>
        <w:rPr>
          <w:sz w:val="20"/>
          <w:szCs w:val="20"/>
        </w:rPr>
      </w:pPr>
      <w:r>
        <w:rPr>
          <w:sz w:val="20"/>
          <w:szCs w:val="20"/>
        </w:rPr>
        <w:t> </w:t>
      </w:r>
    </w:p>
    <w:p w14:paraId="001FE31E" w14:textId="77777777" w:rsidR="00000000" w:rsidRDefault="0015578C">
      <w:pPr>
        <w:pStyle w:val="a3"/>
        <w:spacing w:before="0" w:beforeAutospacing="0" w:after="0" w:afterAutospacing="0"/>
        <w:ind w:firstLine="675"/>
        <w:jc w:val="both"/>
        <w:rPr>
          <w:sz w:val="20"/>
          <w:szCs w:val="20"/>
        </w:rPr>
      </w:pPr>
      <w:r>
        <w:rPr>
          <w:sz w:val="20"/>
          <w:szCs w:val="20"/>
        </w:rPr>
        <w:t>During 2022 and 2021, Solitario recognized $40,000 and $40,000, respectively, of non-cash lease expense for the WR Lease included in general and admi</w:t>
      </w:r>
      <w:r>
        <w:rPr>
          <w:sz w:val="20"/>
          <w:szCs w:val="20"/>
        </w:rPr>
        <w:t>nistrative expense. Cash lease payments of $39,000 and $39,000, respectively, were made on the WR Lease during 2022 and 2021 and this amount, less $3,000 and $4,000, respectively, of imputed interest during 2022 and 2021, reduced the related liability on t</w:t>
      </w:r>
      <w:r>
        <w:rPr>
          <w:sz w:val="20"/>
          <w:szCs w:val="20"/>
        </w:rPr>
        <w:t>he WR Lease. The discount rate within the WR Lease is not determinable and Solitario applied a discount rate of 5% based upon Solitario’s estimate of its cost of capital in recording the WR Lease. Solitario has $36,000 remaining cash payments as of Decembe</w:t>
      </w:r>
      <w:r>
        <w:rPr>
          <w:sz w:val="20"/>
          <w:szCs w:val="20"/>
        </w:rPr>
        <w:t>r 31, 2022.</w:t>
      </w:r>
    </w:p>
    <w:p w14:paraId="6258B8E2" w14:textId="77777777" w:rsidR="00000000" w:rsidRDefault="0015578C">
      <w:pPr>
        <w:pStyle w:val="a3"/>
        <w:spacing w:before="0" w:beforeAutospacing="0" w:after="0" w:afterAutospacing="0"/>
        <w:jc w:val="both"/>
        <w:rPr>
          <w:sz w:val="20"/>
          <w:szCs w:val="20"/>
        </w:rPr>
      </w:pPr>
      <w:r>
        <w:rPr>
          <w:sz w:val="20"/>
          <w:szCs w:val="20"/>
        </w:rPr>
        <w:t> </w:t>
      </w:r>
    </w:p>
    <w:p w14:paraId="00B99EC8" w14:textId="77777777" w:rsidR="00000000" w:rsidRDefault="0015578C">
      <w:pPr>
        <w:pStyle w:val="a3"/>
        <w:spacing w:before="0" w:beforeAutospacing="0" w:after="0" w:afterAutospacing="0"/>
        <w:jc w:val="both"/>
        <w:rPr>
          <w:sz w:val="20"/>
          <w:szCs w:val="20"/>
        </w:rPr>
      </w:pPr>
      <w:r>
        <w:rPr>
          <w:sz w:val="20"/>
          <w:szCs w:val="20"/>
        </w:rPr>
        <w:t>The following is supplemental cash flow information related to our operating lease for 2022 and 2021:</w:t>
      </w:r>
    </w:p>
    <w:p w14:paraId="6C0D170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3"/>
        <w:gridCol w:w="104"/>
        <w:gridCol w:w="131"/>
        <w:gridCol w:w="745"/>
        <w:gridCol w:w="104"/>
        <w:gridCol w:w="104"/>
        <w:gridCol w:w="131"/>
        <w:gridCol w:w="745"/>
        <w:gridCol w:w="119"/>
      </w:tblGrid>
      <w:tr w:rsidR="00000000" w14:paraId="0A888C9C" w14:textId="77777777">
        <w:trPr>
          <w:trHeight w:val="225"/>
          <w:tblCellSpacing w:w="15" w:type="dxa"/>
        </w:trPr>
        <w:tc>
          <w:tcPr>
            <w:tcW w:w="0" w:type="auto"/>
            <w:vAlign w:val="bottom"/>
            <w:hideMark/>
          </w:tcPr>
          <w:p w14:paraId="4D384B9E"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03B9D215"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0ABD0F67" w14:textId="77777777" w:rsidR="00000000" w:rsidRDefault="0015578C">
            <w:pPr>
              <w:pStyle w:val="a3"/>
              <w:spacing w:before="0" w:beforeAutospacing="0" w:after="0" w:afterAutospacing="0"/>
              <w:jc w:val="center"/>
              <w:rPr>
                <w:sz w:val="20"/>
                <w:szCs w:val="20"/>
              </w:rPr>
            </w:pPr>
            <w:r>
              <w:rPr>
                <w:sz w:val="20"/>
                <w:szCs w:val="20"/>
              </w:rPr>
              <w:t>Year ended December 31, 2022</w:t>
            </w:r>
          </w:p>
        </w:tc>
        <w:tc>
          <w:tcPr>
            <w:tcW w:w="0" w:type="auto"/>
            <w:noWrap/>
            <w:tcMar>
              <w:top w:w="0" w:type="dxa"/>
              <w:left w:w="0" w:type="dxa"/>
              <w:bottom w:w="15" w:type="dxa"/>
              <w:right w:w="0" w:type="dxa"/>
            </w:tcMar>
            <w:vAlign w:val="center"/>
            <w:hideMark/>
          </w:tcPr>
          <w:p w14:paraId="1204967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50E42D4"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F269DCD" w14:textId="77777777" w:rsidR="00000000" w:rsidRDefault="0015578C">
            <w:pPr>
              <w:pStyle w:val="a3"/>
              <w:spacing w:before="0" w:beforeAutospacing="0" w:after="0" w:afterAutospacing="0"/>
              <w:jc w:val="center"/>
              <w:rPr>
                <w:sz w:val="20"/>
                <w:szCs w:val="20"/>
              </w:rPr>
            </w:pPr>
            <w:r>
              <w:rPr>
                <w:sz w:val="20"/>
                <w:szCs w:val="20"/>
              </w:rPr>
              <w:t>Year ended December 31, 2021</w:t>
            </w:r>
          </w:p>
        </w:tc>
        <w:tc>
          <w:tcPr>
            <w:tcW w:w="0" w:type="auto"/>
            <w:noWrap/>
            <w:tcMar>
              <w:top w:w="0" w:type="dxa"/>
              <w:left w:w="0" w:type="dxa"/>
              <w:bottom w:w="15" w:type="dxa"/>
              <w:right w:w="0" w:type="dxa"/>
            </w:tcMar>
            <w:vAlign w:val="center"/>
            <w:hideMark/>
          </w:tcPr>
          <w:p w14:paraId="278092B2" w14:textId="77777777" w:rsidR="00000000" w:rsidRDefault="0015578C">
            <w:pPr>
              <w:pStyle w:val="a3"/>
              <w:spacing w:before="0" w:beforeAutospacing="0" w:after="0" w:afterAutospacing="0"/>
              <w:rPr>
                <w:sz w:val="20"/>
                <w:szCs w:val="20"/>
              </w:rPr>
            </w:pPr>
            <w:r>
              <w:rPr>
                <w:sz w:val="20"/>
                <w:szCs w:val="20"/>
              </w:rPr>
              <w:t> </w:t>
            </w:r>
          </w:p>
        </w:tc>
      </w:tr>
      <w:tr w:rsidR="00000000" w14:paraId="30D4D011" w14:textId="77777777">
        <w:trPr>
          <w:trHeight w:val="225"/>
          <w:tblCellSpacing w:w="15" w:type="dxa"/>
        </w:trPr>
        <w:tc>
          <w:tcPr>
            <w:tcW w:w="0" w:type="auto"/>
            <w:vAlign w:val="center"/>
            <w:hideMark/>
          </w:tcPr>
          <w:p w14:paraId="3386FD43"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CAEBCD8"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368F8B94"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BEA6FD4"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2BD0E14C"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075FECD1"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60CB6FE" w14:textId="77777777" w:rsidR="00000000" w:rsidRDefault="0015578C">
            <w:pPr>
              <w:pStyle w:val="a3"/>
              <w:spacing w:before="0" w:beforeAutospacing="0" w:after="0" w:afterAutospacing="0"/>
              <w:rPr>
                <w:sz w:val="20"/>
                <w:szCs w:val="20"/>
              </w:rPr>
            </w:pPr>
            <w:r>
              <w:rPr>
                <w:sz w:val="20"/>
                <w:szCs w:val="20"/>
              </w:rPr>
              <w:t> </w:t>
            </w:r>
          </w:p>
        </w:tc>
      </w:tr>
      <w:tr w:rsidR="00000000" w14:paraId="50E928CB" w14:textId="77777777">
        <w:trPr>
          <w:trHeight w:val="225"/>
          <w:tblCellSpacing w:w="15" w:type="dxa"/>
        </w:trPr>
        <w:tc>
          <w:tcPr>
            <w:tcW w:w="0" w:type="auto"/>
            <w:hideMark/>
          </w:tcPr>
          <w:p w14:paraId="6F3EF2F1" w14:textId="77777777" w:rsidR="00000000" w:rsidRDefault="0015578C">
            <w:pPr>
              <w:pStyle w:val="a3"/>
              <w:spacing w:before="0" w:beforeAutospacing="0" w:after="0" w:afterAutospacing="0"/>
              <w:rPr>
                <w:sz w:val="20"/>
                <w:szCs w:val="20"/>
              </w:rPr>
            </w:pPr>
            <w:r>
              <w:rPr>
                <w:sz w:val="20"/>
                <w:szCs w:val="20"/>
              </w:rPr>
              <w:t>Cash paid for amounts included in the measurement of lease liabilities</w:t>
            </w:r>
          </w:p>
        </w:tc>
        <w:tc>
          <w:tcPr>
            <w:tcW w:w="50" w:type="pct"/>
            <w:noWrap/>
            <w:vAlign w:val="center"/>
            <w:hideMark/>
          </w:tcPr>
          <w:p w14:paraId="5CFAEE6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2199B493"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20B1313D"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8BAAFB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3CF43FBF"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13E5FAD" w14:textId="77777777" w:rsidR="00000000" w:rsidRDefault="0015578C">
            <w:pPr>
              <w:pStyle w:val="a3"/>
              <w:spacing w:before="0" w:beforeAutospacing="0" w:after="0" w:afterAutospacing="0"/>
              <w:rPr>
                <w:sz w:val="20"/>
                <w:szCs w:val="20"/>
              </w:rPr>
            </w:pPr>
            <w:r>
              <w:rPr>
                <w:sz w:val="20"/>
                <w:szCs w:val="20"/>
              </w:rPr>
              <w:t> </w:t>
            </w:r>
          </w:p>
        </w:tc>
      </w:tr>
      <w:tr w:rsidR="00000000" w14:paraId="571E8FAD" w14:textId="77777777">
        <w:trPr>
          <w:trHeight w:val="225"/>
          <w:tblCellSpacing w:w="15" w:type="dxa"/>
        </w:trPr>
        <w:tc>
          <w:tcPr>
            <w:tcW w:w="0" w:type="auto"/>
            <w:shd w:val="clear" w:color="auto" w:fill="CCEEFF"/>
            <w:hideMark/>
          </w:tcPr>
          <w:p w14:paraId="1BCECF63" w14:textId="77777777" w:rsidR="00000000" w:rsidRDefault="0015578C">
            <w:pPr>
              <w:pStyle w:val="a3"/>
              <w:spacing w:before="0" w:beforeAutospacing="0" w:after="0" w:afterAutospacing="0"/>
              <w:ind w:left="225"/>
              <w:rPr>
                <w:sz w:val="20"/>
                <w:szCs w:val="20"/>
              </w:rPr>
            </w:pPr>
            <w:r>
              <w:rPr>
                <w:sz w:val="20"/>
                <w:szCs w:val="20"/>
              </w:rPr>
              <w:t>Operating cash outflows from WR Lease payments</w:t>
            </w:r>
          </w:p>
        </w:tc>
        <w:tc>
          <w:tcPr>
            <w:tcW w:w="50" w:type="pct"/>
            <w:shd w:val="clear" w:color="auto" w:fill="CCEEFF"/>
            <w:noWrap/>
            <w:vAlign w:val="center"/>
            <w:hideMark/>
          </w:tcPr>
          <w:p w14:paraId="67F6CD8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2376F3E"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3B33DAB" w14:textId="77777777" w:rsidR="00000000" w:rsidRDefault="0015578C">
            <w:pPr>
              <w:jc w:val="right"/>
              <w:rPr>
                <w:rFonts w:eastAsia="Times New Roman"/>
                <w:sz w:val="20"/>
                <w:szCs w:val="20"/>
              </w:rPr>
            </w:pPr>
            <w:r>
              <w:rPr>
                <w:rFonts w:eastAsia="Times New Roman"/>
                <w:sz w:val="20"/>
                <w:szCs w:val="20"/>
              </w:rPr>
              <w:t>39</w:t>
            </w:r>
          </w:p>
        </w:tc>
        <w:tc>
          <w:tcPr>
            <w:tcW w:w="50" w:type="pct"/>
            <w:shd w:val="clear" w:color="auto" w:fill="CCEEFF"/>
            <w:noWrap/>
            <w:vAlign w:val="center"/>
            <w:hideMark/>
          </w:tcPr>
          <w:p w14:paraId="2E51A00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C75851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37F7496"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BA85EEF" w14:textId="77777777" w:rsidR="00000000" w:rsidRDefault="0015578C">
            <w:pPr>
              <w:jc w:val="right"/>
              <w:rPr>
                <w:rFonts w:eastAsia="Times New Roman"/>
                <w:sz w:val="20"/>
                <w:szCs w:val="20"/>
              </w:rPr>
            </w:pPr>
            <w:r>
              <w:rPr>
                <w:rFonts w:eastAsia="Times New Roman"/>
                <w:sz w:val="20"/>
                <w:szCs w:val="20"/>
              </w:rPr>
              <w:t>39</w:t>
            </w:r>
          </w:p>
        </w:tc>
        <w:tc>
          <w:tcPr>
            <w:tcW w:w="50" w:type="pct"/>
            <w:shd w:val="clear" w:color="auto" w:fill="CCEEFF"/>
            <w:noWrap/>
            <w:vAlign w:val="center"/>
            <w:hideMark/>
          </w:tcPr>
          <w:p w14:paraId="254EB265" w14:textId="77777777" w:rsidR="00000000" w:rsidRDefault="0015578C">
            <w:pPr>
              <w:pStyle w:val="a3"/>
              <w:spacing w:before="0" w:beforeAutospacing="0" w:after="0" w:afterAutospacing="0"/>
              <w:rPr>
                <w:sz w:val="20"/>
                <w:szCs w:val="20"/>
              </w:rPr>
            </w:pPr>
            <w:r>
              <w:rPr>
                <w:sz w:val="20"/>
                <w:szCs w:val="20"/>
              </w:rPr>
              <w:t> </w:t>
            </w:r>
          </w:p>
        </w:tc>
      </w:tr>
      <w:tr w:rsidR="00000000" w14:paraId="14DBA5D3" w14:textId="77777777">
        <w:trPr>
          <w:trHeight w:val="225"/>
          <w:tblCellSpacing w:w="15" w:type="dxa"/>
        </w:trPr>
        <w:tc>
          <w:tcPr>
            <w:tcW w:w="0" w:type="auto"/>
            <w:shd w:val="clear" w:color="auto" w:fill="FFFFFF"/>
            <w:hideMark/>
          </w:tcPr>
          <w:p w14:paraId="4A7AC886" w14:textId="77777777" w:rsidR="00000000" w:rsidRDefault="0015578C">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14:paraId="636B8D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00D2E6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04BA643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DA24A7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60EDC6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32AC90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14:paraId="6B6E779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7EFC816" w14:textId="77777777" w:rsidR="00000000" w:rsidRDefault="0015578C">
            <w:pPr>
              <w:pStyle w:val="a3"/>
              <w:spacing w:before="0" w:beforeAutospacing="0" w:after="0" w:afterAutospacing="0"/>
              <w:rPr>
                <w:sz w:val="20"/>
                <w:szCs w:val="20"/>
              </w:rPr>
            </w:pPr>
            <w:r>
              <w:rPr>
                <w:sz w:val="20"/>
                <w:szCs w:val="20"/>
              </w:rPr>
              <w:t> </w:t>
            </w:r>
          </w:p>
        </w:tc>
      </w:tr>
      <w:tr w:rsidR="00000000" w14:paraId="43883CEC" w14:textId="77777777">
        <w:trPr>
          <w:trHeight w:val="225"/>
          <w:tblCellSpacing w:w="15" w:type="dxa"/>
        </w:trPr>
        <w:tc>
          <w:tcPr>
            <w:tcW w:w="0" w:type="auto"/>
            <w:shd w:val="clear" w:color="auto" w:fill="CCEEFF"/>
            <w:hideMark/>
          </w:tcPr>
          <w:p w14:paraId="49753B1C" w14:textId="77777777" w:rsidR="00000000" w:rsidRDefault="0015578C">
            <w:pPr>
              <w:pStyle w:val="a3"/>
              <w:spacing w:before="0" w:beforeAutospacing="0" w:after="0" w:afterAutospacing="0"/>
              <w:ind w:left="225"/>
              <w:rPr>
                <w:sz w:val="20"/>
                <w:szCs w:val="20"/>
              </w:rPr>
            </w:pPr>
            <w:r>
              <w:rPr>
                <w:sz w:val="20"/>
                <w:szCs w:val="20"/>
              </w:rPr>
              <w:t>Right of use assets recorded in exchange for new operating lease liabilities</w:t>
            </w:r>
          </w:p>
        </w:tc>
        <w:tc>
          <w:tcPr>
            <w:tcW w:w="50" w:type="pct"/>
            <w:shd w:val="clear" w:color="auto" w:fill="CCEEFF"/>
            <w:noWrap/>
            <w:vAlign w:val="center"/>
            <w:hideMark/>
          </w:tcPr>
          <w:p w14:paraId="3169888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8A65C7C"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136CD8C"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0E785F2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AE75F9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594A15F1"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A389758" w14:textId="77777777" w:rsidR="00000000" w:rsidRDefault="0015578C">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14:paraId="3812C7D0" w14:textId="77777777" w:rsidR="00000000" w:rsidRDefault="0015578C">
            <w:pPr>
              <w:pStyle w:val="a3"/>
              <w:spacing w:before="0" w:beforeAutospacing="0" w:after="0" w:afterAutospacing="0"/>
              <w:rPr>
                <w:sz w:val="20"/>
                <w:szCs w:val="20"/>
              </w:rPr>
            </w:pPr>
            <w:r>
              <w:rPr>
                <w:sz w:val="20"/>
                <w:szCs w:val="20"/>
              </w:rPr>
              <w:t> </w:t>
            </w:r>
          </w:p>
        </w:tc>
      </w:tr>
    </w:tbl>
    <w:p w14:paraId="5C95F2B7" w14:textId="77777777" w:rsidR="00000000" w:rsidRDefault="0015578C">
      <w:pPr>
        <w:pStyle w:val="a3"/>
        <w:spacing w:before="0" w:beforeAutospacing="0" w:after="0" w:afterAutospacing="0"/>
        <w:jc w:val="both"/>
        <w:rPr>
          <w:sz w:val="20"/>
          <w:szCs w:val="20"/>
        </w:rPr>
      </w:pPr>
      <w:r>
        <w:rPr>
          <w:sz w:val="20"/>
          <w:szCs w:val="20"/>
        </w:rPr>
        <w:t> </w:t>
      </w:r>
    </w:p>
    <w:p w14:paraId="7F8D2D2B" w14:textId="77777777" w:rsidR="00000000" w:rsidRDefault="0015578C">
      <w:pPr>
        <w:pStyle w:val="a3"/>
        <w:spacing w:before="0" w:beforeAutospacing="0" w:after="0" w:afterAutospacing="0"/>
        <w:jc w:val="both"/>
        <w:rPr>
          <w:sz w:val="20"/>
          <w:szCs w:val="20"/>
        </w:rPr>
      </w:pPr>
      <w:r>
        <w:rPr>
          <w:sz w:val="20"/>
          <w:szCs w:val="20"/>
        </w:rPr>
        <w:t xml:space="preserve">5. </w:t>
      </w:r>
      <w:r>
        <w:rPr>
          <w:sz w:val="20"/>
          <w:szCs w:val="20"/>
          <w:u w:val="single"/>
        </w:rPr>
        <w:t>Other Assets</w:t>
      </w:r>
    </w:p>
    <w:p w14:paraId="660AD0E4" w14:textId="77777777" w:rsidR="00000000" w:rsidRDefault="0015578C">
      <w:pPr>
        <w:pStyle w:val="a3"/>
        <w:spacing w:before="0" w:beforeAutospacing="0" w:after="0" w:afterAutospacing="0"/>
        <w:jc w:val="both"/>
        <w:rPr>
          <w:sz w:val="20"/>
          <w:szCs w:val="20"/>
        </w:rPr>
      </w:pPr>
      <w:r>
        <w:rPr>
          <w:sz w:val="20"/>
          <w:szCs w:val="20"/>
        </w:rPr>
        <w:t> </w:t>
      </w:r>
    </w:p>
    <w:p w14:paraId="47FCA7D9" w14:textId="77777777" w:rsidR="00000000" w:rsidRDefault="0015578C">
      <w:pPr>
        <w:pStyle w:val="a3"/>
        <w:spacing w:before="0" w:beforeAutospacing="0" w:after="0" w:afterAutospacing="0"/>
        <w:jc w:val="both"/>
        <w:rPr>
          <w:sz w:val="20"/>
          <w:szCs w:val="20"/>
        </w:rPr>
      </w:pPr>
      <w:r>
        <w:rPr>
          <w:sz w:val="20"/>
          <w:szCs w:val="20"/>
        </w:rPr>
        <w:t>The following items comprised other assets:</w:t>
      </w:r>
    </w:p>
    <w:p w14:paraId="42C014B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01E2845C" w14:textId="77777777">
        <w:trPr>
          <w:trHeight w:val="225"/>
          <w:tblCellSpacing w:w="15" w:type="dxa"/>
        </w:trPr>
        <w:tc>
          <w:tcPr>
            <w:tcW w:w="0" w:type="auto"/>
            <w:vAlign w:val="bottom"/>
            <w:hideMark/>
          </w:tcPr>
          <w:p w14:paraId="5DE66A25"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6B82EED9" w14:textId="77777777" w:rsidR="00000000" w:rsidRDefault="0015578C">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14:paraId="1911D9C5" w14:textId="77777777" w:rsidR="00000000" w:rsidRDefault="0015578C">
            <w:pPr>
              <w:pStyle w:val="a3"/>
              <w:spacing w:before="0" w:beforeAutospacing="0" w:after="0" w:afterAutospacing="0"/>
              <w:jc w:val="center"/>
              <w:rPr>
                <w:sz w:val="20"/>
                <w:szCs w:val="20"/>
              </w:rPr>
            </w:pPr>
            <w:r>
              <w:rPr>
                <w:sz w:val="20"/>
                <w:szCs w:val="20"/>
              </w:rPr>
              <w:t>December 31,</w:t>
            </w:r>
          </w:p>
        </w:tc>
        <w:tc>
          <w:tcPr>
            <w:tcW w:w="0" w:type="auto"/>
            <w:noWrap/>
            <w:vAlign w:val="center"/>
            <w:hideMark/>
          </w:tcPr>
          <w:p w14:paraId="5CDC1370" w14:textId="77777777" w:rsidR="00000000" w:rsidRDefault="0015578C">
            <w:pPr>
              <w:pStyle w:val="a3"/>
              <w:spacing w:before="0" w:beforeAutospacing="0" w:after="0" w:afterAutospacing="0"/>
              <w:rPr>
                <w:sz w:val="20"/>
                <w:szCs w:val="20"/>
              </w:rPr>
            </w:pPr>
            <w:r>
              <w:rPr>
                <w:sz w:val="20"/>
                <w:szCs w:val="20"/>
              </w:rPr>
              <w:t> </w:t>
            </w:r>
          </w:p>
        </w:tc>
      </w:tr>
      <w:tr w:rsidR="00000000" w14:paraId="2C17566D" w14:textId="77777777">
        <w:trPr>
          <w:trHeight w:val="225"/>
          <w:tblCellSpacing w:w="15" w:type="dxa"/>
        </w:trPr>
        <w:tc>
          <w:tcPr>
            <w:tcW w:w="0" w:type="auto"/>
            <w:vAlign w:val="center"/>
            <w:hideMark/>
          </w:tcPr>
          <w:p w14:paraId="69FC7AA3"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5F9A86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5BEDC40"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261452C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4B75EDF"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39BF8A06"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041EC926" w14:textId="77777777" w:rsidR="00000000" w:rsidRDefault="0015578C">
            <w:pPr>
              <w:pStyle w:val="a3"/>
              <w:spacing w:before="0" w:beforeAutospacing="0" w:after="0" w:afterAutospacing="0"/>
              <w:rPr>
                <w:sz w:val="20"/>
                <w:szCs w:val="20"/>
              </w:rPr>
            </w:pPr>
            <w:r>
              <w:rPr>
                <w:sz w:val="20"/>
                <w:szCs w:val="20"/>
              </w:rPr>
              <w:t> </w:t>
            </w:r>
          </w:p>
        </w:tc>
      </w:tr>
      <w:tr w:rsidR="00000000" w14:paraId="2AB917BE" w14:textId="77777777">
        <w:trPr>
          <w:trHeight w:val="225"/>
          <w:tblCellSpacing w:w="15" w:type="dxa"/>
        </w:trPr>
        <w:tc>
          <w:tcPr>
            <w:tcW w:w="0" w:type="auto"/>
            <w:shd w:val="clear" w:color="auto" w:fill="CCEEFF"/>
            <w:hideMark/>
          </w:tcPr>
          <w:p w14:paraId="165B601A" w14:textId="77777777" w:rsidR="00000000" w:rsidRDefault="0015578C">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14:paraId="4A828A6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D038947"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B61AB2" w14:textId="77777777" w:rsidR="00000000" w:rsidRDefault="0015578C">
            <w:pPr>
              <w:jc w:val="right"/>
              <w:rPr>
                <w:rFonts w:eastAsia="Times New Roman"/>
                <w:sz w:val="20"/>
                <w:szCs w:val="20"/>
              </w:rPr>
            </w:pPr>
            <w:r>
              <w:rPr>
                <w:rFonts w:eastAsia="Times New Roman"/>
                <w:sz w:val="20"/>
                <w:szCs w:val="20"/>
              </w:rPr>
              <w:t>97</w:t>
            </w:r>
          </w:p>
        </w:tc>
        <w:tc>
          <w:tcPr>
            <w:tcW w:w="50" w:type="pct"/>
            <w:shd w:val="clear" w:color="auto" w:fill="CCEEFF"/>
            <w:noWrap/>
            <w:vAlign w:val="center"/>
            <w:hideMark/>
          </w:tcPr>
          <w:p w14:paraId="742AF77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F64005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A6E1CB1"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D4F7B48" w14:textId="77777777" w:rsidR="00000000" w:rsidRDefault="0015578C">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14:paraId="4D394FD9" w14:textId="77777777" w:rsidR="00000000" w:rsidRDefault="0015578C">
            <w:pPr>
              <w:pStyle w:val="a3"/>
              <w:spacing w:before="0" w:beforeAutospacing="0" w:after="0" w:afterAutospacing="0"/>
              <w:rPr>
                <w:sz w:val="20"/>
                <w:szCs w:val="20"/>
              </w:rPr>
            </w:pPr>
            <w:r>
              <w:rPr>
                <w:sz w:val="20"/>
                <w:szCs w:val="20"/>
              </w:rPr>
              <w:t> </w:t>
            </w:r>
          </w:p>
        </w:tc>
      </w:tr>
      <w:tr w:rsidR="00000000" w14:paraId="2B2BFAF2" w14:textId="77777777">
        <w:trPr>
          <w:trHeight w:val="225"/>
          <w:tblCellSpacing w:w="15" w:type="dxa"/>
        </w:trPr>
        <w:tc>
          <w:tcPr>
            <w:tcW w:w="0" w:type="auto"/>
            <w:shd w:val="clear" w:color="auto" w:fill="FFFFFF"/>
            <w:hideMark/>
          </w:tcPr>
          <w:p w14:paraId="19D09AAF" w14:textId="77777777" w:rsidR="00000000" w:rsidRDefault="0015578C">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14:paraId="72CAEA1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D82546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BEC1515"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6AF1AC9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477985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B1B256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B75DECB" w14:textId="77777777" w:rsidR="00000000" w:rsidRDefault="0015578C">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14:paraId="63F0E271" w14:textId="77777777" w:rsidR="00000000" w:rsidRDefault="0015578C">
            <w:pPr>
              <w:pStyle w:val="a3"/>
              <w:spacing w:before="0" w:beforeAutospacing="0" w:after="0" w:afterAutospacing="0"/>
              <w:rPr>
                <w:sz w:val="20"/>
                <w:szCs w:val="20"/>
              </w:rPr>
            </w:pPr>
            <w:r>
              <w:rPr>
                <w:sz w:val="20"/>
                <w:szCs w:val="20"/>
              </w:rPr>
              <w:t> </w:t>
            </w:r>
          </w:p>
        </w:tc>
      </w:tr>
      <w:tr w:rsidR="00000000" w14:paraId="09A36BA0" w14:textId="77777777">
        <w:trPr>
          <w:trHeight w:val="225"/>
          <w:tblCellSpacing w:w="15" w:type="dxa"/>
        </w:trPr>
        <w:tc>
          <w:tcPr>
            <w:tcW w:w="0" w:type="auto"/>
            <w:shd w:val="clear" w:color="auto" w:fill="CCEEFF"/>
            <w:hideMark/>
          </w:tcPr>
          <w:p w14:paraId="5146CCFC" w14:textId="77777777" w:rsidR="00000000" w:rsidRDefault="0015578C">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14:paraId="2432CCC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BE75B2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5A0544A" w14:textId="77777777" w:rsidR="00000000" w:rsidRDefault="0015578C">
            <w:pPr>
              <w:jc w:val="right"/>
              <w:rPr>
                <w:rFonts w:eastAsia="Times New Roman"/>
                <w:sz w:val="20"/>
                <w:szCs w:val="20"/>
              </w:rPr>
            </w:pPr>
            <w:r>
              <w:rPr>
                <w:rFonts w:eastAsia="Times New Roman"/>
                <w:sz w:val="20"/>
                <w:szCs w:val="20"/>
              </w:rPr>
              <w:t>33</w:t>
            </w:r>
          </w:p>
        </w:tc>
        <w:tc>
          <w:tcPr>
            <w:tcW w:w="50" w:type="pct"/>
            <w:shd w:val="clear" w:color="auto" w:fill="CCEEFF"/>
            <w:noWrap/>
            <w:vAlign w:val="center"/>
            <w:hideMark/>
          </w:tcPr>
          <w:p w14:paraId="72CE570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0EE621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35FA9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5DABABC" w14:textId="77777777" w:rsidR="00000000" w:rsidRDefault="0015578C">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14:paraId="533A9643" w14:textId="77777777" w:rsidR="00000000" w:rsidRDefault="0015578C">
            <w:pPr>
              <w:pStyle w:val="a3"/>
              <w:spacing w:before="0" w:beforeAutospacing="0" w:after="0" w:afterAutospacing="0"/>
              <w:rPr>
                <w:sz w:val="20"/>
                <w:szCs w:val="20"/>
              </w:rPr>
            </w:pPr>
            <w:r>
              <w:rPr>
                <w:sz w:val="20"/>
                <w:szCs w:val="20"/>
              </w:rPr>
              <w:t> </w:t>
            </w:r>
          </w:p>
        </w:tc>
      </w:tr>
      <w:tr w:rsidR="00000000" w14:paraId="559A68A8" w14:textId="77777777">
        <w:trPr>
          <w:trHeight w:val="225"/>
          <w:tblCellSpacing w:w="15" w:type="dxa"/>
        </w:trPr>
        <w:tc>
          <w:tcPr>
            <w:tcW w:w="0" w:type="auto"/>
            <w:shd w:val="clear" w:color="auto" w:fill="FFFFFF"/>
            <w:hideMark/>
          </w:tcPr>
          <w:p w14:paraId="5D648016" w14:textId="77777777" w:rsidR="00000000" w:rsidRDefault="0015578C">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14:paraId="7392B73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E8B900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B21F8E6"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1564F8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73665F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CF329E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79B1C9F" w14:textId="77777777" w:rsidR="00000000" w:rsidRDefault="0015578C">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14:paraId="34A5BEED" w14:textId="77777777" w:rsidR="00000000" w:rsidRDefault="0015578C">
            <w:pPr>
              <w:pStyle w:val="a3"/>
              <w:spacing w:before="0" w:beforeAutospacing="0" w:after="0" w:afterAutospacing="0"/>
              <w:rPr>
                <w:sz w:val="20"/>
                <w:szCs w:val="20"/>
              </w:rPr>
            </w:pPr>
            <w:r>
              <w:rPr>
                <w:sz w:val="20"/>
                <w:szCs w:val="20"/>
              </w:rPr>
              <w:t> </w:t>
            </w:r>
          </w:p>
        </w:tc>
      </w:tr>
      <w:tr w:rsidR="00000000" w14:paraId="0D0ABFD2" w14:textId="77777777">
        <w:trPr>
          <w:trHeight w:val="225"/>
          <w:tblCellSpacing w:w="15" w:type="dxa"/>
        </w:trPr>
        <w:tc>
          <w:tcPr>
            <w:tcW w:w="0" w:type="auto"/>
            <w:shd w:val="clear" w:color="auto" w:fill="CCEEFF"/>
            <w:hideMark/>
          </w:tcPr>
          <w:p w14:paraId="1FADD7B7" w14:textId="77777777" w:rsidR="00000000" w:rsidRDefault="0015578C">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14:paraId="6B39436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EDC6C11"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392A75F5" w14:textId="77777777" w:rsidR="00000000" w:rsidRDefault="0015578C">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14:paraId="2CFC112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D2B7E4E"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68994E73"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5C6382FE" w14:textId="77777777" w:rsidR="00000000" w:rsidRDefault="0015578C">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14:paraId="70A535B8" w14:textId="77777777" w:rsidR="00000000" w:rsidRDefault="0015578C">
            <w:pPr>
              <w:pStyle w:val="a3"/>
              <w:spacing w:before="0" w:beforeAutospacing="0" w:after="0" w:afterAutospacing="0"/>
              <w:rPr>
                <w:sz w:val="20"/>
                <w:szCs w:val="20"/>
              </w:rPr>
            </w:pPr>
            <w:r>
              <w:rPr>
                <w:sz w:val="20"/>
                <w:szCs w:val="20"/>
              </w:rPr>
              <w:t> </w:t>
            </w:r>
          </w:p>
        </w:tc>
      </w:tr>
      <w:tr w:rsidR="00000000" w14:paraId="3275FE78" w14:textId="77777777">
        <w:trPr>
          <w:trHeight w:val="225"/>
          <w:tblCellSpacing w:w="15" w:type="dxa"/>
        </w:trPr>
        <w:tc>
          <w:tcPr>
            <w:tcW w:w="0" w:type="auto"/>
            <w:shd w:val="clear" w:color="auto" w:fill="FFFFFF"/>
            <w:hideMark/>
          </w:tcPr>
          <w:p w14:paraId="706D8506" w14:textId="77777777" w:rsidR="00000000" w:rsidRDefault="0015578C">
            <w:pPr>
              <w:pStyle w:val="a3"/>
              <w:spacing w:before="0" w:beforeAutospacing="0" w:after="0" w:afterAutospacing="0"/>
              <w:rPr>
                <w:sz w:val="20"/>
                <w:szCs w:val="20"/>
              </w:rPr>
            </w:pPr>
            <w:r>
              <w:rPr>
                <w:sz w:val="20"/>
                <w:szCs w:val="20"/>
              </w:rPr>
              <w:t xml:space="preserve">Total other assets </w:t>
            </w:r>
          </w:p>
        </w:tc>
        <w:tc>
          <w:tcPr>
            <w:tcW w:w="50" w:type="pct"/>
            <w:shd w:val="clear" w:color="auto" w:fill="FFFFFF"/>
            <w:noWrap/>
            <w:vAlign w:val="center"/>
            <w:hideMark/>
          </w:tcPr>
          <w:p w14:paraId="349517B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56BA92FA"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4EA56B11" w14:textId="77777777" w:rsidR="00000000" w:rsidRDefault="0015578C">
            <w:pPr>
              <w:jc w:val="right"/>
              <w:rPr>
                <w:rFonts w:eastAsia="Times New Roman"/>
                <w:sz w:val="20"/>
                <w:szCs w:val="20"/>
              </w:rPr>
            </w:pPr>
            <w:r>
              <w:rPr>
                <w:rFonts w:eastAsia="Times New Roman"/>
                <w:sz w:val="20"/>
                <w:szCs w:val="20"/>
              </w:rPr>
              <w:t>134</w:t>
            </w:r>
          </w:p>
        </w:tc>
        <w:tc>
          <w:tcPr>
            <w:tcW w:w="50" w:type="pct"/>
            <w:shd w:val="clear" w:color="auto" w:fill="FFFFFF"/>
            <w:noWrap/>
            <w:tcMar>
              <w:top w:w="0" w:type="dxa"/>
              <w:left w:w="0" w:type="dxa"/>
              <w:bottom w:w="15" w:type="dxa"/>
              <w:right w:w="0" w:type="dxa"/>
            </w:tcMar>
            <w:vAlign w:val="center"/>
            <w:hideMark/>
          </w:tcPr>
          <w:p w14:paraId="3B095AB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0EB169E"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05CFA550"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0A058F8F" w14:textId="77777777" w:rsidR="00000000" w:rsidRDefault="0015578C">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14:paraId="12611BD9" w14:textId="77777777" w:rsidR="00000000" w:rsidRDefault="0015578C">
            <w:pPr>
              <w:pStyle w:val="a3"/>
              <w:spacing w:before="0" w:beforeAutospacing="0" w:after="0" w:afterAutospacing="0"/>
              <w:rPr>
                <w:sz w:val="20"/>
                <w:szCs w:val="20"/>
              </w:rPr>
            </w:pPr>
            <w:r>
              <w:rPr>
                <w:sz w:val="20"/>
                <w:szCs w:val="20"/>
              </w:rPr>
              <w:t> </w:t>
            </w:r>
          </w:p>
        </w:tc>
      </w:tr>
    </w:tbl>
    <w:p w14:paraId="73B002A1"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D21204B" w14:textId="77777777">
        <w:trPr>
          <w:trHeight w:val="225"/>
          <w:tblCellSpacing w:w="15" w:type="dxa"/>
        </w:trPr>
        <w:tc>
          <w:tcPr>
            <w:tcW w:w="0" w:type="auto"/>
            <w:vAlign w:val="center"/>
            <w:hideMark/>
          </w:tcPr>
          <w:p w14:paraId="4261CDCE" w14:textId="77777777" w:rsidR="00000000" w:rsidRDefault="0015578C">
            <w:pPr>
              <w:rPr>
                <w:rFonts w:eastAsia="Times New Roman"/>
                <w:sz w:val="20"/>
                <w:szCs w:val="20"/>
              </w:rPr>
            </w:pPr>
            <w:r>
              <w:rPr>
                <w:rFonts w:eastAsia="Times New Roman"/>
                <w:sz w:val="20"/>
                <w:szCs w:val="20"/>
              </w:rPr>
              <w:t> </w:t>
            </w:r>
          </w:p>
        </w:tc>
      </w:tr>
      <w:tr w:rsidR="00000000" w14:paraId="57D45012" w14:textId="77777777">
        <w:trPr>
          <w:trHeight w:val="225"/>
          <w:tblCellSpacing w:w="15" w:type="dxa"/>
        </w:trPr>
        <w:tc>
          <w:tcPr>
            <w:tcW w:w="0" w:type="auto"/>
            <w:tcBorders>
              <w:bottom w:val="single" w:sz="6" w:space="0" w:color="000000"/>
            </w:tcBorders>
            <w:vAlign w:val="center"/>
            <w:hideMark/>
          </w:tcPr>
          <w:p w14:paraId="3AE0A986" w14:textId="77777777" w:rsidR="00000000" w:rsidRDefault="0015578C">
            <w:pPr>
              <w:jc w:val="center"/>
              <w:rPr>
                <w:rFonts w:eastAsia="Times New Roman"/>
                <w:sz w:val="20"/>
                <w:szCs w:val="20"/>
              </w:rPr>
            </w:pPr>
            <w:r>
              <w:rPr>
                <w:rFonts w:eastAsia="Times New Roman"/>
                <w:sz w:val="20"/>
                <w:szCs w:val="20"/>
              </w:rPr>
              <w:t>F-13</w:t>
            </w:r>
          </w:p>
        </w:tc>
      </w:tr>
      <w:tr w:rsidR="00000000" w14:paraId="25C74A55" w14:textId="77777777">
        <w:trPr>
          <w:trHeight w:val="225"/>
          <w:tblCellSpacing w:w="15" w:type="dxa"/>
        </w:trPr>
        <w:tc>
          <w:tcPr>
            <w:tcW w:w="0" w:type="auto"/>
            <w:vAlign w:val="center"/>
            <w:hideMark/>
          </w:tcPr>
          <w:p w14:paraId="0710ACF1" w14:textId="77777777" w:rsidR="00000000" w:rsidRDefault="0015578C">
            <w:pPr>
              <w:rPr>
                <w:rFonts w:eastAsia="Times New Roman"/>
                <w:sz w:val="20"/>
                <w:szCs w:val="20"/>
              </w:rPr>
            </w:pPr>
          </w:p>
        </w:tc>
      </w:tr>
      <w:tr w:rsidR="00000000" w14:paraId="3C804E4E" w14:textId="77777777">
        <w:trPr>
          <w:trHeight w:val="225"/>
          <w:tblCellSpacing w:w="15" w:type="dxa"/>
        </w:trPr>
        <w:tc>
          <w:tcPr>
            <w:tcW w:w="0" w:type="auto"/>
            <w:vAlign w:val="center"/>
            <w:hideMark/>
          </w:tcPr>
          <w:p w14:paraId="697B5BDE"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2148ED71" w14:textId="77777777" w:rsidR="00000000" w:rsidRDefault="0015578C">
      <w:pPr>
        <w:pStyle w:val="a3"/>
        <w:spacing w:before="0" w:beforeAutospacing="0" w:after="0" w:afterAutospacing="0"/>
        <w:jc w:val="both"/>
        <w:rPr>
          <w:sz w:val="20"/>
          <w:szCs w:val="20"/>
        </w:rPr>
      </w:pPr>
      <w:r>
        <w:rPr>
          <w:sz w:val="20"/>
          <w:szCs w:val="20"/>
        </w:rPr>
        <w:t> </w:t>
      </w:r>
    </w:p>
    <w:p w14:paraId="05C9B922" w14:textId="77777777" w:rsidR="00000000" w:rsidRDefault="0015578C">
      <w:pPr>
        <w:pStyle w:val="a3"/>
        <w:spacing w:before="0" w:beforeAutospacing="0" w:after="0" w:afterAutospacing="0"/>
        <w:jc w:val="both"/>
        <w:rPr>
          <w:sz w:val="20"/>
          <w:szCs w:val="20"/>
        </w:rPr>
      </w:pPr>
      <w:r>
        <w:rPr>
          <w:sz w:val="20"/>
          <w:szCs w:val="20"/>
        </w:rPr>
        <w:t xml:space="preserve">6. </w:t>
      </w:r>
      <w:r>
        <w:rPr>
          <w:sz w:val="20"/>
          <w:szCs w:val="20"/>
          <w:u w:val="single"/>
        </w:rPr>
        <w:t>Income Taxes</w:t>
      </w:r>
      <w:r>
        <w:rPr>
          <w:sz w:val="20"/>
          <w:szCs w:val="20"/>
        </w:rPr>
        <w:t xml:space="preserve">: </w:t>
      </w:r>
    </w:p>
    <w:p w14:paraId="26CFFFDB" w14:textId="77777777" w:rsidR="00000000" w:rsidRDefault="0015578C">
      <w:pPr>
        <w:pStyle w:val="a3"/>
        <w:spacing w:before="0" w:beforeAutospacing="0" w:after="0" w:afterAutospacing="0"/>
        <w:jc w:val="both"/>
        <w:rPr>
          <w:sz w:val="20"/>
          <w:szCs w:val="20"/>
        </w:rPr>
      </w:pPr>
      <w:r>
        <w:rPr>
          <w:sz w:val="20"/>
          <w:szCs w:val="20"/>
        </w:rPr>
        <w:t> </w:t>
      </w:r>
    </w:p>
    <w:p w14:paraId="1497385F" w14:textId="77777777" w:rsidR="00000000" w:rsidRDefault="0015578C">
      <w:pPr>
        <w:pStyle w:val="a3"/>
        <w:spacing w:before="0" w:beforeAutospacing="0" w:after="0" w:afterAutospacing="0"/>
        <w:ind w:firstLine="675"/>
        <w:jc w:val="both"/>
        <w:rPr>
          <w:sz w:val="20"/>
          <w:szCs w:val="20"/>
        </w:rPr>
      </w:pPr>
      <w:r>
        <w:rPr>
          <w:sz w:val="20"/>
          <w:szCs w:val="20"/>
        </w:rPr>
        <w:t xml:space="preserve">Consolidated loss before income taxes includes losses from foreign operations of $37,000 and $136,000 in 2022 and 2021, respectively.  </w:t>
      </w:r>
    </w:p>
    <w:p w14:paraId="085A56C1" w14:textId="77777777" w:rsidR="00000000" w:rsidRDefault="0015578C">
      <w:pPr>
        <w:pStyle w:val="a3"/>
        <w:spacing w:before="0" w:beforeAutospacing="0" w:after="0" w:afterAutospacing="0"/>
        <w:ind w:firstLine="675"/>
        <w:jc w:val="both"/>
        <w:rPr>
          <w:sz w:val="20"/>
          <w:szCs w:val="20"/>
        </w:rPr>
      </w:pPr>
      <w:r>
        <w:rPr>
          <w:sz w:val="20"/>
          <w:szCs w:val="20"/>
        </w:rPr>
        <w:t> </w:t>
      </w:r>
    </w:p>
    <w:p w14:paraId="0CBECD1C" w14:textId="77777777" w:rsidR="00000000" w:rsidRDefault="0015578C">
      <w:pPr>
        <w:pStyle w:val="a3"/>
        <w:spacing w:before="0" w:beforeAutospacing="0" w:after="0" w:afterAutospacing="0"/>
        <w:ind w:firstLine="675"/>
        <w:jc w:val="both"/>
        <w:rPr>
          <w:sz w:val="20"/>
          <w:szCs w:val="20"/>
        </w:rPr>
      </w:pPr>
      <w:r>
        <w:rPr>
          <w:sz w:val="20"/>
          <w:szCs w:val="20"/>
        </w:rPr>
        <w:t>The net deferred tax assets/liabilities in the December 31, 2022 and 2021 consolidated balance sheets include the foll</w:t>
      </w:r>
      <w:r>
        <w:rPr>
          <w:sz w:val="20"/>
          <w:szCs w:val="20"/>
        </w:rPr>
        <w:t>owing components:</w:t>
      </w:r>
    </w:p>
    <w:p w14:paraId="0ECF57F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3FBB76D1" w14:textId="77777777">
        <w:trPr>
          <w:trHeight w:val="225"/>
          <w:tblCellSpacing w:w="15" w:type="dxa"/>
        </w:trPr>
        <w:tc>
          <w:tcPr>
            <w:tcW w:w="0" w:type="auto"/>
            <w:vAlign w:val="bottom"/>
            <w:hideMark/>
          </w:tcPr>
          <w:p w14:paraId="436F037D"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14E59AF2"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775E2CC"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108A7E6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C1F3A0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50158B6"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5FB50CDD" w14:textId="77777777" w:rsidR="00000000" w:rsidRDefault="0015578C">
            <w:pPr>
              <w:pStyle w:val="a3"/>
              <w:spacing w:before="0" w:beforeAutospacing="0" w:after="0" w:afterAutospacing="0"/>
              <w:rPr>
                <w:sz w:val="20"/>
                <w:szCs w:val="20"/>
              </w:rPr>
            </w:pPr>
            <w:r>
              <w:rPr>
                <w:sz w:val="20"/>
                <w:szCs w:val="20"/>
              </w:rPr>
              <w:t> </w:t>
            </w:r>
          </w:p>
        </w:tc>
      </w:tr>
      <w:tr w:rsidR="00000000" w14:paraId="357D7758" w14:textId="77777777">
        <w:trPr>
          <w:trHeight w:val="225"/>
          <w:tblCellSpacing w:w="15" w:type="dxa"/>
        </w:trPr>
        <w:tc>
          <w:tcPr>
            <w:tcW w:w="0" w:type="auto"/>
            <w:hideMark/>
          </w:tcPr>
          <w:p w14:paraId="15CA056C" w14:textId="77777777" w:rsidR="00000000" w:rsidRDefault="0015578C">
            <w:pPr>
              <w:pStyle w:val="a3"/>
              <w:spacing w:before="0" w:beforeAutospacing="0" w:after="0" w:afterAutospacing="0"/>
              <w:rPr>
                <w:sz w:val="20"/>
                <w:szCs w:val="20"/>
              </w:rPr>
            </w:pPr>
            <w:r>
              <w:rPr>
                <w:sz w:val="20"/>
                <w:szCs w:val="20"/>
              </w:rPr>
              <w:t>Deferred tax assets:</w:t>
            </w:r>
          </w:p>
        </w:tc>
        <w:tc>
          <w:tcPr>
            <w:tcW w:w="50" w:type="pct"/>
            <w:noWrap/>
            <w:vAlign w:val="center"/>
            <w:hideMark/>
          </w:tcPr>
          <w:p w14:paraId="023EBD6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3BF3EE1B"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80260AC"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2E436F5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6C123F2E"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30EAFDD" w14:textId="77777777" w:rsidR="00000000" w:rsidRDefault="0015578C">
            <w:pPr>
              <w:pStyle w:val="a3"/>
              <w:spacing w:before="0" w:beforeAutospacing="0" w:after="0" w:afterAutospacing="0"/>
              <w:rPr>
                <w:sz w:val="20"/>
                <w:szCs w:val="20"/>
              </w:rPr>
            </w:pPr>
            <w:r>
              <w:rPr>
                <w:sz w:val="20"/>
                <w:szCs w:val="20"/>
              </w:rPr>
              <w:t> </w:t>
            </w:r>
          </w:p>
        </w:tc>
      </w:tr>
      <w:tr w:rsidR="00000000" w14:paraId="137EA015" w14:textId="77777777">
        <w:trPr>
          <w:trHeight w:val="225"/>
          <w:tblCellSpacing w:w="15" w:type="dxa"/>
        </w:trPr>
        <w:tc>
          <w:tcPr>
            <w:tcW w:w="0" w:type="auto"/>
            <w:shd w:val="clear" w:color="auto" w:fill="CCEEFF"/>
            <w:hideMark/>
          </w:tcPr>
          <w:p w14:paraId="29583E71" w14:textId="77777777" w:rsidR="00000000" w:rsidRDefault="0015578C">
            <w:pPr>
              <w:pStyle w:val="a3"/>
              <w:spacing w:before="0" w:beforeAutospacing="0" w:after="0" w:afterAutospacing="0"/>
              <w:ind w:left="225"/>
              <w:rPr>
                <w:sz w:val="20"/>
                <w:szCs w:val="20"/>
              </w:rPr>
            </w:pPr>
            <w:r>
              <w:rPr>
                <w:sz w:val="20"/>
                <w:szCs w:val="20"/>
              </w:rPr>
              <w:t>Loss carryovers</w:t>
            </w:r>
          </w:p>
        </w:tc>
        <w:tc>
          <w:tcPr>
            <w:tcW w:w="50" w:type="pct"/>
            <w:shd w:val="clear" w:color="auto" w:fill="CCEEFF"/>
            <w:noWrap/>
            <w:vAlign w:val="center"/>
            <w:hideMark/>
          </w:tcPr>
          <w:p w14:paraId="396035D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AFF3DB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CEEAA68" w14:textId="77777777" w:rsidR="00000000" w:rsidRDefault="0015578C">
            <w:pPr>
              <w:jc w:val="right"/>
              <w:rPr>
                <w:rFonts w:eastAsia="Times New Roman"/>
                <w:sz w:val="20"/>
                <w:szCs w:val="20"/>
              </w:rPr>
            </w:pPr>
            <w:r>
              <w:rPr>
                <w:rFonts w:eastAsia="Times New Roman"/>
                <w:sz w:val="20"/>
                <w:szCs w:val="20"/>
              </w:rPr>
              <w:t>11,652</w:t>
            </w:r>
          </w:p>
        </w:tc>
        <w:tc>
          <w:tcPr>
            <w:tcW w:w="50" w:type="pct"/>
            <w:shd w:val="clear" w:color="auto" w:fill="CCEEFF"/>
            <w:noWrap/>
            <w:vAlign w:val="center"/>
            <w:hideMark/>
          </w:tcPr>
          <w:p w14:paraId="1B0C425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05975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306E313"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421CB3" w14:textId="77777777" w:rsidR="00000000" w:rsidRDefault="0015578C">
            <w:pPr>
              <w:jc w:val="right"/>
              <w:rPr>
                <w:rFonts w:eastAsia="Times New Roman"/>
                <w:sz w:val="20"/>
                <w:szCs w:val="20"/>
              </w:rPr>
            </w:pPr>
            <w:r>
              <w:rPr>
                <w:rFonts w:eastAsia="Times New Roman"/>
                <w:sz w:val="20"/>
                <w:szCs w:val="20"/>
              </w:rPr>
              <w:t>12,148</w:t>
            </w:r>
          </w:p>
        </w:tc>
        <w:tc>
          <w:tcPr>
            <w:tcW w:w="50" w:type="pct"/>
            <w:shd w:val="clear" w:color="auto" w:fill="CCEEFF"/>
            <w:noWrap/>
            <w:vAlign w:val="center"/>
            <w:hideMark/>
          </w:tcPr>
          <w:p w14:paraId="55540632" w14:textId="77777777" w:rsidR="00000000" w:rsidRDefault="0015578C">
            <w:pPr>
              <w:pStyle w:val="a3"/>
              <w:spacing w:before="0" w:beforeAutospacing="0" w:after="0" w:afterAutospacing="0"/>
              <w:rPr>
                <w:sz w:val="20"/>
                <w:szCs w:val="20"/>
              </w:rPr>
            </w:pPr>
            <w:r>
              <w:rPr>
                <w:sz w:val="20"/>
                <w:szCs w:val="20"/>
              </w:rPr>
              <w:t> </w:t>
            </w:r>
          </w:p>
        </w:tc>
      </w:tr>
      <w:tr w:rsidR="00000000" w14:paraId="7CEBBAB4" w14:textId="77777777">
        <w:trPr>
          <w:trHeight w:val="225"/>
          <w:tblCellSpacing w:w="15" w:type="dxa"/>
        </w:trPr>
        <w:tc>
          <w:tcPr>
            <w:tcW w:w="0" w:type="auto"/>
            <w:shd w:val="clear" w:color="auto" w:fill="FFFFFF"/>
            <w:hideMark/>
          </w:tcPr>
          <w:p w14:paraId="7BCFF907" w14:textId="77777777" w:rsidR="00000000" w:rsidRDefault="0015578C">
            <w:pPr>
              <w:pStyle w:val="a3"/>
              <w:spacing w:before="0" w:beforeAutospacing="0" w:after="0" w:afterAutospacing="0"/>
              <w:ind w:left="225"/>
              <w:rPr>
                <w:sz w:val="20"/>
                <w:szCs w:val="20"/>
              </w:rPr>
            </w:pPr>
            <w:r>
              <w:rPr>
                <w:sz w:val="20"/>
                <w:szCs w:val="20"/>
              </w:rPr>
              <w:t>Investment in Mineral Property</w:t>
            </w:r>
          </w:p>
        </w:tc>
        <w:tc>
          <w:tcPr>
            <w:tcW w:w="50" w:type="pct"/>
            <w:shd w:val="clear" w:color="auto" w:fill="FFFFFF"/>
            <w:noWrap/>
            <w:vAlign w:val="center"/>
            <w:hideMark/>
          </w:tcPr>
          <w:p w14:paraId="7491729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AE6A84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DD1C0DF" w14:textId="77777777" w:rsidR="00000000" w:rsidRDefault="0015578C">
            <w:pPr>
              <w:jc w:val="right"/>
              <w:rPr>
                <w:rFonts w:eastAsia="Times New Roman"/>
                <w:sz w:val="20"/>
                <w:szCs w:val="20"/>
              </w:rPr>
            </w:pPr>
            <w:r>
              <w:rPr>
                <w:rFonts w:eastAsia="Times New Roman"/>
                <w:sz w:val="20"/>
                <w:szCs w:val="20"/>
              </w:rPr>
              <w:t>1,669</w:t>
            </w:r>
          </w:p>
        </w:tc>
        <w:tc>
          <w:tcPr>
            <w:tcW w:w="50" w:type="pct"/>
            <w:shd w:val="clear" w:color="auto" w:fill="FFFFFF"/>
            <w:noWrap/>
            <w:vAlign w:val="center"/>
            <w:hideMark/>
          </w:tcPr>
          <w:p w14:paraId="02E0FD2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C5BDE3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B67B34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45675F8" w14:textId="77777777" w:rsidR="00000000" w:rsidRDefault="0015578C">
            <w:pPr>
              <w:jc w:val="right"/>
              <w:rPr>
                <w:rFonts w:eastAsia="Times New Roman"/>
                <w:sz w:val="20"/>
                <w:szCs w:val="20"/>
              </w:rPr>
            </w:pPr>
            <w:r>
              <w:rPr>
                <w:rFonts w:eastAsia="Times New Roman"/>
                <w:sz w:val="20"/>
                <w:szCs w:val="20"/>
              </w:rPr>
              <w:t>1,669</w:t>
            </w:r>
          </w:p>
        </w:tc>
        <w:tc>
          <w:tcPr>
            <w:tcW w:w="50" w:type="pct"/>
            <w:shd w:val="clear" w:color="auto" w:fill="FFFFFF"/>
            <w:noWrap/>
            <w:vAlign w:val="center"/>
            <w:hideMark/>
          </w:tcPr>
          <w:p w14:paraId="53F86FF4" w14:textId="77777777" w:rsidR="00000000" w:rsidRDefault="0015578C">
            <w:pPr>
              <w:pStyle w:val="a3"/>
              <w:spacing w:before="0" w:beforeAutospacing="0" w:after="0" w:afterAutospacing="0"/>
              <w:rPr>
                <w:sz w:val="20"/>
                <w:szCs w:val="20"/>
              </w:rPr>
            </w:pPr>
            <w:r>
              <w:rPr>
                <w:sz w:val="20"/>
                <w:szCs w:val="20"/>
              </w:rPr>
              <w:t> </w:t>
            </w:r>
          </w:p>
        </w:tc>
      </w:tr>
      <w:tr w:rsidR="00000000" w14:paraId="053878C9" w14:textId="77777777">
        <w:trPr>
          <w:trHeight w:val="225"/>
          <w:tblCellSpacing w:w="15" w:type="dxa"/>
        </w:trPr>
        <w:tc>
          <w:tcPr>
            <w:tcW w:w="0" w:type="auto"/>
            <w:shd w:val="clear" w:color="auto" w:fill="CCEEFF"/>
            <w:hideMark/>
          </w:tcPr>
          <w:p w14:paraId="7A668E23" w14:textId="77777777" w:rsidR="00000000" w:rsidRDefault="0015578C">
            <w:pPr>
              <w:pStyle w:val="a3"/>
              <w:spacing w:before="0" w:beforeAutospacing="0" w:after="0" w:afterAutospacing="0"/>
              <w:ind w:left="225"/>
              <w:rPr>
                <w:sz w:val="20"/>
                <w:szCs w:val="20"/>
              </w:rPr>
            </w:pPr>
            <w:r>
              <w:rPr>
                <w:sz w:val="20"/>
                <w:szCs w:val="20"/>
              </w:rPr>
              <w:t>Capitalized Exploration Costs</w:t>
            </w:r>
          </w:p>
        </w:tc>
        <w:tc>
          <w:tcPr>
            <w:tcW w:w="50" w:type="pct"/>
            <w:shd w:val="clear" w:color="auto" w:fill="CCEEFF"/>
            <w:noWrap/>
            <w:vAlign w:val="center"/>
            <w:hideMark/>
          </w:tcPr>
          <w:p w14:paraId="4B67D39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92C4F7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3F0A639" w14:textId="77777777" w:rsidR="00000000" w:rsidRDefault="0015578C">
            <w:pPr>
              <w:jc w:val="right"/>
              <w:rPr>
                <w:rFonts w:eastAsia="Times New Roman"/>
                <w:sz w:val="20"/>
                <w:szCs w:val="20"/>
              </w:rPr>
            </w:pPr>
            <w:r>
              <w:rPr>
                <w:rFonts w:eastAsia="Times New Roman"/>
                <w:sz w:val="20"/>
                <w:szCs w:val="20"/>
              </w:rPr>
              <w:t>778</w:t>
            </w:r>
          </w:p>
        </w:tc>
        <w:tc>
          <w:tcPr>
            <w:tcW w:w="50" w:type="pct"/>
            <w:shd w:val="clear" w:color="auto" w:fill="CCEEFF"/>
            <w:noWrap/>
            <w:vAlign w:val="center"/>
            <w:hideMark/>
          </w:tcPr>
          <w:p w14:paraId="2225C26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DA0DB1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F02C99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68FD8352" w14:textId="77777777" w:rsidR="00000000" w:rsidRDefault="0015578C">
            <w:pPr>
              <w:jc w:val="right"/>
              <w:rPr>
                <w:rFonts w:eastAsia="Times New Roman"/>
                <w:sz w:val="20"/>
                <w:szCs w:val="20"/>
              </w:rPr>
            </w:pPr>
            <w:r>
              <w:rPr>
                <w:rFonts w:eastAsia="Times New Roman"/>
                <w:sz w:val="20"/>
                <w:szCs w:val="20"/>
              </w:rPr>
              <w:t>418</w:t>
            </w:r>
          </w:p>
        </w:tc>
        <w:tc>
          <w:tcPr>
            <w:tcW w:w="50" w:type="pct"/>
            <w:shd w:val="clear" w:color="auto" w:fill="CCEEFF"/>
            <w:noWrap/>
            <w:vAlign w:val="center"/>
            <w:hideMark/>
          </w:tcPr>
          <w:p w14:paraId="60A3C138" w14:textId="77777777" w:rsidR="00000000" w:rsidRDefault="0015578C">
            <w:pPr>
              <w:pStyle w:val="a3"/>
              <w:spacing w:before="0" w:beforeAutospacing="0" w:after="0" w:afterAutospacing="0"/>
              <w:rPr>
                <w:sz w:val="20"/>
                <w:szCs w:val="20"/>
              </w:rPr>
            </w:pPr>
            <w:r>
              <w:rPr>
                <w:sz w:val="20"/>
                <w:szCs w:val="20"/>
              </w:rPr>
              <w:t> </w:t>
            </w:r>
          </w:p>
        </w:tc>
      </w:tr>
      <w:tr w:rsidR="00000000" w14:paraId="3870A38A" w14:textId="77777777">
        <w:trPr>
          <w:trHeight w:val="225"/>
          <w:tblCellSpacing w:w="15" w:type="dxa"/>
        </w:trPr>
        <w:tc>
          <w:tcPr>
            <w:tcW w:w="0" w:type="auto"/>
            <w:shd w:val="clear" w:color="auto" w:fill="FFFFFF"/>
            <w:hideMark/>
          </w:tcPr>
          <w:p w14:paraId="627E58A9" w14:textId="77777777" w:rsidR="00000000" w:rsidRDefault="0015578C">
            <w:pPr>
              <w:pStyle w:val="a3"/>
              <w:spacing w:before="0" w:beforeAutospacing="0" w:after="0" w:afterAutospacing="0"/>
              <w:ind w:left="225"/>
              <w:rPr>
                <w:sz w:val="20"/>
                <w:szCs w:val="20"/>
              </w:rPr>
            </w:pPr>
            <w:r>
              <w:rPr>
                <w:sz w:val="20"/>
                <w:szCs w:val="20"/>
              </w:rPr>
              <w:t>Stock option compensation expense</w:t>
            </w:r>
          </w:p>
        </w:tc>
        <w:tc>
          <w:tcPr>
            <w:tcW w:w="50" w:type="pct"/>
            <w:shd w:val="clear" w:color="auto" w:fill="FFFFFF"/>
            <w:noWrap/>
            <w:vAlign w:val="center"/>
            <w:hideMark/>
          </w:tcPr>
          <w:p w14:paraId="241C3A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A007B9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F92F7D3" w14:textId="77777777" w:rsidR="00000000" w:rsidRDefault="0015578C">
            <w:pPr>
              <w:jc w:val="right"/>
              <w:rPr>
                <w:rFonts w:eastAsia="Times New Roman"/>
                <w:sz w:val="20"/>
                <w:szCs w:val="20"/>
              </w:rPr>
            </w:pPr>
            <w:r>
              <w:rPr>
                <w:rFonts w:eastAsia="Times New Roman"/>
                <w:sz w:val="20"/>
                <w:szCs w:val="20"/>
              </w:rPr>
              <w:t>152</w:t>
            </w:r>
          </w:p>
        </w:tc>
        <w:tc>
          <w:tcPr>
            <w:tcW w:w="50" w:type="pct"/>
            <w:shd w:val="clear" w:color="auto" w:fill="FFFFFF"/>
            <w:noWrap/>
            <w:vAlign w:val="center"/>
            <w:hideMark/>
          </w:tcPr>
          <w:p w14:paraId="343A1F9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4D99CD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62F9E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F195720" w14:textId="77777777" w:rsidR="00000000" w:rsidRDefault="0015578C">
            <w:pPr>
              <w:jc w:val="right"/>
              <w:rPr>
                <w:rFonts w:eastAsia="Times New Roman"/>
                <w:sz w:val="20"/>
                <w:szCs w:val="20"/>
              </w:rPr>
            </w:pPr>
            <w:r>
              <w:rPr>
                <w:rFonts w:eastAsia="Times New Roman"/>
                <w:sz w:val="20"/>
                <w:szCs w:val="20"/>
              </w:rPr>
              <w:t>309</w:t>
            </w:r>
          </w:p>
        </w:tc>
        <w:tc>
          <w:tcPr>
            <w:tcW w:w="50" w:type="pct"/>
            <w:shd w:val="clear" w:color="auto" w:fill="FFFFFF"/>
            <w:noWrap/>
            <w:vAlign w:val="center"/>
            <w:hideMark/>
          </w:tcPr>
          <w:p w14:paraId="4A304269" w14:textId="77777777" w:rsidR="00000000" w:rsidRDefault="0015578C">
            <w:pPr>
              <w:pStyle w:val="a3"/>
              <w:spacing w:before="0" w:beforeAutospacing="0" w:after="0" w:afterAutospacing="0"/>
              <w:rPr>
                <w:sz w:val="20"/>
                <w:szCs w:val="20"/>
              </w:rPr>
            </w:pPr>
            <w:r>
              <w:rPr>
                <w:sz w:val="20"/>
                <w:szCs w:val="20"/>
              </w:rPr>
              <w:t> </w:t>
            </w:r>
          </w:p>
        </w:tc>
      </w:tr>
      <w:tr w:rsidR="00000000" w14:paraId="7B0CEC33" w14:textId="77777777">
        <w:trPr>
          <w:trHeight w:val="225"/>
          <w:tblCellSpacing w:w="15" w:type="dxa"/>
        </w:trPr>
        <w:tc>
          <w:tcPr>
            <w:tcW w:w="0" w:type="auto"/>
            <w:shd w:val="clear" w:color="auto" w:fill="CCEEFF"/>
            <w:hideMark/>
          </w:tcPr>
          <w:p w14:paraId="543EC677" w14:textId="77777777" w:rsidR="00000000" w:rsidRDefault="0015578C">
            <w:pPr>
              <w:pStyle w:val="a3"/>
              <w:spacing w:before="0" w:beforeAutospacing="0" w:after="0" w:afterAutospacing="0"/>
              <w:ind w:left="225"/>
              <w:rPr>
                <w:sz w:val="20"/>
                <w:szCs w:val="20"/>
              </w:rPr>
            </w:pPr>
            <w:r>
              <w:rPr>
                <w:sz w:val="20"/>
                <w:szCs w:val="20"/>
              </w:rPr>
              <w:t>Unrealized loss on derivative securities</w:t>
            </w:r>
          </w:p>
        </w:tc>
        <w:tc>
          <w:tcPr>
            <w:tcW w:w="50" w:type="pct"/>
            <w:shd w:val="clear" w:color="auto" w:fill="CCEEFF"/>
            <w:noWrap/>
            <w:vAlign w:val="center"/>
            <w:hideMark/>
          </w:tcPr>
          <w:p w14:paraId="07509B3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A5EB07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DA3D2BD" w14:textId="77777777" w:rsidR="00000000" w:rsidRDefault="0015578C">
            <w:pPr>
              <w:jc w:val="right"/>
              <w:rPr>
                <w:rFonts w:eastAsia="Times New Roman"/>
                <w:sz w:val="20"/>
                <w:szCs w:val="20"/>
              </w:rPr>
            </w:pPr>
            <w:r>
              <w:rPr>
                <w:rFonts w:eastAsia="Times New Roman"/>
                <w:sz w:val="20"/>
                <w:szCs w:val="20"/>
              </w:rPr>
              <w:t>121</w:t>
            </w:r>
          </w:p>
        </w:tc>
        <w:tc>
          <w:tcPr>
            <w:tcW w:w="50" w:type="pct"/>
            <w:shd w:val="clear" w:color="auto" w:fill="CCEEFF"/>
            <w:noWrap/>
            <w:vAlign w:val="center"/>
            <w:hideMark/>
          </w:tcPr>
          <w:p w14:paraId="70D887E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DE1C02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8960E2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FA9FAE2" w14:textId="77777777" w:rsidR="00000000" w:rsidRDefault="0015578C">
            <w:pPr>
              <w:jc w:val="right"/>
              <w:rPr>
                <w:rFonts w:eastAsia="Times New Roman"/>
                <w:sz w:val="20"/>
                <w:szCs w:val="20"/>
              </w:rPr>
            </w:pPr>
            <w:r>
              <w:rPr>
                <w:rFonts w:eastAsia="Times New Roman"/>
                <w:sz w:val="20"/>
                <w:szCs w:val="20"/>
              </w:rPr>
              <w:t>98</w:t>
            </w:r>
          </w:p>
        </w:tc>
        <w:tc>
          <w:tcPr>
            <w:tcW w:w="50" w:type="pct"/>
            <w:shd w:val="clear" w:color="auto" w:fill="CCEEFF"/>
            <w:noWrap/>
            <w:vAlign w:val="center"/>
            <w:hideMark/>
          </w:tcPr>
          <w:p w14:paraId="470A8E96" w14:textId="77777777" w:rsidR="00000000" w:rsidRDefault="0015578C">
            <w:pPr>
              <w:pStyle w:val="a3"/>
              <w:spacing w:before="0" w:beforeAutospacing="0" w:after="0" w:afterAutospacing="0"/>
              <w:rPr>
                <w:sz w:val="20"/>
                <w:szCs w:val="20"/>
              </w:rPr>
            </w:pPr>
            <w:r>
              <w:rPr>
                <w:sz w:val="20"/>
                <w:szCs w:val="20"/>
              </w:rPr>
              <w:t> </w:t>
            </w:r>
          </w:p>
        </w:tc>
      </w:tr>
      <w:tr w:rsidR="00000000" w14:paraId="6936ADA6" w14:textId="77777777">
        <w:trPr>
          <w:trHeight w:val="225"/>
          <w:tblCellSpacing w:w="15" w:type="dxa"/>
        </w:trPr>
        <w:tc>
          <w:tcPr>
            <w:tcW w:w="0" w:type="auto"/>
            <w:shd w:val="clear" w:color="auto" w:fill="FFFFFF"/>
            <w:hideMark/>
          </w:tcPr>
          <w:p w14:paraId="39CE6D51" w14:textId="77777777" w:rsidR="00000000" w:rsidRDefault="0015578C">
            <w:pPr>
              <w:pStyle w:val="a3"/>
              <w:spacing w:before="0" w:beforeAutospacing="0" w:after="0" w:afterAutospacing="0"/>
              <w:ind w:left="225"/>
              <w:rPr>
                <w:sz w:val="20"/>
                <w:szCs w:val="20"/>
              </w:rPr>
            </w:pPr>
            <w:r>
              <w:rPr>
                <w:sz w:val="20"/>
                <w:szCs w:val="20"/>
              </w:rPr>
              <w:t>Other</w:t>
            </w:r>
          </w:p>
        </w:tc>
        <w:tc>
          <w:tcPr>
            <w:tcW w:w="50" w:type="pct"/>
            <w:shd w:val="clear" w:color="auto" w:fill="FFFFFF"/>
            <w:noWrap/>
            <w:vAlign w:val="center"/>
            <w:hideMark/>
          </w:tcPr>
          <w:p w14:paraId="3F44A1F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705EC3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9434335" w14:textId="77777777" w:rsidR="00000000" w:rsidRDefault="0015578C">
            <w:pPr>
              <w:jc w:val="right"/>
              <w:rPr>
                <w:rFonts w:eastAsia="Times New Roman"/>
                <w:sz w:val="20"/>
                <w:szCs w:val="20"/>
              </w:rPr>
            </w:pPr>
            <w:r>
              <w:rPr>
                <w:rFonts w:eastAsia="Times New Roman"/>
                <w:sz w:val="20"/>
                <w:szCs w:val="20"/>
              </w:rPr>
              <w:t>65</w:t>
            </w:r>
          </w:p>
        </w:tc>
        <w:tc>
          <w:tcPr>
            <w:tcW w:w="50" w:type="pct"/>
            <w:shd w:val="clear" w:color="auto" w:fill="FFFFFF"/>
            <w:noWrap/>
            <w:vAlign w:val="center"/>
            <w:hideMark/>
          </w:tcPr>
          <w:p w14:paraId="34762A9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44B95C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2BDC75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55960CFB" w14:textId="77777777" w:rsidR="00000000" w:rsidRDefault="0015578C">
            <w:pPr>
              <w:jc w:val="right"/>
              <w:rPr>
                <w:rFonts w:eastAsia="Times New Roman"/>
                <w:sz w:val="20"/>
                <w:szCs w:val="20"/>
              </w:rPr>
            </w:pPr>
            <w:r>
              <w:rPr>
                <w:rFonts w:eastAsia="Times New Roman"/>
                <w:sz w:val="20"/>
                <w:szCs w:val="20"/>
              </w:rPr>
              <w:t>91</w:t>
            </w:r>
          </w:p>
        </w:tc>
        <w:tc>
          <w:tcPr>
            <w:tcW w:w="50" w:type="pct"/>
            <w:shd w:val="clear" w:color="auto" w:fill="FFFFFF"/>
            <w:noWrap/>
            <w:vAlign w:val="center"/>
            <w:hideMark/>
          </w:tcPr>
          <w:p w14:paraId="787CDCFC" w14:textId="77777777" w:rsidR="00000000" w:rsidRDefault="0015578C">
            <w:pPr>
              <w:pStyle w:val="a3"/>
              <w:spacing w:before="0" w:beforeAutospacing="0" w:after="0" w:afterAutospacing="0"/>
              <w:rPr>
                <w:sz w:val="20"/>
                <w:szCs w:val="20"/>
              </w:rPr>
            </w:pPr>
            <w:r>
              <w:rPr>
                <w:sz w:val="20"/>
                <w:szCs w:val="20"/>
              </w:rPr>
              <w:t> </w:t>
            </w:r>
          </w:p>
        </w:tc>
      </w:tr>
      <w:tr w:rsidR="00000000" w14:paraId="77420ABC" w14:textId="77777777">
        <w:trPr>
          <w:trHeight w:val="225"/>
          <w:tblCellSpacing w:w="15" w:type="dxa"/>
        </w:trPr>
        <w:tc>
          <w:tcPr>
            <w:tcW w:w="0" w:type="auto"/>
            <w:shd w:val="clear" w:color="auto" w:fill="CCEEFF"/>
            <w:hideMark/>
          </w:tcPr>
          <w:p w14:paraId="71B0AE1D" w14:textId="77777777" w:rsidR="00000000" w:rsidRDefault="0015578C">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CCEEFF"/>
            <w:noWrap/>
            <w:vAlign w:val="center"/>
            <w:hideMark/>
          </w:tcPr>
          <w:p w14:paraId="2214958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BA4EB7"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86A8C10" w14:textId="77777777" w:rsidR="00000000" w:rsidRDefault="0015578C">
            <w:pPr>
              <w:jc w:val="right"/>
              <w:rPr>
                <w:rFonts w:eastAsia="Times New Roman"/>
                <w:sz w:val="20"/>
                <w:szCs w:val="20"/>
              </w:rPr>
            </w:pPr>
            <w:r>
              <w:rPr>
                <w:rFonts w:eastAsia="Times New Roman"/>
                <w:sz w:val="20"/>
                <w:szCs w:val="20"/>
              </w:rPr>
              <w:t>20</w:t>
            </w:r>
          </w:p>
        </w:tc>
        <w:tc>
          <w:tcPr>
            <w:tcW w:w="50" w:type="pct"/>
            <w:shd w:val="clear" w:color="auto" w:fill="CCEEFF"/>
            <w:noWrap/>
            <w:vAlign w:val="center"/>
            <w:hideMark/>
          </w:tcPr>
          <w:p w14:paraId="1A8C038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87010F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E485D3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492C5C92"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45E82E39" w14:textId="77777777" w:rsidR="00000000" w:rsidRDefault="0015578C">
            <w:pPr>
              <w:pStyle w:val="a3"/>
              <w:spacing w:before="0" w:beforeAutospacing="0" w:after="0" w:afterAutospacing="0"/>
              <w:rPr>
                <w:sz w:val="20"/>
                <w:szCs w:val="20"/>
              </w:rPr>
            </w:pPr>
            <w:r>
              <w:rPr>
                <w:sz w:val="20"/>
                <w:szCs w:val="20"/>
              </w:rPr>
              <w:t> </w:t>
            </w:r>
          </w:p>
        </w:tc>
      </w:tr>
      <w:tr w:rsidR="00000000" w14:paraId="1C471C12" w14:textId="77777777">
        <w:trPr>
          <w:trHeight w:val="225"/>
          <w:tblCellSpacing w:w="15" w:type="dxa"/>
        </w:trPr>
        <w:tc>
          <w:tcPr>
            <w:tcW w:w="0" w:type="auto"/>
            <w:shd w:val="clear" w:color="auto" w:fill="FFFFFF"/>
            <w:hideMark/>
          </w:tcPr>
          <w:p w14:paraId="3BA2B9D2" w14:textId="77777777" w:rsidR="00000000" w:rsidRDefault="0015578C">
            <w:pPr>
              <w:pStyle w:val="a3"/>
              <w:spacing w:before="0" w:beforeAutospacing="0" w:after="0" w:afterAutospacing="0"/>
              <w:rPr>
                <w:sz w:val="20"/>
                <w:szCs w:val="20"/>
              </w:rPr>
            </w:pPr>
            <w:r>
              <w:rPr>
                <w:sz w:val="20"/>
                <w:szCs w:val="20"/>
              </w:rPr>
              <w:t>Lease Liability</w:t>
            </w:r>
          </w:p>
        </w:tc>
        <w:tc>
          <w:tcPr>
            <w:tcW w:w="50" w:type="pct"/>
            <w:shd w:val="clear" w:color="auto" w:fill="FFFFFF"/>
            <w:noWrap/>
            <w:vAlign w:val="center"/>
            <w:hideMark/>
          </w:tcPr>
          <w:p w14:paraId="6CBF79F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8B5E56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452F362D" w14:textId="77777777" w:rsidR="00000000" w:rsidRDefault="0015578C">
            <w:pPr>
              <w:jc w:val="right"/>
              <w:rPr>
                <w:rFonts w:eastAsia="Times New Roman"/>
                <w:sz w:val="20"/>
                <w:szCs w:val="20"/>
              </w:rPr>
            </w:pPr>
            <w:r>
              <w:rPr>
                <w:rFonts w:eastAsia="Times New Roman"/>
                <w:sz w:val="20"/>
                <w:szCs w:val="20"/>
              </w:rPr>
              <w:t>9</w:t>
            </w:r>
          </w:p>
        </w:tc>
        <w:tc>
          <w:tcPr>
            <w:tcW w:w="50" w:type="pct"/>
            <w:shd w:val="clear" w:color="auto" w:fill="FFFFFF"/>
            <w:noWrap/>
            <w:tcMar>
              <w:top w:w="0" w:type="dxa"/>
              <w:left w:w="0" w:type="dxa"/>
              <w:bottom w:w="15" w:type="dxa"/>
              <w:right w:w="0" w:type="dxa"/>
            </w:tcMar>
            <w:vAlign w:val="center"/>
            <w:hideMark/>
          </w:tcPr>
          <w:p w14:paraId="3F3E434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2A8AA7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BA0EB6E"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57749E05" w14:textId="77777777" w:rsidR="00000000" w:rsidRDefault="0015578C">
            <w:pPr>
              <w:jc w:val="right"/>
              <w:rPr>
                <w:rFonts w:eastAsia="Times New Roman"/>
                <w:sz w:val="20"/>
                <w:szCs w:val="20"/>
              </w:rPr>
            </w:pPr>
            <w:r>
              <w:rPr>
                <w:rFonts w:eastAsia="Times New Roman"/>
                <w:sz w:val="20"/>
                <w:szCs w:val="20"/>
              </w:rPr>
              <w:t>18</w:t>
            </w:r>
          </w:p>
        </w:tc>
        <w:tc>
          <w:tcPr>
            <w:tcW w:w="50" w:type="pct"/>
            <w:shd w:val="clear" w:color="auto" w:fill="FFFFFF"/>
            <w:noWrap/>
            <w:tcMar>
              <w:top w:w="0" w:type="dxa"/>
              <w:left w:w="0" w:type="dxa"/>
              <w:bottom w:w="15" w:type="dxa"/>
              <w:right w:w="0" w:type="dxa"/>
            </w:tcMar>
            <w:vAlign w:val="center"/>
            <w:hideMark/>
          </w:tcPr>
          <w:p w14:paraId="2FDF1576" w14:textId="77777777" w:rsidR="00000000" w:rsidRDefault="0015578C">
            <w:pPr>
              <w:pStyle w:val="a3"/>
              <w:spacing w:before="0" w:beforeAutospacing="0" w:after="0" w:afterAutospacing="0"/>
              <w:rPr>
                <w:sz w:val="20"/>
                <w:szCs w:val="20"/>
              </w:rPr>
            </w:pPr>
            <w:r>
              <w:rPr>
                <w:sz w:val="20"/>
                <w:szCs w:val="20"/>
              </w:rPr>
              <w:t> </w:t>
            </w:r>
          </w:p>
        </w:tc>
      </w:tr>
      <w:tr w:rsidR="00000000" w14:paraId="4BC9B809" w14:textId="77777777">
        <w:trPr>
          <w:trHeight w:val="225"/>
          <w:tblCellSpacing w:w="15" w:type="dxa"/>
        </w:trPr>
        <w:tc>
          <w:tcPr>
            <w:tcW w:w="0" w:type="auto"/>
            <w:shd w:val="clear" w:color="auto" w:fill="CCEEFF"/>
            <w:hideMark/>
          </w:tcPr>
          <w:p w14:paraId="6F0CADF6" w14:textId="77777777" w:rsidR="00000000" w:rsidRDefault="0015578C">
            <w:pPr>
              <w:pStyle w:val="a3"/>
              <w:spacing w:before="0" w:beforeAutospacing="0" w:after="0" w:afterAutospacing="0"/>
              <w:ind w:left="225"/>
              <w:rPr>
                <w:sz w:val="20"/>
                <w:szCs w:val="20"/>
              </w:rPr>
            </w:pPr>
            <w:r>
              <w:rPr>
                <w:sz w:val="20"/>
                <w:szCs w:val="20"/>
              </w:rPr>
              <w:t>Valuation allowance</w:t>
            </w:r>
          </w:p>
        </w:tc>
        <w:tc>
          <w:tcPr>
            <w:tcW w:w="50" w:type="pct"/>
            <w:shd w:val="clear" w:color="auto" w:fill="CCEEFF"/>
            <w:noWrap/>
            <w:vAlign w:val="center"/>
            <w:hideMark/>
          </w:tcPr>
          <w:p w14:paraId="547AA4E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0146F50"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2AFEF12F" w14:textId="77777777" w:rsidR="00000000" w:rsidRDefault="0015578C">
            <w:pPr>
              <w:jc w:val="right"/>
              <w:rPr>
                <w:rFonts w:eastAsia="Times New Roman"/>
                <w:sz w:val="20"/>
                <w:szCs w:val="20"/>
              </w:rPr>
            </w:pPr>
            <w:r>
              <w:rPr>
                <w:rFonts w:eastAsia="Times New Roman"/>
                <w:sz w:val="20"/>
                <w:szCs w:val="20"/>
              </w:rPr>
              <w:t>(14,309</w:t>
            </w:r>
          </w:p>
        </w:tc>
        <w:tc>
          <w:tcPr>
            <w:tcW w:w="50" w:type="pct"/>
            <w:shd w:val="clear" w:color="auto" w:fill="CCEEFF"/>
            <w:noWrap/>
            <w:tcMar>
              <w:top w:w="0" w:type="dxa"/>
              <w:left w:w="0" w:type="dxa"/>
              <w:bottom w:w="15" w:type="dxa"/>
              <w:right w:w="0" w:type="dxa"/>
            </w:tcMar>
            <w:vAlign w:val="bottom"/>
            <w:hideMark/>
          </w:tcPr>
          <w:p w14:paraId="1177567E"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A3DECA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24AC8415"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0953E310" w14:textId="77777777" w:rsidR="00000000" w:rsidRDefault="0015578C">
            <w:pPr>
              <w:jc w:val="right"/>
              <w:rPr>
                <w:rFonts w:eastAsia="Times New Roman"/>
                <w:sz w:val="20"/>
                <w:szCs w:val="20"/>
              </w:rPr>
            </w:pPr>
            <w:r>
              <w:rPr>
                <w:rFonts w:eastAsia="Times New Roman"/>
                <w:sz w:val="20"/>
                <w:szCs w:val="20"/>
              </w:rPr>
              <w:t>(14,561</w:t>
            </w:r>
          </w:p>
        </w:tc>
        <w:tc>
          <w:tcPr>
            <w:tcW w:w="50" w:type="pct"/>
            <w:shd w:val="clear" w:color="auto" w:fill="CCEEFF"/>
            <w:noWrap/>
            <w:tcMar>
              <w:top w:w="0" w:type="dxa"/>
              <w:left w:w="0" w:type="dxa"/>
              <w:bottom w:w="15" w:type="dxa"/>
              <w:right w:w="0" w:type="dxa"/>
            </w:tcMar>
            <w:vAlign w:val="bottom"/>
            <w:hideMark/>
          </w:tcPr>
          <w:p w14:paraId="723A9096" w14:textId="77777777" w:rsidR="00000000" w:rsidRDefault="0015578C">
            <w:pPr>
              <w:rPr>
                <w:rFonts w:eastAsia="Times New Roman"/>
                <w:sz w:val="20"/>
                <w:szCs w:val="20"/>
              </w:rPr>
            </w:pPr>
            <w:r>
              <w:rPr>
                <w:rFonts w:eastAsia="Times New Roman"/>
                <w:sz w:val="20"/>
                <w:szCs w:val="20"/>
              </w:rPr>
              <w:t>)</w:t>
            </w:r>
          </w:p>
        </w:tc>
      </w:tr>
      <w:tr w:rsidR="00000000" w14:paraId="3C446A44" w14:textId="77777777">
        <w:trPr>
          <w:trHeight w:val="225"/>
          <w:tblCellSpacing w:w="15" w:type="dxa"/>
        </w:trPr>
        <w:tc>
          <w:tcPr>
            <w:tcW w:w="0" w:type="auto"/>
            <w:shd w:val="clear" w:color="auto" w:fill="FFFFFF"/>
            <w:hideMark/>
          </w:tcPr>
          <w:p w14:paraId="14A620B1" w14:textId="77777777" w:rsidR="00000000" w:rsidRDefault="0015578C">
            <w:pPr>
              <w:pStyle w:val="a3"/>
              <w:spacing w:before="0" w:beforeAutospacing="0" w:after="0" w:afterAutospacing="0"/>
              <w:rPr>
                <w:sz w:val="20"/>
                <w:szCs w:val="20"/>
              </w:rPr>
            </w:pPr>
            <w:r>
              <w:rPr>
                <w:sz w:val="20"/>
                <w:szCs w:val="20"/>
              </w:rPr>
              <w:t>Total deferred tax assets</w:t>
            </w:r>
          </w:p>
        </w:tc>
        <w:tc>
          <w:tcPr>
            <w:tcW w:w="50" w:type="pct"/>
            <w:shd w:val="clear" w:color="auto" w:fill="FFFFFF"/>
            <w:noWrap/>
            <w:vAlign w:val="center"/>
            <w:hideMark/>
          </w:tcPr>
          <w:p w14:paraId="4440DD99"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782125F"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24078D8C" w14:textId="77777777" w:rsidR="00000000" w:rsidRDefault="0015578C">
            <w:pPr>
              <w:jc w:val="right"/>
              <w:rPr>
                <w:rFonts w:eastAsia="Times New Roman"/>
                <w:sz w:val="20"/>
                <w:szCs w:val="20"/>
              </w:rPr>
            </w:pPr>
            <w:r>
              <w:rPr>
                <w:rFonts w:eastAsia="Times New Roman"/>
                <w:sz w:val="20"/>
                <w:szCs w:val="20"/>
              </w:rPr>
              <w:t>157</w:t>
            </w:r>
          </w:p>
        </w:tc>
        <w:tc>
          <w:tcPr>
            <w:tcW w:w="50" w:type="pct"/>
            <w:shd w:val="clear" w:color="auto" w:fill="FFFFFF"/>
            <w:noWrap/>
            <w:tcMar>
              <w:top w:w="0" w:type="dxa"/>
              <w:left w:w="0" w:type="dxa"/>
              <w:bottom w:w="15" w:type="dxa"/>
              <w:right w:w="0" w:type="dxa"/>
            </w:tcMar>
            <w:vAlign w:val="center"/>
            <w:hideMark/>
          </w:tcPr>
          <w:p w14:paraId="50CDEED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75012FC"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5F50A7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449F448E" w14:textId="77777777" w:rsidR="00000000" w:rsidRDefault="0015578C">
            <w:pPr>
              <w:jc w:val="right"/>
              <w:rPr>
                <w:rFonts w:eastAsia="Times New Roman"/>
                <w:sz w:val="20"/>
                <w:szCs w:val="20"/>
              </w:rPr>
            </w:pPr>
            <w:r>
              <w:rPr>
                <w:rFonts w:eastAsia="Times New Roman"/>
                <w:sz w:val="20"/>
                <w:szCs w:val="20"/>
              </w:rPr>
              <w:t>190</w:t>
            </w:r>
          </w:p>
        </w:tc>
        <w:tc>
          <w:tcPr>
            <w:tcW w:w="50" w:type="pct"/>
            <w:shd w:val="clear" w:color="auto" w:fill="FFFFFF"/>
            <w:noWrap/>
            <w:tcMar>
              <w:top w:w="0" w:type="dxa"/>
              <w:left w:w="0" w:type="dxa"/>
              <w:bottom w:w="15" w:type="dxa"/>
              <w:right w:w="0" w:type="dxa"/>
            </w:tcMar>
            <w:vAlign w:val="center"/>
            <w:hideMark/>
          </w:tcPr>
          <w:p w14:paraId="2D15E6CF" w14:textId="77777777" w:rsidR="00000000" w:rsidRDefault="0015578C">
            <w:pPr>
              <w:pStyle w:val="a3"/>
              <w:spacing w:before="0" w:beforeAutospacing="0" w:after="0" w:afterAutospacing="0"/>
              <w:rPr>
                <w:sz w:val="20"/>
                <w:szCs w:val="20"/>
              </w:rPr>
            </w:pPr>
            <w:r>
              <w:rPr>
                <w:sz w:val="20"/>
                <w:szCs w:val="20"/>
              </w:rPr>
              <w:t> </w:t>
            </w:r>
          </w:p>
        </w:tc>
      </w:tr>
      <w:tr w:rsidR="00000000" w14:paraId="48597C14" w14:textId="77777777">
        <w:trPr>
          <w:trHeight w:val="225"/>
          <w:tblCellSpacing w:w="15" w:type="dxa"/>
        </w:trPr>
        <w:tc>
          <w:tcPr>
            <w:tcW w:w="0" w:type="auto"/>
            <w:shd w:val="clear" w:color="auto" w:fill="CCEEFF"/>
            <w:hideMark/>
          </w:tcPr>
          <w:p w14:paraId="27AD8F17" w14:textId="77777777" w:rsidR="00000000" w:rsidRDefault="0015578C">
            <w:pPr>
              <w:pStyle w:val="a3"/>
              <w:spacing w:before="0" w:beforeAutospacing="0" w:after="0" w:afterAutospacing="0"/>
              <w:rPr>
                <w:sz w:val="20"/>
                <w:szCs w:val="20"/>
              </w:rPr>
            </w:pPr>
            <w:r>
              <w:rPr>
                <w:sz w:val="20"/>
                <w:szCs w:val="20"/>
              </w:rPr>
              <w:t>Deferred tax liabilities:</w:t>
            </w:r>
          </w:p>
        </w:tc>
        <w:tc>
          <w:tcPr>
            <w:tcW w:w="50" w:type="pct"/>
            <w:shd w:val="clear" w:color="auto" w:fill="CCEEFF"/>
            <w:noWrap/>
            <w:vAlign w:val="center"/>
            <w:hideMark/>
          </w:tcPr>
          <w:p w14:paraId="48573DC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5E9954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7D11393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8CC93B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B4C089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EF216F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14:paraId="1866FB1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1BB452C" w14:textId="77777777" w:rsidR="00000000" w:rsidRDefault="0015578C">
            <w:pPr>
              <w:pStyle w:val="a3"/>
              <w:spacing w:before="0" w:beforeAutospacing="0" w:after="0" w:afterAutospacing="0"/>
              <w:rPr>
                <w:sz w:val="20"/>
                <w:szCs w:val="20"/>
              </w:rPr>
            </w:pPr>
            <w:r>
              <w:rPr>
                <w:sz w:val="20"/>
                <w:szCs w:val="20"/>
              </w:rPr>
              <w:t> </w:t>
            </w:r>
          </w:p>
        </w:tc>
      </w:tr>
      <w:tr w:rsidR="00000000" w14:paraId="3AC2F1D4" w14:textId="77777777">
        <w:trPr>
          <w:trHeight w:val="225"/>
          <w:tblCellSpacing w:w="15" w:type="dxa"/>
        </w:trPr>
        <w:tc>
          <w:tcPr>
            <w:tcW w:w="0" w:type="auto"/>
            <w:shd w:val="clear" w:color="auto" w:fill="FFFFFF"/>
            <w:hideMark/>
          </w:tcPr>
          <w:p w14:paraId="2BF9F5F7" w14:textId="77777777" w:rsidR="00000000" w:rsidRDefault="0015578C">
            <w:pPr>
              <w:pStyle w:val="a3"/>
              <w:spacing w:before="0" w:beforeAutospacing="0" w:after="0" w:afterAutospacing="0"/>
              <w:ind w:left="225"/>
              <w:rPr>
                <w:sz w:val="20"/>
                <w:szCs w:val="20"/>
              </w:rPr>
            </w:pPr>
            <w:r>
              <w:rPr>
                <w:sz w:val="20"/>
                <w:szCs w:val="20"/>
              </w:rPr>
              <w:t>Unrealized gains on marketable equity securities</w:t>
            </w:r>
          </w:p>
        </w:tc>
        <w:tc>
          <w:tcPr>
            <w:tcW w:w="50" w:type="pct"/>
            <w:shd w:val="clear" w:color="auto" w:fill="FFFFFF"/>
            <w:noWrap/>
            <w:vAlign w:val="center"/>
            <w:hideMark/>
          </w:tcPr>
          <w:p w14:paraId="2F5DD16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D366F7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C5F4ABF" w14:textId="77777777" w:rsidR="00000000" w:rsidRDefault="0015578C">
            <w:pPr>
              <w:jc w:val="right"/>
              <w:rPr>
                <w:rFonts w:eastAsia="Times New Roman"/>
                <w:sz w:val="20"/>
                <w:szCs w:val="20"/>
              </w:rPr>
            </w:pPr>
            <w:r>
              <w:rPr>
                <w:rFonts w:eastAsia="Times New Roman"/>
                <w:sz w:val="20"/>
                <w:szCs w:val="20"/>
              </w:rPr>
              <w:t>149</w:t>
            </w:r>
          </w:p>
        </w:tc>
        <w:tc>
          <w:tcPr>
            <w:tcW w:w="50" w:type="pct"/>
            <w:shd w:val="clear" w:color="auto" w:fill="FFFFFF"/>
            <w:noWrap/>
            <w:vAlign w:val="center"/>
            <w:hideMark/>
          </w:tcPr>
          <w:p w14:paraId="1EC380C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D2FB0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A43AA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C6A4951" w14:textId="77777777" w:rsidR="00000000" w:rsidRDefault="0015578C">
            <w:pPr>
              <w:jc w:val="right"/>
              <w:rPr>
                <w:rFonts w:eastAsia="Times New Roman"/>
                <w:sz w:val="20"/>
                <w:szCs w:val="20"/>
              </w:rPr>
            </w:pPr>
            <w:r>
              <w:rPr>
                <w:rFonts w:eastAsia="Times New Roman"/>
                <w:sz w:val="20"/>
                <w:szCs w:val="20"/>
              </w:rPr>
              <w:t>173</w:t>
            </w:r>
          </w:p>
        </w:tc>
        <w:tc>
          <w:tcPr>
            <w:tcW w:w="50" w:type="pct"/>
            <w:shd w:val="clear" w:color="auto" w:fill="FFFFFF"/>
            <w:noWrap/>
            <w:vAlign w:val="center"/>
            <w:hideMark/>
          </w:tcPr>
          <w:p w14:paraId="448B9AEB" w14:textId="77777777" w:rsidR="00000000" w:rsidRDefault="0015578C">
            <w:pPr>
              <w:pStyle w:val="a3"/>
              <w:spacing w:before="0" w:beforeAutospacing="0" w:after="0" w:afterAutospacing="0"/>
              <w:rPr>
                <w:sz w:val="20"/>
                <w:szCs w:val="20"/>
              </w:rPr>
            </w:pPr>
            <w:r>
              <w:rPr>
                <w:sz w:val="20"/>
                <w:szCs w:val="20"/>
              </w:rPr>
              <w:t> </w:t>
            </w:r>
          </w:p>
        </w:tc>
      </w:tr>
      <w:tr w:rsidR="00000000" w14:paraId="0E333491" w14:textId="77777777">
        <w:trPr>
          <w:trHeight w:val="225"/>
          <w:tblCellSpacing w:w="15" w:type="dxa"/>
        </w:trPr>
        <w:tc>
          <w:tcPr>
            <w:tcW w:w="0" w:type="auto"/>
            <w:shd w:val="clear" w:color="auto" w:fill="CCEEFF"/>
            <w:hideMark/>
          </w:tcPr>
          <w:p w14:paraId="63C41E4A" w14:textId="77777777" w:rsidR="00000000" w:rsidRDefault="0015578C">
            <w:pPr>
              <w:pStyle w:val="a3"/>
              <w:spacing w:before="0" w:beforeAutospacing="0" w:after="0" w:afterAutospacing="0"/>
              <w:ind w:left="225"/>
              <w:rPr>
                <w:sz w:val="20"/>
                <w:szCs w:val="20"/>
              </w:rPr>
            </w:pPr>
            <w:r>
              <w:rPr>
                <w:sz w:val="20"/>
                <w:szCs w:val="20"/>
              </w:rPr>
              <w:t>Lease Asset</w:t>
            </w:r>
          </w:p>
        </w:tc>
        <w:tc>
          <w:tcPr>
            <w:tcW w:w="50" w:type="pct"/>
            <w:shd w:val="clear" w:color="auto" w:fill="CCEEFF"/>
            <w:noWrap/>
            <w:vAlign w:val="center"/>
            <w:hideMark/>
          </w:tcPr>
          <w:p w14:paraId="75CAF9A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6D7CC9E"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1FD17A2E" w14:textId="77777777" w:rsidR="00000000" w:rsidRDefault="0015578C">
            <w:pPr>
              <w:jc w:val="right"/>
              <w:rPr>
                <w:rFonts w:eastAsia="Times New Roman"/>
                <w:sz w:val="20"/>
                <w:szCs w:val="20"/>
              </w:rPr>
            </w:pPr>
            <w:r>
              <w:rPr>
                <w:rFonts w:eastAsia="Times New Roman"/>
                <w:sz w:val="20"/>
                <w:szCs w:val="20"/>
              </w:rPr>
              <w:t>8</w:t>
            </w:r>
          </w:p>
        </w:tc>
        <w:tc>
          <w:tcPr>
            <w:tcW w:w="50" w:type="pct"/>
            <w:shd w:val="clear" w:color="auto" w:fill="CCEEFF"/>
            <w:noWrap/>
            <w:tcMar>
              <w:top w:w="0" w:type="dxa"/>
              <w:left w:w="0" w:type="dxa"/>
              <w:bottom w:w="15" w:type="dxa"/>
              <w:right w:w="0" w:type="dxa"/>
            </w:tcMar>
            <w:vAlign w:val="center"/>
            <w:hideMark/>
          </w:tcPr>
          <w:p w14:paraId="4248F3B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3BA14B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14B864AE"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14:paraId="00FB184B" w14:textId="77777777" w:rsidR="00000000" w:rsidRDefault="0015578C">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center"/>
            <w:hideMark/>
          </w:tcPr>
          <w:p w14:paraId="3BDFA7C0" w14:textId="77777777" w:rsidR="00000000" w:rsidRDefault="0015578C">
            <w:pPr>
              <w:pStyle w:val="a3"/>
              <w:spacing w:before="0" w:beforeAutospacing="0" w:after="0" w:afterAutospacing="0"/>
              <w:rPr>
                <w:sz w:val="20"/>
                <w:szCs w:val="20"/>
              </w:rPr>
            </w:pPr>
            <w:r>
              <w:rPr>
                <w:sz w:val="20"/>
                <w:szCs w:val="20"/>
              </w:rPr>
              <w:t> </w:t>
            </w:r>
          </w:p>
        </w:tc>
      </w:tr>
      <w:tr w:rsidR="00000000" w14:paraId="0A280C13" w14:textId="77777777">
        <w:trPr>
          <w:trHeight w:val="225"/>
          <w:tblCellSpacing w:w="15" w:type="dxa"/>
        </w:trPr>
        <w:tc>
          <w:tcPr>
            <w:tcW w:w="0" w:type="auto"/>
            <w:shd w:val="clear" w:color="auto" w:fill="FFFFFF"/>
            <w:hideMark/>
          </w:tcPr>
          <w:p w14:paraId="5D744603" w14:textId="77777777" w:rsidR="00000000" w:rsidRDefault="0015578C">
            <w:pPr>
              <w:pStyle w:val="a3"/>
              <w:spacing w:before="0" w:beforeAutospacing="0" w:after="0" w:afterAutospacing="0"/>
              <w:rPr>
                <w:sz w:val="20"/>
                <w:szCs w:val="20"/>
              </w:rPr>
            </w:pPr>
            <w:r>
              <w:rPr>
                <w:sz w:val="20"/>
                <w:szCs w:val="20"/>
              </w:rPr>
              <w:t>Total deferred tax liabilities</w:t>
            </w:r>
          </w:p>
        </w:tc>
        <w:tc>
          <w:tcPr>
            <w:tcW w:w="50" w:type="pct"/>
            <w:shd w:val="clear" w:color="auto" w:fill="FFFFFF"/>
            <w:noWrap/>
            <w:vAlign w:val="center"/>
            <w:hideMark/>
          </w:tcPr>
          <w:p w14:paraId="50AEC8C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5C59D635"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7D7B8D83" w14:textId="77777777" w:rsidR="00000000" w:rsidRDefault="0015578C">
            <w:pPr>
              <w:jc w:val="right"/>
              <w:rPr>
                <w:rFonts w:eastAsia="Times New Roman"/>
                <w:sz w:val="20"/>
                <w:szCs w:val="20"/>
              </w:rPr>
            </w:pPr>
            <w:r>
              <w:rPr>
                <w:rFonts w:eastAsia="Times New Roman"/>
                <w:sz w:val="20"/>
                <w:szCs w:val="20"/>
              </w:rPr>
              <w:t>157</w:t>
            </w:r>
          </w:p>
        </w:tc>
        <w:tc>
          <w:tcPr>
            <w:tcW w:w="50" w:type="pct"/>
            <w:shd w:val="clear" w:color="auto" w:fill="FFFFFF"/>
            <w:noWrap/>
            <w:tcMar>
              <w:top w:w="0" w:type="dxa"/>
              <w:left w:w="0" w:type="dxa"/>
              <w:bottom w:w="15" w:type="dxa"/>
              <w:right w:w="0" w:type="dxa"/>
            </w:tcMar>
            <w:vAlign w:val="center"/>
            <w:hideMark/>
          </w:tcPr>
          <w:p w14:paraId="07F0C7C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B2C5058"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E1304E7"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2AAFEFF4" w14:textId="77777777" w:rsidR="00000000" w:rsidRDefault="0015578C">
            <w:pPr>
              <w:jc w:val="right"/>
              <w:rPr>
                <w:rFonts w:eastAsia="Times New Roman"/>
                <w:sz w:val="20"/>
                <w:szCs w:val="20"/>
              </w:rPr>
            </w:pPr>
            <w:r>
              <w:rPr>
                <w:rFonts w:eastAsia="Times New Roman"/>
                <w:sz w:val="20"/>
                <w:szCs w:val="20"/>
              </w:rPr>
              <w:t>190</w:t>
            </w:r>
          </w:p>
        </w:tc>
        <w:tc>
          <w:tcPr>
            <w:tcW w:w="50" w:type="pct"/>
            <w:shd w:val="clear" w:color="auto" w:fill="FFFFFF"/>
            <w:noWrap/>
            <w:tcMar>
              <w:top w:w="0" w:type="dxa"/>
              <w:left w:w="0" w:type="dxa"/>
              <w:bottom w:w="15" w:type="dxa"/>
              <w:right w:w="0" w:type="dxa"/>
            </w:tcMar>
            <w:vAlign w:val="center"/>
            <w:hideMark/>
          </w:tcPr>
          <w:p w14:paraId="3A953BE8" w14:textId="77777777" w:rsidR="00000000" w:rsidRDefault="0015578C">
            <w:pPr>
              <w:pStyle w:val="a3"/>
              <w:spacing w:before="0" w:beforeAutospacing="0" w:after="0" w:afterAutospacing="0"/>
              <w:rPr>
                <w:sz w:val="20"/>
                <w:szCs w:val="20"/>
              </w:rPr>
            </w:pPr>
            <w:r>
              <w:rPr>
                <w:sz w:val="20"/>
                <w:szCs w:val="20"/>
              </w:rPr>
              <w:t> </w:t>
            </w:r>
          </w:p>
        </w:tc>
      </w:tr>
      <w:tr w:rsidR="00000000" w14:paraId="06D881AA" w14:textId="77777777">
        <w:trPr>
          <w:trHeight w:val="225"/>
          <w:tblCellSpacing w:w="15" w:type="dxa"/>
        </w:trPr>
        <w:tc>
          <w:tcPr>
            <w:tcW w:w="0" w:type="auto"/>
            <w:shd w:val="clear" w:color="auto" w:fill="CCEEFF"/>
            <w:hideMark/>
          </w:tcPr>
          <w:p w14:paraId="3D63F1BF" w14:textId="77777777" w:rsidR="00000000" w:rsidRDefault="0015578C">
            <w:pPr>
              <w:pStyle w:val="a3"/>
              <w:spacing w:before="0" w:beforeAutospacing="0" w:after="0" w:afterAutospacing="0"/>
              <w:ind w:left="225"/>
              <w:rPr>
                <w:sz w:val="20"/>
                <w:szCs w:val="20"/>
              </w:rPr>
            </w:pPr>
            <w:r>
              <w:rPr>
                <w:sz w:val="20"/>
                <w:szCs w:val="20"/>
              </w:rPr>
              <w:t>Net deferred tax liabilities</w:t>
            </w:r>
          </w:p>
        </w:tc>
        <w:tc>
          <w:tcPr>
            <w:tcW w:w="50" w:type="pct"/>
            <w:shd w:val="clear" w:color="auto" w:fill="CCEEFF"/>
            <w:noWrap/>
            <w:vAlign w:val="center"/>
            <w:hideMark/>
          </w:tcPr>
          <w:p w14:paraId="3E3DF2B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6996525D"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46E2B6D7"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028D360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E5DFE1B"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76EA5D06"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17FFB2D5"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477C4E66" w14:textId="77777777" w:rsidR="00000000" w:rsidRDefault="0015578C">
            <w:pPr>
              <w:pStyle w:val="a3"/>
              <w:spacing w:before="0" w:beforeAutospacing="0" w:after="0" w:afterAutospacing="0"/>
              <w:rPr>
                <w:sz w:val="20"/>
                <w:szCs w:val="20"/>
              </w:rPr>
            </w:pPr>
            <w:r>
              <w:rPr>
                <w:sz w:val="20"/>
                <w:szCs w:val="20"/>
              </w:rPr>
              <w:t> </w:t>
            </w:r>
          </w:p>
        </w:tc>
      </w:tr>
    </w:tbl>
    <w:p w14:paraId="3AF30BBC" w14:textId="77777777" w:rsidR="00000000" w:rsidRDefault="0015578C">
      <w:pPr>
        <w:pStyle w:val="a3"/>
        <w:spacing w:before="0" w:beforeAutospacing="0" w:after="0" w:afterAutospacing="0"/>
        <w:jc w:val="both"/>
        <w:rPr>
          <w:sz w:val="20"/>
          <w:szCs w:val="20"/>
        </w:rPr>
      </w:pPr>
      <w:r>
        <w:rPr>
          <w:sz w:val="20"/>
          <w:szCs w:val="20"/>
        </w:rPr>
        <w:t> </w:t>
      </w:r>
    </w:p>
    <w:p w14:paraId="1915EEE3" w14:textId="77777777" w:rsidR="00000000" w:rsidRDefault="0015578C">
      <w:pPr>
        <w:pStyle w:val="a3"/>
        <w:spacing w:before="0" w:beforeAutospacing="0" w:after="0" w:afterAutospacing="0"/>
        <w:ind w:firstLine="675"/>
        <w:jc w:val="both"/>
        <w:rPr>
          <w:sz w:val="20"/>
          <w:szCs w:val="20"/>
        </w:rPr>
      </w:pPr>
      <w:r>
        <w:rPr>
          <w:sz w:val="20"/>
          <w:szCs w:val="20"/>
        </w:rPr>
        <w:t>A reconciliation of expected federal income taxes on income (loss) from continuing operations at statutory rates, with the expense for income taxes is as follows:</w:t>
      </w:r>
    </w:p>
    <w:p w14:paraId="797A27C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14:paraId="44AC6592" w14:textId="77777777">
        <w:trPr>
          <w:trHeight w:val="225"/>
          <w:tblCellSpacing w:w="15" w:type="dxa"/>
        </w:trPr>
        <w:tc>
          <w:tcPr>
            <w:tcW w:w="0" w:type="auto"/>
            <w:vAlign w:val="bottom"/>
            <w:hideMark/>
          </w:tcPr>
          <w:p w14:paraId="5E5592D3" w14:textId="77777777" w:rsidR="00000000" w:rsidRDefault="0015578C">
            <w:pPr>
              <w:pStyle w:val="a3"/>
              <w:spacing w:before="0" w:beforeAutospacing="0" w:after="0" w:afterAutospacing="0"/>
              <w:rPr>
                <w:sz w:val="20"/>
                <w:szCs w:val="20"/>
              </w:rPr>
            </w:pPr>
            <w:r>
              <w:rPr>
                <w:sz w:val="20"/>
                <w:szCs w:val="20"/>
              </w:rPr>
              <w:t>(in thousands)</w:t>
            </w:r>
          </w:p>
        </w:tc>
        <w:tc>
          <w:tcPr>
            <w:tcW w:w="0" w:type="auto"/>
            <w:noWrap/>
            <w:vAlign w:val="center"/>
            <w:hideMark/>
          </w:tcPr>
          <w:p w14:paraId="13EEA11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4A5B8AE"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tcMar>
              <w:top w:w="0" w:type="dxa"/>
              <w:left w:w="0" w:type="dxa"/>
              <w:bottom w:w="15" w:type="dxa"/>
              <w:right w:w="0" w:type="dxa"/>
            </w:tcMar>
            <w:vAlign w:val="center"/>
            <w:hideMark/>
          </w:tcPr>
          <w:p w14:paraId="24AACB3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7420AC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4BA4C81D"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14:paraId="0B9DED7C" w14:textId="77777777" w:rsidR="00000000" w:rsidRDefault="0015578C">
            <w:pPr>
              <w:pStyle w:val="a3"/>
              <w:spacing w:before="0" w:beforeAutospacing="0" w:after="0" w:afterAutospacing="0"/>
              <w:rPr>
                <w:sz w:val="20"/>
                <w:szCs w:val="20"/>
              </w:rPr>
            </w:pPr>
            <w:r>
              <w:rPr>
                <w:sz w:val="20"/>
                <w:szCs w:val="20"/>
              </w:rPr>
              <w:t> </w:t>
            </w:r>
          </w:p>
        </w:tc>
      </w:tr>
      <w:tr w:rsidR="00000000" w14:paraId="1E4E4322" w14:textId="77777777">
        <w:trPr>
          <w:trHeight w:val="225"/>
          <w:tblCellSpacing w:w="15" w:type="dxa"/>
        </w:trPr>
        <w:tc>
          <w:tcPr>
            <w:tcW w:w="0" w:type="auto"/>
            <w:shd w:val="clear" w:color="auto" w:fill="CCEEFF"/>
            <w:hideMark/>
          </w:tcPr>
          <w:p w14:paraId="24C15C5F" w14:textId="77777777" w:rsidR="00000000" w:rsidRDefault="0015578C">
            <w:pPr>
              <w:pStyle w:val="a3"/>
              <w:spacing w:before="0" w:beforeAutospacing="0" w:after="0" w:afterAutospacing="0"/>
              <w:rPr>
                <w:sz w:val="20"/>
                <w:szCs w:val="20"/>
              </w:rPr>
            </w:pPr>
            <w:r>
              <w:rPr>
                <w:sz w:val="20"/>
                <w:szCs w:val="20"/>
              </w:rPr>
              <w:t>Expected income tax benefit</w:t>
            </w:r>
          </w:p>
        </w:tc>
        <w:tc>
          <w:tcPr>
            <w:tcW w:w="50" w:type="pct"/>
            <w:shd w:val="clear" w:color="auto" w:fill="CCEEFF"/>
            <w:noWrap/>
            <w:vAlign w:val="center"/>
            <w:hideMark/>
          </w:tcPr>
          <w:p w14:paraId="2901632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546BE2B"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5FA4505" w14:textId="77777777" w:rsidR="00000000" w:rsidRDefault="0015578C">
            <w:pPr>
              <w:jc w:val="right"/>
              <w:rPr>
                <w:rFonts w:eastAsia="Times New Roman"/>
                <w:sz w:val="20"/>
                <w:szCs w:val="20"/>
              </w:rPr>
            </w:pPr>
            <w:r>
              <w:rPr>
                <w:rFonts w:eastAsia="Times New Roman"/>
                <w:sz w:val="20"/>
                <w:szCs w:val="20"/>
              </w:rPr>
              <w:t>(825</w:t>
            </w:r>
          </w:p>
        </w:tc>
        <w:tc>
          <w:tcPr>
            <w:tcW w:w="50" w:type="pct"/>
            <w:shd w:val="clear" w:color="auto" w:fill="CCEEFF"/>
            <w:noWrap/>
            <w:vAlign w:val="bottom"/>
            <w:hideMark/>
          </w:tcPr>
          <w:p w14:paraId="1D36C302"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8E3F6A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C7B013F"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5EBA2C8" w14:textId="77777777" w:rsidR="00000000" w:rsidRDefault="0015578C">
            <w:pPr>
              <w:jc w:val="right"/>
              <w:rPr>
                <w:rFonts w:eastAsia="Times New Roman"/>
                <w:sz w:val="20"/>
                <w:szCs w:val="20"/>
              </w:rPr>
            </w:pPr>
            <w:r>
              <w:rPr>
                <w:rFonts w:eastAsia="Times New Roman"/>
                <w:sz w:val="20"/>
                <w:szCs w:val="20"/>
              </w:rPr>
              <w:t>(497</w:t>
            </w:r>
          </w:p>
        </w:tc>
        <w:tc>
          <w:tcPr>
            <w:tcW w:w="50" w:type="pct"/>
            <w:shd w:val="clear" w:color="auto" w:fill="CCEEFF"/>
            <w:noWrap/>
            <w:vAlign w:val="bottom"/>
            <w:hideMark/>
          </w:tcPr>
          <w:p w14:paraId="4BD0A4C7" w14:textId="77777777" w:rsidR="00000000" w:rsidRDefault="0015578C">
            <w:pPr>
              <w:rPr>
                <w:rFonts w:eastAsia="Times New Roman"/>
                <w:sz w:val="20"/>
                <w:szCs w:val="20"/>
              </w:rPr>
            </w:pPr>
            <w:r>
              <w:rPr>
                <w:rFonts w:eastAsia="Times New Roman"/>
                <w:sz w:val="20"/>
                <w:szCs w:val="20"/>
              </w:rPr>
              <w:t>)</w:t>
            </w:r>
          </w:p>
        </w:tc>
      </w:tr>
      <w:tr w:rsidR="00000000" w14:paraId="171E173C" w14:textId="77777777">
        <w:trPr>
          <w:trHeight w:val="225"/>
          <w:tblCellSpacing w:w="15" w:type="dxa"/>
        </w:trPr>
        <w:tc>
          <w:tcPr>
            <w:tcW w:w="0" w:type="auto"/>
            <w:shd w:val="clear" w:color="auto" w:fill="FFFFFF"/>
            <w:hideMark/>
          </w:tcPr>
          <w:p w14:paraId="3B7224DA" w14:textId="77777777" w:rsidR="00000000" w:rsidRDefault="0015578C">
            <w:pPr>
              <w:pStyle w:val="a3"/>
              <w:spacing w:before="0" w:beforeAutospacing="0" w:after="0" w:afterAutospacing="0"/>
              <w:rPr>
                <w:sz w:val="20"/>
                <w:szCs w:val="20"/>
              </w:rPr>
            </w:pPr>
            <w:r>
              <w:rPr>
                <w:sz w:val="20"/>
                <w:szCs w:val="20"/>
              </w:rPr>
              <w:t>Equity based compensation</w:t>
            </w:r>
          </w:p>
        </w:tc>
        <w:tc>
          <w:tcPr>
            <w:tcW w:w="50" w:type="pct"/>
            <w:shd w:val="clear" w:color="auto" w:fill="FFFFFF"/>
            <w:noWrap/>
            <w:vAlign w:val="center"/>
            <w:hideMark/>
          </w:tcPr>
          <w:p w14:paraId="24FC8D3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7C1946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865FF38" w14:textId="77777777" w:rsidR="00000000" w:rsidRDefault="0015578C">
            <w:pPr>
              <w:jc w:val="right"/>
              <w:rPr>
                <w:rFonts w:eastAsia="Times New Roman"/>
                <w:sz w:val="20"/>
                <w:szCs w:val="20"/>
              </w:rPr>
            </w:pPr>
            <w:r>
              <w:rPr>
                <w:rFonts w:eastAsia="Times New Roman"/>
                <w:sz w:val="20"/>
                <w:szCs w:val="20"/>
              </w:rPr>
              <w:t>238</w:t>
            </w:r>
          </w:p>
        </w:tc>
        <w:tc>
          <w:tcPr>
            <w:tcW w:w="50" w:type="pct"/>
            <w:shd w:val="clear" w:color="auto" w:fill="FFFFFF"/>
            <w:noWrap/>
            <w:vAlign w:val="center"/>
            <w:hideMark/>
          </w:tcPr>
          <w:p w14:paraId="6BFCC0B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A7AF1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998F33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BB69197" w14:textId="77777777" w:rsidR="00000000" w:rsidRDefault="0015578C">
            <w:pPr>
              <w:jc w:val="right"/>
              <w:rPr>
                <w:rFonts w:eastAsia="Times New Roman"/>
                <w:sz w:val="20"/>
                <w:szCs w:val="20"/>
              </w:rPr>
            </w:pPr>
            <w:r>
              <w:rPr>
                <w:rFonts w:eastAsia="Times New Roman"/>
                <w:sz w:val="20"/>
                <w:szCs w:val="20"/>
              </w:rPr>
              <w:t>4</w:t>
            </w:r>
          </w:p>
        </w:tc>
        <w:tc>
          <w:tcPr>
            <w:tcW w:w="50" w:type="pct"/>
            <w:shd w:val="clear" w:color="auto" w:fill="FFFFFF"/>
            <w:noWrap/>
            <w:vAlign w:val="center"/>
            <w:hideMark/>
          </w:tcPr>
          <w:p w14:paraId="65FC322F" w14:textId="77777777" w:rsidR="00000000" w:rsidRDefault="0015578C">
            <w:pPr>
              <w:pStyle w:val="a3"/>
              <w:spacing w:before="0" w:beforeAutospacing="0" w:after="0" w:afterAutospacing="0"/>
              <w:rPr>
                <w:sz w:val="20"/>
                <w:szCs w:val="20"/>
              </w:rPr>
            </w:pPr>
            <w:r>
              <w:rPr>
                <w:sz w:val="20"/>
                <w:szCs w:val="20"/>
              </w:rPr>
              <w:t> </w:t>
            </w:r>
          </w:p>
        </w:tc>
      </w:tr>
      <w:tr w:rsidR="00000000" w14:paraId="7F660E32" w14:textId="77777777">
        <w:trPr>
          <w:trHeight w:val="225"/>
          <w:tblCellSpacing w:w="15" w:type="dxa"/>
        </w:trPr>
        <w:tc>
          <w:tcPr>
            <w:tcW w:w="0" w:type="auto"/>
            <w:shd w:val="clear" w:color="auto" w:fill="CCEEFF"/>
            <w:hideMark/>
          </w:tcPr>
          <w:p w14:paraId="786E0A52" w14:textId="77777777" w:rsidR="00000000" w:rsidRDefault="0015578C">
            <w:pPr>
              <w:pStyle w:val="a3"/>
              <w:spacing w:before="0" w:beforeAutospacing="0" w:after="0" w:afterAutospacing="0"/>
              <w:rPr>
                <w:sz w:val="20"/>
                <w:szCs w:val="20"/>
              </w:rPr>
            </w:pPr>
            <w:r>
              <w:rPr>
                <w:sz w:val="20"/>
                <w:szCs w:val="20"/>
              </w:rPr>
              <w:t>Foreign tax rate differences</w:t>
            </w:r>
          </w:p>
        </w:tc>
        <w:tc>
          <w:tcPr>
            <w:tcW w:w="50" w:type="pct"/>
            <w:shd w:val="clear" w:color="auto" w:fill="CCEEFF"/>
            <w:noWrap/>
            <w:vAlign w:val="center"/>
            <w:hideMark/>
          </w:tcPr>
          <w:p w14:paraId="308EEE7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5F1CA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39DC03B2" w14:textId="77777777" w:rsidR="00000000" w:rsidRDefault="0015578C">
            <w:pPr>
              <w:jc w:val="right"/>
              <w:rPr>
                <w:rFonts w:eastAsia="Times New Roman"/>
                <w:sz w:val="20"/>
                <w:szCs w:val="20"/>
              </w:rPr>
            </w:pPr>
            <w:r>
              <w:rPr>
                <w:rFonts w:eastAsia="Times New Roman"/>
                <w:sz w:val="20"/>
                <w:szCs w:val="20"/>
              </w:rPr>
              <w:t>(3</w:t>
            </w:r>
          </w:p>
        </w:tc>
        <w:tc>
          <w:tcPr>
            <w:tcW w:w="50" w:type="pct"/>
            <w:shd w:val="clear" w:color="auto" w:fill="CCEEFF"/>
            <w:noWrap/>
            <w:vAlign w:val="bottom"/>
            <w:hideMark/>
          </w:tcPr>
          <w:p w14:paraId="48869E67"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6F77ADF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D5A6AD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0C1D9A0" w14:textId="77777777" w:rsidR="00000000" w:rsidRDefault="0015578C">
            <w:pPr>
              <w:jc w:val="right"/>
              <w:rPr>
                <w:rFonts w:eastAsia="Times New Roman"/>
                <w:sz w:val="20"/>
                <w:szCs w:val="20"/>
              </w:rPr>
            </w:pPr>
            <w:r>
              <w:rPr>
                <w:rFonts w:eastAsia="Times New Roman"/>
                <w:sz w:val="20"/>
                <w:szCs w:val="20"/>
              </w:rPr>
              <w:t>(12</w:t>
            </w:r>
          </w:p>
        </w:tc>
        <w:tc>
          <w:tcPr>
            <w:tcW w:w="50" w:type="pct"/>
            <w:shd w:val="clear" w:color="auto" w:fill="CCEEFF"/>
            <w:noWrap/>
            <w:vAlign w:val="bottom"/>
            <w:hideMark/>
          </w:tcPr>
          <w:p w14:paraId="57C6C450" w14:textId="77777777" w:rsidR="00000000" w:rsidRDefault="0015578C">
            <w:pPr>
              <w:rPr>
                <w:rFonts w:eastAsia="Times New Roman"/>
                <w:sz w:val="20"/>
                <w:szCs w:val="20"/>
              </w:rPr>
            </w:pPr>
            <w:r>
              <w:rPr>
                <w:rFonts w:eastAsia="Times New Roman"/>
                <w:sz w:val="20"/>
                <w:szCs w:val="20"/>
              </w:rPr>
              <w:t>)</w:t>
            </w:r>
          </w:p>
        </w:tc>
      </w:tr>
      <w:tr w:rsidR="00000000" w14:paraId="3838CD3F" w14:textId="77777777">
        <w:trPr>
          <w:trHeight w:val="225"/>
          <w:tblCellSpacing w:w="15" w:type="dxa"/>
        </w:trPr>
        <w:tc>
          <w:tcPr>
            <w:tcW w:w="0" w:type="auto"/>
            <w:shd w:val="clear" w:color="auto" w:fill="FFFFFF"/>
            <w:hideMark/>
          </w:tcPr>
          <w:p w14:paraId="093B8BE7" w14:textId="77777777" w:rsidR="00000000" w:rsidRDefault="0015578C">
            <w:pPr>
              <w:pStyle w:val="a3"/>
              <w:spacing w:before="0" w:beforeAutospacing="0" w:after="0" w:afterAutospacing="0"/>
              <w:rPr>
                <w:sz w:val="20"/>
                <w:szCs w:val="20"/>
              </w:rPr>
            </w:pPr>
            <w:r>
              <w:rPr>
                <w:sz w:val="20"/>
                <w:szCs w:val="20"/>
              </w:rPr>
              <w:t>State income tax</w:t>
            </w:r>
          </w:p>
        </w:tc>
        <w:tc>
          <w:tcPr>
            <w:tcW w:w="50" w:type="pct"/>
            <w:shd w:val="clear" w:color="auto" w:fill="FFFFFF"/>
            <w:noWrap/>
            <w:vAlign w:val="center"/>
            <w:hideMark/>
          </w:tcPr>
          <w:p w14:paraId="4C72DA9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D3872C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997FE4E" w14:textId="77777777" w:rsidR="00000000" w:rsidRDefault="0015578C">
            <w:pPr>
              <w:jc w:val="right"/>
              <w:rPr>
                <w:rFonts w:eastAsia="Times New Roman"/>
                <w:sz w:val="20"/>
                <w:szCs w:val="20"/>
              </w:rPr>
            </w:pPr>
            <w:r>
              <w:rPr>
                <w:rFonts w:eastAsia="Times New Roman"/>
                <w:sz w:val="20"/>
                <w:szCs w:val="20"/>
              </w:rPr>
              <w:t>(166</w:t>
            </w:r>
          </w:p>
        </w:tc>
        <w:tc>
          <w:tcPr>
            <w:tcW w:w="50" w:type="pct"/>
            <w:shd w:val="clear" w:color="auto" w:fill="FFFFFF"/>
            <w:noWrap/>
            <w:vAlign w:val="bottom"/>
            <w:hideMark/>
          </w:tcPr>
          <w:p w14:paraId="4703D139"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787E5E3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2F103AD"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326D765" w14:textId="77777777" w:rsidR="00000000" w:rsidRDefault="0015578C">
            <w:pPr>
              <w:jc w:val="right"/>
              <w:rPr>
                <w:rFonts w:eastAsia="Times New Roman"/>
                <w:sz w:val="20"/>
                <w:szCs w:val="20"/>
              </w:rPr>
            </w:pPr>
            <w:r>
              <w:rPr>
                <w:rFonts w:eastAsia="Times New Roman"/>
                <w:sz w:val="20"/>
                <w:szCs w:val="20"/>
              </w:rPr>
              <w:t>(98</w:t>
            </w:r>
          </w:p>
        </w:tc>
        <w:tc>
          <w:tcPr>
            <w:tcW w:w="50" w:type="pct"/>
            <w:shd w:val="clear" w:color="auto" w:fill="FFFFFF"/>
            <w:noWrap/>
            <w:vAlign w:val="bottom"/>
            <w:hideMark/>
          </w:tcPr>
          <w:p w14:paraId="54220579" w14:textId="77777777" w:rsidR="00000000" w:rsidRDefault="0015578C">
            <w:pPr>
              <w:rPr>
                <w:rFonts w:eastAsia="Times New Roman"/>
                <w:sz w:val="20"/>
                <w:szCs w:val="20"/>
              </w:rPr>
            </w:pPr>
            <w:r>
              <w:rPr>
                <w:rFonts w:eastAsia="Times New Roman"/>
                <w:sz w:val="20"/>
                <w:szCs w:val="20"/>
              </w:rPr>
              <w:t>)</w:t>
            </w:r>
          </w:p>
        </w:tc>
      </w:tr>
      <w:tr w:rsidR="00000000" w14:paraId="79B8B18A" w14:textId="77777777">
        <w:trPr>
          <w:trHeight w:val="225"/>
          <w:tblCellSpacing w:w="15" w:type="dxa"/>
        </w:trPr>
        <w:tc>
          <w:tcPr>
            <w:tcW w:w="0" w:type="auto"/>
            <w:shd w:val="clear" w:color="auto" w:fill="CCEEFF"/>
            <w:hideMark/>
          </w:tcPr>
          <w:p w14:paraId="7626BF01" w14:textId="77777777" w:rsidR="00000000" w:rsidRDefault="0015578C">
            <w:pPr>
              <w:pStyle w:val="a3"/>
              <w:spacing w:before="0" w:beforeAutospacing="0" w:after="0" w:afterAutospacing="0"/>
              <w:rPr>
                <w:sz w:val="20"/>
                <w:szCs w:val="20"/>
              </w:rPr>
            </w:pPr>
            <w:r>
              <w:rPr>
                <w:sz w:val="20"/>
                <w:szCs w:val="20"/>
              </w:rPr>
              <w:t>Expiration of Capital Loss and Foreign Tax Credit Carryovers</w:t>
            </w:r>
          </w:p>
        </w:tc>
        <w:tc>
          <w:tcPr>
            <w:tcW w:w="50" w:type="pct"/>
            <w:shd w:val="clear" w:color="auto" w:fill="CCEEFF"/>
            <w:noWrap/>
            <w:vAlign w:val="center"/>
            <w:hideMark/>
          </w:tcPr>
          <w:p w14:paraId="477A706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F367CE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8618155" w14:textId="77777777" w:rsidR="00000000" w:rsidRDefault="0015578C">
            <w:pPr>
              <w:jc w:val="right"/>
              <w:rPr>
                <w:rFonts w:eastAsia="Times New Roman"/>
                <w:sz w:val="20"/>
                <w:szCs w:val="20"/>
              </w:rPr>
            </w:pPr>
            <w:r>
              <w:rPr>
                <w:rFonts w:eastAsia="Times New Roman"/>
                <w:sz w:val="20"/>
                <w:szCs w:val="20"/>
              </w:rPr>
              <w:t>18</w:t>
            </w:r>
          </w:p>
        </w:tc>
        <w:tc>
          <w:tcPr>
            <w:tcW w:w="50" w:type="pct"/>
            <w:shd w:val="clear" w:color="auto" w:fill="CCEEFF"/>
            <w:noWrap/>
            <w:vAlign w:val="center"/>
            <w:hideMark/>
          </w:tcPr>
          <w:p w14:paraId="3FAB59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B89994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8CAD30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80F5669" w14:textId="77777777" w:rsidR="00000000" w:rsidRDefault="0015578C">
            <w:pPr>
              <w:jc w:val="right"/>
              <w:rPr>
                <w:rFonts w:eastAsia="Times New Roman"/>
                <w:sz w:val="20"/>
                <w:szCs w:val="20"/>
              </w:rPr>
            </w:pPr>
            <w:r>
              <w:rPr>
                <w:rFonts w:eastAsia="Times New Roman"/>
                <w:sz w:val="20"/>
                <w:szCs w:val="20"/>
              </w:rPr>
              <w:t>1,385</w:t>
            </w:r>
          </w:p>
        </w:tc>
        <w:tc>
          <w:tcPr>
            <w:tcW w:w="50" w:type="pct"/>
            <w:shd w:val="clear" w:color="auto" w:fill="CCEEFF"/>
            <w:noWrap/>
            <w:vAlign w:val="center"/>
            <w:hideMark/>
          </w:tcPr>
          <w:p w14:paraId="7F72FF4A" w14:textId="77777777" w:rsidR="00000000" w:rsidRDefault="0015578C">
            <w:pPr>
              <w:pStyle w:val="a3"/>
              <w:spacing w:before="0" w:beforeAutospacing="0" w:after="0" w:afterAutospacing="0"/>
              <w:rPr>
                <w:sz w:val="20"/>
                <w:szCs w:val="20"/>
              </w:rPr>
            </w:pPr>
            <w:r>
              <w:rPr>
                <w:sz w:val="20"/>
                <w:szCs w:val="20"/>
              </w:rPr>
              <w:t> </w:t>
            </w:r>
          </w:p>
        </w:tc>
      </w:tr>
      <w:tr w:rsidR="00000000" w14:paraId="20758F6F" w14:textId="77777777">
        <w:trPr>
          <w:trHeight w:val="225"/>
          <w:tblCellSpacing w:w="15" w:type="dxa"/>
        </w:trPr>
        <w:tc>
          <w:tcPr>
            <w:tcW w:w="0" w:type="auto"/>
            <w:shd w:val="clear" w:color="auto" w:fill="FFFFFF"/>
            <w:hideMark/>
          </w:tcPr>
          <w:p w14:paraId="3D7FFE7C" w14:textId="77777777" w:rsidR="00000000" w:rsidRDefault="0015578C">
            <w:pPr>
              <w:pStyle w:val="a3"/>
              <w:spacing w:before="0" w:beforeAutospacing="0" w:after="0" w:afterAutospacing="0"/>
              <w:rPr>
                <w:sz w:val="20"/>
                <w:szCs w:val="20"/>
              </w:rPr>
            </w:pPr>
            <w:r>
              <w:rPr>
                <w:sz w:val="20"/>
                <w:szCs w:val="20"/>
              </w:rPr>
              <w:t>Adjustment to Deferred Taxes</w:t>
            </w:r>
          </w:p>
        </w:tc>
        <w:tc>
          <w:tcPr>
            <w:tcW w:w="50" w:type="pct"/>
            <w:shd w:val="clear" w:color="auto" w:fill="FFFFFF"/>
            <w:noWrap/>
            <w:vAlign w:val="center"/>
            <w:hideMark/>
          </w:tcPr>
          <w:p w14:paraId="72529E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699A0A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EB5E6B0" w14:textId="77777777" w:rsidR="00000000" w:rsidRDefault="0015578C">
            <w:pPr>
              <w:jc w:val="right"/>
              <w:rPr>
                <w:rFonts w:eastAsia="Times New Roman"/>
                <w:sz w:val="20"/>
                <w:szCs w:val="20"/>
              </w:rPr>
            </w:pPr>
            <w:r>
              <w:rPr>
                <w:rFonts w:eastAsia="Times New Roman"/>
                <w:sz w:val="20"/>
                <w:szCs w:val="20"/>
              </w:rPr>
              <w:t>11</w:t>
            </w:r>
          </w:p>
        </w:tc>
        <w:tc>
          <w:tcPr>
            <w:tcW w:w="50" w:type="pct"/>
            <w:shd w:val="clear" w:color="auto" w:fill="FFFFFF"/>
            <w:noWrap/>
            <w:vAlign w:val="center"/>
            <w:hideMark/>
          </w:tcPr>
          <w:p w14:paraId="135FBF9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B469D0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F043D0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0A67463" w14:textId="77777777" w:rsidR="00000000" w:rsidRDefault="0015578C">
            <w:pPr>
              <w:jc w:val="right"/>
              <w:rPr>
                <w:rFonts w:eastAsia="Times New Roman"/>
                <w:sz w:val="20"/>
                <w:szCs w:val="20"/>
              </w:rPr>
            </w:pPr>
            <w:r>
              <w:rPr>
                <w:rFonts w:eastAsia="Times New Roman"/>
                <w:sz w:val="20"/>
                <w:szCs w:val="20"/>
              </w:rPr>
              <w:t>(82</w:t>
            </w:r>
          </w:p>
        </w:tc>
        <w:tc>
          <w:tcPr>
            <w:tcW w:w="50" w:type="pct"/>
            <w:shd w:val="clear" w:color="auto" w:fill="FFFFFF"/>
            <w:noWrap/>
            <w:vAlign w:val="bottom"/>
            <w:hideMark/>
          </w:tcPr>
          <w:p w14:paraId="2CCBC5F2" w14:textId="77777777" w:rsidR="00000000" w:rsidRDefault="0015578C">
            <w:pPr>
              <w:rPr>
                <w:rFonts w:eastAsia="Times New Roman"/>
                <w:sz w:val="20"/>
                <w:szCs w:val="20"/>
              </w:rPr>
            </w:pPr>
            <w:r>
              <w:rPr>
                <w:rFonts w:eastAsia="Times New Roman"/>
                <w:sz w:val="20"/>
                <w:szCs w:val="20"/>
              </w:rPr>
              <w:t>)</w:t>
            </w:r>
          </w:p>
        </w:tc>
      </w:tr>
      <w:tr w:rsidR="00000000" w14:paraId="1989D66F" w14:textId="77777777">
        <w:trPr>
          <w:trHeight w:val="225"/>
          <w:tblCellSpacing w:w="15" w:type="dxa"/>
        </w:trPr>
        <w:tc>
          <w:tcPr>
            <w:tcW w:w="0" w:type="auto"/>
            <w:shd w:val="clear" w:color="auto" w:fill="CCEEFF"/>
            <w:hideMark/>
          </w:tcPr>
          <w:p w14:paraId="590C69D8" w14:textId="77777777" w:rsidR="00000000" w:rsidRDefault="0015578C">
            <w:pPr>
              <w:pStyle w:val="a3"/>
              <w:spacing w:before="0" w:beforeAutospacing="0" w:after="0" w:afterAutospacing="0"/>
              <w:rPr>
                <w:sz w:val="20"/>
                <w:szCs w:val="20"/>
              </w:rPr>
            </w:pPr>
            <w:r>
              <w:rPr>
                <w:sz w:val="20"/>
                <w:szCs w:val="20"/>
              </w:rPr>
              <w:t>Foreign currency exchange</w:t>
            </w:r>
          </w:p>
        </w:tc>
        <w:tc>
          <w:tcPr>
            <w:tcW w:w="50" w:type="pct"/>
            <w:shd w:val="clear" w:color="auto" w:fill="CCEEFF"/>
            <w:noWrap/>
            <w:vAlign w:val="center"/>
            <w:hideMark/>
          </w:tcPr>
          <w:p w14:paraId="4C45591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78789E"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7B7F905" w14:textId="77777777" w:rsidR="00000000" w:rsidRDefault="0015578C">
            <w:pPr>
              <w:jc w:val="right"/>
              <w:rPr>
                <w:rFonts w:eastAsia="Times New Roman"/>
                <w:sz w:val="20"/>
                <w:szCs w:val="20"/>
              </w:rPr>
            </w:pPr>
            <w:r>
              <w:rPr>
                <w:rFonts w:eastAsia="Times New Roman"/>
                <w:sz w:val="20"/>
                <w:szCs w:val="20"/>
              </w:rPr>
              <w:t>968</w:t>
            </w:r>
          </w:p>
        </w:tc>
        <w:tc>
          <w:tcPr>
            <w:tcW w:w="50" w:type="pct"/>
            <w:shd w:val="clear" w:color="auto" w:fill="CCEEFF"/>
            <w:noWrap/>
            <w:vAlign w:val="center"/>
            <w:hideMark/>
          </w:tcPr>
          <w:p w14:paraId="67D93AC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3B128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E6CB86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BEA4C4F" w14:textId="77777777" w:rsidR="00000000" w:rsidRDefault="0015578C">
            <w:pPr>
              <w:jc w:val="right"/>
              <w:rPr>
                <w:rFonts w:eastAsia="Times New Roman"/>
                <w:sz w:val="20"/>
                <w:szCs w:val="20"/>
              </w:rPr>
            </w:pPr>
            <w:r>
              <w:rPr>
                <w:rFonts w:eastAsia="Times New Roman"/>
                <w:sz w:val="20"/>
                <w:szCs w:val="20"/>
              </w:rPr>
              <w:t>(32</w:t>
            </w:r>
          </w:p>
        </w:tc>
        <w:tc>
          <w:tcPr>
            <w:tcW w:w="50" w:type="pct"/>
            <w:shd w:val="clear" w:color="auto" w:fill="CCEEFF"/>
            <w:noWrap/>
            <w:vAlign w:val="bottom"/>
            <w:hideMark/>
          </w:tcPr>
          <w:p w14:paraId="667E6231" w14:textId="77777777" w:rsidR="00000000" w:rsidRDefault="0015578C">
            <w:pPr>
              <w:rPr>
                <w:rFonts w:eastAsia="Times New Roman"/>
                <w:sz w:val="20"/>
                <w:szCs w:val="20"/>
              </w:rPr>
            </w:pPr>
            <w:r>
              <w:rPr>
                <w:rFonts w:eastAsia="Times New Roman"/>
                <w:sz w:val="20"/>
                <w:szCs w:val="20"/>
              </w:rPr>
              <w:t>)</w:t>
            </w:r>
          </w:p>
        </w:tc>
      </w:tr>
      <w:tr w:rsidR="00000000" w14:paraId="5802DE30" w14:textId="77777777">
        <w:trPr>
          <w:trHeight w:val="225"/>
          <w:tblCellSpacing w:w="15" w:type="dxa"/>
        </w:trPr>
        <w:tc>
          <w:tcPr>
            <w:tcW w:w="0" w:type="auto"/>
            <w:shd w:val="clear" w:color="auto" w:fill="FFFFFF"/>
            <w:hideMark/>
          </w:tcPr>
          <w:p w14:paraId="57F411A0" w14:textId="77777777" w:rsidR="00000000" w:rsidRDefault="0015578C">
            <w:pPr>
              <w:pStyle w:val="a3"/>
              <w:spacing w:before="0" w:beforeAutospacing="0" w:after="0" w:afterAutospacing="0"/>
              <w:rPr>
                <w:sz w:val="20"/>
                <w:szCs w:val="20"/>
              </w:rPr>
            </w:pPr>
            <w:r>
              <w:rPr>
                <w:sz w:val="20"/>
                <w:szCs w:val="20"/>
              </w:rPr>
              <w:t>Change in valuation allowance</w:t>
            </w:r>
          </w:p>
        </w:tc>
        <w:tc>
          <w:tcPr>
            <w:tcW w:w="50" w:type="pct"/>
            <w:shd w:val="clear" w:color="auto" w:fill="FFFFFF"/>
            <w:noWrap/>
            <w:vAlign w:val="center"/>
            <w:hideMark/>
          </w:tcPr>
          <w:p w14:paraId="495514E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00F7300"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BBBB0B9" w14:textId="77777777" w:rsidR="00000000" w:rsidRDefault="0015578C">
            <w:pPr>
              <w:jc w:val="right"/>
              <w:rPr>
                <w:rFonts w:eastAsia="Times New Roman"/>
                <w:sz w:val="20"/>
                <w:szCs w:val="20"/>
              </w:rPr>
            </w:pPr>
            <w:r>
              <w:rPr>
                <w:rFonts w:eastAsia="Times New Roman"/>
                <w:sz w:val="20"/>
                <w:szCs w:val="20"/>
              </w:rPr>
              <w:t>(251</w:t>
            </w:r>
          </w:p>
        </w:tc>
        <w:tc>
          <w:tcPr>
            <w:tcW w:w="50" w:type="pct"/>
            <w:shd w:val="clear" w:color="auto" w:fill="FFFFFF"/>
            <w:noWrap/>
            <w:vAlign w:val="bottom"/>
            <w:hideMark/>
          </w:tcPr>
          <w:p w14:paraId="7A778E5B"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79D418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6E6C2D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DCE5953" w14:textId="77777777" w:rsidR="00000000" w:rsidRDefault="0015578C">
            <w:pPr>
              <w:jc w:val="right"/>
              <w:rPr>
                <w:rFonts w:eastAsia="Times New Roman"/>
                <w:sz w:val="20"/>
                <w:szCs w:val="20"/>
              </w:rPr>
            </w:pPr>
            <w:r>
              <w:rPr>
                <w:rFonts w:eastAsia="Times New Roman"/>
                <w:sz w:val="20"/>
                <w:szCs w:val="20"/>
              </w:rPr>
              <w:t>(489</w:t>
            </w:r>
          </w:p>
        </w:tc>
        <w:tc>
          <w:tcPr>
            <w:tcW w:w="50" w:type="pct"/>
            <w:shd w:val="clear" w:color="auto" w:fill="FFFFFF"/>
            <w:noWrap/>
            <w:vAlign w:val="bottom"/>
            <w:hideMark/>
          </w:tcPr>
          <w:p w14:paraId="1045921B" w14:textId="77777777" w:rsidR="00000000" w:rsidRDefault="0015578C">
            <w:pPr>
              <w:rPr>
                <w:rFonts w:eastAsia="Times New Roman"/>
                <w:sz w:val="20"/>
                <w:szCs w:val="20"/>
              </w:rPr>
            </w:pPr>
            <w:r>
              <w:rPr>
                <w:rFonts w:eastAsia="Times New Roman"/>
                <w:sz w:val="20"/>
                <w:szCs w:val="20"/>
              </w:rPr>
              <w:t>)</w:t>
            </w:r>
          </w:p>
        </w:tc>
      </w:tr>
      <w:tr w:rsidR="00000000" w14:paraId="22CEABDD" w14:textId="77777777">
        <w:trPr>
          <w:trHeight w:val="225"/>
          <w:tblCellSpacing w:w="15" w:type="dxa"/>
        </w:trPr>
        <w:tc>
          <w:tcPr>
            <w:tcW w:w="0" w:type="auto"/>
            <w:shd w:val="clear" w:color="auto" w:fill="CCEEFF"/>
            <w:hideMark/>
          </w:tcPr>
          <w:p w14:paraId="0112C31D" w14:textId="77777777" w:rsidR="00000000" w:rsidRDefault="0015578C">
            <w:pPr>
              <w:pStyle w:val="a3"/>
              <w:spacing w:before="0" w:beforeAutospacing="0" w:after="0" w:afterAutospacing="0"/>
              <w:rPr>
                <w:sz w:val="20"/>
                <w:szCs w:val="20"/>
              </w:rPr>
            </w:pPr>
            <w:r>
              <w:rPr>
                <w:sz w:val="20"/>
                <w:szCs w:val="20"/>
              </w:rPr>
              <w:t>Change in Tax Rates</w:t>
            </w:r>
          </w:p>
        </w:tc>
        <w:tc>
          <w:tcPr>
            <w:tcW w:w="50" w:type="pct"/>
            <w:shd w:val="clear" w:color="auto" w:fill="CCEEFF"/>
            <w:noWrap/>
            <w:vAlign w:val="center"/>
            <w:hideMark/>
          </w:tcPr>
          <w:p w14:paraId="47D3E3A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D29A9A"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881C5B5" w14:textId="77777777" w:rsidR="00000000" w:rsidRDefault="0015578C">
            <w:pPr>
              <w:jc w:val="right"/>
              <w:rPr>
                <w:rFonts w:eastAsia="Times New Roman"/>
                <w:sz w:val="20"/>
                <w:szCs w:val="20"/>
              </w:rPr>
            </w:pPr>
            <w:r>
              <w:rPr>
                <w:rFonts w:eastAsia="Times New Roman"/>
                <w:sz w:val="20"/>
                <w:szCs w:val="20"/>
              </w:rPr>
              <w:t>13</w:t>
            </w:r>
          </w:p>
        </w:tc>
        <w:tc>
          <w:tcPr>
            <w:tcW w:w="50" w:type="pct"/>
            <w:shd w:val="clear" w:color="auto" w:fill="CCEEFF"/>
            <w:noWrap/>
            <w:vAlign w:val="center"/>
            <w:hideMark/>
          </w:tcPr>
          <w:p w14:paraId="258AA0B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43B4E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7F5BB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2EDF02A" w14:textId="77777777" w:rsidR="00000000" w:rsidRDefault="0015578C">
            <w:pPr>
              <w:jc w:val="right"/>
              <w:rPr>
                <w:rFonts w:eastAsia="Times New Roman"/>
                <w:sz w:val="20"/>
                <w:szCs w:val="20"/>
              </w:rPr>
            </w:pPr>
            <w:r>
              <w:rPr>
                <w:rFonts w:eastAsia="Times New Roman"/>
                <w:sz w:val="20"/>
                <w:szCs w:val="20"/>
              </w:rPr>
              <w:t>(194</w:t>
            </w:r>
          </w:p>
        </w:tc>
        <w:tc>
          <w:tcPr>
            <w:tcW w:w="50" w:type="pct"/>
            <w:shd w:val="clear" w:color="auto" w:fill="CCEEFF"/>
            <w:noWrap/>
            <w:vAlign w:val="bottom"/>
            <w:hideMark/>
          </w:tcPr>
          <w:p w14:paraId="0D236B0E" w14:textId="77777777" w:rsidR="00000000" w:rsidRDefault="0015578C">
            <w:pPr>
              <w:rPr>
                <w:rFonts w:eastAsia="Times New Roman"/>
                <w:sz w:val="20"/>
                <w:szCs w:val="20"/>
              </w:rPr>
            </w:pPr>
            <w:r>
              <w:rPr>
                <w:rFonts w:eastAsia="Times New Roman"/>
                <w:sz w:val="20"/>
                <w:szCs w:val="20"/>
              </w:rPr>
              <w:t>)</w:t>
            </w:r>
          </w:p>
        </w:tc>
      </w:tr>
      <w:tr w:rsidR="00000000" w14:paraId="059E69ED" w14:textId="77777777">
        <w:trPr>
          <w:trHeight w:val="225"/>
          <w:tblCellSpacing w:w="15" w:type="dxa"/>
        </w:trPr>
        <w:tc>
          <w:tcPr>
            <w:tcW w:w="0" w:type="auto"/>
            <w:shd w:val="clear" w:color="auto" w:fill="FFFFFF"/>
            <w:hideMark/>
          </w:tcPr>
          <w:p w14:paraId="6DA40477" w14:textId="77777777" w:rsidR="00000000" w:rsidRDefault="0015578C">
            <w:pPr>
              <w:pStyle w:val="a3"/>
              <w:spacing w:before="0" w:beforeAutospacing="0" w:after="0" w:afterAutospacing="0"/>
              <w:rPr>
                <w:sz w:val="20"/>
                <w:szCs w:val="20"/>
              </w:rPr>
            </w:pPr>
            <w:r>
              <w:rPr>
                <w:sz w:val="20"/>
                <w:szCs w:val="20"/>
              </w:rPr>
              <w:t xml:space="preserve">Permanent differences and other </w:t>
            </w:r>
          </w:p>
        </w:tc>
        <w:tc>
          <w:tcPr>
            <w:tcW w:w="50" w:type="pct"/>
            <w:shd w:val="clear" w:color="auto" w:fill="FFFFFF"/>
            <w:noWrap/>
            <w:vAlign w:val="center"/>
            <w:hideMark/>
          </w:tcPr>
          <w:p w14:paraId="484C388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2F20564D"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069B8C9C" w14:textId="77777777" w:rsidR="00000000" w:rsidRDefault="0015578C">
            <w:pPr>
              <w:jc w:val="right"/>
              <w:rPr>
                <w:rFonts w:eastAsia="Times New Roman"/>
                <w:sz w:val="20"/>
                <w:szCs w:val="20"/>
              </w:rPr>
            </w:pPr>
            <w:r>
              <w:rPr>
                <w:rFonts w:eastAsia="Times New Roman"/>
                <w:sz w:val="20"/>
                <w:szCs w:val="20"/>
              </w:rPr>
              <w:t>(3</w:t>
            </w:r>
          </w:p>
        </w:tc>
        <w:tc>
          <w:tcPr>
            <w:tcW w:w="50" w:type="pct"/>
            <w:shd w:val="clear" w:color="auto" w:fill="FFFFFF"/>
            <w:noWrap/>
            <w:tcMar>
              <w:top w:w="0" w:type="dxa"/>
              <w:left w:w="0" w:type="dxa"/>
              <w:bottom w:w="15" w:type="dxa"/>
              <w:right w:w="0" w:type="dxa"/>
            </w:tcMar>
            <w:vAlign w:val="bottom"/>
            <w:hideMark/>
          </w:tcPr>
          <w:p w14:paraId="186DFED6"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4ED61A2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06B53B49" w14:textId="77777777" w:rsidR="00000000" w:rsidRDefault="0015578C">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14:paraId="71B00415" w14:textId="77777777" w:rsidR="00000000" w:rsidRDefault="0015578C">
            <w:pPr>
              <w:jc w:val="right"/>
              <w:rPr>
                <w:rFonts w:eastAsia="Times New Roman"/>
                <w:sz w:val="20"/>
                <w:szCs w:val="20"/>
              </w:rPr>
            </w:pPr>
            <w:r>
              <w:rPr>
                <w:rFonts w:eastAsia="Times New Roman"/>
                <w:sz w:val="20"/>
                <w:szCs w:val="20"/>
              </w:rPr>
              <w:t>15</w:t>
            </w:r>
          </w:p>
        </w:tc>
        <w:tc>
          <w:tcPr>
            <w:tcW w:w="50" w:type="pct"/>
            <w:shd w:val="clear" w:color="auto" w:fill="FFFFFF"/>
            <w:noWrap/>
            <w:tcMar>
              <w:top w:w="0" w:type="dxa"/>
              <w:left w:w="0" w:type="dxa"/>
              <w:bottom w:w="15" w:type="dxa"/>
              <w:right w:w="0" w:type="dxa"/>
            </w:tcMar>
            <w:vAlign w:val="center"/>
            <w:hideMark/>
          </w:tcPr>
          <w:p w14:paraId="08998C0C" w14:textId="77777777" w:rsidR="00000000" w:rsidRDefault="0015578C">
            <w:pPr>
              <w:pStyle w:val="a3"/>
              <w:spacing w:before="0" w:beforeAutospacing="0" w:after="0" w:afterAutospacing="0"/>
              <w:rPr>
                <w:sz w:val="20"/>
                <w:szCs w:val="20"/>
              </w:rPr>
            </w:pPr>
            <w:r>
              <w:rPr>
                <w:sz w:val="20"/>
                <w:szCs w:val="20"/>
              </w:rPr>
              <w:t> </w:t>
            </w:r>
          </w:p>
        </w:tc>
      </w:tr>
      <w:tr w:rsidR="00000000" w14:paraId="468B54A3" w14:textId="77777777">
        <w:trPr>
          <w:trHeight w:val="225"/>
          <w:tblCellSpacing w:w="15" w:type="dxa"/>
        </w:trPr>
        <w:tc>
          <w:tcPr>
            <w:tcW w:w="0" w:type="auto"/>
            <w:shd w:val="clear" w:color="auto" w:fill="CCEEFF"/>
            <w:hideMark/>
          </w:tcPr>
          <w:p w14:paraId="29525A1A" w14:textId="77777777" w:rsidR="00000000" w:rsidRDefault="0015578C">
            <w:pPr>
              <w:pStyle w:val="a3"/>
              <w:spacing w:before="0" w:beforeAutospacing="0" w:after="0" w:afterAutospacing="0"/>
              <w:rPr>
                <w:sz w:val="20"/>
                <w:szCs w:val="20"/>
              </w:rPr>
            </w:pPr>
            <w:r>
              <w:rPr>
                <w:sz w:val="20"/>
                <w:szCs w:val="20"/>
              </w:rPr>
              <w:t>Income tax (benefit) expense</w:t>
            </w:r>
          </w:p>
        </w:tc>
        <w:tc>
          <w:tcPr>
            <w:tcW w:w="50" w:type="pct"/>
            <w:shd w:val="clear" w:color="auto" w:fill="CCEEFF"/>
            <w:noWrap/>
            <w:vAlign w:val="center"/>
            <w:hideMark/>
          </w:tcPr>
          <w:p w14:paraId="5757695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4F711CE6"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416E8BC8"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48F544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52FD30"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7EC7BD80" w14:textId="77777777" w:rsidR="00000000" w:rsidRDefault="0015578C">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4FBDD800"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4114659F" w14:textId="77777777" w:rsidR="00000000" w:rsidRDefault="0015578C">
            <w:pPr>
              <w:pStyle w:val="a3"/>
              <w:spacing w:before="0" w:beforeAutospacing="0" w:after="0" w:afterAutospacing="0"/>
              <w:rPr>
                <w:sz w:val="20"/>
                <w:szCs w:val="20"/>
              </w:rPr>
            </w:pPr>
            <w:r>
              <w:rPr>
                <w:sz w:val="20"/>
                <w:szCs w:val="20"/>
              </w:rPr>
              <w:t> </w:t>
            </w:r>
          </w:p>
        </w:tc>
      </w:tr>
    </w:tbl>
    <w:p w14:paraId="6A3ABCD1" w14:textId="77777777" w:rsidR="00000000" w:rsidRDefault="0015578C">
      <w:pPr>
        <w:pStyle w:val="a3"/>
        <w:spacing w:before="0" w:beforeAutospacing="0" w:after="0" w:afterAutospacing="0"/>
        <w:jc w:val="both"/>
        <w:rPr>
          <w:sz w:val="20"/>
          <w:szCs w:val="20"/>
        </w:rPr>
      </w:pPr>
      <w:r>
        <w:rPr>
          <w:sz w:val="20"/>
          <w:szCs w:val="20"/>
        </w:rPr>
        <w:t> </w:t>
      </w:r>
    </w:p>
    <w:p w14:paraId="6A6A8254" w14:textId="77777777" w:rsidR="00000000" w:rsidRDefault="0015578C">
      <w:pPr>
        <w:pStyle w:val="a3"/>
        <w:spacing w:before="0" w:beforeAutospacing="0" w:after="0" w:afterAutospacing="0"/>
        <w:ind w:firstLine="675"/>
        <w:jc w:val="both"/>
        <w:rPr>
          <w:sz w:val="20"/>
          <w:szCs w:val="20"/>
        </w:rPr>
      </w:pPr>
      <w:r>
        <w:rPr>
          <w:sz w:val="20"/>
          <w:szCs w:val="20"/>
        </w:rPr>
        <w:t>During 2022, the valuation allowance increased primarily due to the addition of deferred tax assets related to current year net operating losses. During 2021, the valuation allowance decreased primarily due to the expiration of capital loss carryovers.</w:t>
      </w:r>
    </w:p>
    <w:p w14:paraId="1316B9A5" w14:textId="77777777" w:rsidR="00000000" w:rsidRDefault="0015578C">
      <w:pPr>
        <w:pStyle w:val="a3"/>
        <w:spacing w:before="0" w:beforeAutospacing="0" w:after="0" w:afterAutospacing="0"/>
        <w:jc w:val="both"/>
        <w:rPr>
          <w:sz w:val="20"/>
          <w:szCs w:val="20"/>
        </w:rPr>
      </w:pPr>
      <w:r>
        <w:rPr>
          <w:sz w:val="20"/>
          <w:szCs w:val="20"/>
        </w:rPr>
        <w:t> </w:t>
      </w:r>
    </w:p>
    <w:p w14:paraId="69DC9C59" w14:textId="77777777" w:rsidR="00000000" w:rsidRDefault="0015578C">
      <w:pPr>
        <w:pStyle w:val="a3"/>
        <w:spacing w:before="0" w:beforeAutospacing="0" w:after="0" w:afterAutospacing="0"/>
        <w:ind w:firstLine="675"/>
        <w:jc w:val="both"/>
        <w:rPr>
          <w:sz w:val="20"/>
          <w:szCs w:val="20"/>
        </w:rPr>
      </w:pPr>
      <w:r>
        <w:rPr>
          <w:sz w:val="20"/>
          <w:szCs w:val="20"/>
        </w:rPr>
        <w:t>A</w:t>
      </w:r>
      <w:r>
        <w:rPr>
          <w:sz w:val="20"/>
          <w:szCs w:val="20"/>
        </w:rPr>
        <w:t>t December 31, 2022, Solitario has unused US Federal net operating loss carryovers of $22,905,000 and unused US State net operating loss carryovers of $24,811,000 which begin expiring in 2027. As a result of the ownership change of Zazu Metals (Alaska) Cor</w:t>
      </w:r>
      <w:r>
        <w:rPr>
          <w:sz w:val="20"/>
          <w:szCs w:val="20"/>
        </w:rPr>
        <w:t xml:space="preserve">p, utilization of some of these federal and state losses will be limited due to the annual limitation provided by Section 382 of the Internal Revenue Code. Solitario has unused capital loss carryovers of $380,000 for US Federal and US State purposes which </w:t>
      </w:r>
      <w:r>
        <w:rPr>
          <w:sz w:val="20"/>
          <w:szCs w:val="20"/>
        </w:rPr>
        <w:t>begin expiring in 2025. Solitario has Canadian loss carryforwards of $9,294,000 which begin expiring in 2027. Other foreign loss carryforwards for which Solitario has provided a full valuation allowance related to Solitario’s exploration activities in Peru</w:t>
      </w:r>
      <w:r>
        <w:rPr>
          <w:sz w:val="20"/>
          <w:szCs w:val="20"/>
        </w:rPr>
        <w:t>. The Peru losses do not expire.</w:t>
      </w:r>
    </w:p>
    <w:p w14:paraId="4F66DF0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1D6B9F45" w14:textId="77777777">
        <w:trPr>
          <w:trHeight w:val="225"/>
          <w:tblCellSpacing w:w="15" w:type="dxa"/>
        </w:trPr>
        <w:tc>
          <w:tcPr>
            <w:tcW w:w="0" w:type="auto"/>
            <w:vAlign w:val="center"/>
            <w:hideMark/>
          </w:tcPr>
          <w:p w14:paraId="388690BE" w14:textId="77777777" w:rsidR="00000000" w:rsidRDefault="0015578C">
            <w:pPr>
              <w:rPr>
                <w:rFonts w:eastAsia="Times New Roman"/>
                <w:sz w:val="20"/>
                <w:szCs w:val="20"/>
              </w:rPr>
            </w:pPr>
            <w:r>
              <w:rPr>
                <w:rFonts w:eastAsia="Times New Roman"/>
                <w:sz w:val="20"/>
                <w:szCs w:val="20"/>
              </w:rPr>
              <w:t> </w:t>
            </w:r>
          </w:p>
        </w:tc>
      </w:tr>
      <w:tr w:rsidR="00000000" w14:paraId="0D43BAA5" w14:textId="77777777">
        <w:trPr>
          <w:trHeight w:val="225"/>
          <w:tblCellSpacing w:w="15" w:type="dxa"/>
        </w:trPr>
        <w:tc>
          <w:tcPr>
            <w:tcW w:w="0" w:type="auto"/>
            <w:tcBorders>
              <w:bottom w:val="single" w:sz="6" w:space="0" w:color="000000"/>
            </w:tcBorders>
            <w:vAlign w:val="center"/>
            <w:hideMark/>
          </w:tcPr>
          <w:p w14:paraId="44C9D02A" w14:textId="77777777" w:rsidR="00000000" w:rsidRDefault="0015578C">
            <w:pPr>
              <w:jc w:val="center"/>
              <w:rPr>
                <w:rFonts w:eastAsia="Times New Roman"/>
                <w:sz w:val="20"/>
                <w:szCs w:val="20"/>
              </w:rPr>
            </w:pPr>
            <w:r>
              <w:rPr>
                <w:rFonts w:eastAsia="Times New Roman"/>
                <w:sz w:val="20"/>
                <w:szCs w:val="20"/>
              </w:rPr>
              <w:t>F-14</w:t>
            </w:r>
          </w:p>
        </w:tc>
      </w:tr>
      <w:tr w:rsidR="00000000" w14:paraId="37B2CE6A" w14:textId="77777777">
        <w:trPr>
          <w:trHeight w:val="225"/>
          <w:tblCellSpacing w:w="15" w:type="dxa"/>
        </w:trPr>
        <w:tc>
          <w:tcPr>
            <w:tcW w:w="0" w:type="auto"/>
            <w:vAlign w:val="center"/>
            <w:hideMark/>
          </w:tcPr>
          <w:p w14:paraId="7A5C082E" w14:textId="77777777" w:rsidR="00000000" w:rsidRDefault="0015578C">
            <w:pPr>
              <w:rPr>
                <w:rFonts w:eastAsia="Times New Roman"/>
                <w:sz w:val="20"/>
                <w:szCs w:val="20"/>
              </w:rPr>
            </w:pPr>
          </w:p>
        </w:tc>
      </w:tr>
      <w:tr w:rsidR="00000000" w14:paraId="24995849" w14:textId="77777777">
        <w:trPr>
          <w:trHeight w:val="225"/>
          <w:tblCellSpacing w:w="15" w:type="dxa"/>
        </w:trPr>
        <w:tc>
          <w:tcPr>
            <w:tcW w:w="0" w:type="auto"/>
            <w:vAlign w:val="center"/>
            <w:hideMark/>
          </w:tcPr>
          <w:p w14:paraId="61A57C2B"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29DCBA1E" w14:textId="77777777" w:rsidR="00000000" w:rsidRDefault="0015578C">
      <w:pPr>
        <w:pStyle w:val="a3"/>
        <w:spacing w:before="0" w:beforeAutospacing="0" w:after="0" w:afterAutospacing="0"/>
        <w:jc w:val="both"/>
        <w:rPr>
          <w:sz w:val="20"/>
          <w:szCs w:val="20"/>
        </w:rPr>
      </w:pPr>
      <w:r>
        <w:rPr>
          <w:sz w:val="20"/>
          <w:szCs w:val="20"/>
        </w:rPr>
        <w:t> </w:t>
      </w:r>
    </w:p>
    <w:p w14:paraId="13DCE353" w14:textId="77777777" w:rsidR="00000000" w:rsidRDefault="0015578C">
      <w:pPr>
        <w:pStyle w:val="a3"/>
        <w:spacing w:before="0" w:beforeAutospacing="0" w:after="0" w:afterAutospacing="0"/>
        <w:ind w:firstLine="675"/>
        <w:jc w:val="both"/>
        <w:rPr>
          <w:sz w:val="20"/>
          <w:szCs w:val="20"/>
        </w:rPr>
      </w:pPr>
      <w:r>
        <w:rPr>
          <w:sz w:val="20"/>
          <w:szCs w:val="20"/>
        </w:rPr>
        <w:t>Solitario adopted ASC 740, which prescribes a recognition threshold and measurement attribute for the financial statement recognition and measurement of a tax position taken or expected to be taken in a tax return. ASC 740 requires that Solitario recognize</w:t>
      </w:r>
      <w:r>
        <w:rPr>
          <w:sz w:val="20"/>
          <w:szCs w:val="20"/>
        </w:rPr>
        <w:t xml:space="preserve"> in its consolidated financial statements only those tax positions that are “more-likely-than-not” of being sustained as of the adoption date, based on the technical merits of the position. As a result of the implementation of ASC 740, Solitario performed </w:t>
      </w:r>
      <w:r>
        <w:rPr>
          <w:sz w:val="20"/>
          <w:szCs w:val="20"/>
        </w:rPr>
        <w:t>a comprehensive review of its material tax positions in accordance with recognition and measurement standards established by ASC 740. The provisions of ASC 740 had no effect on Solitario’s financial position, cash flows or results of operations at December</w:t>
      </w:r>
      <w:r>
        <w:rPr>
          <w:sz w:val="20"/>
          <w:szCs w:val="20"/>
        </w:rPr>
        <w:t xml:space="preserve"> 31, 2022 or December 31, 2021, or for the years then ended as Solitario had no unrecognized tax benefits.</w:t>
      </w:r>
    </w:p>
    <w:p w14:paraId="1C099323" w14:textId="77777777" w:rsidR="00000000" w:rsidRDefault="0015578C">
      <w:pPr>
        <w:pStyle w:val="a3"/>
        <w:spacing w:before="0" w:beforeAutospacing="0" w:after="0" w:afterAutospacing="0"/>
        <w:jc w:val="both"/>
        <w:rPr>
          <w:sz w:val="20"/>
          <w:szCs w:val="20"/>
        </w:rPr>
      </w:pPr>
      <w:r>
        <w:rPr>
          <w:sz w:val="20"/>
          <w:szCs w:val="20"/>
        </w:rPr>
        <w:t> </w:t>
      </w:r>
    </w:p>
    <w:p w14:paraId="365E7118" w14:textId="77777777" w:rsidR="00000000" w:rsidRDefault="0015578C">
      <w:pPr>
        <w:pStyle w:val="a3"/>
        <w:spacing w:before="0" w:beforeAutospacing="0" w:after="0" w:afterAutospacing="0"/>
        <w:ind w:firstLine="675"/>
        <w:jc w:val="both"/>
        <w:rPr>
          <w:sz w:val="20"/>
          <w:szCs w:val="20"/>
        </w:rPr>
      </w:pPr>
      <w:r>
        <w:rPr>
          <w:sz w:val="20"/>
          <w:szCs w:val="20"/>
        </w:rPr>
        <w:t>Solitario and its subsidiaries are subject to the following material taxing jurisdictions: United States Federal, State of Colorado, State of Alask</w:t>
      </w:r>
      <w:r>
        <w:rPr>
          <w:sz w:val="20"/>
          <w:szCs w:val="20"/>
        </w:rPr>
        <w:t>a, State of South Dakota, Canada and Peru. Solitario’s United States federal, Canada and State of Alaska returns for years 2019 and forward and Solitario’s Peru and State of Colorado returns for tax years 2018 and forward are subject to examination. Solita</w:t>
      </w:r>
      <w:r>
        <w:rPr>
          <w:sz w:val="20"/>
          <w:szCs w:val="20"/>
        </w:rPr>
        <w:t>rio’s policy is to recognize interest and penalties related to uncertain tax benefits in income tax expense. Solitario has no accrued interest or penalties related to uncertain tax positions as of December 31, 2022, or December 31, 2021 or for the years th</w:t>
      </w:r>
      <w:r>
        <w:rPr>
          <w:sz w:val="20"/>
          <w:szCs w:val="20"/>
        </w:rPr>
        <w:t>en ended.</w:t>
      </w:r>
    </w:p>
    <w:p w14:paraId="60257537" w14:textId="77777777" w:rsidR="00000000" w:rsidRDefault="0015578C">
      <w:pPr>
        <w:pStyle w:val="a3"/>
        <w:spacing w:before="0" w:beforeAutospacing="0" w:after="0" w:afterAutospacing="0"/>
        <w:jc w:val="both"/>
        <w:rPr>
          <w:sz w:val="20"/>
          <w:szCs w:val="20"/>
        </w:rPr>
      </w:pPr>
      <w:r>
        <w:rPr>
          <w:sz w:val="20"/>
          <w:szCs w:val="20"/>
        </w:rPr>
        <w:t> </w:t>
      </w:r>
    </w:p>
    <w:p w14:paraId="180EB479" w14:textId="77777777" w:rsidR="00000000" w:rsidRDefault="0015578C">
      <w:pPr>
        <w:pStyle w:val="a3"/>
        <w:spacing w:before="0" w:beforeAutospacing="0" w:after="0" w:afterAutospacing="0"/>
        <w:jc w:val="both"/>
        <w:rPr>
          <w:sz w:val="20"/>
          <w:szCs w:val="20"/>
        </w:rPr>
      </w:pPr>
      <w:r>
        <w:rPr>
          <w:sz w:val="20"/>
          <w:szCs w:val="20"/>
        </w:rPr>
        <w:t xml:space="preserve">7. </w:t>
      </w:r>
      <w:r>
        <w:rPr>
          <w:sz w:val="20"/>
          <w:szCs w:val="20"/>
          <w:u w:val="single"/>
        </w:rPr>
        <w:t>Derivative Instruments:</w:t>
      </w:r>
    </w:p>
    <w:p w14:paraId="072E323E" w14:textId="77777777" w:rsidR="00000000" w:rsidRDefault="0015578C">
      <w:pPr>
        <w:pStyle w:val="a3"/>
        <w:spacing w:before="0" w:beforeAutospacing="0" w:after="0" w:afterAutospacing="0"/>
        <w:jc w:val="both"/>
        <w:rPr>
          <w:sz w:val="20"/>
          <w:szCs w:val="20"/>
        </w:rPr>
      </w:pPr>
      <w:r>
        <w:rPr>
          <w:sz w:val="20"/>
          <w:szCs w:val="20"/>
        </w:rPr>
        <w:t> </w:t>
      </w:r>
    </w:p>
    <w:p w14:paraId="124A356A" w14:textId="77777777" w:rsidR="00000000" w:rsidRDefault="0015578C">
      <w:pPr>
        <w:pStyle w:val="a3"/>
        <w:spacing w:before="0" w:beforeAutospacing="0" w:after="0" w:afterAutospacing="0"/>
        <w:jc w:val="both"/>
        <w:rPr>
          <w:sz w:val="20"/>
          <w:szCs w:val="20"/>
        </w:rPr>
      </w:pPr>
      <w:r>
        <w:rPr>
          <w:rStyle w:val="a7"/>
          <w:sz w:val="20"/>
          <w:szCs w:val="20"/>
        </w:rPr>
        <w:t>Covered call options</w:t>
      </w:r>
    </w:p>
    <w:p w14:paraId="43EFE286" w14:textId="77777777" w:rsidR="00000000" w:rsidRDefault="0015578C">
      <w:pPr>
        <w:pStyle w:val="a3"/>
        <w:spacing w:before="0" w:beforeAutospacing="0" w:after="0" w:afterAutospacing="0"/>
        <w:jc w:val="both"/>
        <w:rPr>
          <w:sz w:val="20"/>
          <w:szCs w:val="20"/>
        </w:rPr>
      </w:pPr>
      <w:r>
        <w:rPr>
          <w:sz w:val="20"/>
          <w:szCs w:val="20"/>
        </w:rPr>
        <w:t> </w:t>
      </w:r>
    </w:p>
    <w:p w14:paraId="64D1FF4D" w14:textId="77777777" w:rsidR="00000000" w:rsidRDefault="0015578C">
      <w:pPr>
        <w:pStyle w:val="a3"/>
        <w:spacing w:before="0" w:beforeAutospacing="0" w:after="0" w:afterAutospacing="0"/>
        <w:ind w:firstLine="675"/>
        <w:jc w:val="both"/>
        <w:rPr>
          <w:sz w:val="20"/>
          <w:szCs w:val="20"/>
        </w:rPr>
      </w:pPr>
      <w:r>
        <w:rPr>
          <w:sz w:val="20"/>
          <w:szCs w:val="20"/>
        </w:rPr>
        <w:t>From time-to-time Solitario has sold covered call options against its holdings of shares of common stock of Kinross included in Marketable Equity Securities. The business purpose of selling co</w:t>
      </w:r>
      <w:r>
        <w:rPr>
          <w:sz w:val="20"/>
          <w:szCs w:val="20"/>
        </w:rPr>
        <w:t>vered calls is to provide additional income on a limited portion of shares of Kinross that Solitario may sell in the near term, which is generally defined as less than one year and any changes in the fair value of its covered calls are recognized in the st</w:t>
      </w:r>
      <w:r>
        <w:rPr>
          <w:sz w:val="20"/>
          <w:szCs w:val="20"/>
        </w:rPr>
        <w:t>atement of operations in the period of the change. During 2021, Solitario sold covered calls against its holdings of Kinross for cash proceeds of $8,000 all of which expired unexercised. As of December 31, 2022 and 2021, Solitario has no remaining liabilit</w:t>
      </w:r>
      <w:r>
        <w:rPr>
          <w:sz w:val="20"/>
          <w:szCs w:val="20"/>
        </w:rPr>
        <w:t>y related to Kinross call options.</w:t>
      </w:r>
    </w:p>
    <w:p w14:paraId="673C17E5" w14:textId="77777777" w:rsidR="00000000" w:rsidRDefault="0015578C">
      <w:pPr>
        <w:pStyle w:val="a3"/>
        <w:spacing w:before="0" w:beforeAutospacing="0" w:after="0" w:afterAutospacing="0"/>
        <w:jc w:val="both"/>
        <w:rPr>
          <w:sz w:val="20"/>
          <w:szCs w:val="20"/>
        </w:rPr>
      </w:pPr>
      <w:r>
        <w:rPr>
          <w:sz w:val="20"/>
          <w:szCs w:val="20"/>
        </w:rPr>
        <w:t> </w:t>
      </w:r>
    </w:p>
    <w:p w14:paraId="076D8DC0" w14:textId="77777777" w:rsidR="00000000" w:rsidRDefault="0015578C">
      <w:pPr>
        <w:pStyle w:val="a3"/>
        <w:spacing w:before="0" w:beforeAutospacing="0" w:after="0" w:afterAutospacing="0"/>
        <w:jc w:val="both"/>
        <w:rPr>
          <w:sz w:val="20"/>
          <w:szCs w:val="20"/>
        </w:rPr>
      </w:pPr>
      <w:r>
        <w:rPr>
          <w:sz w:val="20"/>
          <w:szCs w:val="20"/>
        </w:rPr>
        <w:t xml:space="preserve">8. </w:t>
      </w:r>
      <w:r>
        <w:rPr>
          <w:sz w:val="20"/>
          <w:szCs w:val="20"/>
          <w:u w:val="single"/>
        </w:rPr>
        <w:t>Fair Value of Financial Instruments</w:t>
      </w:r>
      <w:r>
        <w:rPr>
          <w:sz w:val="20"/>
          <w:szCs w:val="20"/>
        </w:rPr>
        <w:t>:</w:t>
      </w:r>
    </w:p>
    <w:p w14:paraId="10E3C543" w14:textId="77777777" w:rsidR="00000000" w:rsidRDefault="0015578C">
      <w:pPr>
        <w:pStyle w:val="a3"/>
        <w:spacing w:before="0" w:beforeAutospacing="0" w:after="0" w:afterAutospacing="0"/>
        <w:jc w:val="both"/>
        <w:rPr>
          <w:sz w:val="20"/>
          <w:szCs w:val="20"/>
        </w:rPr>
      </w:pPr>
      <w:r>
        <w:rPr>
          <w:sz w:val="20"/>
          <w:szCs w:val="20"/>
        </w:rPr>
        <w:t> </w:t>
      </w:r>
    </w:p>
    <w:p w14:paraId="0D134BE6" w14:textId="77777777" w:rsidR="00000000" w:rsidRDefault="0015578C">
      <w:pPr>
        <w:pStyle w:val="a3"/>
        <w:spacing w:before="0" w:beforeAutospacing="0" w:after="0" w:afterAutospacing="0"/>
        <w:ind w:firstLine="675"/>
        <w:jc w:val="both"/>
        <w:rPr>
          <w:sz w:val="20"/>
          <w:szCs w:val="20"/>
        </w:rPr>
      </w:pPr>
      <w:r>
        <w:rPr>
          <w:sz w:val="20"/>
          <w:szCs w:val="20"/>
        </w:rPr>
        <w:t>For certain of Solitario's financial instruments, including cash and cash equivalents, payables and short-term debt, the carrying amounts approximate fair value due to their short maturities. Solitario's marketable equity securities, including its investme</w:t>
      </w:r>
      <w:r>
        <w:rPr>
          <w:sz w:val="20"/>
          <w:szCs w:val="20"/>
        </w:rPr>
        <w:t>nt in shares of Kinross common stock, Vendetta common stock, Vox common stock and TNR common stock are carried at their estimated fair value based on publicly available quoted market prices.</w:t>
      </w:r>
    </w:p>
    <w:p w14:paraId="38535EA4" w14:textId="77777777" w:rsidR="00000000" w:rsidRDefault="0015578C">
      <w:pPr>
        <w:pStyle w:val="a3"/>
        <w:spacing w:before="0" w:beforeAutospacing="0" w:after="0" w:afterAutospacing="0"/>
        <w:jc w:val="both"/>
        <w:rPr>
          <w:sz w:val="20"/>
          <w:szCs w:val="20"/>
        </w:rPr>
      </w:pPr>
      <w:r>
        <w:rPr>
          <w:sz w:val="20"/>
          <w:szCs w:val="20"/>
        </w:rPr>
        <w:t> </w:t>
      </w:r>
    </w:p>
    <w:p w14:paraId="71629A3C" w14:textId="77777777" w:rsidR="00000000" w:rsidRDefault="0015578C">
      <w:pPr>
        <w:pStyle w:val="a3"/>
        <w:spacing w:before="0" w:beforeAutospacing="0" w:after="0" w:afterAutospacing="0"/>
        <w:ind w:firstLine="675"/>
        <w:jc w:val="both"/>
        <w:rPr>
          <w:sz w:val="20"/>
          <w:szCs w:val="20"/>
        </w:rPr>
      </w:pPr>
      <w:r>
        <w:rPr>
          <w:sz w:val="20"/>
          <w:szCs w:val="20"/>
        </w:rPr>
        <w:t>Solitario applies ASC 820 that establishes a framework for meas</w:t>
      </w:r>
      <w:r>
        <w:rPr>
          <w:sz w:val="20"/>
          <w:szCs w:val="20"/>
        </w:rPr>
        <w:t xml:space="preserve">uring fair value and requires enhanced disclosures about fair value measurements. ASC 820 clarifies that fair value is an exit price, representing the amount that would be received to sell an asset or paid to transfer a liability in an orderly transaction </w:t>
      </w:r>
      <w:r>
        <w:rPr>
          <w:sz w:val="20"/>
          <w:szCs w:val="20"/>
        </w:rPr>
        <w:t>between market participants. ASC 820 also requires disclosure about how fair value is determined for assets and liabilities and establishes a hierarchy for which these assets and liabilities must be grouped, based on significant levels of inputs as follows</w:t>
      </w:r>
      <w:r>
        <w:rPr>
          <w:sz w:val="20"/>
          <w:szCs w:val="20"/>
        </w:rPr>
        <w:t>:</w:t>
      </w:r>
    </w:p>
    <w:p w14:paraId="6EC3D5C6" w14:textId="77777777" w:rsidR="00000000" w:rsidRDefault="0015578C">
      <w:pPr>
        <w:pStyle w:val="a3"/>
        <w:spacing w:before="0" w:beforeAutospacing="0" w:after="0" w:afterAutospacing="0"/>
        <w:jc w:val="both"/>
        <w:rPr>
          <w:sz w:val="20"/>
          <w:szCs w:val="20"/>
        </w:rPr>
      </w:pPr>
      <w:r>
        <w:rPr>
          <w:sz w:val="20"/>
          <w:szCs w:val="20"/>
        </w:rPr>
        <w:t> </w:t>
      </w:r>
    </w:p>
    <w:p w14:paraId="69ECEF02" w14:textId="77777777" w:rsidR="00000000" w:rsidRDefault="0015578C">
      <w:pPr>
        <w:pStyle w:val="a3"/>
        <w:spacing w:before="0" w:beforeAutospacing="0" w:after="0" w:afterAutospacing="0"/>
        <w:ind w:left="675" w:firstLine="675"/>
        <w:jc w:val="both"/>
        <w:rPr>
          <w:sz w:val="20"/>
          <w:szCs w:val="20"/>
        </w:rPr>
      </w:pPr>
      <w:r>
        <w:rPr>
          <w:rStyle w:val="a4"/>
          <w:sz w:val="20"/>
          <w:szCs w:val="20"/>
        </w:rPr>
        <w:t>Level 1:</w:t>
      </w:r>
      <w:r>
        <w:rPr>
          <w:sz w:val="20"/>
          <w:szCs w:val="20"/>
        </w:rPr>
        <w:t xml:space="preserve"> Quoted prices in active markets for identical assets or liabilities;</w:t>
      </w:r>
    </w:p>
    <w:p w14:paraId="419A1716" w14:textId="77777777" w:rsidR="00000000" w:rsidRDefault="0015578C">
      <w:pPr>
        <w:pStyle w:val="a3"/>
        <w:spacing w:before="0" w:beforeAutospacing="0" w:after="0" w:afterAutospacing="0"/>
        <w:ind w:left="675" w:firstLine="675"/>
        <w:jc w:val="both"/>
        <w:rPr>
          <w:sz w:val="20"/>
          <w:szCs w:val="20"/>
        </w:rPr>
      </w:pPr>
      <w:r>
        <w:rPr>
          <w:rStyle w:val="a4"/>
          <w:sz w:val="20"/>
          <w:szCs w:val="20"/>
        </w:rPr>
        <w:t>Level 2:</w:t>
      </w:r>
      <w:r>
        <w:rPr>
          <w:sz w:val="20"/>
          <w:szCs w:val="20"/>
        </w:rPr>
        <w:t xml:space="preserve"> Quoted prices in active markets for similar assets and liabilities and inputs that are observable for the asset or liability; or</w:t>
      </w:r>
    </w:p>
    <w:p w14:paraId="4F748E65" w14:textId="77777777" w:rsidR="00000000" w:rsidRDefault="0015578C">
      <w:pPr>
        <w:pStyle w:val="a3"/>
        <w:spacing w:before="0" w:beforeAutospacing="0" w:after="0" w:afterAutospacing="0"/>
        <w:ind w:left="675" w:firstLine="675"/>
        <w:jc w:val="both"/>
        <w:rPr>
          <w:sz w:val="20"/>
          <w:szCs w:val="20"/>
        </w:rPr>
      </w:pPr>
      <w:r>
        <w:rPr>
          <w:rStyle w:val="a4"/>
          <w:sz w:val="20"/>
          <w:szCs w:val="20"/>
        </w:rPr>
        <w:t>Level 3:</w:t>
      </w:r>
      <w:r>
        <w:rPr>
          <w:sz w:val="20"/>
          <w:szCs w:val="20"/>
        </w:rPr>
        <w:t xml:space="preserve"> Unobservable inputs in whic</w:t>
      </w:r>
      <w:r>
        <w:rPr>
          <w:sz w:val="20"/>
          <w:szCs w:val="20"/>
        </w:rPr>
        <w:t>h there is little or no market data, which require the reporting entity to develop its own assumptions.</w:t>
      </w:r>
    </w:p>
    <w:p w14:paraId="458785A5" w14:textId="77777777" w:rsidR="00000000" w:rsidRDefault="0015578C">
      <w:pPr>
        <w:pStyle w:val="a3"/>
        <w:spacing w:before="0" w:beforeAutospacing="0" w:after="0" w:afterAutospacing="0"/>
        <w:jc w:val="both"/>
        <w:rPr>
          <w:sz w:val="20"/>
          <w:szCs w:val="20"/>
        </w:rPr>
      </w:pPr>
      <w:r>
        <w:rPr>
          <w:sz w:val="20"/>
          <w:szCs w:val="20"/>
        </w:rPr>
        <w:t> </w:t>
      </w:r>
    </w:p>
    <w:p w14:paraId="7B1ED352" w14:textId="77777777" w:rsidR="00000000" w:rsidRDefault="0015578C">
      <w:pPr>
        <w:pStyle w:val="a3"/>
        <w:spacing w:before="0" w:beforeAutospacing="0" w:after="0" w:afterAutospacing="0"/>
        <w:ind w:firstLine="675"/>
        <w:jc w:val="both"/>
        <w:rPr>
          <w:sz w:val="20"/>
          <w:szCs w:val="20"/>
        </w:rPr>
      </w:pPr>
      <w:r>
        <w:rPr>
          <w:sz w:val="20"/>
          <w:szCs w:val="20"/>
        </w:rPr>
        <w:t>The determination of where assets and liabilities fall within this hierarchy is based upon the lowest level of input that is significant to the fair v</w:t>
      </w:r>
      <w:r>
        <w:rPr>
          <w:sz w:val="20"/>
          <w:szCs w:val="20"/>
        </w:rPr>
        <w:t>alue measurement. During the years ended December 31, 2022 and 2021, there were no reclassifications in financial assets or liabilities between Level 1, 2 or 3 categories.</w:t>
      </w:r>
    </w:p>
    <w:p w14:paraId="689DDC75" w14:textId="77777777" w:rsidR="00000000" w:rsidRDefault="0015578C">
      <w:pPr>
        <w:pStyle w:val="a3"/>
        <w:spacing w:before="0" w:beforeAutospacing="0" w:after="0" w:afterAutospacing="0"/>
        <w:jc w:val="both"/>
        <w:rPr>
          <w:sz w:val="20"/>
          <w:szCs w:val="20"/>
        </w:rPr>
      </w:pPr>
      <w:r>
        <w:rPr>
          <w:sz w:val="20"/>
          <w:szCs w:val="20"/>
        </w:rPr>
        <w:t> </w:t>
      </w:r>
    </w:p>
    <w:p w14:paraId="0B1F7576" w14:textId="77777777" w:rsidR="00000000" w:rsidRDefault="0015578C">
      <w:pPr>
        <w:pStyle w:val="a3"/>
        <w:spacing w:before="0" w:beforeAutospacing="0" w:after="0" w:afterAutospacing="0"/>
        <w:ind w:firstLine="675"/>
        <w:jc w:val="both"/>
        <w:rPr>
          <w:sz w:val="20"/>
          <w:szCs w:val="20"/>
        </w:rPr>
      </w:pPr>
      <w:r>
        <w:rPr>
          <w:sz w:val="20"/>
          <w:szCs w:val="20"/>
        </w:rPr>
        <w:t>The following is a listing of Solitario’s financial assets and liabilities require</w:t>
      </w:r>
      <w:r>
        <w:rPr>
          <w:sz w:val="20"/>
          <w:szCs w:val="20"/>
        </w:rPr>
        <w:t>d to be measured at fair value on a recurring basis and where they are classified within the hierarchy as of December 31, 2022:</w:t>
      </w:r>
    </w:p>
    <w:p w14:paraId="50E9D422"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14:paraId="4504E363" w14:textId="77777777">
        <w:trPr>
          <w:trHeight w:val="225"/>
          <w:tblCellSpacing w:w="15" w:type="dxa"/>
        </w:trPr>
        <w:tc>
          <w:tcPr>
            <w:tcW w:w="0" w:type="auto"/>
            <w:vAlign w:val="bottom"/>
            <w:hideMark/>
          </w:tcPr>
          <w:p w14:paraId="357BF2E5" w14:textId="77777777" w:rsidR="00000000" w:rsidRDefault="0015578C">
            <w:pPr>
              <w:pStyle w:val="a3"/>
              <w:spacing w:before="0" w:beforeAutospacing="0" w:after="0" w:afterAutospacing="0"/>
              <w:jc w:val="both"/>
              <w:rPr>
                <w:sz w:val="20"/>
                <w:szCs w:val="20"/>
              </w:rPr>
            </w:pPr>
            <w:r>
              <w:rPr>
                <w:sz w:val="20"/>
                <w:szCs w:val="20"/>
              </w:rPr>
              <w:t>(in thousands)</w:t>
            </w:r>
          </w:p>
        </w:tc>
        <w:tc>
          <w:tcPr>
            <w:tcW w:w="0" w:type="auto"/>
            <w:noWrap/>
            <w:vAlign w:val="center"/>
            <w:hideMark/>
          </w:tcPr>
          <w:p w14:paraId="6F220D2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085FD329" w14:textId="77777777" w:rsidR="00000000" w:rsidRDefault="0015578C">
            <w:pPr>
              <w:pStyle w:val="a3"/>
              <w:spacing w:before="0" w:beforeAutospacing="0" w:after="0" w:afterAutospacing="0"/>
              <w:jc w:val="center"/>
              <w:rPr>
                <w:sz w:val="20"/>
                <w:szCs w:val="20"/>
              </w:rPr>
            </w:pPr>
            <w:r>
              <w:rPr>
                <w:sz w:val="20"/>
                <w:szCs w:val="20"/>
              </w:rPr>
              <w:t>Level 1</w:t>
            </w:r>
          </w:p>
        </w:tc>
        <w:tc>
          <w:tcPr>
            <w:tcW w:w="0" w:type="auto"/>
            <w:noWrap/>
            <w:tcMar>
              <w:top w:w="0" w:type="dxa"/>
              <w:left w:w="0" w:type="dxa"/>
              <w:bottom w:w="15" w:type="dxa"/>
              <w:right w:w="0" w:type="dxa"/>
            </w:tcMar>
            <w:vAlign w:val="center"/>
            <w:hideMark/>
          </w:tcPr>
          <w:p w14:paraId="5F3489B5"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D93DF55"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CEBC660" w14:textId="77777777" w:rsidR="00000000" w:rsidRDefault="0015578C">
            <w:pPr>
              <w:pStyle w:val="a3"/>
              <w:spacing w:before="0" w:beforeAutospacing="0" w:after="0" w:afterAutospacing="0"/>
              <w:jc w:val="center"/>
              <w:rPr>
                <w:sz w:val="20"/>
                <w:szCs w:val="20"/>
              </w:rPr>
            </w:pPr>
            <w:r>
              <w:rPr>
                <w:sz w:val="20"/>
                <w:szCs w:val="20"/>
              </w:rPr>
              <w:t>Level 2</w:t>
            </w:r>
          </w:p>
        </w:tc>
        <w:tc>
          <w:tcPr>
            <w:tcW w:w="0" w:type="auto"/>
            <w:noWrap/>
            <w:tcMar>
              <w:top w:w="0" w:type="dxa"/>
              <w:left w:w="0" w:type="dxa"/>
              <w:bottom w:w="15" w:type="dxa"/>
              <w:right w:w="0" w:type="dxa"/>
            </w:tcMar>
            <w:vAlign w:val="center"/>
            <w:hideMark/>
          </w:tcPr>
          <w:p w14:paraId="6C262C83"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F867D0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35781F16" w14:textId="77777777" w:rsidR="00000000" w:rsidRDefault="0015578C">
            <w:pPr>
              <w:pStyle w:val="a3"/>
              <w:spacing w:before="0" w:beforeAutospacing="0" w:after="0" w:afterAutospacing="0"/>
              <w:jc w:val="center"/>
              <w:rPr>
                <w:sz w:val="20"/>
                <w:szCs w:val="20"/>
              </w:rPr>
            </w:pPr>
            <w:r>
              <w:rPr>
                <w:sz w:val="20"/>
                <w:szCs w:val="20"/>
              </w:rPr>
              <w:t>Level 3</w:t>
            </w:r>
          </w:p>
        </w:tc>
        <w:tc>
          <w:tcPr>
            <w:tcW w:w="0" w:type="auto"/>
            <w:noWrap/>
            <w:tcMar>
              <w:top w:w="0" w:type="dxa"/>
              <w:left w:w="0" w:type="dxa"/>
              <w:bottom w:w="15" w:type="dxa"/>
              <w:right w:w="0" w:type="dxa"/>
            </w:tcMar>
            <w:vAlign w:val="center"/>
            <w:hideMark/>
          </w:tcPr>
          <w:p w14:paraId="5C4D4DC8"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CADD3B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3A0CA95" w14:textId="77777777" w:rsidR="00000000" w:rsidRDefault="0015578C">
            <w:pPr>
              <w:pStyle w:val="a3"/>
              <w:spacing w:before="0" w:beforeAutospacing="0" w:after="0" w:afterAutospacing="0"/>
              <w:jc w:val="center"/>
              <w:rPr>
                <w:sz w:val="20"/>
                <w:szCs w:val="20"/>
              </w:rPr>
            </w:pPr>
            <w:r>
              <w:rPr>
                <w:sz w:val="20"/>
                <w:szCs w:val="20"/>
              </w:rPr>
              <w:t>Total</w:t>
            </w:r>
          </w:p>
        </w:tc>
        <w:tc>
          <w:tcPr>
            <w:tcW w:w="0" w:type="auto"/>
            <w:noWrap/>
            <w:tcMar>
              <w:top w:w="0" w:type="dxa"/>
              <w:left w:w="0" w:type="dxa"/>
              <w:bottom w:w="15" w:type="dxa"/>
              <w:right w:w="0" w:type="dxa"/>
            </w:tcMar>
            <w:vAlign w:val="center"/>
            <w:hideMark/>
          </w:tcPr>
          <w:p w14:paraId="5A88968F" w14:textId="77777777" w:rsidR="00000000" w:rsidRDefault="0015578C">
            <w:pPr>
              <w:pStyle w:val="a3"/>
              <w:spacing w:before="0" w:beforeAutospacing="0" w:after="0" w:afterAutospacing="0"/>
              <w:rPr>
                <w:sz w:val="20"/>
                <w:szCs w:val="20"/>
              </w:rPr>
            </w:pPr>
            <w:r>
              <w:rPr>
                <w:sz w:val="20"/>
                <w:szCs w:val="20"/>
              </w:rPr>
              <w:t> </w:t>
            </w:r>
          </w:p>
        </w:tc>
      </w:tr>
      <w:tr w:rsidR="00000000" w14:paraId="3703C2DC" w14:textId="77777777">
        <w:trPr>
          <w:trHeight w:val="225"/>
          <w:tblCellSpacing w:w="15" w:type="dxa"/>
        </w:trPr>
        <w:tc>
          <w:tcPr>
            <w:tcW w:w="0" w:type="auto"/>
            <w:hideMark/>
          </w:tcPr>
          <w:p w14:paraId="679414F8" w14:textId="77777777" w:rsidR="00000000" w:rsidRDefault="0015578C">
            <w:pPr>
              <w:pStyle w:val="a3"/>
              <w:spacing w:before="0" w:beforeAutospacing="0" w:after="0" w:afterAutospacing="0"/>
              <w:rPr>
                <w:sz w:val="20"/>
                <w:szCs w:val="20"/>
              </w:rPr>
            </w:pPr>
            <w:r>
              <w:rPr>
                <w:rStyle w:val="a4"/>
                <w:sz w:val="20"/>
                <w:szCs w:val="20"/>
              </w:rPr>
              <w:t>Assets</w:t>
            </w:r>
          </w:p>
        </w:tc>
        <w:tc>
          <w:tcPr>
            <w:tcW w:w="50" w:type="pct"/>
            <w:noWrap/>
            <w:vAlign w:val="center"/>
            <w:hideMark/>
          </w:tcPr>
          <w:p w14:paraId="36F55D4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7E08A8A2"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2D3A5D5E"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31CA535"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6CFAB5B9"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691A6162"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416CB16"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6979E6B4"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4946DD2"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D45D061"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0A57F0D5"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6ABEDBD1" w14:textId="77777777" w:rsidR="00000000" w:rsidRDefault="0015578C">
            <w:pPr>
              <w:pStyle w:val="a3"/>
              <w:spacing w:before="0" w:beforeAutospacing="0" w:after="0" w:afterAutospacing="0"/>
              <w:rPr>
                <w:sz w:val="20"/>
                <w:szCs w:val="20"/>
              </w:rPr>
            </w:pPr>
            <w:r>
              <w:rPr>
                <w:sz w:val="20"/>
                <w:szCs w:val="20"/>
              </w:rPr>
              <w:t> </w:t>
            </w:r>
          </w:p>
        </w:tc>
      </w:tr>
      <w:tr w:rsidR="00000000" w14:paraId="7B6ECC68" w14:textId="77777777">
        <w:trPr>
          <w:trHeight w:val="225"/>
          <w:tblCellSpacing w:w="15" w:type="dxa"/>
        </w:trPr>
        <w:tc>
          <w:tcPr>
            <w:tcW w:w="0" w:type="auto"/>
            <w:shd w:val="clear" w:color="auto" w:fill="CCEEFF"/>
            <w:hideMark/>
          </w:tcPr>
          <w:p w14:paraId="265734E9" w14:textId="77777777" w:rsidR="00000000" w:rsidRDefault="0015578C">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14:paraId="7A9590F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56E6D753"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0DF8090" w14:textId="77777777" w:rsidR="00000000" w:rsidRDefault="0015578C">
            <w:pPr>
              <w:jc w:val="right"/>
              <w:rPr>
                <w:rFonts w:eastAsia="Times New Roman"/>
                <w:sz w:val="20"/>
                <w:szCs w:val="20"/>
              </w:rPr>
            </w:pPr>
            <w:r>
              <w:rPr>
                <w:rFonts w:eastAsia="Times New Roman"/>
                <w:sz w:val="20"/>
                <w:szCs w:val="20"/>
              </w:rPr>
              <w:t>3,951</w:t>
            </w:r>
          </w:p>
        </w:tc>
        <w:tc>
          <w:tcPr>
            <w:tcW w:w="50" w:type="pct"/>
            <w:shd w:val="clear" w:color="auto" w:fill="CCEEFF"/>
            <w:noWrap/>
            <w:vAlign w:val="center"/>
            <w:hideMark/>
          </w:tcPr>
          <w:p w14:paraId="4954065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784963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483AEEB"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DA5FA2"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693CA3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EC10C9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F0C3B85"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354282C"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E95E51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781A92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442E6D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59E2C8D" w14:textId="77777777" w:rsidR="00000000" w:rsidRDefault="0015578C">
            <w:pPr>
              <w:jc w:val="right"/>
              <w:rPr>
                <w:rFonts w:eastAsia="Times New Roman"/>
                <w:sz w:val="20"/>
                <w:szCs w:val="20"/>
              </w:rPr>
            </w:pPr>
            <w:r>
              <w:rPr>
                <w:rFonts w:eastAsia="Times New Roman"/>
                <w:sz w:val="20"/>
                <w:szCs w:val="20"/>
              </w:rPr>
              <w:t>3,951</w:t>
            </w:r>
          </w:p>
        </w:tc>
        <w:tc>
          <w:tcPr>
            <w:tcW w:w="50" w:type="pct"/>
            <w:shd w:val="clear" w:color="auto" w:fill="CCEEFF"/>
            <w:noWrap/>
            <w:vAlign w:val="center"/>
            <w:hideMark/>
          </w:tcPr>
          <w:p w14:paraId="50201FBF" w14:textId="77777777" w:rsidR="00000000" w:rsidRDefault="0015578C">
            <w:pPr>
              <w:pStyle w:val="a3"/>
              <w:spacing w:before="0" w:beforeAutospacing="0" w:after="0" w:afterAutospacing="0"/>
              <w:rPr>
                <w:sz w:val="20"/>
                <w:szCs w:val="20"/>
              </w:rPr>
            </w:pPr>
            <w:r>
              <w:rPr>
                <w:sz w:val="20"/>
                <w:szCs w:val="20"/>
              </w:rPr>
              <w:t> </w:t>
            </w:r>
          </w:p>
        </w:tc>
      </w:tr>
      <w:tr w:rsidR="00000000" w14:paraId="326E809A" w14:textId="77777777">
        <w:trPr>
          <w:trHeight w:val="225"/>
          <w:tblCellSpacing w:w="15" w:type="dxa"/>
        </w:trPr>
        <w:tc>
          <w:tcPr>
            <w:tcW w:w="0" w:type="auto"/>
            <w:shd w:val="clear" w:color="auto" w:fill="FFFFFF"/>
            <w:hideMark/>
          </w:tcPr>
          <w:p w14:paraId="64A4B2CE" w14:textId="77777777" w:rsidR="00000000" w:rsidRDefault="0015578C">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14:paraId="1D6C80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669BA445"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7BF9DB88" w14:textId="77777777" w:rsidR="00000000" w:rsidRDefault="0015578C">
            <w:pPr>
              <w:jc w:val="right"/>
              <w:rPr>
                <w:rFonts w:eastAsia="Times New Roman"/>
                <w:sz w:val="20"/>
                <w:szCs w:val="20"/>
              </w:rPr>
            </w:pPr>
            <w:r>
              <w:rPr>
                <w:rFonts w:eastAsia="Times New Roman"/>
                <w:sz w:val="20"/>
                <w:szCs w:val="20"/>
              </w:rPr>
              <w:t>949</w:t>
            </w:r>
          </w:p>
        </w:tc>
        <w:tc>
          <w:tcPr>
            <w:tcW w:w="50" w:type="pct"/>
            <w:shd w:val="clear" w:color="auto" w:fill="FFFFFF"/>
            <w:noWrap/>
            <w:vAlign w:val="center"/>
            <w:hideMark/>
          </w:tcPr>
          <w:p w14:paraId="3B67E2E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785A0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321F15D"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7835798A"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36848D9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639517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2FF834FA"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60152B5E"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72D991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B57602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020F71C3"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258BF9EB" w14:textId="77777777" w:rsidR="00000000" w:rsidRDefault="0015578C">
            <w:pPr>
              <w:jc w:val="right"/>
              <w:rPr>
                <w:rFonts w:eastAsia="Times New Roman"/>
                <w:sz w:val="20"/>
                <w:szCs w:val="20"/>
              </w:rPr>
            </w:pPr>
            <w:r>
              <w:rPr>
                <w:rFonts w:eastAsia="Times New Roman"/>
                <w:sz w:val="20"/>
                <w:szCs w:val="20"/>
              </w:rPr>
              <w:t>949</w:t>
            </w:r>
          </w:p>
        </w:tc>
        <w:tc>
          <w:tcPr>
            <w:tcW w:w="50" w:type="pct"/>
            <w:shd w:val="clear" w:color="auto" w:fill="FFFFFF"/>
            <w:noWrap/>
            <w:vAlign w:val="center"/>
            <w:hideMark/>
          </w:tcPr>
          <w:p w14:paraId="05FF6912" w14:textId="77777777" w:rsidR="00000000" w:rsidRDefault="0015578C">
            <w:pPr>
              <w:pStyle w:val="a3"/>
              <w:spacing w:before="0" w:beforeAutospacing="0" w:after="0" w:afterAutospacing="0"/>
              <w:rPr>
                <w:sz w:val="20"/>
                <w:szCs w:val="20"/>
              </w:rPr>
            </w:pPr>
            <w:r>
              <w:rPr>
                <w:sz w:val="20"/>
                <w:szCs w:val="20"/>
              </w:rPr>
              <w:t> </w:t>
            </w:r>
          </w:p>
        </w:tc>
      </w:tr>
    </w:tbl>
    <w:p w14:paraId="54485C1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28CD867F" w14:textId="77777777">
        <w:trPr>
          <w:trHeight w:val="225"/>
          <w:tblCellSpacing w:w="15" w:type="dxa"/>
        </w:trPr>
        <w:tc>
          <w:tcPr>
            <w:tcW w:w="0" w:type="auto"/>
            <w:vAlign w:val="center"/>
            <w:hideMark/>
          </w:tcPr>
          <w:p w14:paraId="77022836" w14:textId="77777777" w:rsidR="00000000" w:rsidRDefault="0015578C">
            <w:pPr>
              <w:rPr>
                <w:rFonts w:eastAsia="Times New Roman"/>
                <w:sz w:val="20"/>
                <w:szCs w:val="20"/>
              </w:rPr>
            </w:pPr>
            <w:r>
              <w:rPr>
                <w:rFonts w:eastAsia="Times New Roman"/>
                <w:sz w:val="20"/>
                <w:szCs w:val="20"/>
              </w:rPr>
              <w:t> </w:t>
            </w:r>
          </w:p>
        </w:tc>
      </w:tr>
      <w:tr w:rsidR="00000000" w14:paraId="6CFE2395" w14:textId="77777777">
        <w:trPr>
          <w:trHeight w:val="225"/>
          <w:tblCellSpacing w:w="15" w:type="dxa"/>
        </w:trPr>
        <w:tc>
          <w:tcPr>
            <w:tcW w:w="0" w:type="auto"/>
            <w:tcBorders>
              <w:bottom w:val="single" w:sz="6" w:space="0" w:color="000000"/>
            </w:tcBorders>
            <w:vAlign w:val="center"/>
            <w:hideMark/>
          </w:tcPr>
          <w:p w14:paraId="6FAD78BF" w14:textId="77777777" w:rsidR="00000000" w:rsidRDefault="0015578C">
            <w:pPr>
              <w:jc w:val="center"/>
              <w:rPr>
                <w:rFonts w:eastAsia="Times New Roman"/>
                <w:sz w:val="20"/>
                <w:szCs w:val="20"/>
              </w:rPr>
            </w:pPr>
            <w:r>
              <w:rPr>
                <w:rFonts w:eastAsia="Times New Roman"/>
                <w:sz w:val="20"/>
                <w:szCs w:val="20"/>
              </w:rPr>
              <w:t>F-15</w:t>
            </w:r>
          </w:p>
        </w:tc>
      </w:tr>
      <w:tr w:rsidR="00000000" w14:paraId="01B13CB4" w14:textId="77777777">
        <w:trPr>
          <w:trHeight w:val="225"/>
          <w:tblCellSpacing w:w="15" w:type="dxa"/>
        </w:trPr>
        <w:tc>
          <w:tcPr>
            <w:tcW w:w="0" w:type="auto"/>
            <w:vAlign w:val="center"/>
            <w:hideMark/>
          </w:tcPr>
          <w:p w14:paraId="6CA7F00E" w14:textId="77777777" w:rsidR="00000000" w:rsidRDefault="0015578C">
            <w:pPr>
              <w:rPr>
                <w:rFonts w:eastAsia="Times New Roman"/>
                <w:sz w:val="20"/>
                <w:szCs w:val="20"/>
              </w:rPr>
            </w:pPr>
          </w:p>
        </w:tc>
      </w:tr>
      <w:tr w:rsidR="00000000" w14:paraId="4F261C37" w14:textId="77777777">
        <w:trPr>
          <w:trHeight w:val="225"/>
          <w:tblCellSpacing w:w="15" w:type="dxa"/>
        </w:trPr>
        <w:tc>
          <w:tcPr>
            <w:tcW w:w="0" w:type="auto"/>
            <w:vAlign w:val="center"/>
            <w:hideMark/>
          </w:tcPr>
          <w:p w14:paraId="0772835C"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041558DE" w14:textId="77777777" w:rsidR="00000000" w:rsidRDefault="0015578C">
      <w:pPr>
        <w:pStyle w:val="a3"/>
        <w:spacing w:before="0" w:beforeAutospacing="0" w:after="0" w:afterAutospacing="0"/>
        <w:jc w:val="both"/>
        <w:rPr>
          <w:sz w:val="20"/>
          <w:szCs w:val="20"/>
        </w:rPr>
      </w:pPr>
      <w:r>
        <w:rPr>
          <w:sz w:val="20"/>
          <w:szCs w:val="20"/>
        </w:rPr>
        <w:t> </w:t>
      </w:r>
    </w:p>
    <w:p w14:paraId="41FF009C" w14:textId="77777777" w:rsidR="00000000" w:rsidRDefault="0015578C">
      <w:pPr>
        <w:pStyle w:val="a3"/>
        <w:spacing w:before="0" w:beforeAutospacing="0" w:after="0" w:afterAutospacing="0"/>
        <w:ind w:firstLine="675"/>
        <w:jc w:val="both"/>
        <w:rPr>
          <w:sz w:val="20"/>
          <w:szCs w:val="20"/>
        </w:rPr>
      </w:pPr>
      <w:r>
        <w:rPr>
          <w:sz w:val="20"/>
          <w:szCs w:val="20"/>
        </w:rPr>
        <w:t xml:space="preserve">The following is a listing of Solitario’s financial assets and liabilities required to be measured at fair value on a recurring basis and where they are classified within the hierarchy as of December 31, 2021: </w:t>
      </w:r>
    </w:p>
    <w:p w14:paraId="6EC730D8"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14:paraId="34165468" w14:textId="77777777">
        <w:trPr>
          <w:trHeight w:val="225"/>
          <w:tblCellSpacing w:w="15" w:type="dxa"/>
        </w:trPr>
        <w:tc>
          <w:tcPr>
            <w:tcW w:w="0" w:type="auto"/>
            <w:vAlign w:val="bottom"/>
            <w:hideMark/>
          </w:tcPr>
          <w:p w14:paraId="6AA9B5F1" w14:textId="77777777" w:rsidR="00000000" w:rsidRDefault="0015578C">
            <w:pPr>
              <w:pStyle w:val="a3"/>
              <w:spacing w:before="0" w:beforeAutospacing="0" w:after="0" w:afterAutospacing="0"/>
              <w:jc w:val="both"/>
              <w:rPr>
                <w:sz w:val="20"/>
                <w:szCs w:val="20"/>
              </w:rPr>
            </w:pPr>
            <w:r>
              <w:rPr>
                <w:sz w:val="20"/>
                <w:szCs w:val="20"/>
              </w:rPr>
              <w:t>(in thousands)</w:t>
            </w:r>
          </w:p>
        </w:tc>
        <w:tc>
          <w:tcPr>
            <w:tcW w:w="0" w:type="auto"/>
            <w:noWrap/>
            <w:vAlign w:val="center"/>
            <w:hideMark/>
          </w:tcPr>
          <w:p w14:paraId="0BB5D8EA"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A4F2DDF" w14:textId="77777777" w:rsidR="00000000" w:rsidRDefault="0015578C">
            <w:pPr>
              <w:pStyle w:val="a3"/>
              <w:spacing w:before="0" w:beforeAutospacing="0" w:after="0" w:afterAutospacing="0"/>
              <w:jc w:val="center"/>
              <w:rPr>
                <w:sz w:val="20"/>
                <w:szCs w:val="20"/>
              </w:rPr>
            </w:pPr>
            <w:r>
              <w:rPr>
                <w:sz w:val="20"/>
                <w:szCs w:val="20"/>
              </w:rPr>
              <w:t>Level 1</w:t>
            </w:r>
          </w:p>
        </w:tc>
        <w:tc>
          <w:tcPr>
            <w:tcW w:w="0" w:type="auto"/>
            <w:noWrap/>
            <w:tcMar>
              <w:top w:w="0" w:type="dxa"/>
              <w:left w:w="0" w:type="dxa"/>
              <w:bottom w:w="15" w:type="dxa"/>
              <w:right w:w="0" w:type="dxa"/>
            </w:tcMar>
            <w:vAlign w:val="center"/>
            <w:hideMark/>
          </w:tcPr>
          <w:p w14:paraId="2A9FABF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A93ED8E"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280D327C" w14:textId="77777777" w:rsidR="00000000" w:rsidRDefault="0015578C">
            <w:pPr>
              <w:pStyle w:val="a3"/>
              <w:spacing w:before="0" w:beforeAutospacing="0" w:after="0" w:afterAutospacing="0"/>
              <w:jc w:val="center"/>
              <w:rPr>
                <w:sz w:val="20"/>
                <w:szCs w:val="20"/>
              </w:rPr>
            </w:pPr>
            <w:r>
              <w:rPr>
                <w:sz w:val="20"/>
                <w:szCs w:val="20"/>
              </w:rPr>
              <w:t>Level 2</w:t>
            </w:r>
          </w:p>
        </w:tc>
        <w:tc>
          <w:tcPr>
            <w:tcW w:w="0" w:type="auto"/>
            <w:noWrap/>
            <w:tcMar>
              <w:top w:w="0" w:type="dxa"/>
              <w:left w:w="0" w:type="dxa"/>
              <w:bottom w:w="15" w:type="dxa"/>
              <w:right w:w="0" w:type="dxa"/>
            </w:tcMar>
            <w:vAlign w:val="center"/>
            <w:hideMark/>
          </w:tcPr>
          <w:p w14:paraId="1D5686FB"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B850D0C"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A52523C" w14:textId="77777777" w:rsidR="00000000" w:rsidRDefault="0015578C">
            <w:pPr>
              <w:pStyle w:val="a3"/>
              <w:spacing w:before="0" w:beforeAutospacing="0" w:after="0" w:afterAutospacing="0"/>
              <w:jc w:val="center"/>
              <w:rPr>
                <w:sz w:val="20"/>
                <w:szCs w:val="20"/>
              </w:rPr>
            </w:pPr>
            <w:r>
              <w:rPr>
                <w:sz w:val="20"/>
                <w:szCs w:val="20"/>
              </w:rPr>
              <w:t>Level 3</w:t>
            </w:r>
          </w:p>
        </w:tc>
        <w:tc>
          <w:tcPr>
            <w:tcW w:w="0" w:type="auto"/>
            <w:noWrap/>
            <w:tcMar>
              <w:top w:w="0" w:type="dxa"/>
              <w:left w:w="0" w:type="dxa"/>
              <w:bottom w:w="15" w:type="dxa"/>
              <w:right w:w="0" w:type="dxa"/>
            </w:tcMar>
            <w:vAlign w:val="center"/>
            <w:hideMark/>
          </w:tcPr>
          <w:p w14:paraId="2329AF93"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14163D6"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149FBC85" w14:textId="77777777" w:rsidR="00000000" w:rsidRDefault="0015578C">
            <w:pPr>
              <w:pStyle w:val="a3"/>
              <w:spacing w:before="0" w:beforeAutospacing="0" w:after="0" w:afterAutospacing="0"/>
              <w:jc w:val="center"/>
              <w:rPr>
                <w:sz w:val="20"/>
                <w:szCs w:val="20"/>
              </w:rPr>
            </w:pPr>
            <w:r>
              <w:rPr>
                <w:sz w:val="20"/>
                <w:szCs w:val="20"/>
              </w:rPr>
              <w:t>Total</w:t>
            </w:r>
          </w:p>
        </w:tc>
        <w:tc>
          <w:tcPr>
            <w:tcW w:w="0" w:type="auto"/>
            <w:noWrap/>
            <w:tcMar>
              <w:top w:w="0" w:type="dxa"/>
              <w:left w:w="0" w:type="dxa"/>
              <w:bottom w:w="15" w:type="dxa"/>
              <w:right w:w="0" w:type="dxa"/>
            </w:tcMar>
            <w:vAlign w:val="center"/>
            <w:hideMark/>
          </w:tcPr>
          <w:p w14:paraId="4F10017F" w14:textId="77777777" w:rsidR="00000000" w:rsidRDefault="0015578C">
            <w:pPr>
              <w:pStyle w:val="a3"/>
              <w:spacing w:before="0" w:beforeAutospacing="0" w:after="0" w:afterAutospacing="0"/>
              <w:rPr>
                <w:sz w:val="20"/>
                <w:szCs w:val="20"/>
              </w:rPr>
            </w:pPr>
            <w:r>
              <w:rPr>
                <w:sz w:val="20"/>
                <w:szCs w:val="20"/>
              </w:rPr>
              <w:t> </w:t>
            </w:r>
          </w:p>
        </w:tc>
      </w:tr>
      <w:tr w:rsidR="00000000" w14:paraId="2C5F98A5" w14:textId="77777777">
        <w:trPr>
          <w:trHeight w:val="225"/>
          <w:tblCellSpacing w:w="15" w:type="dxa"/>
        </w:trPr>
        <w:tc>
          <w:tcPr>
            <w:tcW w:w="0" w:type="auto"/>
            <w:hideMark/>
          </w:tcPr>
          <w:p w14:paraId="57B0E981" w14:textId="77777777" w:rsidR="00000000" w:rsidRDefault="0015578C">
            <w:pPr>
              <w:pStyle w:val="a3"/>
              <w:spacing w:before="0" w:beforeAutospacing="0" w:after="0" w:afterAutospacing="0"/>
              <w:rPr>
                <w:sz w:val="20"/>
                <w:szCs w:val="20"/>
              </w:rPr>
            </w:pPr>
            <w:r>
              <w:rPr>
                <w:rStyle w:val="a4"/>
                <w:sz w:val="20"/>
                <w:szCs w:val="20"/>
              </w:rPr>
              <w:t>Assets</w:t>
            </w:r>
          </w:p>
        </w:tc>
        <w:tc>
          <w:tcPr>
            <w:tcW w:w="50" w:type="pct"/>
            <w:noWrap/>
            <w:vAlign w:val="center"/>
            <w:hideMark/>
          </w:tcPr>
          <w:p w14:paraId="38FADDE5"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0B1F607A"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DC4EA55"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65E99B2"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463AFAD6"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FB5ADEB"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7DE09D4"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7C2BF4B6"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D57DD22"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6ECB344B"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center"/>
            <w:hideMark/>
          </w:tcPr>
          <w:p w14:paraId="04A22460"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B5A258E" w14:textId="77777777" w:rsidR="00000000" w:rsidRDefault="0015578C">
            <w:pPr>
              <w:pStyle w:val="a3"/>
              <w:spacing w:before="0" w:beforeAutospacing="0" w:after="0" w:afterAutospacing="0"/>
              <w:rPr>
                <w:sz w:val="20"/>
                <w:szCs w:val="20"/>
              </w:rPr>
            </w:pPr>
            <w:r>
              <w:rPr>
                <w:sz w:val="20"/>
                <w:szCs w:val="20"/>
              </w:rPr>
              <w:t> </w:t>
            </w:r>
          </w:p>
        </w:tc>
      </w:tr>
      <w:tr w:rsidR="00000000" w14:paraId="0464DEF9" w14:textId="77777777">
        <w:trPr>
          <w:trHeight w:val="225"/>
          <w:tblCellSpacing w:w="15" w:type="dxa"/>
        </w:trPr>
        <w:tc>
          <w:tcPr>
            <w:tcW w:w="0" w:type="auto"/>
            <w:shd w:val="clear" w:color="auto" w:fill="CCEEFF"/>
            <w:hideMark/>
          </w:tcPr>
          <w:p w14:paraId="6A6FC688" w14:textId="77777777" w:rsidR="00000000" w:rsidRDefault="0015578C">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14:paraId="5D20526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C05408F"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08A8850" w14:textId="77777777" w:rsidR="00000000" w:rsidRDefault="0015578C">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14:paraId="4D9C412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E7C31B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D8BE3F6"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B55444"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96EB74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77AF5E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5337FB67"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5B47483"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6E6941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6CD042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2257AC1"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2E2FA22" w14:textId="77777777" w:rsidR="00000000" w:rsidRDefault="0015578C">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14:paraId="28A2B0C9" w14:textId="77777777" w:rsidR="00000000" w:rsidRDefault="0015578C">
            <w:pPr>
              <w:pStyle w:val="a3"/>
              <w:spacing w:before="0" w:beforeAutospacing="0" w:after="0" w:afterAutospacing="0"/>
              <w:rPr>
                <w:sz w:val="20"/>
                <w:szCs w:val="20"/>
              </w:rPr>
            </w:pPr>
            <w:r>
              <w:rPr>
                <w:sz w:val="20"/>
                <w:szCs w:val="20"/>
              </w:rPr>
              <w:t> </w:t>
            </w:r>
          </w:p>
        </w:tc>
      </w:tr>
      <w:tr w:rsidR="00000000" w14:paraId="7EDD2A62" w14:textId="77777777">
        <w:trPr>
          <w:trHeight w:val="225"/>
          <w:tblCellSpacing w:w="15" w:type="dxa"/>
        </w:trPr>
        <w:tc>
          <w:tcPr>
            <w:tcW w:w="0" w:type="auto"/>
            <w:shd w:val="clear" w:color="auto" w:fill="FFFFFF"/>
            <w:hideMark/>
          </w:tcPr>
          <w:p w14:paraId="2CCAA2AB" w14:textId="77777777" w:rsidR="00000000" w:rsidRDefault="0015578C">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14:paraId="74CF340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4C0C4D2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0EF7E19A" w14:textId="77777777" w:rsidR="00000000" w:rsidRDefault="0015578C">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14:paraId="5696990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A79715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4FFE019A"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5E905978"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62C5395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335BC4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7F842144"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0AFD201F"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BC606D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700A40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1EA125B7"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2730A56A" w14:textId="77777777" w:rsidR="00000000" w:rsidRDefault="0015578C">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14:paraId="1046955F" w14:textId="77777777" w:rsidR="00000000" w:rsidRDefault="0015578C">
            <w:pPr>
              <w:pStyle w:val="a3"/>
              <w:spacing w:before="0" w:beforeAutospacing="0" w:after="0" w:afterAutospacing="0"/>
              <w:rPr>
                <w:sz w:val="20"/>
                <w:szCs w:val="20"/>
              </w:rPr>
            </w:pPr>
            <w:r>
              <w:rPr>
                <w:sz w:val="20"/>
                <w:szCs w:val="20"/>
              </w:rPr>
              <w:t> </w:t>
            </w:r>
          </w:p>
        </w:tc>
      </w:tr>
      <w:tr w:rsidR="00000000" w14:paraId="57B9717E" w14:textId="77777777">
        <w:trPr>
          <w:trHeight w:val="225"/>
          <w:tblCellSpacing w:w="15" w:type="dxa"/>
        </w:trPr>
        <w:tc>
          <w:tcPr>
            <w:tcW w:w="0" w:type="auto"/>
            <w:shd w:val="clear" w:color="auto" w:fill="CCEEFF"/>
            <w:hideMark/>
          </w:tcPr>
          <w:p w14:paraId="05AFFFBF" w14:textId="77777777" w:rsidR="00000000" w:rsidRDefault="0015578C">
            <w:pPr>
              <w:pStyle w:val="a3"/>
              <w:spacing w:before="0" w:beforeAutospacing="0" w:after="0" w:afterAutospacing="0"/>
              <w:ind w:left="225"/>
              <w:rPr>
                <w:sz w:val="20"/>
                <w:szCs w:val="20"/>
              </w:rPr>
            </w:pPr>
            <w:r>
              <w:rPr>
                <w:sz w:val="20"/>
                <w:szCs w:val="20"/>
              </w:rPr>
              <w:t>Vendetta Warrants</w:t>
            </w:r>
          </w:p>
        </w:tc>
        <w:tc>
          <w:tcPr>
            <w:tcW w:w="50" w:type="pct"/>
            <w:shd w:val="clear" w:color="auto" w:fill="CCEEFF"/>
            <w:noWrap/>
            <w:vAlign w:val="center"/>
            <w:hideMark/>
          </w:tcPr>
          <w:p w14:paraId="4BF2E58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05C4D26"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008943B"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42B64B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FC38CA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BF8E500"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675F929" w14:textId="77777777" w:rsidR="00000000" w:rsidRDefault="0015578C">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14:paraId="76E44A4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F032C7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7CE7A06"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72BFE04"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DBC9E0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806F2F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DA4D78E"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7EE6842" w14:textId="77777777" w:rsidR="00000000" w:rsidRDefault="0015578C">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14:paraId="5022879D" w14:textId="77777777" w:rsidR="00000000" w:rsidRDefault="0015578C">
            <w:pPr>
              <w:pStyle w:val="a3"/>
              <w:spacing w:before="0" w:beforeAutospacing="0" w:after="0" w:afterAutospacing="0"/>
              <w:rPr>
                <w:sz w:val="20"/>
                <w:szCs w:val="20"/>
              </w:rPr>
            </w:pPr>
            <w:r>
              <w:rPr>
                <w:sz w:val="20"/>
                <w:szCs w:val="20"/>
              </w:rPr>
              <w:t> </w:t>
            </w:r>
          </w:p>
        </w:tc>
      </w:tr>
    </w:tbl>
    <w:p w14:paraId="0043D85A" w14:textId="77777777" w:rsidR="00000000" w:rsidRDefault="0015578C">
      <w:pPr>
        <w:pStyle w:val="a3"/>
        <w:spacing w:before="0" w:beforeAutospacing="0" w:after="0" w:afterAutospacing="0"/>
        <w:jc w:val="both"/>
        <w:rPr>
          <w:sz w:val="20"/>
          <w:szCs w:val="20"/>
        </w:rPr>
      </w:pPr>
      <w:r>
        <w:rPr>
          <w:sz w:val="20"/>
          <w:szCs w:val="20"/>
        </w:rPr>
        <w:t> </w:t>
      </w:r>
    </w:p>
    <w:p w14:paraId="45CFA58C" w14:textId="77777777" w:rsidR="00000000" w:rsidRDefault="0015578C">
      <w:pPr>
        <w:pStyle w:val="a3"/>
        <w:spacing w:before="0" w:beforeAutospacing="0" w:after="0" w:afterAutospacing="0"/>
        <w:jc w:val="both"/>
        <w:rPr>
          <w:sz w:val="20"/>
          <w:szCs w:val="20"/>
        </w:rPr>
      </w:pPr>
      <w:r>
        <w:rPr>
          <w:rStyle w:val="a7"/>
          <w:sz w:val="20"/>
          <w:szCs w:val="20"/>
        </w:rPr>
        <w:t>Items measured at fair value on a recurring basis:</w:t>
      </w:r>
    </w:p>
    <w:p w14:paraId="4A0ED62F" w14:textId="77777777" w:rsidR="00000000" w:rsidRDefault="0015578C">
      <w:pPr>
        <w:pStyle w:val="a3"/>
        <w:spacing w:before="0" w:beforeAutospacing="0" w:after="0" w:afterAutospacing="0"/>
        <w:jc w:val="both"/>
        <w:rPr>
          <w:sz w:val="20"/>
          <w:szCs w:val="20"/>
        </w:rPr>
      </w:pPr>
      <w:r>
        <w:rPr>
          <w:sz w:val="20"/>
          <w:szCs w:val="20"/>
        </w:rPr>
        <w:t> </w:t>
      </w:r>
    </w:p>
    <w:p w14:paraId="363BA7A2" w14:textId="77777777" w:rsidR="00000000" w:rsidRDefault="0015578C">
      <w:pPr>
        <w:pStyle w:val="a3"/>
        <w:spacing w:before="0" w:beforeAutospacing="0" w:after="0" w:afterAutospacing="0"/>
        <w:jc w:val="both"/>
        <w:rPr>
          <w:sz w:val="20"/>
          <w:szCs w:val="20"/>
        </w:rPr>
      </w:pPr>
      <w:r>
        <w:rPr>
          <w:sz w:val="20"/>
          <w:szCs w:val="20"/>
          <w:u w:val="single"/>
        </w:rPr>
        <w:t>Short-term investments:</w:t>
      </w:r>
      <w:r>
        <w:rPr>
          <w:sz w:val="20"/>
          <w:szCs w:val="20"/>
        </w:rPr>
        <w:t xml:space="preserve"> At December 31, 2022 and 2021, Solitario’s holdings of short-term investments consist of USTS and CD’s at December 31, 2021, both recorded at their fair value based upon quoted ma</w:t>
      </w:r>
      <w:r>
        <w:rPr>
          <w:sz w:val="20"/>
          <w:szCs w:val="20"/>
        </w:rPr>
        <w:t>rket prices.</w:t>
      </w:r>
    </w:p>
    <w:p w14:paraId="299AD489" w14:textId="77777777" w:rsidR="00000000" w:rsidRDefault="0015578C">
      <w:pPr>
        <w:pStyle w:val="a3"/>
        <w:spacing w:before="0" w:beforeAutospacing="0" w:after="0" w:afterAutospacing="0"/>
        <w:jc w:val="both"/>
        <w:rPr>
          <w:sz w:val="20"/>
          <w:szCs w:val="20"/>
        </w:rPr>
      </w:pPr>
      <w:r>
        <w:rPr>
          <w:sz w:val="20"/>
          <w:szCs w:val="20"/>
          <w:u w:val="single"/>
        </w:rPr>
        <w:t>Marketable equity securities</w:t>
      </w:r>
      <w:r>
        <w:rPr>
          <w:rStyle w:val="a7"/>
          <w:sz w:val="20"/>
          <w:szCs w:val="20"/>
        </w:rPr>
        <w:t xml:space="preserve">: </w:t>
      </w:r>
      <w:r>
        <w:rPr>
          <w:sz w:val="20"/>
          <w:szCs w:val="20"/>
        </w:rPr>
        <w:t>At December 31, 2022 and 2021, the fair value of Solitario’s holdings in shares of Vendetta, Kinross, and Vox marketable equity securities are based upon quoted market prices.</w:t>
      </w:r>
    </w:p>
    <w:p w14:paraId="33D847B7" w14:textId="77777777" w:rsidR="00000000" w:rsidRDefault="0015578C">
      <w:pPr>
        <w:pStyle w:val="a3"/>
        <w:spacing w:before="0" w:beforeAutospacing="0" w:after="0" w:afterAutospacing="0"/>
        <w:jc w:val="both"/>
        <w:rPr>
          <w:sz w:val="20"/>
          <w:szCs w:val="20"/>
        </w:rPr>
      </w:pPr>
      <w:r>
        <w:rPr>
          <w:sz w:val="20"/>
          <w:szCs w:val="20"/>
          <w:u w:val="single"/>
        </w:rPr>
        <w:t>Vendetta Warrants</w:t>
      </w:r>
      <w:r>
        <w:rPr>
          <w:sz w:val="20"/>
          <w:szCs w:val="20"/>
        </w:rPr>
        <w:t>: At December 31, 20</w:t>
      </w:r>
      <w:r>
        <w:rPr>
          <w:sz w:val="20"/>
          <w:szCs w:val="20"/>
        </w:rPr>
        <w:t>21 the fair value of Solitario’s Vendetta Warrants is based upon a Black Scholes model, using market inputs.</w:t>
      </w:r>
    </w:p>
    <w:p w14:paraId="0B43F6F3" w14:textId="77777777" w:rsidR="00000000" w:rsidRDefault="0015578C">
      <w:pPr>
        <w:pStyle w:val="a3"/>
        <w:spacing w:before="0" w:beforeAutospacing="0" w:after="0" w:afterAutospacing="0"/>
        <w:jc w:val="both"/>
        <w:rPr>
          <w:sz w:val="20"/>
          <w:szCs w:val="20"/>
        </w:rPr>
      </w:pPr>
      <w:r>
        <w:rPr>
          <w:sz w:val="20"/>
          <w:szCs w:val="20"/>
        </w:rPr>
        <w:t> </w:t>
      </w:r>
    </w:p>
    <w:p w14:paraId="496575FC" w14:textId="77777777" w:rsidR="00000000" w:rsidRDefault="0015578C">
      <w:pPr>
        <w:pStyle w:val="a3"/>
        <w:spacing w:before="0" w:beforeAutospacing="0" w:after="0" w:afterAutospacing="0"/>
        <w:ind w:firstLine="675"/>
        <w:jc w:val="both"/>
        <w:rPr>
          <w:sz w:val="20"/>
          <w:szCs w:val="20"/>
        </w:rPr>
      </w:pPr>
      <w:r>
        <w:rPr>
          <w:sz w:val="20"/>
          <w:szCs w:val="20"/>
        </w:rPr>
        <w:t>During the year ended December 31, 2022, Solitario did not change any of the valuation techniques used to measure its financial assets and liabil</w:t>
      </w:r>
      <w:r>
        <w:rPr>
          <w:sz w:val="20"/>
          <w:szCs w:val="20"/>
        </w:rPr>
        <w:t>ities at fair value.</w:t>
      </w:r>
    </w:p>
    <w:p w14:paraId="546C16BE" w14:textId="77777777" w:rsidR="00000000" w:rsidRDefault="0015578C">
      <w:pPr>
        <w:pStyle w:val="a3"/>
        <w:spacing w:before="0" w:beforeAutospacing="0" w:after="0" w:afterAutospacing="0"/>
        <w:jc w:val="both"/>
        <w:rPr>
          <w:sz w:val="20"/>
          <w:szCs w:val="20"/>
        </w:rPr>
      </w:pPr>
      <w:r>
        <w:rPr>
          <w:sz w:val="20"/>
          <w:szCs w:val="20"/>
        </w:rPr>
        <w:t> </w:t>
      </w:r>
    </w:p>
    <w:p w14:paraId="51B15AD4" w14:textId="77777777" w:rsidR="00000000" w:rsidRDefault="0015578C">
      <w:pPr>
        <w:pStyle w:val="a3"/>
        <w:spacing w:before="0" w:beforeAutospacing="0" w:after="0" w:afterAutospacing="0"/>
        <w:jc w:val="both"/>
        <w:rPr>
          <w:sz w:val="20"/>
          <w:szCs w:val="20"/>
        </w:rPr>
      </w:pPr>
      <w:r>
        <w:rPr>
          <w:sz w:val="20"/>
          <w:szCs w:val="20"/>
        </w:rPr>
        <w:t xml:space="preserve">9. </w:t>
      </w:r>
      <w:r>
        <w:rPr>
          <w:sz w:val="20"/>
          <w:szCs w:val="20"/>
          <w:u w:val="single"/>
        </w:rPr>
        <w:t>Commitments and Contingencies:</w:t>
      </w:r>
    </w:p>
    <w:p w14:paraId="1BF64EC2" w14:textId="77777777" w:rsidR="00000000" w:rsidRDefault="0015578C">
      <w:pPr>
        <w:pStyle w:val="a3"/>
        <w:spacing w:before="0" w:beforeAutospacing="0" w:after="0" w:afterAutospacing="0"/>
        <w:jc w:val="both"/>
        <w:rPr>
          <w:sz w:val="20"/>
          <w:szCs w:val="20"/>
        </w:rPr>
      </w:pPr>
      <w:r>
        <w:rPr>
          <w:sz w:val="20"/>
          <w:szCs w:val="20"/>
        </w:rPr>
        <w:t> </w:t>
      </w:r>
    </w:p>
    <w:p w14:paraId="533836DA" w14:textId="77777777" w:rsidR="00000000" w:rsidRDefault="0015578C">
      <w:pPr>
        <w:pStyle w:val="a3"/>
        <w:spacing w:before="0" w:beforeAutospacing="0" w:after="0" w:afterAutospacing="0"/>
        <w:ind w:firstLine="675"/>
        <w:jc w:val="both"/>
        <w:rPr>
          <w:sz w:val="20"/>
          <w:szCs w:val="20"/>
        </w:rPr>
      </w:pPr>
      <w:r>
        <w:rPr>
          <w:sz w:val="20"/>
          <w:szCs w:val="20"/>
        </w:rPr>
        <w:t>In acquiring its interests in mineral claims and leases, Solitario has entered into lease agreements, which may be canceled at its option without penalty. Solitario is required to make minimum rental and option payments in order to maintain its interests i</w:t>
      </w:r>
      <w:r>
        <w:rPr>
          <w:sz w:val="20"/>
          <w:szCs w:val="20"/>
        </w:rPr>
        <w:t>n certain claims and leases. See Note 2, “Mineral Properties,” above. Solitario estimates its 2023 property claim, lease and option payments for properties Solitario owns, has under joint venture or Solitario operates to be approximately $1,274,000. Assumi</w:t>
      </w:r>
      <w:r>
        <w:rPr>
          <w:sz w:val="20"/>
          <w:szCs w:val="20"/>
        </w:rPr>
        <w:t>ng that Solitario’s joint ventures continue in their current status and that Solitario does not appreciably change its property positions on existing properties, approximately $419,000 of these estimated 2023 property claim, lease and rental payments are p</w:t>
      </w:r>
      <w:r>
        <w:rPr>
          <w:sz w:val="20"/>
          <w:szCs w:val="20"/>
        </w:rPr>
        <w:t>aid or are reimbursable to us by Solitario’s joint venture partners. Solitario may be required to make further payments in the future if it acquires new properties or enters into new agreements.</w:t>
      </w:r>
    </w:p>
    <w:p w14:paraId="2E9D22E3" w14:textId="77777777" w:rsidR="00000000" w:rsidRDefault="0015578C">
      <w:pPr>
        <w:pStyle w:val="a3"/>
        <w:spacing w:before="0" w:beforeAutospacing="0" w:after="0" w:afterAutospacing="0"/>
        <w:jc w:val="both"/>
        <w:rPr>
          <w:sz w:val="20"/>
          <w:szCs w:val="20"/>
        </w:rPr>
      </w:pPr>
      <w:r>
        <w:rPr>
          <w:sz w:val="20"/>
          <w:szCs w:val="20"/>
        </w:rPr>
        <w:t> </w:t>
      </w:r>
    </w:p>
    <w:p w14:paraId="5D502233" w14:textId="77777777" w:rsidR="00000000" w:rsidRDefault="0015578C">
      <w:pPr>
        <w:pStyle w:val="a3"/>
        <w:spacing w:before="0" w:beforeAutospacing="0" w:after="0" w:afterAutospacing="0"/>
        <w:jc w:val="both"/>
        <w:rPr>
          <w:sz w:val="20"/>
          <w:szCs w:val="20"/>
        </w:rPr>
      </w:pPr>
      <w:r>
        <w:rPr>
          <w:sz w:val="20"/>
          <w:szCs w:val="20"/>
        </w:rPr>
        <w:t xml:space="preserve">10. </w:t>
      </w:r>
      <w:r>
        <w:rPr>
          <w:sz w:val="20"/>
          <w:szCs w:val="20"/>
          <w:u w:val="single"/>
        </w:rPr>
        <w:t>Employee Stock Compensation Plans:</w:t>
      </w:r>
    </w:p>
    <w:p w14:paraId="663CE028" w14:textId="77777777" w:rsidR="00000000" w:rsidRDefault="0015578C">
      <w:pPr>
        <w:pStyle w:val="a3"/>
        <w:spacing w:before="0" w:beforeAutospacing="0" w:after="0" w:afterAutospacing="0"/>
        <w:jc w:val="both"/>
        <w:rPr>
          <w:sz w:val="20"/>
          <w:szCs w:val="20"/>
        </w:rPr>
      </w:pPr>
      <w:r>
        <w:rPr>
          <w:sz w:val="20"/>
          <w:szCs w:val="20"/>
        </w:rPr>
        <w:t> </w:t>
      </w:r>
    </w:p>
    <w:p w14:paraId="4870525F" w14:textId="77777777" w:rsidR="00000000" w:rsidRDefault="0015578C">
      <w:pPr>
        <w:pStyle w:val="a3"/>
        <w:spacing w:before="0" w:beforeAutospacing="0" w:after="0" w:afterAutospacing="0"/>
        <w:ind w:firstLine="675"/>
        <w:jc w:val="both"/>
        <w:rPr>
          <w:sz w:val="20"/>
          <w:szCs w:val="20"/>
        </w:rPr>
      </w:pPr>
      <w:r>
        <w:rPr>
          <w:sz w:val="20"/>
          <w:szCs w:val="20"/>
        </w:rPr>
        <w:t xml:space="preserve">On June 18, 2013, </w:t>
      </w:r>
      <w:r>
        <w:rPr>
          <w:sz w:val="20"/>
          <w:szCs w:val="20"/>
        </w:rPr>
        <w:t>Solitario’s shareholders approved the Solitario Exploration &amp; Royalty Corp. Omnibus Stock Incentive Plan (the “2013 Plan”). Under the terms of the 2013 Plan, as amended, a total of 5,750,000 shares of Solitario common stock are reserved for awards to direc</w:t>
      </w:r>
      <w:r>
        <w:rPr>
          <w:sz w:val="20"/>
          <w:szCs w:val="20"/>
        </w:rPr>
        <w:t xml:space="preserve">tors, officers, employees and consultants. Awards granted under the 2013 Plan may take the form of stock options, stock appreciation rights, restricted stock, and restricted stock units. The terms and conditions of the awards are pursuant to the 2013 Plan </w:t>
      </w:r>
      <w:r>
        <w:rPr>
          <w:sz w:val="20"/>
          <w:szCs w:val="20"/>
        </w:rPr>
        <w:t>and are granted by the Board of Directors or a committee appointed by the Board of Directors.</w:t>
      </w:r>
    </w:p>
    <w:p w14:paraId="1814D94F" w14:textId="77777777" w:rsidR="00000000" w:rsidRDefault="0015578C">
      <w:pPr>
        <w:pStyle w:val="a3"/>
        <w:spacing w:before="0" w:beforeAutospacing="0" w:after="0" w:afterAutospacing="0"/>
        <w:jc w:val="both"/>
        <w:rPr>
          <w:sz w:val="20"/>
          <w:szCs w:val="20"/>
        </w:rPr>
      </w:pPr>
      <w:r>
        <w:rPr>
          <w:sz w:val="20"/>
          <w:szCs w:val="20"/>
        </w:rPr>
        <w:t> </w:t>
      </w:r>
    </w:p>
    <w:p w14:paraId="72E17A85" w14:textId="77777777" w:rsidR="00000000" w:rsidRDefault="0015578C">
      <w:pPr>
        <w:pStyle w:val="a3"/>
        <w:spacing w:before="0" w:beforeAutospacing="0" w:after="0" w:afterAutospacing="0"/>
        <w:jc w:val="both"/>
        <w:rPr>
          <w:sz w:val="20"/>
          <w:szCs w:val="20"/>
        </w:rPr>
      </w:pPr>
      <w:r>
        <w:rPr>
          <w:sz w:val="20"/>
          <w:szCs w:val="20"/>
        </w:rPr>
        <w:t>a.) 2013 Plan stock option grants</w:t>
      </w:r>
    </w:p>
    <w:p w14:paraId="4F2643D1" w14:textId="77777777" w:rsidR="00000000" w:rsidRDefault="0015578C">
      <w:pPr>
        <w:pStyle w:val="a3"/>
        <w:spacing w:before="0" w:beforeAutospacing="0" w:after="0" w:afterAutospacing="0"/>
        <w:jc w:val="both"/>
        <w:rPr>
          <w:sz w:val="20"/>
          <w:szCs w:val="20"/>
        </w:rPr>
      </w:pPr>
      <w:r>
        <w:rPr>
          <w:sz w:val="20"/>
          <w:szCs w:val="20"/>
        </w:rPr>
        <w:t> </w:t>
      </w:r>
    </w:p>
    <w:p w14:paraId="0A047A60" w14:textId="77777777" w:rsidR="00000000" w:rsidRDefault="0015578C">
      <w:pPr>
        <w:pStyle w:val="a3"/>
        <w:spacing w:before="0" w:beforeAutospacing="0" w:after="0" w:afterAutospacing="0"/>
        <w:ind w:firstLine="675"/>
        <w:jc w:val="both"/>
        <w:rPr>
          <w:sz w:val="20"/>
          <w:szCs w:val="20"/>
        </w:rPr>
      </w:pPr>
      <w:r>
        <w:rPr>
          <w:sz w:val="20"/>
          <w:szCs w:val="20"/>
        </w:rPr>
        <w:t>The following table shows the grant date fair value of Solitario’s awards during 2022 and 2021 pursuant to the 2013 Plan:</w:t>
      </w:r>
    </w:p>
    <w:p w14:paraId="68D7795B"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011"/>
        <w:gridCol w:w="80"/>
        <w:gridCol w:w="130"/>
        <w:gridCol w:w="830"/>
        <w:gridCol w:w="197"/>
        <w:gridCol w:w="80"/>
        <w:gridCol w:w="130"/>
        <w:gridCol w:w="594"/>
        <w:gridCol w:w="197"/>
        <w:gridCol w:w="80"/>
        <w:gridCol w:w="130"/>
        <w:gridCol w:w="635"/>
        <w:gridCol w:w="212"/>
      </w:tblGrid>
      <w:tr w:rsidR="00000000" w14:paraId="38481449" w14:textId="77777777">
        <w:trPr>
          <w:trHeight w:val="225"/>
          <w:tblCellSpacing w:w="15" w:type="dxa"/>
        </w:trPr>
        <w:tc>
          <w:tcPr>
            <w:tcW w:w="0" w:type="auto"/>
            <w:tcBorders>
              <w:bottom w:val="single" w:sz="6" w:space="0" w:color="auto"/>
            </w:tcBorders>
            <w:vAlign w:val="bottom"/>
            <w:hideMark/>
          </w:tcPr>
          <w:p w14:paraId="2D579903" w14:textId="77777777" w:rsidR="00000000" w:rsidRDefault="0015578C">
            <w:pPr>
              <w:pStyle w:val="a3"/>
              <w:spacing w:before="0" w:beforeAutospacing="0" w:after="0" w:afterAutospacing="0"/>
              <w:jc w:val="both"/>
              <w:rPr>
                <w:sz w:val="20"/>
                <w:szCs w:val="20"/>
              </w:rPr>
            </w:pPr>
            <w:r>
              <w:rPr>
                <w:sz w:val="20"/>
                <w:szCs w:val="20"/>
              </w:rPr>
              <w:t>Grant Date</w:t>
            </w:r>
          </w:p>
        </w:tc>
        <w:tc>
          <w:tcPr>
            <w:tcW w:w="0" w:type="auto"/>
            <w:noWrap/>
            <w:vAlign w:val="center"/>
            <w:hideMark/>
          </w:tcPr>
          <w:p w14:paraId="1495D2B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2C1B363" w14:textId="77777777" w:rsidR="00000000" w:rsidRDefault="0015578C">
            <w:pPr>
              <w:pStyle w:val="a3"/>
              <w:spacing w:before="0" w:beforeAutospacing="0" w:after="0" w:afterAutospacing="0"/>
              <w:jc w:val="center"/>
              <w:rPr>
                <w:sz w:val="20"/>
                <w:szCs w:val="20"/>
              </w:rPr>
            </w:pPr>
            <w:r>
              <w:rPr>
                <w:sz w:val="20"/>
                <w:szCs w:val="20"/>
              </w:rPr>
              <w:t>9/8/22 (1)</w:t>
            </w:r>
          </w:p>
        </w:tc>
        <w:tc>
          <w:tcPr>
            <w:tcW w:w="0" w:type="auto"/>
            <w:noWrap/>
            <w:tcMar>
              <w:top w:w="0" w:type="dxa"/>
              <w:left w:w="0" w:type="dxa"/>
              <w:bottom w:w="15" w:type="dxa"/>
              <w:right w:w="0" w:type="dxa"/>
            </w:tcMar>
            <w:vAlign w:val="center"/>
            <w:hideMark/>
          </w:tcPr>
          <w:p w14:paraId="6C0BAEE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742FC17"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7FCDBC2B" w14:textId="77777777" w:rsidR="00000000" w:rsidRDefault="0015578C">
            <w:pPr>
              <w:pStyle w:val="a3"/>
              <w:spacing w:before="0" w:beforeAutospacing="0" w:after="0" w:afterAutospacing="0"/>
              <w:jc w:val="center"/>
              <w:rPr>
                <w:sz w:val="20"/>
                <w:szCs w:val="20"/>
              </w:rPr>
            </w:pPr>
            <w:r>
              <w:rPr>
                <w:sz w:val="20"/>
                <w:szCs w:val="20"/>
              </w:rPr>
              <w:t>5/5/21 (1)</w:t>
            </w:r>
          </w:p>
        </w:tc>
        <w:tc>
          <w:tcPr>
            <w:tcW w:w="0" w:type="auto"/>
            <w:noWrap/>
            <w:tcMar>
              <w:top w:w="0" w:type="dxa"/>
              <w:left w:w="0" w:type="dxa"/>
              <w:bottom w:w="15" w:type="dxa"/>
              <w:right w:w="0" w:type="dxa"/>
            </w:tcMar>
            <w:vAlign w:val="center"/>
            <w:hideMark/>
          </w:tcPr>
          <w:p w14:paraId="12B8B835"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37F8306"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14:paraId="5DD258BE" w14:textId="77777777" w:rsidR="00000000" w:rsidRDefault="0015578C">
            <w:pPr>
              <w:pStyle w:val="a3"/>
              <w:spacing w:before="0" w:beforeAutospacing="0" w:after="0" w:afterAutospacing="0"/>
              <w:jc w:val="center"/>
              <w:rPr>
                <w:sz w:val="20"/>
                <w:szCs w:val="20"/>
              </w:rPr>
            </w:pPr>
            <w:r>
              <w:rPr>
                <w:sz w:val="20"/>
                <w:szCs w:val="20"/>
              </w:rPr>
              <w:t>6/10/21 (1)</w:t>
            </w:r>
          </w:p>
        </w:tc>
        <w:tc>
          <w:tcPr>
            <w:tcW w:w="0" w:type="auto"/>
            <w:noWrap/>
            <w:tcMar>
              <w:top w:w="0" w:type="dxa"/>
              <w:left w:w="0" w:type="dxa"/>
              <w:bottom w:w="15" w:type="dxa"/>
              <w:right w:w="0" w:type="dxa"/>
            </w:tcMar>
            <w:vAlign w:val="center"/>
            <w:hideMark/>
          </w:tcPr>
          <w:p w14:paraId="69A34983" w14:textId="77777777" w:rsidR="00000000" w:rsidRDefault="0015578C">
            <w:pPr>
              <w:pStyle w:val="a3"/>
              <w:spacing w:before="0" w:beforeAutospacing="0" w:after="0" w:afterAutospacing="0"/>
              <w:rPr>
                <w:sz w:val="20"/>
                <w:szCs w:val="20"/>
              </w:rPr>
            </w:pPr>
            <w:r>
              <w:rPr>
                <w:sz w:val="20"/>
                <w:szCs w:val="20"/>
              </w:rPr>
              <w:t> </w:t>
            </w:r>
          </w:p>
        </w:tc>
      </w:tr>
      <w:tr w:rsidR="00000000" w14:paraId="7044F9C8" w14:textId="77777777">
        <w:trPr>
          <w:trHeight w:val="225"/>
          <w:tblCellSpacing w:w="15" w:type="dxa"/>
        </w:trPr>
        <w:tc>
          <w:tcPr>
            <w:tcW w:w="0" w:type="auto"/>
            <w:shd w:val="clear" w:color="auto" w:fill="CCEEFF"/>
            <w:hideMark/>
          </w:tcPr>
          <w:p w14:paraId="403F0B5D" w14:textId="77777777" w:rsidR="00000000" w:rsidRDefault="0015578C">
            <w:pPr>
              <w:pStyle w:val="a3"/>
              <w:spacing w:before="0" w:beforeAutospacing="0" w:after="0" w:afterAutospacing="0"/>
              <w:rPr>
                <w:sz w:val="20"/>
                <w:szCs w:val="20"/>
              </w:rPr>
            </w:pPr>
            <w:r>
              <w:rPr>
                <w:sz w:val="20"/>
                <w:szCs w:val="20"/>
              </w:rPr>
              <w:t>Option – grant date price</w:t>
            </w:r>
          </w:p>
        </w:tc>
        <w:tc>
          <w:tcPr>
            <w:tcW w:w="50" w:type="pct"/>
            <w:shd w:val="clear" w:color="auto" w:fill="CCEEFF"/>
            <w:noWrap/>
            <w:vAlign w:val="center"/>
            <w:hideMark/>
          </w:tcPr>
          <w:p w14:paraId="4DA3B64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C94337C"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C87DB48" w14:textId="77777777" w:rsidR="00000000" w:rsidRDefault="0015578C">
            <w:pPr>
              <w:jc w:val="right"/>
              <w:rPr>
                <w:rFonts w:eastAsia="Times New Roman"/>
                <w:sz w:val="20"/>
                <w:szCs w:val="20"/>
              </w:rPr>
            </w:pPr>
            <w:r>
              <w:rPr>
                <w:rFonts w:eastAsia="Times New Roman"/>
                <w:sz w:val="20"/>
                <w:szCs w:val="20"/>
              </w:rPr>
              <w:t>0.60</w:t>
            </w:r>
          </w:p>
        </w:tc>
        <w:tc>
          <w:tcPr>
            <w:tcW w:w="50" w:type="pct"/>
            <w:shd w:val="clear" w:color="auto" w:fill="CCEEFF"/>
            <w:noWrap/>
            <w:vAlign w:val="center"/>
            <w:hideMark/>
          </w:tcPr>
          <w:p w14:paraId="02F4650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4D55BF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383708ED"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5E3B00" w14:textId="77777777" w:rsidR="00000000" w:rsidRDefault="0015578C">
            <w:pPr>
              <w:jc w:val="right"/>
              <w:rPr>
                <w:rFonts w:eastAsia="Times New Roman"/>
                <w:sz w:val="20"/>
                <w:szCs w:val="20"/>
              </w:rPr>
            </w:pPr>
            <w:r>
              <w:rPr>
                <w:rFonts w:eastAsia="Times New Roman"/>
                <w:sz w:val="20"/>
                <w:szCs w:val="20"/>
              </w:rPr>
              <w:t>0.67</w:t>
            </w:r>
          </w:p>
        </w:tc>
        <w:tc>
          <w:tcPr>
            <w:tcW w:w="50" w:type="pct"/>
            <w:shd w:val="clear" w:color="auto" w:fill="CCEEFF"/>
            <w:noWrap/>
            <w:vAlign w:val="center"/>
            <w:hideMark/>
          </w:tcPr>
          <w:p w14:paraId="640A2CB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563424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BF25BAE"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BB423EA" w14:textId="77777777" w:rsidR="00000000" w:rsidRDefault="0015578C">
            <w:pPr>
              <w:jc w:val="right"/>
              <w:rPr>
                <w:rFonts w:eastAsia="Times New Roman"/>
                <w:sz w:val="20"/>
                <w:szCs w:val="20"/>
              </w:rPr>
            </w:pPr>
            <w:r>
              <w:rPr>
                <w:rFonts w:eastAsia="Times New Roman"/>
                <w:sz w:val="20"/>
                <w:szCs w:val="20"/>
              </w:rPr>
              <w:t>0.69</w:t>
            </w:r>
          </w:p>
        </w:tc>
        <w:tc>
          <w:tcPr>
            <w:tcW w:w="50" w:type="pct"/>
            <w:shd w:val="clear" w:color="auto" w:fill="CCEEFF"/>
            <w:noWrap/>
            <w:vAlign w:val="center"/>
            <w:hideMark/>
          </w:tcPr>
          <w:p w14:paraId="68D28BAA" w14:textId="77777777" w:rsidR="00000000" w:rsidRDefault="0015578C">
            <w:pPr>
              <w:pStyle w:val="a3"/>
              <w:spacing w:before="0" w:beforeAutospacing="0" w:after="0" w:afterAutospacing="0"/>
              <w:rPr>
                <w:sz w:val="20"/>
                <w:szCs w:val="20"/>
              </w:rPr>
            </w:pPr>
            <w:r>
              <w:rPr>
                <w:sz w:val="20"/>
                <w:szCs w:val="20"/>
              </w:rPr>
              <w:t> </w:t>
            </w:r>
          </w:p>
        </w:tc>
      </w:tr>
      <w:tr w:rsidR="00000000" w14:paraId="3BC9AA7D" w14:textId="77777777">
        <w:trPr>
          <w:trHeight w:val="225"/>
          <w:tblCellSpacing w:w="15" w:type="dxa"/>
        </w:trPr>
        <w:tc>
          <w:tcPr>
            <w:tcW w:w="0" w:type="auto"/>
            <w:shd w:val="clear" w:color="auto" w:fill="FFFFFF"/>
            <w:hideMark/>
          </w:tcPr>
          <w:p w14:paraId="212F659E" w14:textId="77777777" w:rsidR="00000000" w:rsidRDefault="0015578C">
            <w:pPr>
              <w:pStyle w:val="a3"/>
              <w:spacing w:before="0" w:beforeAutospacing="0" w:after="0" w:afterAutospacing="0"/>
              <w:rPr>
                <w:sz w:val="20"/>
                <w:szCs w:val="20"/>
              </w:rPr>
            </w:pPr>
            <w:r>
              <w:rPr>
                <w:sz w:val="20"/>
                <w:szCs w:val="20"/>
              </w:rPr>
              <w:t xml:space="preserve">Options granted </w:t>
            </w:r>
          </w:p>
        </w:tc>
        <w:tc>
          <w:tcPr>
            <w:tcW w:w="50" w:type="pct"/>
            <w:shd w:val="clear" w:color="auto" w:fill="FFFFFF"/>
            <w:noWrap/>
            <w:vAlign w:val="center"/>
            <w:hideMark/>
          </w:tcPr>
          <w:p w14:paraId="325A30E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9129A8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69BE347B" w14:textId="77777777" w:rsidR="00000000" w:rsidRDefault="0015578C">
            <w:pPr>
              <w:jc w:val="right"/>
              <w:rPr>
                <w:rFonts w:eastAsia="Times New Roman"/>
                <w:sz w:val="20"/>
                <w:szCs w:val="20"/>
              </w:rPr>
            </w:pPr>
            <w:r>
              <w:rPr>
                <w:rFonts w:eastAsia="Times New Roman"/>
                <w:sz w:val="20"/>
                <w:szCs w:val="20"/>
              </w:rPr>
              <w:t>2,360,000</w:t>
            </w:r>
          </w:p>
        </w:tc>
        <w:tc>
          <w:tcPr>
            <w:tcW w:w="50" w:type="pct"/>
            <w:shd w:val="clear" w:color="auto" w:fill="FFFFFF"/>
            <w:noWrap/>
            <w:vAlign w:val="center"/>
            <w:hideMark/>
          </w:tcPr>
          <w:p w14:paraId="40F048E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D2A515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B7F34A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1A138712" w14:textId="77777777" w:rsidR="00000000" w:rsidRDefault="0015578C">
            <w:pPr>
              <w:jc w:val="right"/>
              <w:rPr>
                <w:rFonts w:eastAsia="Times New Roman"/>
                <w:sz w:val="20"/>
                <w:szCs w:val="20"/>
              </w:rPr>
            </w:pPr>
            <w:r>
              <w:rPr>
                <w:rFonts w:eastAsia="Times New Roman"/>
                <w:sz w:val="20"/>
                <w:szCs w:val="20"/>
              </w:rPr>
              <w:t>90,000</w:t>
            </w:r>
          </w:p>
        </w:tc>
        <w:tc>
          <w:tcPr>
            <w:tcW w:w="50" w:type="pct"/>
            <w:shd w:val="clear" w:color="auto" w:fill="FFFFFF"/>
            <w:noWrap/>
            <w:vAlign w:val="center"/>
            <w:hideMark/>
          </w:tcPr>
          <w:p w14:paraId="7A316AF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4E0A29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8CABBF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24991020" w14:textId="77777777" w:rsidR="00000000" w:rsidRDefault="0015578C">
            <w:pPr>
              <w:jc w:val="right"/>
              <w:rPr>
                <w:rFonts w:eastAsia="Times New Roman"/>
                <w:sz w:val="20"/>
                <w:szCs w:val="20"/>
              </w:rPr>
            </w:pPr>
            <w:r>
              <w:rPr>
                <w:rFonts w:eastAsia="Times New Roman"/>
                <w:sz w:val="20"/>
                <w:szCs w:val="20"/>
              </w:rPr>
              <w:t>50,000</w:t>
            </w:r>
          </w:p>
        </w:tc>
        <w:tc>
          <w:tcPr>
            <w:tcW w:w="50" w:type="pct"/>
            <w:shd w:val="clear" w:color="auto" w:fill="FFFFFF"/>
            <w:noWrap/>
            <w:vAlign w:val="center"/>
            <w:hideMark/>
          </w:tcPr>
          <w:p w14:paraId="1F0C73F8" w14:textId="77777777" w:rsidR="00000000" w:rsidRDefault="0015578C">
            <w:pPr>
              <w:pStyle w:val="a3"/>
              <w:spacing w:before="0" w:beforeAutospacing="0" w:after="0" w:afterAutospacing="0"/>
              <w:rPr>
                <w:sz w:val="20"/>
                <w:szCs w:val="20"/>
              </w:rPr>
            </w:pPr>
            <w:r>
              <w:rPr>
                <w:sz w:val="20"/>
                <w:szCs w:val="20"/>
              </w:rPr>
              <w:t> </w:t>
            </w:r>
          </w:p>
        </w:tc>
      </w:tr>
      <w:tr w:rsidR="00000000" w14:paraId="4015F274" w14:textId="77777777">
        <w:trPr>
          <w:trHeight w:val="225"/>
          <w:tblCellSpacing w:w="15" w:type="dxa"/>
        </w:trPr>
        <w:tc>
          <w:tcPr>
            <w:tcW w:w="0" w:type="auto"/>
            <w:shd w:val="clear" w:color="auto" w:fill="CCEEFF"/>
            <w:hideMark/>
          </w:tcPr>
          <w:p w14:paraId="429E5C7F" w14:textId="77777777" w:rsidR="00000000" w:rsidRDefault="0015578C">
            <w:pPr>
              <w:pStyle w:val="a3"/>
              <w:spacing w:before="0" w:beforeAutospacing="0" w:after="0" w:afterAutospacing="0"/>
              <w:rPr>
                <w:sz w:val="20"/>
                <w:szCs w:val="20"/>
              </w:rPr>
            </w:pPr>
            <w:r>
              <w:rPr>
                <w:sz w:val="20"/>
                <w:szCs w:val="20"/>
              </w:rPr>
              <w:t>Expected life years</w:t>
            </w:r>
          </w:p>
        </w:tc>
        <w:tc>
          <w:tcPr>
            <w:tcW w:w="50" w:type="pct"/>
            <w:shd w:val="clear" w:color="auto" w:fill="CCEEFF"/>
            <w:noWrap/>
            <w:vAlign w:val="center"/>
            <w:hideMark/>
          </w:tcPr>
          <w:p w14:paraId="504F3AD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924279"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80CDE0C" w14:textId="77777777" w:rsidR="00000000" w:rsidRDefault="0015578C">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14:paraId="10AF2DC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B7C06B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01A184F"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4235E47" w14:textId="77777777" w:rsidR="00000000" w:rsidRDefault="0015578C">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14:paraId="2BE4798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716D83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2712A84"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A78EBE3" w14:textId="77777777" w:rsidR="00000000" w:rsidRDefault="0015578C">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14:paraId="5BFE2673" w14:textId="77777777" w:rsidR="00000000" w:rsidRDefault="0015578C">
            <w:pPr>
              <w:pStyle w:val="a3"/>
              <w:spacing w:before="0" w:beforeAutospacing="0" w:after="0" w:afterAutospacing="0"/>
              <w:rPr>
                <w:sz w:val="20"/>
                <w:szCs w:val="20"/>
              </w:rPr>
            </w:pPr>
            <w:r>
              <w:rPr>
                <w:sz w:val="20"/>
                <w:szCs w:val="20"/>
              </w:rPr>
              <w:t> </w:t>
            </w:r>
          </w:p>
        </w:tc>
      </w:tr>
      <w:tr w:rsidR="00000000" w14:paraId="14FE0B3F" w14:textId="77777777">
        <w:trPr>
          <w:trHeight w:val="225"/>
          <w:tblCellSpacing w:w="15" w:type="dxa"/>
        </w:trPr>
        <w:tc>
          <w:tcPr>
            <w:tcW w:w="0" w:type="auto"/>
            <w:shd w:val="clear" w:color="auto" w:fill="FFFFFF"/>
            <w:hideMark/>
          </w:tcPr>
          <w:p w14:paraId="25031C77" w14:textId="77777777" w:rsidR="00000000" w:rsidRDefault="0015578C">
            <w:pPr>
              <w:pStyle w:val="a3"/>
              <w:spacing w:before="0" w:beforeAutospacing="0" w:after="0" w:afterAutospacing="0"/>
              <w:rPr>
                <w:sz w:val="20"/>
                <w:szCs w:val="20"/>
              </w:rPr>
            </w:pPr>
            <w:r>
              <w:rPr>
                <w:sz w:val="20"/>
                <w:szCs w:val="20"/>
              </w:rPr>
              <w:t xml:space="preserve">Expected volatility </w:t>
            </w:r>
          </w:p>
        </w:tc>
        <w:tc>
          <w:tcPr>
            <w:tcW w:w="50" w:type="pct"/>
            <w:shd w:val="clear" w:color="auto" w:fill="FFFFFF"/>
            <w:noWrap/>
            <w:vAlign w:val="center"/>
            <w:hideMark/>
          </w:tcPr>
          <w:p w14:paraId="0367D04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0AE25D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73EE47C0" w14:textId="77777777" w:rsidR="00000000" w:rsidRDefault="0015578C">
            <w:pPr>
              <w:jc w:val="right"/>
              <w:rPr>
                <w:rFonts w:eastAsia="Times New Roman"/>
                <w:sz w:val="20"/>
                <w:szCs w:val="20"/>
              </w:rPr>
            </w:pPr>
            <w:r>
              <w:rPr>
                <w:rFonts w:eastAsia="Times New Roman"/>
                <w:sz w:val="20"/>
                <w:szCs w:val="20"/>
              </w:rPr>
              <w:t>73</w:t>
            </w:r>
          </w:p>
        </w:tc>
        <w:tc>
          <w:tcPr>
            <w:tcW w:w="50" w:type="pct"/>
            <w:shd w:val="clear" w:color="auto" w:fill="FFFFFF"/>
            <w:noWrap/>
            <w:vAlign w:val="bottom"/>
            <w:hideMark/>
          </w:tcPr>
          <w:p w14:paraId="174375C2"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1209414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8195A25"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4FA3F6C3" w14:textId="77777777" w:rsidR="00000000" w:rsidRDefault="0015578C">
            <w:pPr>
              <w:jc w:val="right"/>
              <w:rPr>
                <w:rFonts w:eastAsia="Times New Roman"/>
                <w:sz w:val="20"/>
                <w:szCs w:val="20"/>
              </w:rPr>
            </w:pPr>
            <w:r>
              <w:rPr>
                <w:rFonts w:eastAsia="Times New Roman"/>
                <w:sz w:val="20"/>
                <w:szCs w:val="20"/>
              </w:rPr>
              <w:t>76</w:t>
            </w:r>
          </w:p>
        </w:tc>
        <w:tc>
          <w:tcPr>
            <w:tcW w:w="50" w:type="pct"/>
            <w:shd w:val="clear" w:color="auto" w:fill="FFFFFF"/>
            <w:noWrap/>
            <w:vAlign w:val="bottom"/>
            <w:hideMark/>
          </w:tcPr>
          <w:p w14:paraId="603E6EF4"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563377D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F89F802"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3AFC2A56" w14:textId="77777777" w:rsidR="00000000" w:rsidRDefault="0015578C">
            <w:pPr>
              <w:jc w:val="right"/>
              <w:rPr>
                <w:rFonts w:eastAsia="Times New Roman"/>
                <w:sz w:val="20"/>
                <w:szCs w:val="20"/>
              </w:rPr>
            </w:pPr>
            <w:r>
              <w:rPr>
                <w:rFonts w:eastAsia="Times New Roman"/>
                <w:sz w:val="20"/>
                <w:szCs w:val="20"/>
              </w:rPr>
              <w:t>76</w:t>
            </w:r>
          </w:p>
        </w:tc>
        <w:tc>
          <w:tcPr>
            <w:tcW w:w="50" w:type="pct"/>
            <w:shd w:val="clear" w:color="auto" w:fill="FFFFFF"/>
            <w:noWrap/>
            <w:vAlign w:val="bottom"/>
            <w:hideMark/>
          </w:tcPr>
          <w:p w14:paraId="76F0F543" w14:textId="77777777" w:rsidR="00000000" w:rsidRDefault="0015578C">
            <w:pPr>
              <w:rPr>
                <w:rFonts w:eastAsia="Times New Roman"/>
                <w:sz w:val="20"/>
                <w:szCs w:val="20"/>
              </w:rPr>
            </w:pPr>
            <w:r>
              <w:rPr>
                <w:rFonts w:eastAsia="Times New Roman"/>
                <w:sz w:val="20"/>
                <w:szCs w:val="20"/>
              </w:rPr>
              <w:t>%</w:t>
            </w:r>
          </w:p>
        </w:tc>
      </w:tr>
      <w:tr w:rsidR="00000000" w14:paraId="0DF1FD71" w14:textId="77777777">
        <w:trPr>
          <w:trHeight w:val="225"/>
          <w:tblCellSpacing w:w="15" w:type="dxa"/>
        </w:trPr>
        <w:tc>
          <w:tcPr>
            <w:tcW w:w="0" w:type="auto"/>
            <w:shd w:val="clear" w:color="auto" w:fill="CCEEFF"/>
            <w:hideMark/>
          </w:tcPr>
          <w:p w14:paraId="710225C2" w14:textId="77777777" w:rsidR="00000000" w:rsidRDefault="0015578C">
            <w:pPr>
              <w:pStyle w:val="a3"/>
              <w:spacing w:before="0" w:beforeAutospacing="0" w:after="0" w:afterAutospacing="0"/>
              <w:rPr>
                <w:sz w:val="20"/>
                <w:szCs w:val="20"/>
              </w:rPr>
            </w:pPr>
            <w:r>
              <w:rPr>
                <w:sz w:val="20"/>
                <w:szCs w:val="20"/>
              </w:rPr>
              <w:t>Risk free interest rate</w:t>
            </w:r>
          </w:p>
        </w:tc>
        <w:tc>
          <w:tcPr>
            <w:tcW w:w="50" w:type="pct"/>
            <w:shd w:val="clear" w:color="auto" w:fill="CCEEFF"/>
            <w:noWrap/>
            <w:vAlign w:val="center"/>
            <w:hideMark/>
          </w:tcPr>
          <w:p w14:paraId="7A6F745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0CE368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20F5AB9" w14:textId="77777777" w:rsidR="00000000" w:rsidRDefault="0015578C">
            <w:pPr>
              <w:jc w:val="right"/>
              <w:rPr>
                <w:rFonts w:eastAsia="Times New Roman"/>
                <w:sz w:val="20"/>
                <w:szCs w:val="20"/>
              </w:rPr>
            </w:pPr>
            <w:r>
              <w:rPr>
                <w:rFonts w:eastAsia="Times New Roman"/>
                <w:sz w:val="20"/>
                <w:szCs w:val="20"/>
              </w:rPr>
              <w:t>3.4</w:t>
            </w:r>
          </w:p>
        </w:tc>
        <w:tc>
          <w:tcPr>
            <w:tcW w:w="50" w:type="pct"/>
            <w:shd w:val="clear" w:color="auto" w:fill="CCEEFF"/>
            <w:noWrap/>
            <w:vAlign w:val="bottom"/>
            <w:hideMark/>
          </w:tcPr>
          <w:p w14:paraId="42183815"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362C656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03B103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4E9C1C1" w14:textId="77777777" w:rsidR="00000000" w:rsidRDefault="0015578C">
            <w:pPr>
              <w:jc w:val="right"/>
              <w:rPr>
                <w:rFonts w:eastAsia="Times New Roman"/>
                <w:sz w:val="20"/>
                <w:szCs w:val="20"/>
              </w:rPr>
            </w:pPr>
            <w:r>
              <w:rPr>
                <w:rFonts w:eastAsia="Times New Roman"/>
                <w:sz w:val="20"/>
                <w:szCs w:val="20"/>
              </w:rPr>
              <w:t>0.9</w:t>
            </w:r>
          </w:p>
        </w:tc>
        <w:tc>
          <w:tcPr>
            <w:tcW w:w="50" w:type="pct"/>
            <w:shd w:val="clear" w:color="auto" w:fill="CCEEFF"/>
            <w:noWrap/>
            <w:vAlign w:val="bottom"/>
            <w:hideMark/>
          </w:tcPr>
          <w:p w14:paraId="26BAF6A9"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6D957A4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A81ABB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7BA4AFB1" w14:textId="77777777" w:rsidR="00000000" w:rsidRDefault="0015578C">
            <w:pPr>
              <w:jc w:val="right"/>
              <w:rPr>
                <w:rFonts w:eastAsia="Times New Roman"/>
                <w:sz w:val="20"/>
                <w:szCs w:val="20"/>
              </w:rPr>
            </w:pPr>
            <w:r>
              <w:rPr>
                <w:rFonts w:eastAsia="Times New Roman"/>
                <w:sz w:val="20"/>
                <w:szCs w:val="20"/>
              </w:rPr>
              <w:t>0.9</w:t>
            </w:r>
          </w:p>
        </w:tc>
        <w:tc>
          <w:tcPr>
            <w:tcW w:w="50" w:type="pct"/>
            <w:shd w:val="clear" w:color="auto" w:fill="CCEEFF"/>
            <w:noWrap/>
            <w:vAlign w:val="bottom"/>
            <w:hideMark/>
          </w:tcPr>
          <w:p w14:paraId="77F505F2" w14:textId="77777777" w:rsidR="00000000" w:rsidRDefault="0015578C">
            <w:pPr>
              <w:rPr>
                <w:rFonts w:eastAsia="Times New Roman"/>
                <w:sz w:val="20"/>
                <w:szCs w:val="20"/>
              </w:rPr>
            </w:pPr>
            <w:r>
              <w:rPr>
                <w:rFonts w:eastAsia="Times New Roman"/>
                <w:sz w:val="20"/>
                <w:szCs w:val="20"/>
              </w:rPr>
              <w:t>%</w:t>
            </w:r>
          </w:p>
        </w:tc>
      </w:tr>
      <w:tr w:rsidR="00000000" w14:paraId="2796EB6D" w14:textId="77777777">
        <w:trPr>
          <w:trHeight w:val="225"/>
          <w:tblCellSpacing w:w="15" w:type="dxa"/>
        </w:trPr>
        <w:tc>
          <w:tcPr>
            <w:tcW w:w="0" w:type="auto"/>
            <w:shd w:val="clear" w:color="auto" w:fill="FFFFFF"/>
            <w:hideMark/>
          </w:tcPr>
          <w:p w14:paraId="17949A84" w14:textId="77777777" w:rsidR="00000000" w:rsidRDefault="0015578C">
            <w:pPr>
              <w:pStyle w:val="a3"/>
              <w:spacing w:before="0" w:beforeAutospacing="0" w:after="0" w:afterAutospacing="0"/>
              <w:rPr>
                <w:sz w:val="20"/>
                <w:szCs w:val="20"/>
              </w:rPr>
            </w:pPr>
            <w:r>
              <w:rPr>
                <w:sz w:val="20"/>
                <w:szCs w:val="20"/>
              </w:rPr>
              <w:t xml:space="preserve">Weighted average fair value </w:t>
            </w:r>
          </w:p>
        </w:tc>
        <w:tc>
          <w:tcPr>
            <w:tcW w:w="50" w:type="pct"/>
            <w:shd w:val="clear" w:color="auto" w:fill="FFFFFF"/>
            <w:noWrap/>
            <w:vAlign w:val="center"/>
            <w:hideMark/>
          </w:tcPr>
          <w:p w14:paraId="3AF871D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68347F00"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40F915CA" w14:textId="77777777" w:rsidR="00000000" w:rsidRDefault="0015578C">
            <w:pPr>
              <w:jc w:val="right"/>
              <w:rPr>
                <w:rFonts w:eastAsia="Times New Roman"/>
                <w:sz w:val="20"/>
                <w:szCs w:val="20"/>
              </w:rPr>
            </w:pPr>
            <w:r>
              <w:rPr>
                <w:rFonts w:eastAsia="Times New Roman"/>
                <w:sz w:val="20"/>
                <w:szCs w:val="20"/>
              </w:rPr>
              <w:t>0.37</w:t>
            </w:r>
          </w:p>
        </w:tc>
        <w:tc>
          <w:tcPr>
            <w:tcW w:w="50" w:type="pct"/>
            <w:shd w:val="clear" w:color="auto" w:fill="FFFFFF"/>
            <w:noWrap/>
            <w:vAlign w:val="center"/>
            <w:hideMark/>
          </w:tcPr>
          <w:p w14:paraId="2EC5CAB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4FE8A4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640B7752"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26ED612D" w14:textId="77777777" w:rsidR="00000000" w:rsidRDefault="0015578C">
            <w:pPr>
              <w:jc w:val="right"/>
              <w:rPr>
                <w:rFonts w:eastAsia="Times New Roman"/>
                <w:sz w:val="20"/>
                <w:szCs w:val="20"/>
              </w:rPr>
            </w:pPr>
            <w:r>
              <w:rPr>
                <w:rFonts w:eastAsia="Times New Roman"/>
                <w:sz w:val="20"/>
                <w:szCs w:val="20"/>
              </w:rPr>
              <w:t>0.41</w:t>
            </w:r>
          </w:p>
        </w:tc>
        <w:tc>
          <w:tcPr>
            <w:tcW w:w="50" w:type="pct"/>
            <w:shd w:val="clear" w:color="auto" w:fill="FFFFFF"/>
            <w:noWrap/>
            <w:vAlign w:val="center"/>
            <w:hideMark/>
          </w:tcPr>
          <w:p w14:paraId="7BB5D3C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989C69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059383B8" w14:textId="77777777" w:rsidR="00000000" w:rsidRDefault="0015578C">
            <w:pPr>
              <w:rPr>
                <w:rFonts w:eastAsia="Times New Roman"/>
                <w:sz w:val="20"/>
                <w:szCs w:val="20"/>
              </w:rPr>
            </w:pPr>
            <w:r>
              <w:rPr>
                <w:rFonts w:eastAsia="Times New Roman"/>
                <w:sz w:val="20"/>
                <w:szCs w:val="20"/>
              </w:rPr>
              <w:t>$</w:t>
            </w:r>
          </w:p>
        </w:tc>
        <w:tc>
          <w:tcPr>
            <w:tcW w:w="450" w:type="pct"/>
            <w:shd w:val="clear" w:color="auto" w:fill="FFFFFF"/>
            <w:vAlign w:val="bottom"/>
            <w:hideMark/>
          </w:tcPr>
          <w:p w14:paraId="0730D18F" w14:textId="77777777" w:rsidR="00000000" w:rsidRDefault="0015578C">
            <w:pPr>
              <w:jc w:val="right"/>
              <w:rPr>
                <w:rFonts w:eastAsia="Times New Roman"/>
                <w:sz w:val="20"/>
                <w:szCs w:val="20"/>
              </w:rPr>
            </w:pPr>
            <w:r>
              <w:rPr>
                <w:rFonts w:eastAsia="Times New Roman"/>
                <w:sz w:val="20"/>
                <w:szCs w:val="20"/>
              </w:rPr>
              <w:t>0.41</w:t>
            </w:r>
          </w:p>
        </w:tc>
        <w:tc>
          <w:tcPr>
            <w:tcW w:w="50" w:type="pct"/>
            <w:shd w:val="clear" w:color="auto" w:fill="FFFFFF"/>
            <w:noWrap/>
            <w:vAlign w:val="center"/>
            <w:hideMark/>
          </w:tcPr>
          <w:p w14:paraId="76E418C3" w14:textId="77777777" w:rsidR="00000000" w:rsidRDefault="0015578C">
            <w:pPr>
              <w:pStyle w:val="a3"/>
              <w:spacing w:before="0" w:beforeAutospacing="0" w:after="0" w:afterAutospacing="0"/>
              <w:rPr>
                <w:sz w:val="20"/>
                <w:szCs w:val="20"/>
              </w:rPr>
            </w:pPr>
            <w:r>
              <w:rPr>
                <w:sz w:val="20"/>
                <w:szCs w:val="20"/>
              </w:rPr>
              <w:t> </w:t>
            </w:r>
          </w:p>
        </w:tc>
      </w:tr>
      <w:tr w:rsidR="00000000" w14:paraId="71A9F87E" w14:textId="77777777">
        <w:trPr>
          <w:trHeight w:val="225"/>
          <w:tblCellSpacing w:w="15" w:type="dxa"/>
        </w:trPr>
        <w:tc>
          <w:tcPr>
            <w:tcW w:w="0" w:type="auto"/>
            <w:shd w:val="clear" w:color="auto" w:fill="CCEEFF"/>
            <w:hideMark/>
          </w:tcPr>
          <w:p w14:paraId="63D26E5E" w14:textId="77777777" w:rsidR="00000000" w:rsidRDefault="0015578C">
            <w:pPr>
              <w:pStyle w:val="a3"/>
              <w:spacing w:before="0" w:beforeAutospacing="0" w:after="0" w:afterAutospacing="0"/>
              <w:rPr>
                <w:sz w:val="20"/>
                <w:szCs w:val="20"/>
              </w:rPr>
            </w:pPr>
            <w:r>
              <w:rPr>
                <w:sz w:val="20"/>
                <w:szCs w:val="20"/>
              </w:rPr>
              <w:t>Grant date fair value</w:t>
            </w:r>
          </w:p>
        </w:tc>
        <w:tc>
          <w:tcPr>
            <w:tcW w:w="50" w:type="pct"/>
            <w:shd w:val="clear" w:color="auto" w:fill="CCEEFF"/>
            <w:noWrap/>
            <w:vAlign w:val="center"/>
            <w:hideMark/>
          </w:tcPr>
          <w:p w14:paraId="1AE0E7B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4126099C"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B4B6D00" w14:textId="77777777" w:rsidR="00000000" w:rsidRDefault="0015578C">
            <w:pPr>
              <w:jc w:val="right"/>
              <w:rPr>
                <w:rFonts w:eastAsia="Times New Roman"/>
                <w:sz w:val="20"/>
                <w:szCs w:val="20"/>
              </w:rPr>
            </w:pPr>
            <w:r>
              <w:rPr>
                <w:rFonts w:eastAsia="Times New Roman"/>
                <w:sz w:val="20"/>
                <w:szCs w:val="20"/>
              </w:rPr>
              <w:t>876,000</w:t>
            </w:r>
          </w:p>
        </w:tc>
        <w:tc>
          <w:tcPr>
            <w:tcW w:w="50" w:type="pct"/>
            <w:shd w:val="clear" w:color="auto" w:fill="CCEEFF"/>
            <w:noWrap/>
            <w:vAlign w:val="center"/>
            <w:hideMark/>
          </w:tcPr>
          <w:p w14:paraId="47A1963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D0C36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89F8EF1"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C3BBB66" w14:textId="77777777" w:rsidR="00000000" w:rsidRDefault="0015578C">
            <w:pPr>
              <w:jc w:val="right"/>
              <w:rPr>
                <w:rFonts w:eastAsia="Times New Roman"/>
                <w:sz w:val="20"/>
                <w:szCs w:val="20"/>
              </w:rPr>
            </w:pPr>
            <w:r>
              <w:rPr>
                <w:rFonts w:eastAsia="Times New Roman"/>
                <w:sz w:val="20"/>
                <w:szCs w:val="20"/>
              </w:rPr>
              <w:t>37,000</w:t>
            </w:r>
          </w:p>
        </w:tc>
        <w:tc>
          <w:tcPr>
            <w:tcW w:w="50" w:type="pct"/>
            <w:shd w:val="clear" w:color="auto" w:fill="CCEEFF"/>
            <w:noWrap/>
            <w:vAlign w:val="center"/>
            <w:hideMark/>
          </w:tcPr>
          <w:p w14:paraId="3A90F7A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67A3D2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7A87E4F0" w14:textId="77777777" w:rsidR="00000000" w:rsidRDefault="0015578C">
            <w:pPr>
              <w:rPr>
                <w:rFonts w:eastAsia="Times New Roman"/>
                <w:sz w:val="20"/>
                <w:szCs w:val="20"/>
              </w:rPr>
            </w:pPr>
            <w:r>
              <w:rPr>
                <w:rFonts w:eastAsia="Times New Roman"/>
                <w:sz w:val="20"/>
                <w:szCs w:val="20"/>
              </w:rPr>
              <w:t>$</w:t>
            </w:r>
          </w:p>
        </w:tc>
        <w:tc>
          <w:tcPr>
            <w:tcW w:w="450" w:type="pct"/>
            <w:shd w:val="clear" w:color="auto" w:fill="CCEEFF"/>
            <w:vAlign w:val="bottom"/>
            <w:hideMark/>
          </w:tcPr>
          <w:p w14:paraId="4A66D61B" w14:textId="77777777" w:rsidR="00000000" w:rsidRDefault="0015578C">
            <w:pPr>
              <w:jc w:val="right"/>
              <w:rPr>
                <w:rFonts w:eastAsia="Times New Roman"/>
                <w:sz w:val="20"/>
                <w:szCs w:val="20"/>
              </w:rPr>
            </w:pPr>
            <w:r>
              <w:rPr>
                <w:rFonts w:eastAsia="Times New Roman"/>
                <w:sz w:val="20"/>
                <w:szCs w:val="20"/>
              </w:rPr>
              <w:t>20,000</w:t>
            </w:r>
          </w:p>
        </w:tc>
        <w:tc>
          <w:tcPr>
            <w:tcW w:w="50" w:type="pct"/>
            <w:shd w:val="clear" w:color="auto" w:fill="CCEEFF"/>
            <w:noWrap/>
            <w:vAlign w:val="center"/>
            <w:hideMark/>
          </w:tcPr>
          <w:p w14:paraId="66309AA7" w14:textId="77777777" w:rsidR="00000000" w:rsidRDefault="0015578C">
            <w:pPr>
              <w:pStyle w:val="a3"/>
              <w:spacing w:before="0" w:beforeAutospacing="0" w:after="0" w:afterAutospacing="0"/>
              <w:rPr>
                <w:sz w:val="20"/>
                <w:szCs w:val="20"/>
              </w:rPr>
            </w:pPr>
            <w:r>
              <w:rPr>
                <w:sz w:val="20"/>
                <w:szCs w:val="20"/>
              </w:rPr>
              <w:t> </w:t>
            </w:r>
          </w:p>
        </w:tc>
      </w:tr>
    </w:tbl>
    <w:p w14:paraId="20AEF555" w14:textId="77777777" w:rsidR="00000000" w:rsidRDefault="0015578C">
      <w:pPr>
        <w:pStyle w:val="a3"/>
        <w:spacing w:before="0" w:beforeAutospacing="0" w:after="0" w:afterAutospacing="0"/>
        <w:jc w:val="both"/>
        <w:rPr>
          <w:sz w:val="20"/>
          <w:szCs w:val="20"/>
        </w:rPr>
      </w:pPr>
      <w:r>
        <w:rPr>
          <w:sz w:val="20"/>
          <w:szCs w:val="20"/>
        </w:rPr>
        <w:t xml:space="preserve">   </w:t>
      </w:r>
    </w:p>
    <w:p w14:paraId="73068595" w14:textId="77777777" w:rsidR="00000000" w:rsidRDefault="0015578C">
      <w:pPr>
        <w:pStyle w:val="a3"/>
        <w:spacing w:before="0" w:beforeAutospacing="0" w:after="0" w:afterAutospacing="0"/>
        <w:ind w:left="675"/>
        <w:jc w:val="both"/>
        <w:rPr>
          <w:sz w:val="20"/>
          <w:szCs w:val="20"/>
        </w:rPr>
      </w:pPr>
      <w:r>
        <w:rPr>
          <w:sz w:val="20"/>
          <w:szCs w:val="20"/>
        </w:rPr>
        <w:t>(1) Option grants have a five-year term, and vest 25% on date of grant and 25% on each of the next three anniversary dates.</w:t>
      </w:r>
    </w:p>
    <w:p w14:paraId="5C3F9ED0"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4A5A2120" w14:textId="77777777">
        <w:trPr>
          <w:trHeight w:val="225"/>
          <w:tblCellSpacing w:w="15" w:type="dxa"/>
        </w:trPr>
        <w:tc>
          <w:tcPr>
            <w:tcW w:w="0" w:type="auto"/>
            <w:vAlign w:val="center"/>
            <w:hideMark/>
          </w:tcPr>
          <w:p w14:paraId="0FBC6ACE" w14:textId="77777777" w:rsidR="00000000" w:rsidRDefault="0015578C">
            <w:pPr>
              <w:rPr>
                <w:rFonts w:eastAsia="Times New Roman"/>
                <w:sz w:val="20"/>
                <w:szCs w:val="20"/>
              </w:rPr>
            </w:pPr>
            <w:r>
              <w:rPr>
                <w:rFonts w:eastAsia="Times New Roman"/>
                <w:sz w:val="20"/>
                <w:szCs w:val="20"/>
              </w:rPr>
              <w:t> </w:t>
            </w:r>
          </w:p>
        </w:tc>
      </w:tr>
      <w:tr w:rsidR="00000000" w14:paraId="18464AFE" w14:textId="77777777">
        <w:trPr>
          <w:trHeight w:val="225"/>
          <w:tblCellSpacing w:w="15" w:type="dxa"/>
        </w:trPr>
        <w:tc>
          <w:tcPr>
            <w:tcW w:w="0" w:type="auto"/>
            <w:tcBorders>
              <w:bottom w:val="single" w:sz="6" w:space="0" w:color="000000"/>
            </w:tcBorders>
            <w:vAlign w:val="center"/>
            <w:hideMark/>
          </w:tcPr>
          <w:p w14:paraId="7EB59C9E" w14:textId="77777777" w:rsidR="00000000" w:rsidRDefault="0015578C">
            <w:pPr>
              <w:jc w:val="center"/>
              <w:rPr>
                <w:rFonts w:eastAsia="Times New Roman"/>
                <w:sz w:val="20"/>
                <w:szCs w:val="20"/>
              </w:rPr>
            </w:pPr>
            <w:r>
              <w:rPr>
                <w:rFonts w:eastAsia="Times New Roman"/>
                <w:sz w:val="20"/>
                <w:szCs w:val="20"/>
              </w:rPr>
              <w:t>F-16</w:t>
            </w:r>
          </w:p>
        </w:tc>
      </w:tr>
      <w:tr w:rsidR="00000000" w14:paraId="317AF01C" w14:textId="77777777">
        <w:trPr>
          <w:trHeight w:val="225"/>
          <w:tblCellSpacing w:w="15" w:type="dxa"/>
        </w:trPr>
        <w:tc>
          <w:tcPr>
            <w:tcW w:w="0" w:type="auto"/>
            <w:vAlign w:val="center"/>
            <w:hideMark/>
          </w:tcPr>
          <w:p w14:paraId="5BB7B3D6" w14:textId="77777777" w:rsidR="00000000" w:rsidRDefault="0015578C">
            <w:pPr>
              <w:rPr>
                <w:rFonts w:eastAsia="Times New Roman"/>
                <w:sz w:val="20"/>
                <w:szCs w:val="20"/>
              </w:rPr>
            </w:pPr>
          </w:p>
        </w:tc>
      </w:tr>
      <w:tr w:rsidR="00000000" w14:paraId="238C5E79" w14:textId="77777777">
        <w:trPr>
          <w:trHeight w:val="225"/>
          <w:tblCellSpacing w:w="15" w:type="dxa"/>
        </w:trPr>
        <w:tc>
          <w:tcPr>
            <w:tcW w:w="0" w:type="auto"/>
            <w:vAlign w:val="center"/>
            <w:hideMark/>
          </w:tcPr>
          <w:p w14:paraId="545A3411"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5B1109D1" w14:textId="77777777" w:rsidR="00000000" w:rsidRDefault="0015578C">
      <w:pPr>
        <w:pStyle w:val="a3"/>
        <w:spacing w:before="0" w:beforeAutospacing="0" w:after="0" w:afterAutospacing="0"/>
        <w:jc w:val="both"/>
        <w:rPr>
          <w:sz w:val="20"/>
          <w:szCs w:val="20"/>
        </w:rPr>
      </w:pPr>
      <w:r>
        <w:rPr>
          <w:sz w:val="20"/>
          <w:szCs w:val="20"/>
        </w:rPr>
        <w:t> </w:t>
      </w:r>
    </w:p>
    <w:p w14:paraId="37B28A2B" w14:textId="77777777" w:rsidR="00000000" w:rsidRDefault="0015578C">
      <w:pPr>
        <w:pStyle w:val="a3"/>
        <w:spacing w:before="0" w:beforeAutospacing="0" w:after="0" w:afterAutospacing="0"/>
        <w:jc w:val="both"/>
        <w:rPr>
          <w:sz w:val="20"/>
          <w:szCs w:val="20"/>
        </w:rPr>
      </w:pPr>
      <w:r>
        <w:rPr>
          <w:sz w:val="20"/>
          <w:szCs w:val="20"/>
        </w:rPr>
        <w:t>b.) Stock option activity</w:t>
      </w:r>
    </w:p>
    <w:p w14:paraId="576B5508" w14:textId="77777777" w:rsidR="00000000" w:rsidRDefault="0015578C">
      <w:pPr>
        <w:pStyle w:val="a3"/>
        <w:spacing w:before="0" w:beforeAutospacing="0" w:after="0" w:afterAutospacing="0"/>
        <w:jc w:val="both"/>
        <w:rPr>
          <w:sz w:val="20"/>
          <w:szCs w:val="20"/>
        </w:rPr>
      </w:pPr>
      <w:r>
        <w:rPr>
          <w:sz w:val="20"/>
          <w:szCs w:val="20"/>
        </w:rPr>
        <w:t> </w:t>
      </w:r>
    </w:p>
    <w:p w14:paraId="4BAA03B3" w14:textId="77777777" w:rsidR="00000000" w:rsidRDefault="0015578C">
      <w:pPr>
        <w:pStyle w:val="a3"/>
        <w:spacing w:before="0" w:beforeAutospacing="0" w:after="0" w:afterAutospacing="0"/>
        <w:ind w:firstLine="675"/>
        <w:jc w:val="both"/>
        <w:rPr>
          <w:sz w:val="20"/>
          <w:szCs w:val="20"/>
        </w:rPr>
      </w:pPr>
      <w:r>
        <w:rPr>
          <w:sz w:val="20"/>
          <w:szCs w:val="20"/>
        </w:rPr>
        <w:t>During 2022 and 2021, options for 114,250 and 185,000, respectively, shares of common stock were exercised for proceeds of $30,000 and $83,000 respectively. The following table summarizes the activity for stock options outstanding under the 2013 Plan for t</w:t>
      </w:r>
      <w:r>
        <w:rPr>
          <w:sz w:val="20"/>
          <w:szCs w:val="20"/>
        </w:rPr>
        <w:t>he years ended December 31, 2022 and 2021:</w:t>
      </w:r>
    </w:p>
    <w:p w14:paraId="545CC42A"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25"/>
        <w:gridCol w:w="88"/>
        <w:gridCol w:w="88"/>
        <w:gridCol w:w="897"/>
        <w:gridCol w:w="97"/>
        <w:gridCol w:w="80"/>
        <w:gridCol w:w="137"/>
        <w:gridCol w:w="671"/>
        <w:gridCol w:w="87"/>
        <w:gridCol w:w="89"/>
        <w:gridCol w:w="130"/>
        <w:gridCol w:w="830"/>
        <w:gridCol w:w="80"/>
        <w:gridCol w:w="80"/>
        <w:gridCol w:w="80"/>
        <w:gridCol w:w="830"/>
        <w:gridCol w:w="97"/>
        <w:gridCol w:w="80"/>
        <w:gridCol w:w="137"/>
        <w:gridCol w:w="671"/>
        <w:gridCol w:w="80"/>
        <w:gridCol w:w="85"/>
        <w:gridCol w:w="145"/>
        <w:gridCol w:w="718"/>
        <w:gridCol w:w="104"/>
      </w:tblGrid>
      <w:tr w:rsidR="00000000" w14:paraId="1D46DA3C" w14:textId="77777777">
        <w:trPr>
          <w:trHeight w:val="225"/>
          <w:tblCellSpacing w:w="15" w:type="dxa"/>
        </w:trPr>
        <w:tc>
          <w:tcPr>
            <w:tcW w:w="0" w:type="auto"/>
            <w:vAlign w:val="center"/>
            <w:hideMark/>
          </w:tcPr>
          <w:p w14:paraId="05DE6CC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100E3BE" w14:textId="77777777" w:rsidR="00000000" w:rsidRDefault="0015578C">
            <w:pPr>
              <w:pStyle w:val="a3"/>
              <w:spacing w:before="0" w:beforeAutospacing="0" w:after="0" w:afterAutospacing="0"/>
              <w:rPr>
                <w:sz w:val="20"/>
                <w:szCs w:val="20"/>
              </w:rPr>
            </w:pPr>
            <w:r>
              <w:rPr>
                <w:sz w:val="20"/>
                <w:szCs w:val="20"/>
              </w:rPr>
              <w:t> </w:t>
            </w:r>
          </w:p>
        </w:tc>
        <w:tc>
          <w:tcPr>
            <w:tcW w:w="300" w:type="pct"/>
            <w:gridSpan w:val="10"/>
            <w:tcBorders>
              <w:bottom w:val="single" w:sz="6" w:space="0" w:color="auto"/>
            </w:tcBorders>
            <w:vAlign w:val="bottom"/>
            <w:hideMark/>
          </w:tcPr>
          <w:p w14:paraId="5A2DBFBF" w14:textId="77777777" w:rsidR="00000000" w:rsidRDefault="0015578C">
            <w:pPr>
              <w:pStyle w:val="a3"/>
              <w:spacing w:before="0" w:beforeAutospacing="0" w:after="0" w:afterAutospacing="0"/>
              <w:jc w:val="center"/>
              <w:rPr>
                <w:sz w:val="20"/>
                <w:szCs w:val="20"/>
              </w:rPr>
            </w:pPr>
            <w:r>
              <w:rPr>
                <w:sz w:val="20"/>
                <w:szCs w:val="20"/>
              </w:rPr>
              <w:t>2022</w:t>
            </w:r>
          </w:p>
        </w:tc>
        <w:tc>
          <w:tcPr>
            <w:tcW w:w="0" w:type="auto"/>
            <w:noWrap/>
            <w:vAlign w:val="center"/>
            <w:hideMark/>
          </w:tcPr>
          <w:p w14:paraId="2821E66B"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7915D28" w14:textId="77777777" w:rsidR="00000000" w:rsidRDefault="0015578C">
            <w:pPr>
              <w:pStyle w:val="a3"/>
              <w:spacing w:before="0" w:beforeAutospacing="0" w:after="0" w:afterAutospacing="0"/>
              <w:rPr>
                <w:sz w:val="20"/>
                <w:szCs w:val="20"/>
              </w:rPr>
            </w:pPr>
            <w:r>
              <w:rPr>
                <w:sz w:val="20"/>
                <w:szCs w:val="20"/>
              </w:rPr>
              <w:t> </w:t>
            </w:r>
          </w:p>
        </w:tc>
        <w:tc>
          <w:tcPr>
            <w:tcW w:w="300" w:type="pct"/>
            <w:gridSpan w:val="10"/>
            <w:tcBorders>
              <w:bottom w:val="single" w:sz="6" w:space="0" w:color="auto"/>
            </w:tcBorders>
            <w:vAlign w:val="bottom"/>
            <w:hideMark/>
          </w:tcPr>
          <w:p w14:paraId="5EAF898B" w14:textId="77777777" w:rsidR="00000000" w:rsidRDefault="0015578C">
            <w:pPr>
              <w:pStyle w:val="a3"/>
              <w:spacing w:before="0" w:beforeAutospacing="0" w:after="0" w:afterAutospacing="0"/>
              <w:jc w:val="center"/>
              <w:rPr>
                <w:sz w:val="20"/>
                <w:szCs w:val="20"/>
              </w:rPr>
            </w:pPr>
            <w:r>
              <w:rPr>
                <w:sz w:val="20"/>
                <w:szCs w:val="20"/>
              </w:rPr>
              <w:t>2021</w:t>
            </w:r>
          </w:p>
        </w:tc>
        <w:tc>
          <w:tcPr>
            <w:tcW w:w="0" w:type="auto"/>
            <w:noWrap/>
            <w:vAlign w:val="center"/>
            <w:hideMark/>
          </w:tcPr>
          <w:p w14:paraId="0F3C7450" w14:textId="77777777" w:rsidR="00000000" w:rsidRDefault="0015578C">
            <w:pPr>
              <w:pStyle w:val="a3"/>
              <w:spacing w:before="0" w:beforeAutospacing="0" w:after="0" w:afterAutospacing="0"/>
              <w:rPr>
                <w:sz w:val="20"/>
                <w:szCs w:val="20"/>
              </w:rPr>
            </w:pPr>
            <w:r>
              <w:rPr>
                <w:sz w:val="20"/>
                <w:szCs w:val="20"/>
              </w:rPr>
              <w:t> </w:t>
            </w:r>
          </w:p>
        </w:tc>
      </w:tr>
      <w:tr w:rsidR="00000000" w14:paraId="49E93FBB" w14:textId="77777777">
        <w:trPr>
          <w:trHeight w:val="225"/>
          <w:tblCellSpacing w:w="15" w:type="dxa"/>
        </w:trPr>
        <w:tc>
          <w:tcPr>
            <w:tcW w:w="0" w:type="auto"/>
            <w:vAlign w:val="center"/>
            <w:hideMark/>
          </w:tcPr>
          <w:p w14:paraId="422EF9F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F38BEEB"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5F0101B4" w14:textId="77777777" w:rsidR="00000000" w:rsidRDefault="0015578C">
            <w:pPr>
              <w:rPr>
                <w:sz w:val="20"/>
                <w:szCs w:val="20"/>
              </w:rPr>
            </w:pPr>
          </w:p>
        </w:tc>
        <w:tc>
          <w:tcPr>
            <w:tcW w:w="0" w:type="auto"/>
            <w:noWrap/>
            <w:vAlign w:val="center"/>
            <w:hideMark/>
          </w:tcPr>
          <w:p w14:paraId="44AB4968"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A2BEDA6"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0248F577" w14:textId="77777777" w:rsidR="00000000" w:rsidRDefault="0015578C">
            <w:pPr>
              <w:pStyle w:val="a3"/>
              <w:spacing w:before="0" w:beforeAutospacing="0" w:after="0" w:afterAutospacing="0"/>
              <w:jc w:val="center"/>
              <w:rPr>
                <w:sz w:val="20"/>
                <w:szCs w:val="20"/>
              </w:rPr>
            </w:pPr>
            <w:r>
              <w:rPr>
                <w:sz w:val="20"/>
                <w:szCs w:val="20"/>
              </w:rPr>
              <w:t>Weighted</w:t>
            </w:r>
          </w:p>
        </w:tc>
        <w:tc>
          <w:tcPr>
            <w:tcW w:w="0" w:type="auto"/>
            <w:noWrap/>
            <w:vAlign w:val="center"/>
            <w:hideMark/>
          </w:tcPr>
          <w:p w14:paraId="43FD88F5"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07BF7B8"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5EDB4115" w14:textId="77777777" w:rsidR="00000000" w:rsidRDefault="0015578C">
            <w:pPr>
              <w:rPr>
                <w:sz w:val="20"/>
                <w:szCs w:val="20"/>
              </w:rPr>
            </w:pPr>
          </w:p>
        </w:tc>
        <w:tc>
          <w:tcPr>
            <w:tcW w:w="0" w:type="auto"/>
            <w:noWrap/>
            <w:vAlign w:val="center"/>
            <w:hideMark/>
          </w:tcPr>
          <w:p w14:paraId="1C5CAA8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A07E0F4"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0B4DC28A" w14:textId="77777777" w:rsidR="00000000" w:rsidRDefault="0015578C">
            <w:pPr>
              <w:rPr>
                <w:sz w:val="20"/>
                <w:szCs w:val="20"/>
              </w:rPr>
            </w:pPr>
          </w:p>
        </w:tc>
        <w:tc>
          <w:tcPr>
            <w:tcW w:w="0" w:type="auto"/>
            <w:noWrap/>
            <w:vAlign w:val="center"/>
            <w:hideMark/>
          </w:tcPr>
          <w:p w14:paraId="412CF01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4027E09"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1EAA1283" w14:textId="77777777" w:rsidR="00000000" w:rsidRDefault="0015578C">
            <w:pPr>
              <w:pStyle w:val="a3"/>
              <w:spacing w:before="0" w:beforeAutospacing="0" w:after="0" w:afterAutospacing="0"/>
              <w:jc w:val="center"/>
              <w:rPr>
                <w:sz w:val="20"/>
                <w:szCs w:val="20"/>
              </w:rPr>
            </w:pPr>
            <w:r>
              <w:rPr>
                <w:sz w:val="20"/>
                <w:szCs w:val="20"/>
              </w:rPr>
              <w:t>Weighted</w:t>
            </w:r>
          </w:p>
        </w:tc>
        <w:tc>
          <w:tcPr>
            <w:tcW w:w="0" w:type="auto"/>
            <w:noWrap/>
            <w:vAlign w:val="center"/>
            <w:hideMark/>
          </w:tcPr>
          <w:p w14:paraId="7D94ED26"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55AC889"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16CC01D2" w14:textId="77777777" w:rsidR="00000000" w:rsidRDefault="0015578C">
            <w:pPr>
              <w:rPr>
                <w:sz w:val="20"/>
                <w:szCs w:val="20"/>
              </w:rPr>
            </w:pPr>
          </w:p>
        </w:tc>
        <w:tc>
          <w:tcPr>
            <w:tcW w:w="0" w:type="auto"/>
            <w:noWrap/>
            <w:vAlign w:val="center"/>
            <w:hideMark/>
          </w:tcPr>
          <w:p w14:paraId="2B6E84CC" w14:textId="77777777" w:rsidR="00000000" w:rsidRDefault="0015578C">
            <w:pPr>
              <w:pStyle w:val="a3"/>
              <w:spacing w:before="0" w:beforeAutospacing="0" w:after="0" w:afterAutospacing="0"/>
              <w:rPr>
                <w:sz w:val="20"/>
                <w:szCs w:val="20"/>
              </w:rPr>
            </w:pPr>
            <w:r>
              <w:rPr>
                <w:sz w:val="20"/>
                <w:szCs w:val="20"/>
              </w:rPr>
              <w:t> </w:t>
            </w:r>
          </w:p>
        </w:tc>
      </w:tr>
      <w:tr w:rsidR="00000000" w14:paraId="53FDC51B" w14:textId="77777777">
        <w:trPr>
          <w:trHeight w:val="225"/>
          <w:tblCellSpacing w:w="15" w:type="dxa"/>
        </w:trPr>
        <w:tc>
          <w:tcPr>
            <w:tcW w:w="0" w:type="auto"/>
            <w:vAlign w:val="center"/>
            <w:hideMark/>
          </w:tcPr>
          <w:p w14:paraId="143EB69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4EE6CAF"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09CC3C29" w14:textId="77777777" w:rsidR="00000000" w:rsidRDefault="0015578C">
            <w:pPr>
              <w:rPr>
                <w:sz w:val="20"/>
                <w:szCs w:val="20"/>
              </w:rPr>
            </w:pPr>
          </w:p>
        </w:tc>
        <w:tc>
          <w:tcPr>
            <w:tcW w:w="0" w:type="auto"/>
            <w:noWrap/>
            <w:vAlign w:val="center"/>
            <w:hideMark/>
          </w:tcPr>
          <w:p w14:paraId="7B2CA86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B45DB32"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41F7148F" w14:textId="77777777" w:rsidR="00000000" w:rsidRDefault="0015578C">
            <w:pPr>
              <w:pStyle w:val="a3"/>
              <w:spacing w:before="0" w:beforeAutospacing="0" w:after="0" w:afterAutospacing="0"/>
              <w:jc w:val="center"/>
              <w:rPr>
                <w:sz w:val="20"/>
                <w:szCs w:val="20"/>
              </w:rPr>
            </w:pPr>
            <w:r>
              <w:rPr>
                <w:sz w:val="20"/>
                <w:szCs w:val="20"/>
              </w:rPr>
              <w:t>Average</w:t>
            </w:r>
          </w:p>
        </w:tc>
        <w:tc>
          <w:tcPr>
            <w:tcW w:w="0" w:type="auto"/>
            <w:noWrap/>
            <w:vAlign w:val="center"/>
            <w:hideMark/>
          </w:tcPr>
          <w:p w14:paraId="3EDC947B"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F39070E"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39D06BCB" w14:textId="77777777" w:rsidR="00000000" w:rsidRDefault="0015578C">
            <w:pPr>
              <w:pStyle w:val="a3"/>
              <w:spacing w:before="0" w:beforeAutospacing="0" w:after="0" w:afterAutospacing="0"/>
              <w:jc w:val="center"/>
              <w:rPr>
                <w:sz w:val="20"/>
                <w:szCs w:val="20"/>
              </w:rPr>
            </w:pPr>
            <w:r>
              <w:rPr>
                <w:sz w:val="20"/>
                <w:szCs w:val="20"/>
              </w:rPr>
              <w:t>Aggregate</w:t>
            </w:r>
          </w:p>
        </w:tc>
        <w:tc>
          <w:tcPr>
            <w:tcW w:w="0" w:type="auto"/>
            <w:noWrap/>
            <w:vAlign w:val="center"/>
            <w:hideMark/>
          </w:tcPr>
          <w:p w14:paraId="0BC41E1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DC24B69"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21D40829" w14:textId="77777777" w:rsidR="00000000" w:rsidRDefault="0015578C">
            <w:pPr>
              <w:rPr>
                <w:sz w:val="20"/>
                <w:szCs w:val="20"/>
              </w:rPr>
            </w:pPr>
          </w:p>
        </w:tc>
        <w:tc>
          <w:tcPr>
            <w:tcW w:w="0" w:type="auto"/>
            <w:noWrap/>
            <w:vAlign w:val="center"/>
            <w:hideMark/>
          </w:tcPr>
          <w:p w14:paraId="5E49E10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34B15CC"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029012CC" w14:textId="77777777" w:rsidR="00000000" w:rsidRDefault="0015578C">
            <w:pPr>
              <w:pStyle w:val="a3"/>
              <w:spacing w:before="0" w:beforeAutospacing="0" w:after="0" w:afterAutospacing="0"/>
              <w:jc w:val="center"/>
              <w:rPr>
                <w:sz w:val="20"/>
                <w:szCs w:val="20"/>
              </w:rPr>
            </w:pPr>
            <w:r>
              <w:rPr>
                <w:sz w:val="20"/>
                <w:szCs w:val="20"/>
              </w:rPr>
              <w:t>Average</w:t>
            </w:r>
          </w:p>
        </w:tc>
        <w:tc>
          <w:tcPr>
            <w:tcW w:w="0" w:type="auto"/>
            <w:noWrap/>
            <w:vAlign w:val="center"/>
            <w:hideMark/>
          </w:tcPr>
          <w:p w14:paraId="6C2DCDDC"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43F6224"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7EA4DB29" w14:textId="77777777" w:rsidR="00000000" w:rsidRDefault="0015578C">
            <w:pPr>
              <w:pStyle w:val="a3"/>
              <w:spacing w:before="0" w:beforeAutospacing="0" w:after="0" w:afterAutospacing="0"/>
              <w:jc w:val="center"/>
              <w:rPr>
                <w:sz w:val="20"/>
                <w:szCs w:val="20"/>
              </w:rPr>
            </w:pPr>
            <w:r>
              <w:rPr>
                <w:sz w:val="20"/>
                <w:szCs w:val="20"/>
              </w:rPr>
              <w:t>Aggregate</w:t>
            </w:r>
          </w:p>
        </w:tc>
        <w:tc>
          <w:tcPr>
            <w:tcW w:w="0" w:type="auto"/>
            <w:noWrap/>
            <w:vAlign w:val="center"/>
            <w:hideMark/>
          </w:tcPr>
          <w:p w14:paraId="1578BD2B" w14:textId="77777777" w:rsidR="00000000" w:rsidRDefault="0015578C">
            <w:pPr>
              <w:pStyle w:val="a3"/>
              <w:spacing w:before="0" w:beforeAutospacing="0" w:after="0" w:afterAutospacing="0"/>
              <w:rPr>
                <w:sz w:val="20"/>
                <w:szCs w:val="20"/>
              </w:rPr>
            </w:pPr>
            <w:r>
              <w:rPr>
                <w:sz w:val="20"/>
                <w:szCs w:val="20"/>
              </w:rPr>
              <w:t> </w:t>
            </w:r>
          </w:p>
        </w:tc>
      </w:tr>
      <w:tr w:rsidR="00000000" w14:paraId="48DE4CDC" w14:textId="77777777">
        <w:trPr>
          <w:trHeight w:val="225"/>
          <w:tblCellSpacing w:w="15" w:type="dxa"/>
        </w:trPr>
        <w:tc>
          <w:tcPr>
            <w:tcW w:w="0" w:type="auto"/>
            <w:vAlign w:val="center"/>
            <w:hideMark/>
          </w:tcPr>
          <w:p w14:paraId="497F7646"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9E930A0"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41FB31C2" w14:textId="77777777" w:rsidR="00000000" w:rsidRDefault="0015578C">
            <w:pPr>
              <w:pStyle w:val="a3"/>
              <w:spacing w:before="0" w:beforeAutospacing="0" w:after="0" w:afterAutospacing="0"/>
              <w:jc w:val="center"/>
              <w:rPr>
                <w:sz w:val="20"/>
                <w:szCs w:val="20"/>
              </w:rPr>
            </w:pPr>
            <w:r>
              <w:rPr>
                <w:sz w:val="20"/>
                <w:szCs w:val="20"/>
              </w:rPr>
              <w:t>RSUs/</w:t>
            </w:r>
          </w:p>
        </w:tc>
        <w:tc>
          <w:tcPr>
            <w:tcW w:w="0" w:type="auto"/>
            <w:noWrap/>
            <w:vAlign w:val="center"/>
            <w:hideMark/>
          </w:tcPr>
          <w:p w14:paraId="5CB0ABD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0BCC161"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64536626" w14:textId="77777777" w:rsidR="00000000" w:rsidRDefault="0015578C">
            <w:pPr>
              <w:pStyle w:val="a3"/>
              <w:spacing w:before="0" w:beforeAutospacing="0" w:after="0" w:afterAutospacing="0"/>
              <w:jc w:val="center"/>
              <w:rPr>
                <w:sz w:val="20"/>
                <w:szCs w:val="20"/>
              </w:rPr>
            </w:pPr>
            <w:r>
              <w:rPr>
                <w:sz w:val="20"/>
                <w:szCs w:val="20"/>
              </w:rPr>
              <w:t>Exercise</w:t>
            </w:r>
          </w:p>
        </w:tc>
        <w:tc>
          <w:tcPr>
            <w:tcW w:w="0" w:type="auto"/>
            <w:noWrap/>
            <w:vAlign w:val="center"/>
            <w:hideMark/>
          </w:tcPr>
          <w:p w14:paraId="6E82BDA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28B3CDE0"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14EDC20D" w14:textId="77777777" w:rsidR="00000000" w:rsidRDefault="0015578C">
            <w:pPr>
              <w:pStyle w:val="a3"/>
              <w:spacing w:before="0" w:beforeAutospacing="0" w:after="0" w:afterAutospacing="0"/>
              <w:jc w:val="center"/>
              <w:rPr>
                <w:sz w:val="20"/>
                <w:szCs w:val="20"/>
              </w:rPr>
            </w:pPr>
            <w:r>
              <w:rPr>
                <w:sz w:val="20"/>
                <w:szCs w:val="20"/>
              </w:rPr>
              <w:t>Intrinsic</w:t>
            </w:r>
          </w:p>
        </w:tc>
        <w:tc>
          <w:tcPr>
            <w:tcW w:w="0" w:type="auto"/>
            <w:noWrap/>
            <w:vAlign w:val="center"/>
            <w:hideMark/>
          </w:tcPr>
          <w:p w14:paraId="003A1EA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0B5B8EA"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6683CC36" w14:textId="77777777" w:rsidR="00000000" w:rsidRDefault="0015578C">
            <w:pPr>
              <w:pStyle w:val="a3"/>
              <w:spacing w:before="0" w:beforeAutospacing="0" w:after="0" w:afterAutospacing="0"/>
              <w:jc w:val="center"/>
              <w:rPr>
                <w:sz w:val="20"/>
                <w:szCs w:val="20"/>
              </w:rPr>
            </w:pPr>
            <w:r>
              <w:rPr>
                <w:sz w:val="20"/>
                <w:szCs w:val="20"/>
              </w:rPr>
              <w:t>RSUs/</w:t>
            </w:r>
          </w:p>
        </w:tc>
        <w:tc>
          <w:tcPr>
            <w:tcW w:w="0" w:type="auto"/>
            <w:noWrap/>
            <w:vAlign w:val="center"/>
            <w:hideMark/>
          </w:tcPr>
          <w:p w14:paraId="693E2EB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19359C2"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5CE72631" w14:textId="77777777" w:rsidR="00000000" w:rsidRDefault="0015578C">
            <w:pPr>
              <w:pStyle w:val="a3"/>
              <w:spacing w:before="0" w:beforeAutospacing="0" w:after="0" w:afterAutospacing="0"/>
              <w:jc w:val="center"/>
              <w:rPr>
                <w:sz w:val="20"/>
                <w:szCs w:val="20"/>
              </w:rPr>
            </w:pPr>
            <w:r>
              <w:rPr>
                <w:sz w:val="20"/>
                <w:szCs w:val="20"/>
              </w:rPr>
              <w:t>Exercise</w:t>
            </w:r>
          </w:p>
        </w:tc>
        <w:tc>
          <w:tcPr>
            <w:tcW w:w="0" w:type="auto"/>
            <w:noWrap/>
            <w:vAlign w:val="center"/>
            <w:hideMark/>
          </w:tcPr>
          <w:p w14:paraId="2AB100EA"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637CE60D"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bottom"/>
            <w:hideMark/>
          </w:tcPr>
          <w:p w14:paraId="499260C8" w14:textId="77777777" w:rsidR="00000000" w:rsidRDefault="0015578C">
            <w:pPr>
              <w:pStyle w:val="a3"/>
              <w:spacing w:before="0" w:beforeAutospacing="0" w:after="0" w:afterAutospacing="0"/>
              <w:jc w:val="center"/>
              <w:rPr>
                <w:sz w:val="20"/>
                <w:szCs w:val="20"/>
              </w:rPr>
            </w:pPr>
            <w:r>
              <w:rPr>
                <w:sz w:val="20"/>
                <w:szCs w:val="20"/>
              </w:rPr>
              <w:t>Intrinsic</w:t>
            </w:r>
          </w:p>
        </w:tc>
        <w:tc>
          <w:tcPr>
            <w:tcW w:w="0" w:type="auto"/>
            <w:noWrap/>
            <w:vAlign w:val="center"/>
            <w:hideMark/>
          </w:tcPr>
          <w:p w14:paraId="0F97AD41" w14:textId="77777777" w:rsidR="00000000" w:rsidRDefault="0015578C">
            <w:pPr>
              <w:pStyle w:val="a3"/>
              <w:spacing w:before="0" w:beforeAutospacing="0" w:after="0" w:afterAutospacing="0"/>
              <w:rPr>
                <w:sz w:val="20"/>
                <w:szCs w:val="20"/>
              </w:rPr>
            </w:pPr>
            <w:r>
              <w:rPr>
                <w:sz w:val="20"/>
                <w:szCs w:val="20"/>
              </w:rPr>
              <w:t> </w:t>
            </w:r>
          </w:p>
        </w:tc>
      </w:tr>
      <w:tr w:rsidR="00000000" w14:paraId="320787BC" w14:textId="77777777">
        <w:trPr>
          <w:trHeight w:val="225"/>
          <w:tblCellSpacing w:w="15" w:type="dxa"/>
        </w:trPr>
        <w:tc>
          <w:tcPr>
            <w:tcW w:w="0" w:type="auto"/>
            <w:vAlign w:val="center"/>
            <w:hideMark/>
          </w:tcPr>
          <w:p w14:paraId="1337813F"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536601E3"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0B633D8E" w14:textId="77777777" w:rsidR="00000000" w:rsidRDefault="0015578C">
            <w:pPr>
              <w:pStyle w:val="a3"/>
              <w:spacing w:before="0" w:beforeAutospacing="0" w:after="0" w:afterAutospacing="0"/>
              <w:jc w:val="center"/>
              <w:rPr>
                <w:sz w:val="20"/>
                <w:szCs w:val="20"/>
              </w:rPr>
            </w:pPr>
            <w:r>
              <w:rPr>
                <w:sz w:val="20"/>
                <w:szCs w:val="20"/>
              </w:rPr>
              <w:t>Options</w:t>
            </w:r>
          </w:p>
        </w:tc>
        <w:tc>
          <w:tcPr>
            <w:tcW w:w="0" w:type="auto"/>
            <w:noWrap/>
            <w:tcMar>
              <w:top w:w="0" w:type="dxa"/>
              <w:left w:w="0" w:type="dxa"/>
              <w:bottom w:w="15" w:type="dxa"/>
              <w:right w:w="0" w:type="dxa"/>
            </w:tcMar>
            <w:vAlign w:val="center"/>
            <w:hideMark/>
          </w:tcPr>
          <w:p w14:paraId="793D2D20"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AF91BD6"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01ADBA49" w14:textId="77777777" w:rsidR="00000000" w:rsidRDefault="0015578C">
            <w:pPr>
              <w:pStyle w:val="a3"/>
              <w:spacing w:before="0" w:beforeAutospacing="0" w:after="0" w:afterAutospacing="0"/>
              <w:jc w:val="center"/>
              <w:rPr>
                <w:sz w:val="20"/>
                <w:szCs w:val="20"/>
              </w:rPr>
            </w:pPr>
            <w:r>
              <w:rPr>
                <w:sz w:val="20"/>
                <w:szCs w:val="20"/>
              </w:rPr>
              <w:t>Price</w:t>
            </w:r>
          </w:p>
        </w:tc>
        <w:tc>
          <w:tcPr>
            <w:tcW w:w="0" w:type="auto"/>
            <w:noWrap/>
            <w:tcMar>
              <w:top w:w="0" w:type="dxa"/>
              <w:left w:w="0" w:type="dxa"/>
              <w:bottom w:w="15" w:type="dxa"/>
              <w:right w:w="0" w:type="dxa"/>
            </w:tcMar>
            <w:vAlign w:val="center"/>
            <w:hideMark/>
          </w:tcPr>
          <w:p w14:paraId="00D03852"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F0D654D"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4FF41EB2" w14:textId="77777777" w:rsidR="00000000" w:rsidRDefault="0015578C">
            <w:pPr>
              <w:pStyle w:val="a3"/>
              <w:spacing w:before="0" w:beforeAutospacing="0" w:after="0" w:afterAutospacing="0"/>
              <w:jc w:val="center"/>
              <w:rPr>
                <w:sz w:val="20"/>
                <w:szCs w:val="20"/>
              </w:rPr>
            </w:pPr>
            <w:r>
              <w:rPr>
                <w:sz w:val="20"/>
                <w:szCs w:val="20"/>
              </w:rPr>
              <w:t>Value (1)</w:t>
            </w:r>
          </w:p>
        </w:tc>
        <w:tc>
          <w:tcPr>
            <w:tcW w:w="0" w:type="auto"/>
            <w:noWrap/>
            <w:tcMar>
              <w:top w:w="0" w:type="dxa"/>
              <w:left w:w="0" w:type="dxa"/>
              <w:bottom w:w="15" w:type="dxa"/>
              <w:right w:w="0" w:type="dxa"/>
            </w:tcMar>
            <w:vAlign w:val="center"/>
            <w:hideMark/>
          </w:tcPr>
          <w:p w14:paraId="634A76B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AB850F3"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4C063C4A" w14:textId="77777777" w:rsidR="00000000" w:rsidRDefault="0015578C">
            <w:pPr>
              <w:pStyle w:val="a3"/>
              <w:spacing w:before="0" w:beforeAutospacing="0" w:after="0" w:afterAutospacing="0"/>
              <w:jc w:val="center"/>
              <w:rPr>
                <w:sz w:val="20"/>
                <w:szCs w:val="20"/>
              </w:rPr>
            </w:pPr>
            <w:r>
              <w:rPr>
                <w:sz w:val="20"/>
                <w:szCs w:val="20"/>
              </w:rPr>
              <w:t>Options</w:t>
            </w:r>
          </w:p>
        </w:tc>
        <w:tc>
          <w:tcPr>
            <w:tcW w:w="0" w:type="auto"/>
            <w:noWrap/>
            <w:tcMar>
              <w:top w:w="0" w:type="dxa"/>
              <w:left w:w="0" w:type="dxa"/>
              <w:bottom w:w="15" w:type="dxa"/>
              <w:right w:w="0" w:type="dxa"/>
            </w:tcMar>
            <w:vAlign w:val="center"/>
            <w:hideMark/>
          </w:tcPr>
          <w:p w14:paraId="2643BDB3"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FD13533"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67F2AFB4" w14:textId="77777777" w:rsidR="00000000" w:rsidRDefault="0015578C">
            <w:pPr>
              <w:pStyle w:val="a3"/>
              <w:spacing w:before="0" w:beforeAutospacing="0" w:after="0" w:afterAutospacing="0"/>
              <w:jc w:val="center"/>
              <w:rPr>
                <w:sz w:val="20"/>
                <w:szCs w:val="20"/>
              </w:rPr>
            </w:pPr>
            <w:r>
              <w:rPr>
                <w:sz w:val="20"/>
                <w:szCs w:val="20"/>
              </w:rPr>
              <w:t>Price</w:t>
            </w:r>
          </w:p>
        </w:tc>
        <w:tc>
          <w:tcPr>
            <w:tcW w:w="0" w:type="auto"/>
            <w:noWrap/>
            <w:tcMar>
              <w:top w:w="0" w:type="dxa"/>
              <w:left w:w="0" w:type="dxa"/>
              <w:bottom w:w="15" w:type="dxa"/>
              <w:right w:w="0" w:type="dxa"/>
            </w:tcMar>
            <w:vAlign w:val="center"/>
            <w:hideMark/>
          </w:tcPr>
          <w:p w14:paraId="644B85D9"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405AC088"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14:paraId="7498EE0E" w14:textId="77777777" w:rsidR="00000000" w:rsidRDefault="0015578C">
            <w:pPr>
              <w:pStyle w:val="a3"/>
              <w:spacing w:before="0" w:beforeAutospacing="0" w:after="0" w:afterAutospacing="0"/>
              <w:jc w:val="center"/>
              <w:rPr>
                <w:sz w:val="20"/>
                <w:szCs w:val="20"/>
              </w:rPr>
            </w:pPr>
            <w:r>
              <w:rPr>
                <w:sz w:val="20"/>
                <w:szCs w:val="20"/>
              </w:rPr>
              <w:t>Value (1)</w:t>
            </w:r>
          </w:p>
        </w:tc>
        <w:tc>
          <w:tcPr>
            <w:tcW w:w="0" w:type="auto"/>
            <w:noWrap/>
            <w:tcMar>
              <w:top w:w="0" w:type="dxa"/>
              <w:left w:w="0" w:type="dxa"/>
              <w:bottom w:w="15" w:type="dxa"/>
              <w:right w:w="0" w:type="dxa"/>
            </w:tcMar>
            <w:vAlign w:val="center"/>
            <w:hideMark/>
          </w:tcPr>
          <w:p w14:paraId="29F18852" w14:textId="77777777" w:rsidR="00000000" w:rsidRDefault="0015578C">
            <w:pPr>
              <w:pStyle w:val="a3"/>
              <w:spacing w:before="0" w:beforeAutospacing="0" w:after="0" w:afterAutospacing="0"/>
              <w:rPr>
                <w:sz w:val="20"/>
                <w:szCs w:val="20"/>
              </w:rPr>
            </w:pPr>
            <w:r>
              <w:rPr>
                <w:sz w:val="20"/>
                <w:szCs w:val="20"/>
              </w:rPr>
              <w:t> </w:t>
            </w:r>
          </w:p>
        </w:tc>
      </w:tr>
      <w:tr w:rsidR="00000000" w14:paraId="57BBF50B" w14:textId="77777777">
        <w:trPr>
          <w:trHeight w:val="225"/>
          <w:tblCellSpacing w:w="15" w:type="dxa"/>
        </w:trPr>
        <w:tc>
          <w:tcPr>
            <w:tcW w:w="0" w:type="auto"/>
            <w:vAlign w:val="center"/>
            <w:hideMark/>
          </w:tcPr>
          <w:p w14:paraId="65EEF7E2"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BA888F9"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2B9B7334"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059F54F5"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4C8ADDEC"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067072F1"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22F6309D"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9B3BF31"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5FBA9191"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36F4E8E"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0256020"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24E56A7E"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0332676"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155749AC"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50B205EE"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589A4903"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31EFD1DB"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vAlign w:val="center"/>
            <w:hideMark/>
          </w:tcPr>
          <w:p w14:paraId="58528943" w14:textId="77777777" w:rsidR="00000000" w:rsidRDefault="0015578C">
            <w:pPr>
              <w:pStyle w:val="a3"/>
              <w:spacing w:before="0" w:beforeAutospacing="0" w:after="0" w:afterAutospacing="0"/>
              <w:rPr>
                <w:sz w:val="20"/>
                <w:szCs w:val="20"/>
              </w:rPr>
            </w:pPr>
            <w:r>
              <w:rPr>
                <w:sz w:val="20"/>
                <w:szCs w:val="20"/>
              </w:rPr>
              <w:t> </w:t>
            </w:r>
          </w:p>
        </w:tc>
        <w:tc>
          <w:tcPr>
            <w:tcW w:w="50" w:type="pct"/>
            <w:noWrap/>
            <w:vAlign w:val="center"/>
            <w:hideMark/>
          </w:tcPr>
          <w:p w14:paraId="7168ACD9" w14:textId="77777777" w:rsidR="00000000" w:rsidRDefault="0015578C">
            <w:pPr>
              <w:pStyle w:val="a3"/>
              <w:spacing w:before="0" w:beforeAutospacing="0" w:after="0" w:afterAutospacing="0"/>
              <w:rPr>
                <w:sz w:val="20"/>
                <w:szCs w:val="20"/>
              </w:rPr>
            </w:pPr>
            <w:r>
              <w:rPr>
                <w:sz w:val="20"/>
                <w:szCs w:val="20"/>
              </w:rPr>
              <w:t> </w:t>
            </w:r>
          </w:p>
        </w:tc>
      </w:tr>
      <w:tr w:rsidR="00000000" w14:paraId="218C881B" w14:textId="77777777">
        <w:trPr>
          <w:trHeight w:val="225"/>
          <w:tblCellSpacing w:w="15" w:type="dxa"/>
        </w:trPr>
        <w:tc>
          <w:tcPr>
            <w:tcW w:w="0" w:type="auto"/>
            <w:shd w:val="clear" w:color="auto" w:fill="CCEEFF"/>
            <w:hideMark/>
          </w:tcPr>
          <w:p w14:paraId="60B49CB5" w14:textId="77777777" w:rsidR="00000000" w:rsidRDefault="0015578C">
            <w:pPr>
              <w:pStyle w:val="a3"/>
              <w:spacing w:before="0" w:beforeAutospacing="0" w:after="0" w:afterAutospacing="0"/>
              <w:rPr>
                <w:sz w:val="20"/>
                <w:szCs w:val="20"/>
              </w:rPr>
            </w:pPr>
            <w:r>
              <w:rPr>
                <w:sz w:val="20"/>
                <w:szCs w:val="20"/>
              </w:rPr>
              <w:t>Outstanding, beginning of year</w:t>
            </w:r>
          </w:p>
        </w:tc>
        <w:tc>
          <w:tcPr>
            <w:tcW w:w="50" w:type="pct"/>
            <w:shd w:val="clear" w:color="auto" w:fill="CCEEFF"/>
            <w:noWrap/>
            <w:vAlign w:val="center"/>
            <w:hideMark/>
          </w:tcPr>
          <w:p w14:paraId="0BECB34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2A7923A"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14:paraId="41A17B36" w14:textId="77777777" w:rsidR="00000000" w:rsidRDefault="0015578C">
            <w:pPr>
              <w:jc w:val="right"/>
              <w:rPr>
                <w:rFonts w:eastAsia="Times New Roman"/>
                <w:sz w:val="20"/>
                <w:szCs w:val="20"/>
              </w:rPr>
            </w:pPr>
            <w:r>
              <w:rPr>
                <w:rFonts w:eastAsia="Times New Roman"/>
                <w:sz w:val="20"/>
                <w:szCs w:val="20"/>
              </w:rPr>
              <w:t>5,513,000</w:t>
            </w:r>
          </w:p>
        </w:tc>
        <w:tc>
          <w:tcPr>
            <w:tcW w:w="50" w:type="pct"/>
            <w:shd w:val="clear" w:color="auto" w:fill="CCEEFF"/>
            <w:noWrap/>
            <w:vAlign w:val="center"/>
            <w:hideMark/>
          </w:tcPr>
          <w:p w14:paraId="6B008CA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F219C5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776B6C1"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404DD019" w14:textId="77777777" w:rsidR="00000000" w:rsidRDefault="0015578C">
            <w:pPr>
              <w:jc w:val="right"/>
              <w:rPr>
                <w:rFonts w:eastAsia="Times New Roman"/>
                <w:sz w:val="20"/>
                <w:szCs w:val="20"/>
              </w:rPr>
            </w:pPr>
            <w:r>
              <w:rPr>
                <w:rFonts w:eastAsia="Times New Roman"/>
                <w:sz w:val="20"/>
                <w:szCs w:val="20"/>
              </w:rPr>
              <w:t>0.49</w:t>
            </w:r>
          </w:p>
        </w:tc>
        <w:tc>
          <w:tcPr>
            <w:tcW w:w="50" w:type="pct"/>
            <w:shd w:val="clear" w:color="auto" w:fill="CCEEFF"/>
            <w:noWrap/>
            <w:vAlign w:val="center"/>
            <w:hideMark/>
          </w:tcPr>
          <w:p w14:paraId="04351B9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4700E6E"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14:paraId="59E649A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2A3A41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ADBEBB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1EDA238"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14:paraId="04750BAC" w14:textId="77777777" w:rsidR="00000000" w:rsidRDefault="0015578C">
            <w:pPr>
              <w:jc w:val="right"/>
              <w:rPr>
                <w:rFonts w:eastAsia="Times New Roman"/>
                <w:sz w:val="20"/>
                <w:szCs w:val="20"/>
              </w:rPr>
            </w:pPr>
            <w:r>
              <w:rPr>
                <w:rFonts w:eastAsia="Times New Roman"/>
                <w:sz w:val="20"/>
                <w:szCs w:val="20"/>
              </w:rPr>
              <w:t>5,558,000</w:t>
            </w:r>
          </w:p>
        </w:tc>
        <w:tc>
          <w:tcPr>
            <w:tcW w:w="50" w:type="pct"/>
            <w:shd w:val="clear" w:color="auto" w:fill="CCEEFF"/>
            <w:noWrap/>
            <w:vAlign w:val="center"/>
            <w:hideMark/>
          </w:tcPr>
          <w:p w14:paraId="194D8A5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EC1290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63501AA7"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131B7773" w14:textId="77777777" w:rsidR="00000000" w:rsidRDefault="0015578C">
            <w:pPr>
              <w:jc w:val="right"/>
              <w:rPr>
                <w:rFonts w:eastAsia="Times New Roman"/>
                <w:sz w:val="20"/>
                <w:szCs w:val="20"/>
              </w:rPr>
            </w:pPr>
            <w:r>
              <w:rPr>
                <w:rFonts w:eastAsia="Times New Roman"/>
                <w:sz w:val="20"/>
                <w:szCs w:val="20"/>
              </w:rPr>
              <w:t>0.58</w:t>
            </w:r>
          </w:p>
        </w:tc>
        <w:tc>
          <w:tcPr>
            <w:tcW w:w="50" w:type="pct"/>
            <w:shd w:val="clear" w:color="auto" w:fill="CCEEFF"/>
            <w:noWrap/>
            <w:vAlign w:val="center"/>
            <w:hideMark/>
          </w:tcPr>
          <w:p w14:paraId="1FC2372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8CA3B0A"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14:paraId="0147DC1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CD3B9D2" w14:textId="77777777" w:rsidR="00000000" w:rsidRDefault="0015578C">
            <w:pPr>
              <w:pStyle w:val="a3"/>
              <w:spacing w:before="0" w:beforeAutospacing="0" w:after="0" w:afterAutospacing="0"/>
              <w:rPr>
                <w:sz w:val="20"/>
                <w:szCs w:val="20"/>
              </w:rPr>
            </w:pPr>
            <w:r>
              <w:rPr>
                <w:sz w:val="20"/>
                <w:szCs w:val="20"/>
              </w:rPr>
              <w:t> </w:t>
            </w:r>
          </w:p>
        </w:tc>
      </w:tr>
      <w:tr w:rsidR="00000000" w14:paraId="4C769B9D" w14:textId="77777777">
        <w:trPr>
          <w:trHeight w:val="225"/>
          <w:tblCellSpacing w:w="15" w:type="dxa"/>
        </w:trPr>
        <w:tc>
          <w:tcPr>
            <w:tcW w:w="0" w:type="auto"/>
            <w:shd w:val="clear" w:color="auto" w:fill="FFFFFF"/>
            <w:hideMark/>
          </w:tcPr>
          <w:p w14:paraId="274E3872" w14:textId="77777777" w:rsidR="00000000" w:rsidRDefault="0015578C">
            <w:pPr>
              <w:pStyle w:val="a3"/>
              <w:spacing w:before="0" w:beforeAutospacing="0" w:after="0" w:afterAutospacing="0"/>
              <w:rPr>
                <w:sz w:val="20"/>
                <w:szCs w:val="20"/>
              </w:rPr>
            </w:pPr>
            <w:r>
              <w:rPr>
                <w:sz w:val="20"/>
                <w:szCs w:val="20"/>
              </w:rPr>
              <w:t xml:space="preserve">Granted </w:t>
            </w:r>
          </w:p>
        </w:tc>
        <w:tc>
          <w:tcPr>
            <w:tcW w:w="50" w:type="pct"/>
            <w:shd w:val="clear" w:color="auto" w:fill="FFFFFF"/>
            <w:noWrap/>
            <w:vAlign w:val="center"/>
            <w:hideMark/>
          </w:tcPr>
          <w:p w14:paraId="7ED82F9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6A60327"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14:paraId="69D3C69B" w14:textId="77777777" w:rsidR="00000000" w:rsidRDefault="0015578C">
            <w:pPr>
              <w:jc w:val="right"/>
              <w:rPr>
                <w:rFonts w:eastAsia="Times New Roman"/>
                <w:sz w:val="20"/>
                <w:szCs w:val="20"/>
              </w:rPr>
            </w:pPr>
            <w:r>
              <w:rPr>
                <w:rFonts w:eastAsia="Times New Roman"/>
                <w:sz w:val="20"/>
                <w:szCs w:val="20"/>
              </w:rPr>
              <w:t>2,360,000</w:t>
            </w:r>
          </w:p>
        </w:tc>
        <w:tc>
          <w:tcPr>
            <w:tcW w:w="50" w:type="pct"/>
            <w:shd w:val="clear" w:color="auto" w:fill="FFFFFF"/>
            <w:noWrap/>
            <w:vAlign w:val="center"/>
            <w:hideMark/>
          </w:tcPr>
          <w:p w14:paraId="7C77278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2349CF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3775B23A" w14:textId="77777777" w:rsidR="00000000" w:rsidRDefault="0015578C">
            <w:pPr>
              <w:rPr>
                <w:rFonts w:eastAsia="Times New Roman"/>
                <w:sz w:val="20"/>
                <w:szCs w:val="20"/>
              </w:rPr>
            </w:pPr>
            <w:r>
              <w:rPr>
                <w:rFonts w:eastAsia="Times New Roman"/>
                <w:sz w:val="20"/>
                <w:szCs w:val="20"/>
              </w:rPr>
              <w:t>$</w:t>
            </w:r>
          </w:p>
        </w:tc>
        <w:tc>
          <w:tcPr>
            <w:tcW w:w="300" w:type="pct"/>
            <w:shd w:val="clear" w:color="auto" w:fill="FFFFFF"/>
            <w:vAlign w:val="bottom"/>
            <w:hideMark/>
          </w:tcPr>
          <w:p w14:paraId="39432B66" w14:textId="77777777" w:rsidR="00000000" w:rsidRDefault="0015578C">
            <w:pPr>
              <w:jc w:val="right"/>
              <w:rPr>
                <w:rFonts w:eastAsia="Times New Roman"/>
                <w:sz w:val="20"/>
                <w:szCs w:val="20"/>
              </w:rPr>
            </w:pPr>
            <w:r>
              <w:rPr>
                <w:rFonts w:eastAsia="Times New Roman"/>
                <w:sz w:val="20"/>
                <w:szCs w:val="20"/>
              </w:rPr>
              <w:t>0.60</w:t>
            </w:r>
          </w:p>
        </w:tc>
        <w:tc>
          <w:tcPr>
            <w:tcW w:w="50" w:type="pct"/>
            <w:shd w:val="clear" w:color="auto" w:fill="FFFFFF"/>
            <w:noWrap/>
            <w:vAlign w:val="center"/>
            <w:hideMark/>
          </w:tcPr>
          <w:p w14:paraId="60E4A7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F040D00"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14:paraId="19737ED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ED5964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2F421E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AC46BCF"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14:paraId="6C68D171" w14:textId="77777777" w:rsidR="00000000" w:rsidRDefault="0015578C">
            <w:pPr>
              <w:jc w:val="right"/>
              <w:rPr>
                <w:rFonts w:eastAsia="Times New Roman"/>
                <w:sz w:val="20"/>
                <w:szCs w:val="20"/>
              </w:rPr>
            </w:pPr>
            <w:r>
              <w:rPr>
                <w:rFonts w:eastAsia="Times New Roman"/>
                <w:sz w:val="20"/>
                <w:szCs w:val="20"/>
              </w:rPr>
              <w:t>140,000</w:t>
            </w:r>
          </w:p>
        </w:tc>
        <w:tc>
          <w:tcPr>
            <w:tcW w:w="50" w:type="pct"/>
            <w:shd w:val="clear" w:color="auto" w:fill="FFFFFF"/>
            <w:noWrap/>
            <w:vAlign w:val="center"/>
            <w:hideMark/>
          </w:tcPr>
          <w:p w14:paraId="0C37D5D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512467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3926C62F" w14:textId="77777777" w:rsidR="00000000" w:rsidRDefault="0015578C">
            <w:pPr>
              <w:rPr>
                <w:rFonts w:eastAsia="Times New Roman"/>
                <w:sz w:val="20"/>
                <w:szCs w:val="20"/>
              </w:rPr>
            </w:pPr>
            <w:r>
              <w:rPr>
                <w:rFonts w:eastAsia="Times New Roman"/>
                <w:sz w:val="20"/>
                <w:szCs w:val="20"/>
              </w:rPr>
              <w:t>$</w:t>
            </w:r>
          </w:p>
        </w:tc>
        <w:tc>
          <w:tcPr>
            <w:tcW w:w="300" w:type="pct"/>
            <w:shd w:val="clear" w:color="auto" w:fill="FFFFFF"/>
            <w:vAlign w:val="bottom"/>
            <w:hideMark/>
          </w:tcPr>
          <w:p w14:paraId="1F8DC953" w14:textId="77777777" w:rsidR="00000000" w:rsidRDefault="0015578C">
            <w:pPr>
              <w:jc w:val="right"/>
              <w:rPr>
                <w:rFonts w:eastAsia="Times New Roman"/>
                <w:sz w:val="20"/>
                <w:szCs w:val="20"/>
              </w:rPr>
            </w:pPr>
            <w:r>
              <w:rPr>
                <w:rFonts w:eastAsia="Times New Roman"/>
                <w:sz w:val="20"/>
                <w:szCs w:val="20"/>
              </w:rPr>
              <w:t>0.67</w:t>
            </w:r>
          </w:p>
        </w:tc>
        <w:tc>
          <w:tcPr>
            <w:tcW w:w="50" w:type="pct"/>
            <w:shd w:val="clear" w:color="auto" w:fill="FFFFFF"/>
            <w:noWrap/>
            <w:vAlign w:val="center"/>
            <w:hideMark/>
          </w:tcPr>
          <w:p w14:paraId="1D713D3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C46F699"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14:paraId="696F10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4CDF681" w14:textId="77777777" w:rsidR="00000000" w:rsidRDefault="0015578C">
            <w:pPr>
              <w:pStyle w:val="a3"/>
              <w:spacing w:before="0" w:beforeAutospacing="0" w:after="0" w:afterAutospacing="0"/>
              <w:rPr>
                <w:sz w:val="20"/>
                <w:szCs w:val="20"/>
              </w:rPr>
            </w:pPr>
            <w:r>
              <w:rPr>
                <w:sz w:val="20"/>
                <w:szCs w:val="20"/>
              </w:rPr>
              <w:t> </w:t>
            </w:r>
          </w:p>
        </w:tc>
      </w:tr>
      <w:tr w:rsidR="00000000" w14:paraId="161DAF3B" w14:textId="77777777">
        <w:trPr>
          <w:trHeight w:val="225"/>
          <w:tblCellSpacing w:w="15" w:type="dxa"/>
        </w:trPr>
        <w:tc>
          <w:tcPr>
            <w:tcW w:w="0" w:type="auto"/>
            <w:shd w:val="clear" w:color="auto" w:fill="CCEEFF"/>
            <w:hideMark/>
          </w:tcPr>
          <w:p w14:paraId="7D3CAD53" w14:textId="77777777" w:rsidR="00000000" w:rsidRDefault="0015578C">
            <w:pPr>
              <w:pStyle w:val="a3"/>
              <w:spacing w:before="0" w:beforeAutospacing="0" w:after="0" w:afterAutospacing="0"/>
              <w:rPr>
                <w:sz w:val="20"/>
                <w:szCs w:val="20"/>
              </w:rPr>
            </w:pPr>
            <w:r>
              <w:rPr>
                <w:sz w:val="20"/>
                <w:szCs w:val="20"/>
              </w:rPr>
              <w:t>Exercised</w:t>
            </w:r>
          </w:p>
        </w:tc>
        <w:tc>
          <w:tcPr>
            <w:tcW w:w="50" w:type="pct"/>
            <w:shd w:val="clear" w:color="auto" w:fill="CCEEFF"/>
            <w:noWrap/>
            <w:vAlign w:val="center"/>
            <w:hideMark/>
          </w:tcPr>
          <w:p w14:paraId="1BD23A7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B18F377"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14:paraId="37410415" w14:textId="77777777" w:rsidR="00000000" w:rsidRDefault="0015578C">
            <w:pPr>
              <w:jc w:val="right"/>
              <w:rPr>
                <w:rFonts w:eastAsia="Times New Roman"/>
                <w:sz w:val="20"/>
                <w:szCs w:val="20"/>
              </w:rPr>
            </w:pPr>
            <w:r>
              <w:rPr>
                <w:rFonts w:eastAsia="Times New Roman"/>
                <w:sz w:val="20"/>
                <w:szCs w:val="20"/>
              </w:rPr>
              <w:t>(114,250</w:t>
            </w:r>
          </w:p>
        </w:tc>
        <w:tc>
          <w:tcPr>
            <w:tcW w:w="50" w:type="pct"/>
            <w:shd w:val="clear" w:color="auto" w:fill="CCEEFF"/>
            <w:noWrap/>
            <w:vAlign w:val="bottom"/>
            <w:hideMark/>
          </w:tcPr>
          <w:p w14:paraId="54466A2D"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C64244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8D183A7"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38B463CD" w14:textId="77777777" w:rsidR="00000000" w:rsidRDefault="0015578C">
            <w:pPr>
              <w:jc w:val="right"/>
              <w:rPr>
                <w:rFonts w:eastAsia="Times New Roman"/>
                <w:sz w:val="20"/>
                <w:szCs w:val="20"/>
              </w:rPr>
            </w:pPr>
            <w:r>
              <w:rPr>
                <w:rFonts w:eastAsia="Times New Roman"/>
                <w:sz w:val="20"/>
                <w:szCs w:val="20"/>
              </w:rPr>
              <w:t>0.26</w:t>
            </w:r>
          </w:p>
        </w:tc>
        <w:tc>
          <w:tcPr>
            <w:tcW w:w="50" w:type="pct"/>
            <w:shd w:val="clear" w:color="auto" w:fill="CCEEFF"/>
            <w:noWrap/>
            <w:vAlign w:val="center"/>
            <w:hideMark/>
          </w:tcPr>
          <w:p w14:paraId="7B6589E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16892B4"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14:paraId="23D0BBF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9C7AB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C0C333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B16C7E0"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14:paraId="53FE9F3F" w14:textId="77777777" w:rsidR="00000000" w:rsidRDefault="0015578C">
            <w:pPr>
              <w:jc w:val="right"/>
              <w:rPr>
                <w:rFonts w:eastAsia="Times New Roman"/>
                <w:sz w:val="20"/>
                <w:szCs w:val="20"/>
              </w:rPr>
            </w:pPr>
            <w:r>
              <w:rPr>
                <w:rFonts w:eastAsia="Times New Roman"/>
                <w:sz w:val="20"/>
                <w:szCs w:val="20"/>
              </w:rPr>
              <w:t>(185,000</w:t>
            </w:r>
          </w:p>
        </w:tc>
        <w:tc>
          <w:tcPr>
            <w:tcW w:w="50" w:type="pct"/>
            <w:shd w:val="clear" w:color="auto" w:fill="CCEEFF"/>
            <w:noWrap/>
            <w:vAlign w:val="bottom"/>
            <w:hideMark/>
          </w:tcPr>
          <w:p w14:paraId="6A30254A"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5413718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08F74C98"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12422310" w14:textId="77777777" w:rsidR="00000000" w:rsidRDefault="0015578C">
            <w:pPr>
              <w:jc w:val="right"/>
              <w:rPr>
                <w:rFonts w:eastAsia="Times New Roman"/>
                <w:sz w:val="20"/>
                <w:szCs w:val="20"/>
              </w:rPr>
            </w:pPr>
            <w:r>
              <w:rPr>
                <w:rFonts w:eastAsia="Times New Roman"/>
                <w:sz w:val="20"/>
                <w:szCs w:val="20"/>
              </w:rPr>
              <w:t>0.45</w:t>
            </w:r>
          </w:p>
        </w:tc>
        <w:tc>
          <w:tcPr>
            <w:tcW w:w="50" w:type="pct"/>
            <w:shd w:val="clear" w:color="auto" w:fill="CCEEFF"/>
            <w:noWrap/>
            <w:vAlign w:val="center"/>
            <w:hideMark/>
          </w:tcPr>
          <w:p w14:paraId="0E47C7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2AA0897"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14:paraId="00186E8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45543FA" w14:textId="77777777" w:rsidR="00000000" w:rsidRDefault="0015578C">
            <w:pPr>
              <w:pStyle w:val="a3"/>
              <w:spacing w:before="0" w:beforeAutospacing="0" w:after="0" w:afterAutospacing="0"/>
              <w:rPr>
                <w:sz w:val="20"/>
                <w:szCs w:val="20"/>
              </w:rPr>
            </w:pPr>
            <w:r>
              <w:rPr>
                <w:sz w:val="20"/>
                <w:szCs w:val="20"/>
              </w:rPr>
              <w:t> </w:t>
            </w:r>
          </w:p>
        </w:tc>
      </w:tr>
      <w:tr w:rsidR="00000000" w14:paraId="3BFC8EBA" w14:textId="77777777">
        <w:trPr>
          <w:trHeight w:val="225"/>
          <w:tblCellSpacing w:w="15" w:type="dxa"/>
        </w:trPr>
        <w:tc>
          <w:tcPr>
            <w:tcW w:w="0" w:type="auto"/>
            <w:shd w:val="clear" w:color="auto" w:fill="FFFFFF"/>
            <w:hideMark/>
          </w:tcPr>
          <w:p w14:paraId="0BD830A5" w14:textId="77777777" w:rsidR="00000000" w:rsidRDefault="0015578C">
            <w:pPr>
              <w:pStyle w:val="a3"/>
              <w:spacing w:before="0" w:beforeAutospacing="0" w:after="0" w:afterAutospacing="0"/>
              <w:rPr>
                <w:sz w:val="20"/>
                <w:szCs w:val="20"/>
              </w:rPr>
            </w:pPr>
            <w:r>
              <w:rPr>
                <w:sz w:val="20"/>
                <w:szCs w:val="20"/>
              </w:rPr>
              <w:t xml:space="preserve">Expired </w:t>
            </w:r>
          </w:p>
        </w:tc>
        <w:tc>
          <w:tcPr>
            <w:tcW w:w="50" w:type="pct"/>
            <w:shd w:val="clear" w:color="auto" w:fill="FFFFFF"/>
            <w:noWrap/>
            <w:vAlign w:val="center"/>
            <w:hideMark/>
          </w:tcPr>
          <w:p w14:paraId="7FCEE4F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F33767B"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14:paraId="34552BEB" w14:textId="77777777" w:rsidR="00000000" w:rsidRDefault="0015578C">
            <w:pPr>
              <w:jc w:val="right"/>
              <w:rPr>
                <w:rFonts w:eastAsia="Times New Roman"/>
                <w:sz w:val="20"/>
                <w:szCs w:val="20"/>
              </w:rPr>
            </w:pPr>
            <w:r>
              <w:rPr>
                <w:rFonts w:eastAsia="Times New Roman"/>
                <w:sz w:val="20"/>
                <w:szCs w:val="20"/>
              </w:rPr>
              <w:t>(2,360,000</w:t>
            </w:r>
          </w:p>
        </w:tc>
        <w:tc>
          <w:tcPr>
            <w:tcW w:w="50" w:type="pct"/>
            <w:shd w:val="clear" w:color="auto" w:fill="FFFFFF"/>
            <w:noWrap/>
            <w:vAlign w:val="bottom"/>
            <w:hideMark/>
          </w:tcPr>
          <w:p w14:paraId="4282AB0A" w14:textId="77777777" w:rsidR="00000000" w:rsidRDefault="0015578C">
            <w:pPr>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9E882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57D83AD1" w14:textId="77777777" w:rsidR="00000000" w:rsidRDefault="0015578C">
            <w:pPr>
              <w:rPr>
                <w:rFonts w:eastAsia="Times New Roman"/>
                <w:sz w:val="20"/>
                <w:szCs w:val="20"/>
              </w:rPr>
            </w:pPr>
            <w:r>
              <w:rPr>
                <w:rFonts w:eastAsia="Times New Roman"/>
                <w:sz w:val="20"/>
                <w:szCs w:val="20"/>
              </w:rPr>
              <w:t>$</w:t>
            </w:r>
          </w:p>
        </w:tc>
        <w:tc>
          <w:tcPr>
            <w:tcW w:w="300" w:type="pct"/>
            <w:shd w:val="clear" w:color="auto" w:fill="FFFFFF"/>
            <w:vAlign w:val="bottom"/>
            <w:hideMark/>
          </w:tcPr>
          <w:p w14:paraId="1D553EAB" w14:textId="77777777" w:rsidR="00000000" w:rsidRDefault="0015578C">
            <w:pPr>
              <w:jc w:val="right"/>
              <w:rPr>
                <w:rFonts w:eastAsia="Times New Roman"/>
                <w:sz w:val="20"/>
                <w:szCs w:val="20"/>
              </w:rPr>
            </w:pPr>
            <w:r>
              <w:rPr>
                <w:rFonts w:eastAsia="Times New Roman"/>
                <w:sz w:val="20"/>
                <w:szCs w:val="20"/>
              </w:rPr>
              <w:t>0.77</w:t>
            </w:r>
          </w:p>
        </w:tc>
        <w:tc>
          <w:tcPr>
            <w:tcW w:w="50" w:type="pct"/>
            <w:shd w:val="clear" w:color="auto" w:fill="FFFFFF"/>
            <w:noWrap/>
            <w:vAlign w:val="center"/>
            <w:hideMark/>
          </w:tcPr>
          <w:p w14:paraId="6A51D85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0E4B673"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14:paraId="413852D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8CFB02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42A53656"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722523D"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14:paraId="5AB9D58F"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2642C24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A23731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D02D84C"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14:paraId="2130DC7D"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6A876B1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8236C33"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14:paraId="31FAD87D"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F5005D4" w14:textId="77777777" w:rsidR="00000000" w:rsidRDefault="0015578C">
            <w:pPr>
              <w:pStyle w:val="a3"/>
              <w:spacing w:before="0" w:beforeAutospacing="0" w:after="0" w:afterAutospacing="0"/>
              <w:rPr>
                <w:sz w:val="20"/>
                <w:szCs w:val="20"/>
              </w:rPr>
            </w:pPr>
            <w:r>
              <w:rPr>
                <w:sz w:val="20"/>
                <w:szCs w:val="20"/>
              </w:rPr>
              <w:t> </w:t>
            </w:r>
          </w:p>
        </w:tc>
      </w:tr>
      <w:tr w:rsidR="00000000" w14:paraId="75E79953" w14:textId="77777777">
        <w:trPr>
          <w:trHeight w:val="225"/>
          <w:tblCellSpacing w:w="15" w:type="dxa"/>
        </w:trPr>
        <w:tc>
          <w:tcPr>
            <w:tcW w:w="0" w:type="auto"/>
            <w:shd w:val="clear" w:color="auto" w:fill="CCEEFF"/>
            <w:hideMark/>
          </w:tcPr>
          <w:p w14:paraId="62FC4105" w14:textId="77777777" w:rsidR="00000000" w:rsidRDefault="0015578C">
            <w:pPr>
              <w:pStyle w:val="a3"/>
              <w:spacing w:before="0" w:beforeAutospacing="0" w:after="0" w:afterAutospacing="0"/>
              <w:rPr>
                <w:sz w:val="20"/>
                <w:szCs w:val="20"/>
              </w:rPr>
            </w:pPr>
            <w:r>
              <w:rPr>
                <w:sz w:val="20"/>
                <w:szCs w:val="20"/>
              </w:rPr>
              <w:t>Forfeited</w:t>
            </w:r>
          </w:p>
        </w:tc>
        <w:tc>
          <w:tcPr>
            <w:tcW w:w="50" w:type="pct"/>
            <w:shd w:val="clear" w:color="auto" w:fill="CCEEFF"/>
            <w:noWrap/>
            <w:vAlign w:val="center"/>
            <w:hideMark/>
          </w:tcPr>
          <w:p w14:paraId="025759A7"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6C17004E"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14:paraId="4973A9B9" w14:textId="77777777" w:rsidR="00000000" w:rsidRDefault="0015578C">
            <w:pPr>
              <w:jc w:val="right"/>
              <w:rPr>
                <w:rFonts w:eastAsia="Times New Roman"/>
                <w:sz w:val="20"/>
                <w:szCs w:val="20"/>
              </w:rPr>
            </w:pPr>
            <w:r>
              <w:rPr>
                <w:rFonts w:eastAsia="Times New Roman"/>
                <w:sz w:val="20"/>
                <w:szCs w:val="20"/>
              </w:rPr>
              <w:t>(8,750</w:t>
            </w:r>
          </w:p>
        </w:tc>
        <w:tc>
          <w:tcPr>
            <w:tcW w:w="50" w:type="pct"/>
            <w:shd w:val="clear" w:color="auto" w:fill="CCEEFF"/>
            <w:noWrap/>
            <w:tcMar>
              <w:top w:w="0" w:type="dxa"/>
              <w:left w:w="0" w:type="dxa"/>
              <w:bottom w:w="15" w:type="dxa"/>
              <w:right w:w="0" w:type="dxa"/>
            </w:tcMar>
            <w:vAlign w:val="bottom"/>
            <w:hideMark/>
          </w:tcPr>
          <w:p w14:paraId="7542F2A6" w14:textId="77777777" w:rsidR="00000000" w:rsidRDefault="0015578C">
            <w:pPr>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2463BF5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1B06252"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06B8A4FB" w14:textId="77777777" w:rsidR="00000000" w:rsidRDefault="0015578C">
            <w:pPr>
              <w:jc w:val="right"/>
              <w:rPr>
                <w:rFonts w:eastAsia="Times New Roman"/>
                <w:sz w:val="20"/>
                <w:szCs w:val="20"/>
              </w:rPr>
            </w:pPr>
            <w:r>
              <w:rPr>
                <w:rFonts w:eastAsia="Times New Roman"/>
                <w:sz w:val="20"/>
                <w:szCs w:val="20"/>
              </w:rPr>
              <w:t>0.20</w:t>
            </w:r>
          </w:p>
        </w:tc>
        <w:tc>
          <w:tcPr>
            <w:tcW w:w="50" w:type="pct"/>
            <w:shd w:val="clear" w:color="auto" w:fill="CCEEFF"/>
            <w:noWrap/>
            <w:vAlign w:val="center"/>
            <w:hideMark/>
          </w:tcPr>
          <w:p w14:paraId="749DE5B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8823741"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shd w:val="clear" w:color="auto" w:fill="CCEEFF"/>
            <w:vAlign w:val="center"/>
            <w:hideMark/>
          </w:tcPr>
          <w:p w14:paraId="668EA50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14:paraId="095E1DB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AA7C2D5"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10EA6A28"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14:paraId="0BF72EEA"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14:paraId="24CF8B3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91BBBE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80381DA" w14:textId="77777777" w:rsidR="00000000" w:rsidRDefault="0015578C">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14:paraId="49995D3D"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14:paraId="1B9ACD3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CBFB1F1" w14:textId="77777777" w:rsidR="00000000" w:rsidRDefault="0015578C">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shd w:val="clear" w:color="auto" w:fill="CCEEFF"/>
            <w:vAlign w:val="center"/>
            <w:hideMark/>
          </w:tcPr>
          <w:p w14:paraId="011A20C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14:paraId="62691F6E" w14:textId="77777777" w:rsidR="00000000" w:rsidRDefault="0015578C">
            <w:pPr>
              <w:pStyle w:val="a3"/>
              <w:spacing w:before="0" w:beforeAutospacing="0" w:after="0" w:afterAutospacing="0"/>
              <w:rPr>
                <w:sz w:val="20"/>
                <w:szCs w:val="20"/>
              </w:rPr>
            </w:pPr>
            <w:r>
              <w:rPr>
                <w:sz w:val="20"/>
                <w:szCs w:val="20"/>
              </w:rPr>
              <w:t> </w:t>
            </w:r>
          </w:p>
        </w:tc>
      </w:tr>
      <w:tr w:rsidR="00000000" w14:paraId="127BE77A" w14:textId="77777777">
        <w:trPr>
          <w:trHeight w:val="225"/>
          <w:tblCellSpacing w:w="15" w:type="dxa"/>
        </w:trPr>
        <w:tc>
          <w:tcPr>
            <w:tcW w:w="0" w:type="auto"/>
            <w:shd w:val="clear" w:color="auto" w:fill="FFFFFF"/>
            <w:hideMark/>
          </w:tcPr>
          <w:p w14:paraId="50F1ECB4" w14:textId="77777777" w:rsidR="00000000" w:rsidRDefault="0015578C">
            <w:pPr>
              <w:pStyle w:val="a3"/>
              <w:spacing w:before="0" w:beforeAutospacing="0" w:after="0" w:afterAutospacing="0"/>
              <w:rPr>
                <w:sz w:val="20"/>
                <w:szCs w:val="20"/>
              </w:rPr>
            </w:pPr>
            <w:r>
              <w:rPr>
                <w:sz w:val="20"/>
                <w:szCs w:val="20"/>
              </w:rPr>
              <w:t>Outstanding, end of year</w:t>
            </w:r>
          </w:p>
        </w:tc>
        <w:tc>
          <w:tcPr>
            <w:tcW w:w="50" w:type="pct"/>
            <w:shd w:val="clear" w:color="auto" w:fill="FFFFFF"/>
            <w:noWrap/>
            <w:vAlign w:val="center"/>
            <w:hideMark/>
          </w:tcPr>
          <w:p w14:paraId="6C12906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1F3B9A0A"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14:paraId="4C912F99" w14:textId="77777777" w:rsidR="00000000" w:rsidRDefault="0015578C">
            <w:pPr>
              <w:jc w:val="right"/>
              <w:rPr>
                <w:rFonts w:eastAsia="Times New Roman"/>
                <w:sz w:val="20"/>
                <w:szCs w:val="20"/>
              </w:rPr>
            </w:pPr>
            <w:r>
              <w:rPr>
                <w:rFonts w:eastAsia="Times New Roman"/>
                <w:sz w:val="20"/>
                <w:szCs w:val="20"/>
              </w:rPr>
              <w:t>5,390,000</w:t>
            </w:r>
          </w:p>
        </w:tc>
        <w:tc>
          <w:tcPr>
            <w:tcW w:w="50" w:type="pct"/>
            <w:shd w:val="clear" w:color="auto" w:fill="FFFFFF"/>
            <w:noWrap/>
            <w:tcMar>
              <w:top w:w="0" w:type="dxa"/>
              <w:left w:w="0" w:type="dxa"/>
              <w:bottom w:w="15" w:type="dxa"/>
              <w:right w:w="0" w:type="dxa"/>
            </w:tcMar>
            <w:vAlign w:val="center"/>
            <w:hideMark/>
          </w:tcPr>
          <w:p w14:paraId="78DBE2B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696448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6DD0B19B" w14:textId="77777777" w:rsidR="00000000" w:rsidRDefault="0015578C">
            <w:pPr>
              <w:rPr>
                <w:rFonts w:eastAsia="Times New Roman"/>
                <w:sz w:val="20"/>
                <w:szCs w:val="20"/>
              </w:rPr>
            </w:pPr>
            <w:r>
              <w:rPr>
                <w:rFonts w:eastAsia="Times New Roman"/>
                <w:sz w:val="20"/>
                <w:szCs w:val="20"/>
              </w:rPr>
              <w:t>$</w:t>
            </w:r>
          </w:p>
        </w:tc>
        <w:tc>
          <w:tcPr>
            <w:tcW w:w="300" w:type="pct"/>
            <w:shd w:val="clear" w:color="auto" w:fill="FFFFFF"/>
            <w:vAlign w:val="bottom"/>
            <w:hideMark/>
          </w:tcPr>
          <w:p w14:paraId="7A3A8616" w14:textId="77777777" w:rsidR="00000000" w:rsidRDefault="0015578C">
            <w:pPr>
              <w:jc w:val="right"/>
              <w:rPr>
                <w:rFonts w:eastAsia="Times New Roman"/>
                <w:sz w:val="20"/>
                <w:szCs w:val="20"/>
              </w:rPr>
            </w:pPr>
            <w:r>
              <w:rPr>
                <w:rFonts w:eastAsia="Times New Roman"/>
                <w:sz w:val="20"/>
                <w:szCs w:val="20"/>
              </w:rPr>
              <w:t>0.42</w:t>
            </w:r>
          </w:p>
        </w:tc>
        <w:tc>
          <w:tcPr>
            <w:tcW w:w="50" w:type="pct"/>
            <w:shd w:val="clear" w:color="auto" w:fill="FFFFFF"/>
            <w:noWrap/>
            <w:vAlign w:val="center"/>
            <w:hideMark/>
          </w:tcPr>
          <w:p w14:paraId="3236E0B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E57CDE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0982252E" w14:textId="77777777" w:rsidR="00000000" w:rsidRDefault="0015578C">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FFFFFF"/>
            <w:vAlign w:val="bottom"/>
            <w:hideMark/>
          </w:tcPr>
          <w:p w14:paraId="60D913AD" w14:textId="77777777" w:rsidR="00000000" w:rsidRDefault="0015578C">
            <w:pPr>
              <w:jc w:val="right"/>
              <w:rPr>
                <w:rFonts w:eastAsia="Times New Roman"/>
                <w:sz w:val="20"/>
                <w:szCs w:val="20"/>
              </w:rPr>
            </w:pPr>
            <w:r>
              <w:rPr>
                <w:rFonts w:eastAsia="Times New Roman"/>
                <w:sz w:val="20"/>
                <w:szCs w:val="20"/>
              </w:rPr>
              <w:t>1,034,000</w:t>
            </w:r>
          </w:p>
        </w:tc>
        <w:tc>
          <w:tcPr>
            <w:tcW w:w="50" w:type="pct"/>
            <w:shd w:val="clear" w:color="auto" w:fill="FFFFFF"/>
            <w:noWrap/>
            <w:tcMar>
              <w:top w:w="0" w:type="dxa"/>
              <w:left w:w="0" w:type="dxa"/>
              <w:bottom w:w="15" w:type="dxa"/>
              <w:right w:w="0" w:type="dxa"/>
            </w:tcMar>
            <w:vAlign w:val="center"/>
            <w:hideMark/>
          </w:tcPr>
          <w:p w14:paraId="02D4B60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35571C41"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14:paraId="69E3C5ED"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14:paraId="622CFD8C" w14:textId="77777777" w:rsidR="00000000" w:rsidRDefault="0015578C">
            <w:pPr>
              <w:jc w:val="right"/>
              <w:rPr>
                <w:rFonts w:eastAsia="Times New Roman"/>
                <w:sz w:val="20"/>
                <w:szCs w:val="20"/>
              </w:rPr>
            </w:pPr>
            <w:r>
              <w:rPr>
                <w:rFonts w:eastAsia="Times New Roman"/>
                <w:sz w:val="20"/>
                <w:szCs w:val="20"/>
              </w:rPr>
              <w:t>5,513,000</w:t>
            </w:r>
          </w:p>
        </w:tc>
        <w:tc>
          <w:tcPr>
            <w:tcW w:w="50" w:type="pct"/>
            <w:shd w:val="clear" w:color="auto" w:fill="FFFFFF"/>
            <w:noWrap/>
            <w:tcMar>
              <w:top w:w="0" w:type="dxa"/>
              <w:left w:w="0" w:type="dxa"/>
              <w:bottom w:w="15" w:type="dxa"/>
              <w:right w:w="0" w:type="dxa"/>
            </w:tcMar>
            <w:vAlign w:val="center"/>
            <w:hideMark/>
          </w:tcPr>
          <w:p w14:paraId="7307C5A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0C35FFF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14:paraId="0EAA7DD5" w14:textId="77777777" w:rsidR="00000000" w:rsidRDefault="0015578C">
            <w:pPr>
              <w:rPr>
                <w:rFonts w:eastAsia="Times New Roman"/>
                <w:sz w:val="20"/>
                <w:szCs w:val="20"/>
              </w:rPr>
            </w:pPr>
            <w:r>
              <w:rPr>
                <w:rFonts w:eastAsia="Times New Roman"/>
                <w:sz w:val="20"/>
                <w:szCs w:val="20"/>
              </w:rPr>
              <w:t>$</w:t>
            </w:r>
          </w:p>
        </w:tc>
        <w:tc>
          <w:tcPr>
            <w:tcW w:w="300" w:type="pct"/>
            <w:shd w:val="clear" w:color="auto" w:fill="FFFFFF"/>
            <w:vAlign w:val="bottom"/>
            <w:hideMark/>
          </w:tcPr>
          <w:p w14:paraId="3DA9FD97" w14:textId="77777777" w:rsidR="00000000" w:rsidRDefault="0015578C">
            <w:pPr>
              <w:jc w:val="right"/>
              <w:rPr>
                <w:rFonts w:eastAsia="Times New Roman"/>
                <w:sz w:val="20"/>
                <w:szCs w:val="20"/>
              </w:rPr>
            </w:pPr>
            <w:r>
              <w:rPr>
                <w:rFonts w:eastAsia="Times New Roman"/>
                <w:sz w:val="20"/>
                <w:szCs w:val="20"/>
              </w:rPr>
              <w:t>0.49</w:t>
            </w:r>
          </w:p>
        </w:tc>
        <w:tc>
          <w:tcPr>
            <w:tcW w:w="50" w:type="pct"/>
            <w:shd w:val="clear" w:color="auto" w:fill="FFFFFF"/>
            <w:noWrap/>
            <w:vAlign w:val="center"/>
            <w:hideMark/>
          </w:tcPr>
          <w:p w14:paraId="3D725FF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67D7BBC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14:paraId="5A4C8F19" w14:textId="77777777" w:rsidR="00000000" w:rsidRDefault="0015578C">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FFFFFF"/>
            <w:vAlign w:val="bottom"/>
            <w:hideMark/>
          </w:tcPr>
          <w:p w14:paraId="461A93F0" w14:textId="77777777" w:rsidR="00000000" w:rsidRDefault="0015578C">
            <w:pPr>
              <w:jc w:val="right"/>
              <w:rPr>
                <w:rFonts w:eastAsia="Times New Roman"/>
                <w:sz w:val="20"/>
                <w:szCs w:val="20"/>
              </w:rPr>
            </w:pPr>
            <w:r>
              <w:rPr>
                <w:rFonts w:eastAsia="Times New Roman"/>
                <w:sz w:val="20"/>
                <w:szCs w:val="20"/>
              </w:rPr>
              <w:t>718,000</w:t>
            </w:r>
          </w:p>
        </w:tc>
        <w:tc>
          <w:tcPr>
            <w:tcW w:w="50" w:type="pct"/>
            <w:shd w:val="clear" w:color="auto" w:fill="FFFFFF"/>
            <w:noWrap/>
            <w:tcMar>
              <w:top w:w="0" w:type="dxa"/>
              <w:left w:w="0" w:type="dxa"/>
              <w:bottom w:w="15" w:type="dxa"/>
              <w:right w:w="0" w:type="dxa"/>
            </w:tcMar>
            <w:vAlign w:val="center"/>
            <w:hideMark/>
          </w:tcPr>
          <w:p w14:paraId="04AA4093" w14:textId="77777777" w:rsidR="00000000" w:rsidRDefault="0015578C">
            <w:pPr>
              <w:pStyle w:val="a3"/>
              <w:spacing w:before="0" w:beforeAutospacing="0" w:after="0" w:afterAutospacing="0"/>
              <w:rPr>
                <w:sz w:val="20"/>
                <w:szCs w:val="20"/>
              </w:rPr>
            </w:pPr>
            <w:r>
              <w:rPr>
                <w:sz w:val="20"/>
                <w:szCs w:val="20"/>
              </w:rPr>
              <w:t> </w:t>
            </w:r>
          </w:p>
        </w:tc>
      </w:tr>
      <w:tr w:rsidR="00000000" w14:paraId="387A294F" w14:textId="77777777">
        <w:trPr>
          <w:trHeight w:val="225"/>
          <w:tblCellSpacing w:w="15" w:type="dxa"/>
        </w:trPr>
        <w:tc>
          <w:tcPr>
            <w:tcW w:w="0" w:type="auto"/>
            <w:shd w:val="clear" w:color="auto" w:fill="CCEEFF"/>
            <w:hideMark/>
          </w:tcPr>
          <w:p w14:paraId="366BDCE8" w14:textId="77777777" w:rsidR="00000000" w:rsidRDefault="0015578C">
            <w:pPr>
              <w:pStyle w:val="a3"/>
              <w:spacing w:before="0" w:beforeAutospacing="0" w:after="0" w:afterAutospacing="0"/>
              <w:rPr>
                <w:sz w:val="20"/>
                <w:szCs w:val="20"/>
              </w:rPr>
            </w:pPr>
            <w:r>
              <w:rPr>
                <w:sz w:val="20"/>
                <w:szCs w:val="20"/>
              </w:rPr>
              <w:t>Exercisable, end of year</w:t>
            </w:r>
          </w:p>
        </w:tc>
        <w:tc>
          <w:tcPr>
            <w:tcW w:w="50" w:type="pct"/>
            <w:shd w:val="clear" w:color="auto" w:fill="CCEEFF"/>
            <w:noWrap/>
            <w:vAlign w:val="center"/>
            <w:hideMark/>
          </w:tcPr>
          <w:p w14:paraId="630682DA"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0BD6C57B"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14:paraId="4962C2D2" w14:textId="77777777" w:rsidR="00000000" w:rsidRDefault="0015578C">
            <w:pPr>
              <w:jc w:val="right"/>
              <w:rPr>
                <w:rFonts w:eastAsia="Times New Roman"/>
                <w:sz w:val="20"/>
                <w:szCs w:val="20"/>
              </w:rPr>
            </w:pPr>
            <w:r>
              <w:rPr>
                <w:rFonts w:eastAsia="Times New Roman"/>
                <w:sz w:val="20"/>
                <w:szCs w:val="20"/>
              </w:rPr>
              <w:t>3,227,500</w:t>
            </w:r>
          </w:p>
        </w:tc>
        <w:tc>
          <w:tcPr>
            <w:tcW w:w="50" w:type="pct"/>
            <w:shd w:val="clear" w:color="auto" w:fill="CCEEFF"/>
            <w:noWrap/>
            <w:tcMar>
              <w:top w:w="0" w:type="dxa"/>
              <w:left w:w="0" w:type="dxa"/>
              <w:bottom w:w="15" w:type="dxa"/>
              <w:right w:w="0" w:type="dxa"/>
            </w:tcMar>
            <w:vAlign w:val="center"/>
            <w:hideMark/>
          </w:tcPr>
          <w:p w14:paraId="6CD8C28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52ABF03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292B3DEE"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7AF3A607" w14:textId="77777777" w:rsidR="00000000" w:rsidRDefault="0015578C">
            <w:pPr>
              <w:jc w:val="right"/>
              <w:rPr>
                <w:rFonts w:eastAsia="Times New Roman"/>
                <w:sz w:val="20"/>
                <w:szCs w:val="20"/>
              </w:rPr>
            </w:pPr>
            <w:r>
              <w:rPr>
                <w:rFonts w:eastAsia="Times New Roman"/>
                <w:sz w:val="20"/>
                <w:szCs w:val="20"/>
              </w:rPr>
              <w:t>0.34</w:t>
            </w:r>
          </w:p>
        </w:tc>
        <w:tc>
          <w:tcPr>
            <w:tcW w:w="50" w:type="pct"/>
            <w:shd w:val="clear" w:color="auto" w:fill="CCEEFF"/>
            <w:noWrap/>
            <w:vAlign w:val="center"/>
            <w:hideMark/>
          </w:tcPr>
          <w:p w14:paraId="7035613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ADE5803"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4EE34261" w14:textId="77777777" w:rsidR="00000000" w:rsidRDefault="0015578C">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CCEEFF"/>
            <w:vAlign w:val="bottom"/>
            <w:hideMark/>
          </w:tcPr>
          <w:p w14:paraId="7F767487" w14:textId="77777777" w:rsidR="00000000" w:rsidRDefault="0015578C">
            <w:pPr>
              <w:jc w:val="right"/>
              <w:rPr>
                <w:rFonts w:eastAsia="Times New Roman"/>
                <w:sz w:val="20"/>
                <w:szCs w:val="20"/>
              </w:rPr>
            </w:pPr>
            <w:r>
              <w:rPr>
                <w:rFonts w:eastAsia="Times New Roman"/>
                <w:sz w:val="20"/>
                <w:szCs w:val="20"/>
              </w:rPr>
              <w:t>899,000</w:t>
            </w:r>
          </w:p>
        </w:tc>
        <w:tc>
          <w:tcPr>
            <w:tcW w:w="50" w:type="pct"/>
            <w:shd w:val="clear" w:color="auto" w:fill="CCEEFF"/>
            <w:noWrap/>
            <w:tcMar>
              <w:top w:w="0" w:type="dxa"/>
              <w:left w:w="0" w:type="dxa"/>
              <w:bottom w:w="15" w:type="dxa"/>
              <w:right w:w="0" w:type="dxa"/>
            </w:tcMar>
            <w:vAlign w:val="center"/>
            <w:hideMark/>
          </w:tcPr>
          <w:p w14:paraId="7E615174"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67EDD6D"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14:paraId="7C019C66" w14:textId="77777777" w:rsidR="00000000" w:rsidRDefault="0015578C">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14:paraId="64D9F45B" w14:textId="77777777" w:rsidR="00000000" w:rsidRDefault="0015578C">
            <w:pPr>
              <w:jc w:val="right"/>
              <w:rPr>
                <w:rFonts w:eastAsia="Times New Roman"/>
                <w:sz w:val="20"/>
                <w:szCs w:val="20"/>
              </w:rPr>
            </w:pPr>
            <w:r>
              <w:rPr>
                <w:rFonts w:eastAsia="Times New Roman"/>
                <w:sz w:val="20"/>
                <w:szCs w:val="20"/>
              </w:rPr>
              <w:t>4,718,000</w:t>
            </w:r>
          </w:p>
        </w:tc>
        <w:tc>
          <w:tcPr>
            <w:tcW w:w="50" w:type="pct"/>
            <w:shd w:val="clear" w:color="auto" w:fill="CCEEFF"/>
            <w:noWrap/>
            <w:tcMar>
              <w:top w:w="0" w:type="dxa"/>
              <w:left w:w="0" w:type="dxa"/>
              <w:bottom w:w="15" w:type="dxa"/>
              <w:right w:w="0" w:type="dxa"/>
            </w:tcMar>
            <w:vAlign w:val="center"/>
            <w:hideMark/>
          </w:tcPr>
          <w:p w14:paraId="1880384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09FBC0E1"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14:paraId="1A233D59" w14:textId="77777777" w:rsidR="00000000" w:rsidRDefault="0015578C">
            <w:pPr>
              <w:rPr>
                <w:rFonts w:eastAsia="Times New Roman"/>
                <w:sz w:val="20"/>
                <w:szCs w:val="20"/>
              </w:rPr>
            </w:pPr>
            <w:r>
              <w:rPr>
                <w:rFonts w:eastAsia="Times New Roman"/>
                <w:sz w:val="20"/>
                <w:szCs w:val="20"/>
              </w:rPr>
              <w:t>$</w:t>
            </w:r>
          </w:p>
        </w:tc>
        <w:tc>
          <w:tcPr>
            <w:tcW w:w="300" w:type="pct"/>
            <w:shd w:val="clear" w:color="auto" w:fill="CCEEFF"/>
            <w:vAlign w:val="bottom"/>
            <w:hideMark/>
          </w:tcPr>
          <w:p w14:paraId="54F54F5B" w14:textId="77777777" w:rsidR="00000000" w:rsidRDefault="0015578C">
            <w:pPr>
              <w:jc w:val="right"/>
              <w:rPr>
                <w:rFonts w:eastAsia="Times New Roman"/>
                <w:sz w:val="20"/>
                <w:szCs w:val="20"/>
              </w:rPr>
            </w:pPr>
            <w:r>
              <w:rPr>
                <w:rFonts w:eastAsia="Times New Roman"/>
                <w:sz w:val="20"/>
                <w:szCs w:val="20"/>
              </w:rPr>
              <w:t>0.53</w:t>
            </w:r>
          </w:p>
        </w:tc>
        <w:tc>
          <w:tcPr>
            <w:tcW w:w="50" w:type="pct"/>
            <w:shd w:val="clear" w:color="auto" w:fill="CCEEFF"/>
            <w:noWrap/>
            <w:vAlign w:val="center"/>
            <w:hideMark/>
          </w:tcPr>
          <w:p w14:paraId="61F22F99"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318DCBF" w14:textId="77777777" w:rsidR="00000000" w:rsidRDefault="0015578C">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14:paraId="0BD94EE7" w14:textId="77777777" w:rsidR="00000000" w:rsidRDefault="0015578C">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CCEEFF"/>
            <w:vAlign w:val="bottom"/>
            <w:hideMark/>
          </w:tcPr>
          <w:p w14:paraId="2AB49A48" w14:textId="77777777" w:rsidR="00000000" w:rsidRDefault="0015578C">
            <w:pPr>
              <w:jc w:val="right"/>
              <w:rPr>
                <w:rFonts w:eastAsia="Times New Roman"/>
                <w:sz w:val="20"/>
                <w:szCs w:val="20"/>
              </w:rPr>
            </w:pPr>
            <w:r>
              <w:rPr>
                <w:rFonts w:eastAsia="Times New Roman"/>
                <w:sz w:val="20"/>
                <w:szCs w:val="20"/>
              </w:rPr>
              <w:t>506,000</w:t>
            </w:r>
          </w:p>
        </w:tc>
        <w:tc>
          <w:tcPr>
            <w:tcW w:w="50" w:type="pct"/>
            <w:shd w:val="clear" w:color="auto" w:fill="CCEEFF"/>
            <w:noWrap/>
            <w:tcMar>
              <w:top w:w="0" w:type="dxa"/>
              <w:left w:w="0" w:type="dxa"/>
              <w:bottom w:w="15" w:type="dxa"/>
              <w:right w:w="0" w:type="dxa"/>
            </w:tcMar>
            <w:vAlign w:val="center"/>
            <w:hideMark/>
          </w:tcPr>
          <w:p w14:paraId="6D8F95FE" w14:textId="77777777" w:rsidR="00000000" w:rsidRDefault="0015578C">
            <w:pPr>
              <w:pStyle w:val="a3"/>
              <w:spacing w:before="0" w:beforeAutospacing="0" w:after="0" w:afterAutospacing="0"/>
              <w:rPr>
                <w:sz w:val="20"/>
                <w:szCs w:val="20"/>
              </w:rPr>
            </w:pPr>
            <w:r>
              <w:rPr>
                <w:sz w:val="20"/>
                <w:szCs w:val="20"/>
              </w:rPr>
              <w:t> </w:t>
            </w:r>
          </w:p>
        </w:tc>
      </w:tr>
    </w:tbl>
    <w:p w14:paraId="418F953D" w14:textId="77777777" w:rsidR="00000000" w:rsidRDefault="0015578C">
      <w:pPr>
        <w:pStyle w:val="a3"/>
        <w:spacing w:before="0" w:beforeAutospacing="0" w:after="0" w:afterAutospacing="0"/>
        <w:jc w:val="both"/>
        <w:rPr>
          <w:sz w:val="20"/>
          <w:szCs w:val="20"/>
        </w:rPr>
      </w:pPr>
      <w:r>
        <w:rPr>
          <w:sz w:val="20"/>
          <w:szCs w:val="20"/>
        </w:rPr>
        <w:t xml:space="preserve">   </w:t>
      </w:r>
    </w:p>
    <w:p w14:paraId="3C5D2153" w14:textId="77777777" w:rsidR="00000000" w:rsidRDefault="0015578C">
      <w:pPr>
        <w:pStyle w:val="a3"/>
        <w:spacing w:before="0" w:beforeAutospacing="0" w:after="0" w:afterAutospacing="0"/>
        <w:ind w:left="675"/>
        <w:jc w:val="both"/>
        <w:rPr>
          <w:sz w:val="20"/>
          <w:szCs w:val="20"/>
        </w:rPr>
      </w:pPr>
      <w:r>
        <w:rPr>
          <w:sz w:val="20"/>
          <w:szCs w:val="20"/>
        </w:rPr>
        <w:t>(1) Intrinsic value based upon December 31, 2022 and 2021 price of a share of Solitario common stock as quoted on the NYSE American exchange of $0.62 and $0.50, respectively, per share.</w:t>
      </w:r>
    </w:p>
    <w:p w14:paraId="5BD430A9" w14:textId="77777777" w:rsidR="00000000" w:rsidRDefault="0015578C">
      <w:pPr>
        <w:pStyle w:val="a3"/>
        <w:spacing w:before="0" w:beforeAutospacing="0" w:after="0" w:afterAutospacing="0"/>
        <w:jc w:val="both"/>
        <w:rPr>
          <w:sz w:val="20"/>
          <w:szCs w:val="20"/>
        </w:rPr>
      </w:pPr>
      <w:r>
        <w:rPr>
          <w:sz w:val="20"/>
          <w:szCs w:val="20"/>
        </w:rPr>
        <w:t> </w:t>
      </w:r>
    </w:p>
    <w:p w14:paraId="765BB67B" w14:textId="77777777" w:rsidR="00000000" w:rsidRDefault="0015578C">
      <w:pPr>
        <w:pStyle w:val="a3"/>
        <w:spacing w:before="0" w:beforeAutospacing="0" w:after="0" w:afterAutospacing="0"/>
        <w:ind w:firstLine="675"/>
        <w:jc w:val="both"/>
        <w:rPr>
          <w:sz w:val="20"/>
          <w:szCs w:val="20"/>
        </w:rPr>
      </w:pPr>
      <w:r>
        <w:rPr>
          <w:sz w:val="20"/>
          <w:szCs w:val="20"/>
        </w:rPr>
        <w:t>During the years ended December 31, 2022 and 2021, Solitario recorde</w:t>
      </w:r>
      <w:r>
        <w:rPr>
          <w:sz w:val="20"/>
          <w:szCs w:val="20"/>
        </w:rPr>
        <w:t>d $338,000 and $124,000, respectively, of stock option expense under the 2013 Plan for the amortization of the grant date fair value of each of its outstanding options with a credit to additional paid-in-capital. At December 31, 2022, the total unrecognize</w:t>
      </w:r>
      <w:r>
        <w:rPr>
          <w:sz w:val="20"/>
          <w:szCs w:val="20"/>
        </w:rPr>
        <w:t>d stock option compensation cost related to non-vested options is $618,000 and is expected to be recognized over a weighted average period of 31 months.</w:t>
      </w:r>
    </w:p>
    <w:p w14:paraId="37748CE3" w14:textId="77777777" w:rsidR="00000000" w:rsidRDefault="0015578C">
      <w:pPr>
        <w:pStyle w:val="a3"/>
        <w:spacing w:before="0" w:beforeAutospacing="0" w:after="0" w:afterAutospacing="0"/>
        <w:jc w:val="both"/>
        <w:rPr>
          <w:sz w:val="20"/>
          <w:szCs w:val="20"/>
        </w:rPr>
      </w:pPr>
      <w:r>
        <w:rPr>
          <w:sz w:val="20"/>
          <w:szCs w:val="20"/>
        </w:rPr>
        <w:t> </w:t>
      </w:r>
    </w:p>
    <w:p w14:paraId="0D4DB237" w14:textId="77777777" w:rsidR="00000000" w:rsidRDefault="0015578C">
      <w:pPr>
        <w:pStyle w:val="a3"/>
        <w:spacing w:before="0" w:beforeAutospacing="0" w:after="0" w:afterAutospacing="0"/>
        <w:jc w:val="both"/>
        <w:rPr>
          <w:sz w:val="20"/>
          <w:szCs w:val="20"/>
        </w:rPr>
      </w:pPr>
      <w:r>
        <w:rPr>
          <w:sz w:val="20"/>
          <w:szCs w:val="20"/>
        </w:rPr>
        <w:t>11. Shareholders’ Equity</w:t>
      </w:r>
    </w:p>
    <w:p w14:paraId="78BAA1F9" w14:textId="77777777" w:rsidR="00000000" w:rsidRDefault="0015578C">
      <w:pPr>
        <w:pStyle w:val="a3"/>
        <w:spacing w:before="0" w:beforeAutospacing="0" w:after="0" w:afterAutospacing="0"/>
        <w:jc w:val="both"/>
        <w:rPr>
          <w:sz w:val="20"/>
          <w:szCs w:val="20"/>
        </w:rPr>
      </w:pPr>
      <w:r>
        <w:rPr>
          <w:sz w:val="20"/>
          <w:szCs w:val="20"/>
        </w:rPr>
        <w:t> </w:t>
      </w:r>
    </w:p>
    <w:p w14:paraId="2AE4BDED" w14:textId="77777777" w:rsidR="00000000" w:rsidRDefault="0015578C">
      <w:pPr>
        <w:pStyle w:val="a3"/>
        <w:spacing w:before="0" w:beforeAutospacing="0" w:after="0" w:afterAutospacing="0"/>
        <w:jc w:val="both"/>
        <w:rPr>
          <w:sz w:val="20"/>
          <w:szCs w:val="20"/>
        </w:rPr>
      </w:pPr>
      <w:r>
        <w:rPr>
          <w:sz w:val="20"/>
          <w:szCs w:val="20"/>
          <w:u w:val="single"/>
        </w:rPr>
        <w:t>At the Market Offering Agreement</w:t>
      </w:r>
    </w:p>
    <w:p w14:paraId="2456F94D" w14:textId="77777777" w:rsidR="00000000" w:rsidRDefault="0015578C">
      <w:pPr>
        <w:pStyle w:val="a3"/>
        <w:spacing w:before="0" w:beforeAutospacing="0" w:after="0" w:afterAutospacing="0"/>
        <w:jc w:val="both"/>
        <w:rPr>
          <w:sz w:val="20"/>
          <w:szCs w:val="20"/>
        </w:rPr>
      </w:pPr>
      <w:r>
        <w:rPr>
          <w:sz w:val="20"/>
          <w:szCs w:val="20"/>
        </w:rPr>
        <w:t> </w:t>
      </w:r>
    </w:p>
    <w:p w14:paraId="37A6CE66" w14:textId="77777777" w:rsidR="00000000" w:rsidRDefault="0015578C">
      <w:pPr>
        <w:pStyle w:val="a3"/>
        <w:spacing w:before="0" w:beforeAutospacing="0" w:after="0" w:afterAutospacing="0"/>
        <w:ind w:firstLine="675"/>
        <w:jc w:val="both"/>
        <w:rPr>
          <w:sz w:val="20"/>
          <w:szCs w:val="20"/>
        </w:rPr>
      </w:pPr>
      <w:r>
        <w:rPr>
          <w:sz w:val="20"/>
          <w:szCs w:val="20"/>
        </w:rPr>
        <w:t xml:space="preserve">On February 2, 2021, Solitario entered </w:t>
      </w:r>
      <w:r>
        <w:rPr>
          <w:sz w:val="20"/>
          <w:szCs w:val="20"/>
        </w:rPr>
        <w:t>into an at-the-market offering agreement (the “ATM Agreement”) with H. C. Wainwright &amp; Co., LLC (“Wainwright”), under which Solitario may, from time to time, issue and sell shares of Solitario’s common stock through Wainwright as sales manager in an at-the</w:t>
      </w:r>
      <w:r>
        <w:rPr>
          <w:sz w:val="20"/>
          <w:szCs w:val="20"/>
        </w:rPr>
        <w:t>-market offering under a prospectus supplement for aggregate sales proceeds of up to $9.0 million (the “ATM Program”). The common stock is distributed at the market prices prevailing at the time of sale. As a result, prices of the common stock sold under t</w:t>
      </w:r>
      <w:r>
        <w:rPr>
          <w:sz w:val="20"/>
          <w:szCs w:val="20"/>
        </w:rPr>
        <w:t>he ATM Program may vary as between purchasers and during the period of distribution. The ATM Agreement provides that Wainwright is entitled to compensation for its services at a commission rate of 3.0% of the gross sales price per share of common stock sol</w:t>
      </w:r>
      <w:r>
        <w:rPr>
          <w:sz w:val="20"/>
          <w:szCs w:val="20"/>
        </w:rPr>
        <w:t>d. During 2021, Solitario recorded $144,000 as a charge to additional paid-in-capital for one-time expenses related to entering into the ATM Agreement.</w:t>
      </w:r>
    </w:p>
    <w:p w14:paraId="1548E737" w14:textId="77777777" w:rsidR="00000000" w:rsidRDefault="0015578C">
      <w:pPr>
        <w:pStyle w:val="a3"/>
        <w:spacing w:before="0" w:beforeAutospacing="0" w:after="0" w:afterAutospacing="0"/>
        <w:jc w:val="both"/>
        <w:rPr>
          <w:sz w:val="20"/>
          <w:szCs w:val="20"/>
        </w:rPr>
      </w:pPr>
      <w:r>
        <w:rPr>
          <w:sz w:val="20"/>
          <w:szCs w:val="20"/>
        </w:rPr>
        <w:t> </w:t>
      </w:r>
    </w:p>
    <w:p w14:paraId="28DAD963" w14:textId="77777777" w:rsidR="00000000" w:rsidRDefault="0015578C">
      <w:pPr>
        <w:pStyle w:val="a3"/>
        <w:spacing w:before="0" w:beforeAutospacing="0" w:after="0" w:afterAutospacing="0"/>
        <w:ind w:firstLine="675"/>
        <w:jc w:val="both"/>
        <w:rPr>
          <w:sz w:val="20"/>
          <w:szCs w:val="20"/>
        </w:rPr>
      </w:pPr>
      <w:r>
        <w:rPr>
          <w:sz w:val="20"/>
          <w:szCs w:val="20"/>
        </w:rPr>
        <w:t>During 2022, Solitario sold 2,650,724 shares of its common stock under the ATM Program at a price of $</w:t>
      </w:r>
      <w:r>
        <w:rPr>
          <w:sz w:val="20"/>
          <w:szCs w:val="20"/>
        </w:rPr>
        <w:t>0.79 per share for net proceeds of $2,023,000 after commissions and sale expenses. During 2021, Solitario sold an aggregate of 643,033 shares of its common stock under the ATM Program at an average price of $0.68 per share for net proceeds of $299,000 afte</w:t>
      </w:r>
      <w:r>
        <w:rPr>
          <w:sz w:val="20"/>
          <w:szCs w:val="20"/>
        </w:rPr>
        <w:t>r commissions, sale, and one-time expenses.</w:t>
      </w:r>
    </w:p>
    <w:p w14:paraId="6ED26B7A" w14:textId="77777777" w:rsidR="00000000" w:rsidRDefault="0015578C">
      <w:pPr>
        <w:pStyle w:val="a3"/>
        <w:spacing w:before="0" w:beforeAutospacing="0" w:after="0" w:afterAutospacing="0"/>
        <w:jc w:val="both"/>
        <w:rPr>
          <w:sz w:val="20"/>
          <w:szCs w:val="20"/>
        </w:rPr>
      </w:pPr>
      <w:r>
        <w:rPr>
          <w:sz w:val="20"/>
          <w:szCs w:val="20"/>
        </w:rPr>
        <w:t> </w:t>
      </w:r>
    </w:p>
    <w:p w14:paraId="19721039" w14:textId="77777777" w:rsidR="00000000" w:rsidRDefault="0015578C">
      <w:pPr>
        <w:pStyle w:val="a3"/>
        <w:spacing w:before="0" w:beforeAutospacing="0" w:after="0" w:afterAutospacing="0"/>
        <w:jc w:val="both"/>
        <w:rPr>
          <w:sz w:val="20"/>
          <w:szCs w:val="20"/>
        </w:rPr>
      </w:pPr>
      <w:r>
        <w:rPr>
          <w:sz w:val="20"/>
          <w:szCs w:val="20"/>
          <w:u w:val="single"/>
        </w:rPr>
        <w:t>2021 Equity Offering</w:t>
      </w:r>
    </w:p>
    <w:p w14:paraId="47E51992" w14:textId="77777777" w:rsidR="00000000" w:rsidRDefault="0015578C">
      <w:pPr>
        <w:pStyle w:val="a3"/>
        <w:spacing w:before="0" w:beforeAutospacing="0" w:after="0" w:afterAutospacing="0"/>
        <w:jc w:val="both"/>
        <w:rPr>
          <w:sz w:val="20"/>
          <w:szCs w:val="20"/>
        </w:rPr>
      </w:pPr>
      <w:r>
        <w:rPr>
          <w:sz w:val="20"/>
          <w:szCs w:val="20"/>
        </w:rPr>
        <w:t> </w:t>
      </w:r>
    </w:p>
    <w:p w14:paraId="3B12DF17" w14:textId="77777777" w:rsidR="00000000" w:rsidRDefault="0015578C">
      <w:pPr>
        <w:pStyle w:val="a3"/>
        <w:spacing w:before="0" w:beforeAutospacing="0" w:after="0" w:afterAutospacing="0"/>
        <w:ind w:firstLine="675"/>
        <w:jc w:val="both"/>
        <w:rPr>
          <w:sz w:val="20"/>
          <w:szCs w:val="20"/>
        </w:rPr>
      </w:pPr>
      <w:r>
        <w:rPr>
          <w:sz w:val="20"/>
          <w:szCs w:val="20"/>
        </w:rPr>
        <w:t>In December 2021 Solitario completed the sale of 3,100,000 shares of common stock (the “Shares”), at a price of $0.50 per share (the “Offering”) for net proceeds after expenses of $1,542,</w:t>
      </w:r>
      <w:r>
        <w:rPr>
          <w:sz w:val="20"/>
          <w:szCs w:val="20"/>
        </w:rPr>
        <w:t>000. Solitario did not engage an underwriter or placement agent for the Offering, and therefore there were no underwriter discounts or commissions or placement agent fees. The sale of the Shares was made through a subscription agreement between Solitario a</w:t>
      </w:r>
      <w:r>
        <w:rPr>
          <w:sz w:val="20"/>
          <w:szCs w:val="20"/>
        </w:rPr>
        <w:t>nd each respective investor. The Shares were offered and sold pursuant to the Company’s existing shelf registration statement on Form S-3 (File No. 333-249129). Solitario filed a prospectus supplement, dated December 1, 2021, with the SEC in connection wit</w:t>
      </w:r>
      <w:r>
        <w:rPr>
          <w:sz w:val="20"/>
          <w:szCs w:val="20"/>
        </w:rPr>
        <w:t>h the sale of the securities in the Offering. Three of Solitario’s executive officers participated in the Offering, purchasing 50,000 Shares each, on the same terms as the other investors. The Offering was unanimously approved by Solitario’s Board of Direc</w:t>
      </w:r>
      <w:r>
        <w:rPr>
          <w:sz w:val="20"/>
          <w:szCs w:val="20"/>
        </w:rPr>
        <w:t>tors and the participation by our executive officers was also unanimously approved by the Audit Committee of the Board of Directors.</w:t>
      </w:r>
    </w:p>
    <w:p w14:paraId="5E054228" w14:textId="77777777" w:rsidR="00000000" w:rsidRDefault="0015578C">
      <w:pPr>
        <w:pStyle w:val="a3"/>
        <w:spacing w:before="0" w:beforeAutospacing="0" w:after="0" w:afterAutospacing="0"/>
        <w:jc w:val="both"/>
        <w:rPr>
          <w:sz w:val="20"/>
          <w:szCs w:val="20"/>
        </w:rPr>
      </w:pPr>
      <w:r>
        <w:rPr>
          <w:sz w:val="20"/>
          <w:szCs w:val="20"/>
        </w:rPr>
        <w:t>   </w:t>
      </w:r>
    </w:p>
    <w:p w14:paraId="0AC7D958" w14:textId="77777777" w:rsidR="00000000" w:rsidRDefault="0015578C">
      <w:pPr>
        <w:pStyle w:val="a3"/>
        <w:spacing w:before="0" w:beforeAutospacing="0" w:after="0" w:afterAutospacing="0"/>
        <w:jc w:val="both"/>
        <w:rPr>
          <w:sz w:val="20"/>
          <w:szCs w:val="20"/>
        </w:rPr>
      </w:pPr>
      <w:r>
        <w:rPr>
          <w:sz w:val="20"/>
          <w:szCs w:val="20"/>
          <w:u w:val="single"/>
        </w:rPr>
        <w:t>Share Repurchase Program</w:t>
      </w:r>
    </w:p>
    <w:p w14:paraId="2FE9AC28" w14:textId="77777777" w:rsidR="00000000" w:rsidRDefault="0015578C">
      <w:pPr>
        <w:pStyle w:val="a3"/>
        <w:spacing w:before="0" w:beforeAutospacing="0" w:after="0" w:afterAutospacing="0"/>
        <w:jc w:val="both"/>
        <w:rPr>
          <w:sz w:val="20"/>
          <w:szCs w:val="20"/>
        </w:rPr>
      </w:pPr>
      <w:r>
        <w:rPr>
          <w:sz w:val="20"/>
          <w:szCs w:val="20"/>
        </w:rPr>
        <w:t> </w:t>
      </w:r>
    </w:p>
    <w:p w14:paraId="327E544C" w14:textId="77777777" w:rsidR="00000000" w:rsidRDefault="0015578C">
      <w:pPr>
        <w:pStyle w:val="a3"/>
        <w:spacing w:before="0" w:beforeAutospacing="0" w:after="0" w:afterAutospacing="0"/>
        <w:ind w:firstLine="675"/>
        <w:jc w:val="both"/>
        <w:rPr>
          <w:sz w:val="20"/>
          <w:szCs w:val="20"/>
        </w:rPr>
      </w:pPr>
      <w:r>
        <w:rPr>
          <w:sz w:val="20"/>
          <w:szCs w:val="20"/>
        </w:rPr>
        <w:t>On October 28, 2015, Solitario’s Board of Directors approved a share repurchase program that</w:t>
      </w:r>
      <w:r>
        <w:rPr>
          <w:sz w:val="20"/>
          <w:szCs w:val="20"/>
        </w:rPr>
        <w:t xml:space="preserve"> authorized Solitario to purchase up to two million shares of its outstanding common stock. During 2021, Solitario did not purchase any shares pursuant to the share repurchase program. As of December 31, 2021, Solitario had purchased a total of 994,000 sha</w:t>
      </w:r>
      <w:r>
        <w:rPr>
          <w:sz w:val="20"/>
          <w:szCs w:val="20"/>
        </w:rPr>
        <w:t>res for an aggregate purchase price of $467,000 under the share repurchase program since its inception. The share repurchase plan expired on December 31, 2021 and no additional shares will be purchased under the plan in the future.</w:t>
      </w:r>
    </w:p>
    <w:p w14:paraId="3374B250" w14:textId="77777777" w:rsidR="00000000" w:rsidRDefault="0015578C">
      <w:pPr>
        <w:pStyle w:val="a3"/>
        <w:spacing w:before="0" w:beforeAutospacing="0" w:after="0" w:afterAutospacing="0"/>
        <w:jc w:val="both"/>
        <w:rPr>
          <w:sz w:val="20"/>
          <w:szCs w:val="20"/>
        </w:rPr>
      </w:pPr>
      <w:r>
        <w:rPr>
          <w:sz w:val="20"/>
          <w:szCs w:val="20"/>
        </w:rPr>
        <w:t> </w:t>
      </w:r>
    </w:p>
    <w:p w14:paraId="1EE98493" w14:textId="77777777" w:rsidR="00000000" w:rsidRDefault="0015578C">
      <w:pPr>
        <w:pStyle w:val="a3"/>
        <w:spacing w:before="0" w:beforeAutospacing="0" w:after="0" w:afterAutospacing="0"/>
        <w:jc w:val="both"/>
        <w:rPr>
          <w:sz w:val="20"/>
          <w:szCs w:val="20"/>
        </w:rPr>
      </w:pPr>
      <w:r>
        <w:rPr>
          <w:sz w:val="20"/>
          <w:szCs w:val="20"/>
        </w:rPr>
        <w:t>13. Subsequent Events</w:t>
      </w:r>
    </w:p>
    <w:p w14:paraId="7F8FC940" w14:textId="77777777" w:rsidR="00000000" w:rsidRDefault="0015578C">
      <w:pPr>
        <w:pStyle w:val="a3"/>
        <w:spacing w:before="0" w:beforeAutospacing="0" w:after="0" w:afterAutospacing="0"/>
        <w:jc w:val="both"/>
        <w:rPr>
          <w:sz w:val="20"/>
          <w:szCs w:val="20"/>
        </w:rPr>
      </w:pPr>
      <w:r>
        <w:rPr>
          <w:sz w:val="20"/>
          <w:szCs w:val="20"/>
        </w:rPr>
        <w:t> </w:t>
      </w:r>
    </w:p>
    <w:p w14:paraId="4A2891E3" w14:textId="77777777" w:rsidR="00000000" w:rsidRDefault="0015578C">
      <w:pPr>
        <w:pStyle w:val="a3"/>
        <w:spacing w:before="0" w:beforeAutospacing="0" w:after="0" w:afterAutospacing="0"/>
        <w:ind w:firstLine="675"/>
        <w:jc w:val="both"/>
        <w:rPr>
          <w:sz w:val="20"/>
          <w:szCs w:val="20"/>
        </w:rPr>
      </w:pPr>
      <w:r>
        <w:rPr>
          <w:sz w:val="20"/>
          <w:szCs w:val="20"/>
        </w:rPr>
        <w:t>Solitario has evaluated events subsequent to December 31, 2022 to assess the need for potential recognition or disclosure in this report. Such events were evaluated through the date these financial statements were available to be issued. No events have o</w:t>
      </w:r>
      <w:r>
        <w:rPr>
          <w:sz w:val="20"/>
          <w:szCs w:val="20"/>
        </w:rPr>
        <w:t>ccurred requiring recognition or disclosure through the date of this report.</w:t>
      </w:r>
    </w:p>
    <w:p w14:paraId="11719233"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253910E" w14:textId="77777777">
        <w:trPr>
          <w:trHeight w:val="225"/>
          <w:tblCellSpacing w:w="15" w:type="dxa"/>
        </w:trPr>
        <w:tc>
          <w:tcPr>
            <w:tcW w:w="0" w:type="auto"/>
            <w:vAlign w:val="center"/>
            <w:hideMark/>
          </w:tcPr>
          <w:p w14:paraId="4D02751C" w14:textId="77777777" w:rsidR="00000000" w:rsidRDefault="0015578C">
            <w:pPr>
              <w:rPr>
                <w:rFonts w:eastAsia="Times New Roman"/>
                <w:sz w:val="20"/>
                <w:szCs w:val="20"/>
              </w:rPr>
            </w:pPr>
            <w:r>
              <w:rPr>
                <w:rFonts w:eastAsia="Times New Roman"/>
                <w:sz w:val="20"/>
                <w:szCs w:val="20"/>
              </w:rPr>
              <w:t> </w:t>
            </w:r>
          </w:p>
        </w:tc>
      </w:tr>
      <w:tr w:rsidR="00000000" w14:paraId="4FA0D153" w14:textId="77777777">
        <w:trPr>
          <w:trHeight w:val="225"/>
          <w:tblCellSpacing w:w="15" w:type="dxa"/>
        </w:trPr>
        <w:tc>
          <w:tcPr>
            <w:tcW w:w="0" w:type="auto"/>
            <w:tcBorders>
              <w:bottom w:val="single" w:sz="6" w:space="0" w:color="000000"/>
            </w:tcBorders>
            <w:vAlign w:val="center"/>
            <w:hideMark/>
          </w:tcPr>
          <w:p w14:paraId="0AF0B6C8" w14:textId="77777777" w:rsidR="00000000" w:rsidRDefault="0015578C">
            <w:pPr>
              <w:jc w:val="center"/>
              <w:rPr>
                <w:rFonts w:eastAsia="Times New Roman"/>
                <w:sz w:val="20"/>
                <w:szCs w:val="20"/>
              </w:rPr>
            </w:pPr>
            <w:r>
              <w:rPr>
                <w:rFonts w:eastAsia="Times New Roman"/>
                <w:sz w:val="20"/>
                <w:szCs w:val="20"/>
              </w:rPr>
              <w:t>F-17</w:t>
            </w:r>
          </w:p>
        </w:tc>
      </w:tr>
      <w:tr w:rsidR="00000000" w14:paraId="64141112" w14:textId="77777777">
        <w:trPr>
          <w:trHeight w:val="225"/>
          <w:tblCellSpacing w:w="15" w:type="dxa"/>
        </w:trPr>
        <w:tc>
          <w:tcPr>
            <w:tcW w:w="0" w:type="auto"/>
            <w:vAlign w:val="center"/>
            <w:hideMark/>
          </w:tcPr>
          <w:p w14:paraId="678B3F9B" w14:textId="77777777" w:rsidR="00000000" w:rsidRDefault="0015578C">
            <w:pPr>
              <w:rPr>
                <w:rFonts w:eastAsia="Times New Roman"/>
                <w:sz w:val="20"/>
                <w:szCs w:val="20"/>
              </w:rPr>
            </w:pPr>
          </w:p>
        </w:tc>
      </w:tr>
      <w:tr w:rsidR="00000000" w14:paraId="557DC5E1" w14:textId="77777777">
        <w:trPr>
          <w:trHeight w:val="225"/>
          <w:tblCellSpacing w:w="15" w:type="dxa"/>
        </w:trPr>
        <w:tc>
          <w:tcPr>
            <w:tcW w:w="0" w:type="auto"/>
            <w:vAlign w:val="center"/>
            <w:hideMark/>
          </w:tcPr>
          <w:p w14:paraId="70DFD1BA" w14:textId="77777777" w:rsidR="00000000" w:rsidRDefault="0015578C">
            <w:pPr>
              <w:rPr>
                <w:rFonts w:eastAsia="Times New Roman"/>
                <w:sz w:val="20"/>
                <w:szCs w:val="20"/>
              </w:rPr>
            </w:pPr>
            <w:hyperlink w:anchor="toc2" w:history="1">
              <w:r>
                <w:rPr>
                  <w:rStyle w:val="a5"/>
                  <w:rFonts w:eastAsia="Times New Roman"/>
                  <w:i/>
                  <w:iCs/>
                  <w:sz w:val="20"/>
                  <w:szCs w:val="20"/>
                </w:rPr>
                <w:t>Table of Contents</w:t>
              </w:r>
            </w:hyperlink>
          </w:p>
        </w:tc>
      </w:tr>
    </w:tbl>
    <w:p w14:paraId="551D2593" w14:textId="77777777" w:rsidR="00000000" w:rsidRDefault="0015578C">
      <w:pPr>
        <w:pStyle w:val="a3"/>
        <w:spacing w:before="0" w:beforeAutospacing="0" w:after="0" w:afterAutospacing="0"/>
        <w:jc w:val="both"/>
        <w:rPr>
          <w:sz w:val="20"/>
          <w:szCs w:val="20"/>
        </w:rPr>
      </w:pPr>
      <w:r>
        <w:rPr>
          <w:sz w:val="20"/>
          <w:szCs w:val="20"/>
        </w:rPr>
        <w:t> </w:t>
      </w:r>
    </w:p>
    <w:p w14:paraId="5A375443" w14:textId="77777777" w:rsidR="00000000" w:rsidRDefault="0015578C">
      <w:pPr>
        <w:pStyle w:val="a3"/>
        <w:spacing w:before="0" w:beforeAutospacing="0" w:after="0" w:afterAutospacing="0"/>
        <w:jc w:val="both"/>
        <w:rPr>
          <w:sz w:val="20"/>
          <w:szCs w:val="20"/>
        </w:rPr>
      </w:pPr>
      <w:r>
        <w:rPr>
          <w:rStyle w:val="atag"/>
          <w:b/>
          <w:bCs/>
          <w:sz w:val="20"/>
          <w:szCs w:val="20"/>
        </w:rPr>
        <w:t xml:space="preserve">Item 9. </w:t>
      </w:r>
      <w:r>
        <w:rPr>
          <w:rStyle w:val="atag"/>
          <w:b/>
          <w:bCs/>
          <w:sz w:val="20"/>
          <w:szCs w:val="20"/>
          <w:u w:val="single"/>
        </w:rPr>
        <w:t xml:space="preserve">Changes in </w:t>
      </w:r>
      <w:r>
        <w:rPr>
          <w:rStyle w:val="atag"/>
          <w:b/>
          <w:bCs/>
          <w:sz w:val="20"/>
          <w:szCs w:val="20"/>
          <w:u w:val="single"/>
        </w:rPr>
        <w:t>and Disagreements with Accountants on Accounting and Financial Disclosur</w:t>
      </w:r>
      <w:r>
        <w:rPr>
          <w:rStyle w:val="atag"/>
          <w:b/>
          <w:bCs/>
          <w:sz w:val="20"/>
          <w:szCs w:val="20"/>
          <w:u w:val="single"/>
        </w:rPr>
        <w:t>e</w:t>
      </w:r>
    </w:p>
    <w:p w14:paraId="17A882B5" w14:textId="77777777" w:rsidR="00000000" w:rsidRDefault="0015578C">
      <w:pPr>
        <w:pStyle w:val="a3"/>
        <w:spacing w:before="0" w:beforeAutospacing="0" w:after="0" w:afterAutospacing="0"/>
        <w:jc w:val="both"/>
        <w:rPr>
          <w:sz w:val="20"/>
          <w:szCs w:val="20"/>
        </w:rPr>
      </w:pPr>
      <w:r>
        <w:rPr>
          <w:sz w:val="20"/>
          <w:szCs w:val="20"/>
        </w:rPr>
        <w:t> </w:t>
      </w:r>
    </w:p>
    <w:p w14:paraId="36AB109A" w14:textId="77777777" w:rsidR="00000000" w:rsidRDefault="0015578C">
      <w:pPr>
        <w:pStyle w:val="a3"/>
        <w:spacing w:before="0" w:beforeAutospacing="0" w:after="0" w:afterAutospacing="0"/>
        <w:ind w:firstLine="675"/>
        <w:jc w:val="both"/>
        <w:rPr>
          <w:sz w:val="20"/>
          <w:szCs w:val="20"/>
        </w:rPr>
      </w:pPr>
      <w:r>
        <w:rPr>
          <w:sz w:val="20"/>
          <w:szCs w:val="20"/>
        </w:rPr>
        <w:t>None</w:t>
      </w:r>
    </w:p>
    <w:p w14:paraId="5BA8BC49" w14:textId="77777777" w:rsidR="00000000" w:rsidRDefault="0015578C">
      <w:pPr>
        <w:pStyle w:val="a3"/>
        <w:spacing w:before="0" w:beforeAutospacing="0" w:after="0" w:afterAutospacing="0"/>
        <w:jc w:val="both"/>
        <w:rPr>
          <w:sz w:val="20"/>
          <w:szCs w:val="20"/>
        </w:rPr>
      </w:pPr>
      <w:r>
        <w:rPr>
          <w:sz w:val="20"/>
          <w:szCs w:val="20"/>
        </w:rPr>
        <w:t> </w:t>
      </w:r>
    </w:p>
    <w:p w14:paraId="734C1C46" w14:textId="77777777" w:rsidR="00000000" w:rsidRDefault="0015578C">
      <w:pPr>
        <w:pStyle w:val="a3"/>
        <w:spacing w:before="0" w:beforeAutospacing="0" w:after="0" w:afterAutospacing="0"/>
        <w:jc w:val="both"/>
        <w:rPr>
          <w:sz w:val="20"/>
          <w:szCs w:val="20"/>
        </w:rPr>
      </w:pPr>
      <w:r>
        <w:rPr>
          <w:rStyle w:val="atag"/>
          <w:b/>
          <w:bCs/>
          <w:sz w:val="20"/>
          <w:szCs w:val="20"/>
        </w:rPr>
        <w:t xml:space="preserve">Item 9A. </w:t>
      </w:r>
      <w:r>
        <w:rPr>
          <w:rStyle w:val="atag"/>
          <w:b/>
          <w:bCs/>
          <w:sz w:val="20"/>
          <w:szCs w:val="20"/>
          <w:u w:val="single"/>
        </w:rPr>
        <w:t>Controls and Procedure</w:t>
      </w:r>
      <w:r>
        <w:rPr>
          <w:rStyle w:val="atag"/>
          <w:b/>
          <w:bCs/>
          <w:sz w:val="20"/>
          <w:szCs w:val="20"/>
          <w:u w:val="single"/>
        </w:rPr>
        <w:t>s</w:t>
      </w:r>
    </w:p>
    <w:p w14:paraId="49E5AEE0" w14:textId="77777777" w:rsidR="00000000" w:rsidRDefault="0015578C">
      <w:pPr>
        <w:pStyle w:val="a3"/>
        <w:spacing w:before="0" w:beforeAutospacing="0" w:after="0" w:afterAutospacing="0"/>
        <w:jc w:val="both"/>
        <w:rPr>
          <w:sz w:val="20"/>
          <w:szCs w:val="20"/>
        </w:rPr>
      </w:pPr>
      <w:r>
        <w:rPr>
          <w:sz w:val="20"/>
          <w:szCs w:val="20"/>
        </w:rPr>
        <w:t> </w:t>
      </w:r>
    </w:p>
    <w:p w14:paraId="0B72B48D" w14:textId="77777777" w:rsidR="00000000" w:rsidRDefault="0015578C">
      <w:pPr>
        <w:pStyle w:val="a3"/>
        <w:spacing w:before="0" w:beforeAutospacing="0" w:after="0" w:afterAutospacing="0"/>
        <w:ind w:firstLine="675"/>
        <w:jc w:val="both"/>
        <w:rPr>
          <w:sz w:val="20"/>
          <w:szCs w:val="20"/>
        </w:rPr>
      </w:pPr>
      <w:r>
        <w:rPr>
          <w:sz w:val="20"/>
          <w:szCs w:val="20"/>
        </w:rPr>
        <w:t>The management of Solitario is responsible for establishing and maintaining adequate internal control over financial reporting (as defined</w:t>
      </w:r>
      <w:r>
        <w:rPr>
          <w:sz w:val="20"/>
          <w:szCs w:val="20"/>
        </w:rPr>
        <w:t xml:space="preserve"> in Rule 13a-15(e) of the Securities Exchange Act of 1934, as amended (the “Exchange Act”)). During the fiscal period covered by this report, Solitario's management, with the participation of the Chief Executive Officer and Chief Financial Officer, carried</w:t>
      </w:r>
      <w:r>
        <w:rPr>
          <w:sz w:val="20"/>
          <w:szCs w:val="20"/>
        </w:rPr>
        <w:t xml:space="preserve"> out an evaluation of the effectiveness of Solitario’s internal control over financial reporting and the design and operation of Solitario’s disclosure controls and procedures (as defined in Rule 13a-15(e) of the Exchange Act). This evaluation of the effec</w:t>
      </w:r>
      <w:r>
        <w:rPr>
          <w:sz w:val="20"/>
          <w:szCs w:val="20"/>
        </w:rPr>
        <w:t xml:space="preserve">tiveness of our internal control over financial reporting was based on the framework and criteria established in </w:t>
      </w:r>
      <w:r>
        <w:rPr>
          <w:rStyle w:val="a7"/>
          <w:sz w:val="20"/>
          <w:szCs w:val="20"/>
        </w:rPr>
        <w:t>Internal Control</w:t>
      </w:r>
      <w:r>
        <w:rPr>
          <w:sz w:val="20"/>
          <w:szCs w:val="20"/>
        </w:rPr>
        <w:t xml:space="preserve"> – </w:t>
      </w:r>
      <w:r>
        <w:rPr>
          <w:rStyle w:val="a7"/>
          <w:sz w:val="20"/>
          <w:szCs w:val="20"/>
        </w:rPr>
        <w:t>Integrated Framework (2013)</w:t>
      </w:r>
      <w:r>
        <w:rPr>
          <w:sz w:val="20"/>
          <w:szCs w:val="20"/>
        </w:rPr>
        <w:t>, issued by the Committee of Sponsoring Organizations of the Treadway Commission. Based on such e</w:t>
      </w:r>
      <w:r>
        <w:rPr>
          <w:sz w:val="20"/>
          <w:szCs w:val="20"/>
        </w:rPr>
        <w:t>valuations, Solitario’s Chief Executive Officer and Chief Financial Officer have concluded that, as of December 31, 2022, Solitario’s internal control over financial reporting is effective and that its disclosure controls and procedures are effective to en</w:t>
      </w:r>
      <w:r>
        <w:rPr>
          <w:sz w:val="20"/>
          <w:szCs w:val="20"/>
        </w:rPr>
        <w:t xml:space="preserve">sure that information required to be disclosed by Solitario in reports that it files or submits under the Exchange Act is recorded, processed, summarized and reported within the required time periods and are designed to ensure that information required to </w:t>
      </w:r>
      <w:r>
        <w:rPr>
          <w:sz w:val="20"/>
          <w:szCs w:val="20"/>
        </w:rPr>
        <w:t>be disclosed in its reports is accumulated and communicated to Solitario’s management, including the Chief Executive Officer and Chief Financial Officer, as appropriate to allow timely decisions regarding required disclosure. There were no changes in inter</w:t>
      </w:r>
      <w:r>
        <w:rPr>
          <w:sz w:val="20"/>
          <w:szCs w:val="20"/>
        </w:rPr>
        <w:t>nal control over financial reporting during the three months ended December 31, 2022.</w:t>
      </w:r>
    </w:p>
    <w:p w14:paraId="4A852B49" w14:textId="77777777" w:rsidR="00000000" w:rsidRDefault="0015578C">
      <w:pPr>
        <w:pStyle w:val="a3"/>
        <w:spacing w:before="0" w:beforeAutospacing="0" w:after="0" w:afterAutospacing="0"/>
        <w:jc w:val="both"/>
        <w:rPr>
          <w:sz w:val="20"/>
          <w:szCs w:val="20"/>
        </w:rPr>
      </w:pPr>
      <w:r>
        <w:rPr>
          <w:sz w:val="20"/>
          <w:szCs w:val="20"/>
        </w:rPr>
        <w:t> </w:t>
      </w:r>
    </w:p>
    <w:p w14:paraId="71DA73D9" w14:textId="77777777" w:rsidR="00000000" w:rsidRDefault="0015578C">
      <w:pPr>
        <w:pStyle w:val="a3"/>
        <w:spacing w:before="0" w:beforeAutospacing="0" w:after="0" w:afterAutospacing="0"/>
        <w:ind w:firstLine="675"/>
        <w:jc w:val="both"/>
        <w:rPr>
          <w:sz w:val="20"/>
          <w:szCs w:val="20"/>
        </w:rPr>
      </w:pPr>
      <w:r>
        <w:rPr>
          <w:sz w:val="20"/>
          <w:szCs w:val="20"/>
        </w:rPr>
        <w:t>This Annual Report does not include an attestation report of our independent registered public accounting firm regarding internal control over financial reporting. As a smaller reporting company, Solitario’s management’s report was not subject to attestati</w:t>
      </w:r>
      <w:r>
        <w:rPr>
          <w:sz w:val="20"/>
          <w:szCs w:val="20"/>
        </w:rPr>
        <w:t>on by our independent registered public accounting firm pursuant to rules of the SEC that permit us to provide only management’s report in this annual report.</w:t>
      </w:r>
    </w:p>
    <w:p w14:paraId="649B2DFC" w14:textId="77777777" w:rsidR="00000000" w:rsidRDefault="0015578C">
      <w:pPr>
        <w:pStyle w:val="a3"/>
        <w:spacing w:before="0" w:beforeAutospacing="0" w:after="0" w:afterAutospacing="0"/>
        <w:jc w:val="both"/>
        <w:rPr>
          <w:sz w:val="20"/>
          <w:szCs w:val="20"/>
        </w:rPr>
      </w:pPr>
      <w:r>
        <w:rPr>
          <w:sz w:val="20"/>
          <w:szCs w:val="20"/>
        </w:rPr>
        <w:t> </w:t>
      </w:r>
    </w:p>
    <w:p w14:paraId="30401AF4" w14:textId="77777777" w:rsidR="00000000" w:rsidRDefault="0015578C">
      <w:pPr>
        <w:pStyle w:val="a3"/>
        <w:spacing w:before="0" w:beforeAutospacing="0" w:after="0" w:afterAutospacing="0"/>
        <w:jc w:val="both"/>
        <w:rPr>
          <w:sz w:val="20"/>
          <w:szCs w:val="20"/>
        </w:rPr>
      </w:pPr>
      <w:r>
        <w:rPr>
          <w:rStyle w:val="atag"/>
          <w:b/>
          <w:bCs/>
          <w:sz w:val="20"/>
          <w:szCs w:val="20"/>
        </w:rPr>
        <w:t xml:space="preserve">Item 9B. </w:t>
      </w:r>
      <w:r>
        <w:rPr>
          <w:rStyle w:val="atag"/>
          <w:b/>
          <w:bCs/>
          <w:sz w:val="20"/>
          <w:szCs w:val="20"/>
          <w:u w:val="single"/>
        </w:rPr>
        <w:t>Other Informatio</w:t>
      </w:r>
      <w:r>
        <w:rPr>
          <w:rStyle w:val="atag"/>
          <w:b/>
          <w:bCs/>
          <w:sz w:val="20"/>
          <w:szCs w:val="20"/>
          <w:u w:val="single"/>
        </w:rPr>
        <w:t>n</w:t>
      </w:r>
    </w:p>
    <w:p w14:paraId="2656C687" w14:textId="77777777" w:rsidR="00000000" w:rsidRDefault="0015578C">
      <w:pPr>
        <w:pStyle w:val="a3"/>
        <w:spacing w:before="0" w:beforeAutospacing="0" w:after="0" w:afterAutospacing="0"/>
        <w:jc w:val="both"/>
        <w:rPr>
          <w:sz w:val="20"/>
          <w:szCs w:val="20"/>
        </w:rPr>
      </w:pPr>
      <w:r>
        <w:rPr>
          <w:sz w:val="20"/>
          <w:szCs w:val="20"/>
        </w:rPr>
        <w:t> </w:t>
      </w:r>
    </w:p>
    <w:p w14:paraId="6A0AF23F" w14:textId="77777777" w:rsidR="00000000" w:rsidRDefault="0015578C">
      <w:pPr>
        <w:pStyle w:val="a3"/>
        <w:spacing w:before="0" w:beforeAutospacing="0" w:after="0" w:afterAutospacing="0"/>
        <w:ind w:firstLine="675"/>
        <w:jc w:val="both"/>
        <w:rPr>
          <w:sz w:val="20"/>
          <w:szCs w:val="20"/>
        </w:rPr>
      </w:pPr>
      <w:r>
        <w:rPr>
          <w:sz w:val="20"/>
          <w:szCs w:val="20"/>
        </w:rPr>
        <w:t>None</w:t>
      </w:r>
    </w:p>
    <w:p w14:paraId="40FC467C" w14:textId="77777777" w:rsidR="00000000" w:rsidRDefault="0015578C">
      <w:pPr>
        <w:pStyle w:val="a3"/>
        <w:spacing w:before="0" w:beforeAutospacing="0" w:after="0" w:afterAutospacing="0"/>
        <w:jc w:val="both"/>
        <w:rPr>
          <w:sz w:val="20"/>
          <w:szCs w:val="20"/>
        </w:rPr>
      </w:pPr>
      <w:r>
        <w:rPr>
          <w:sz w:val="20"/>
          <w:szCs w:val="20"/>
        </w:rPr>
        <w:t> </w:t>
      </w:r>
    </w:p>
    <w:p w14:paraId="2928D698" w14:textId="77777777" w:rsidR="00000000" w:rsidRDefault="0015578C">
      <w:pPr>
        <w:pStyle w:val="a3"/>
        <w:spacing w:before="0" w:beforeAutospacing="0" w:after="0" w:afterAutospacing="0"/>
        <w:jc w:val="both"/>
        <w:rPr>
          <w:sz w:val="20"/>
          <w:szCs w:val="20"/>
        </w:rPr>
      </w:pPr>
      <w:r>
        <w:rPr>
          <w:rStyle w:val="a4"/>
          <w:sz w:val="20"/>
          <w:szCs w:val="20"/>
        </w:rPr>
        <w:t>Item 9B. Disclosure Regarding Foreign Jurisdictions that Pr</w:t>
      </w:r>
      <w:r>
        <w:rPr>
          <w:rStyle w:val="a4"/>
          <w:sz w:val="20"/>
          <w:szCs w:val="20"/>
        </w:rPr>
        <w:t>event Inspections</w:t>
      </w:r>
    </w:p>
    <w:p w14:paraId="1EBD4D01" w14:textId="77777777" w:rsidR="00000000" w:rsidRDefault="0015578C">
      <w:pPr>
        <w:pStyle w:val="a3"/>
        <w:spacing w:before="0" w:beforeAutospacing="0" w:after="0" w:afterAutospacing="0"/>
        <w:jc w:val="both"/>
        <w:rPr>
          <w:sz w:val="20"/>
          <w:szCs w:val="20"/>
        </w:rPr>
      </w:pPr>
      <w:r>
        <w:rPr>
          <w:sz w:val="20"/>
          <w:szCs w:val="20"/>
        </w:rPr>
        <w:t> </w:t>
      </w:r>
    </w:p>
    <w:p w14:paraId="5F3FD349" w14:textId="77777777" w:rsidR="00000000" w:rsidRDefault="0015578C">
      <w:pPr>
        <w:pStyle w:val="a3"/>
        <w:spacing w:before="0" w:beforeAutospacing="0" w:after="0" w:afterAutospacing="0"/>
        <w:ind w:firstLine="675"/>
        <w:jc w:val="both"/>
        <w:rPr>
          <w:sz w:val="20"/>
          <w:szCs w:val="20"/>
        </w:rPr>
      </w:pPr>
      <w:r>
        <w:rPr>
          <w:sz w:val="20"/>
          <w:szCs w:val="20"/>
        </w:rPr>
        <w:t>Not Applicable</w:t>
      </w:r>
    </w:p>
    <w:p w14:paraId="2E999301"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E233303" w14:textId="77777777">
        <w:trPr>
          <w:trHeight w:val="225"/>
          <w:tblCellSpacing w:w="15" w:type="dxa"/>
        </w:trPr>
        <w:tc>
          <w:tcPr>
            <w:tcW w:w="0" w:type="auto"/>
            <w:vAlign w:val="center"/>
            <w:hideMark/>
          </w:tcPr>
          <w:p w14:paraId="54A94E07" w14:textId="77777777" w:rsidR="00000000" w:rsidRDefault="0015578C">
            <w:pPr>
              <w:rPr>
                <w:rFonts w:eastAsia="Times New Roman"/>
                <w:sz w:val="20"/>
                <w:szCs w:val="20"/>
              </w:rPr>
            </w:pPr>
            <w:r>
              <w:rPr>
                <w:rFonts w:eastAsia="Times New Roman"/>
                <w:sz w:val="20"/>
                <w:szCs w:val="20"/>
              </w:rPr>
              <w:t> </w:t>
            </w:r>
          </w:p>
        </w:tc>
      </w:tr>
      <w:tr w:rsidR="00000000" w14:paraId="01CF9B91" w14:textId="77777777">
        <w:trPr>
          <w:trHeight w:val="225"/>
          <w:tblCellSpacing w:w="15" w:type="dxa"/>
        </w:trPr>
        <w:tc>
          <w:tcPr>
            <w:tcW w:w="0" w:type="auto"/>
            <w:tcBorders>
              <w:bottom w:val="single" w:sz="6" w:space="0" w:color="000000"/>
            </w:tcBorders>
            <w:vAlign w:val="center"/>
            <w:hideMark/>
          </w:tcPr>
          <w:p w14:paraId="2768FD71" w14:textId="77777777" w:rsidR="00000000" w:rsidRDefault="0015578C">
            <w:pPr>
              <w:jc w:val="center"/>
              <w:rPr>
                <w:rFonts w:eastAsia="Times New Roman"/>
                <w:sz w:val="20"/>
                <w:szCs w:val="20"/>
              </w:rPr>
            </w:pPr>
            <w:r>
              <w:rPr>
                <w:rFonts w:eastAsia="Times New Roman"/>
                <w:sz w:val="20"/>
                <w:szCs w:val="20"/>
              </w:rPr>
              <w:t>47</w:t>
            </w:r>
          </w:p>
        </w:tc>
      </w:tr>
      <w:tr w:rsidR="00000000" w14:paraId="67614979" w14:textId="77777777">
        <w:trPr>
          <w:trHeight w:val="225"/>
          <w:tblCellSpacing w:w="15" w:type="dxa"/>
        </w:trPr>
        <w:tc>
          <w:tcPr>
            <w:tcW w:w="0" w:type="auto"/>
            <w:vAlign w:val="center"/>
            <w:hideMark/>
          </w:tcPr>
          <w:p w14:paraId="148FB00B" w14:textId="77777777" w:rsidR="00000000" w:rsidRDefault="0015578C">
            <w:pPr>
              <w:rPr>
                <w:rFonts w:eastAsia="Times New Roman"/>
                <w:sz w:val="20"/>
                <w:szCs w:val="20"/>
              </w:rPr>
            </w:pPr>
          </w:p>
        </w:tc>
      </w:tr>
      <w:tr w:rsidR="00000000" w14:paraId="062F0A2E" w14:textId="77777777">
        <w:trPr>
          <w:trHeight w:val="225"/>
          <w:tblCellSpacing w:w="15" w:type="dxa"/>
        </w:trPr>
        <w:tc>
          <w:tcPr>
            <w:tcW w:w="0" w:type="auto"/>
            <w:vAlign w:val="center"/>
            <w:hideMark/>
          </w:tcPr>
          <w:p w14:paraId="1A4C8FA2"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55A62F65" w14:textId="77777777" w:rsidR="00000000" w:rsidRDefault="0015578C">
      <w:pPr>
        <w:pStyle w:val="a3"/>
        <w:spacing w:before="0" w:beforeAutospacing="0" w:after="0" w:afterAutospacing="0"/>
        <w:jc w:val="both"/>
        <w:rPr>
          <w:sz w:val="20"/>
          <w:szCs w:val="20"/>
        </w:rPr>
      </w:pPr>
      <w:r>
        <w:rPr>
          <w:sz w:val="20"/>
          <w:szCs w:val="20"/>
        </w:rPr>
        <w:t> </w:t>
      </w:r>
    </w:p>
    <w:p w14:paraId="637527BB" w14:textId="77777777" w:rsidR="00000000" w:rsidRDefault="0015578C">
      <w:pPr>
        <w:pStyle w:val="a3"/>
        <w:spacing w:before="0" w:beforeAutospacing="0" w:after="0" w:afterAutospacing="0"/>
        <w:jc w:val="center"/>
        <w:rPr>
          <w:sz w:val="20"/>
          <w:szCs w:val="20"/>
        </w:rPr>
      </w:pPr>
      <w:r>
        <w:rPr>
          <w:rStyle w:val="atag"/>
          <w:b/>
          <w:bCs/>
          <w:sz w:val="20"/>
          <w:szCs w:val="20"/>
        </w:rPr>
        <w:t>PART II</w:t>
      </w:r>
      <w:r>
        <w:rPr>
          <w:rStyle w:val="atag"/>
          <w:b/>
          <w:bCs/>
          <w:sz w:val="20"/>
          <w:szCs w:val="20"/>
        </w:rPr>
        <w:t>I</w:t>
      </w:r>
    </w:p>
    <w:p w14:paraId="20821C4F" w14:textId="77777777" w:rsidR="00000000" w:rsidRDefault="0015578C">
      <w:pPr>
        <w:pStyle w:val="a3"/>
        <w:spacing w:before="0" w:beforeAutospacing="0" w:after="0" w:afterAutospacing="0"/>
        <w:jc w:val="both"/>
        <w:rPr>
          <w:sz w:val="20"/>
          <w:szCs w:val="20"/>
        </w:rPr>
      </w:pPr>
      <w:r>
        <w:rPr>
          <w:sz w:val="20"/>
          <w:szCs w:val="20"/>
        </w:rPr>
        <w:t> </w:t>
      </w:r>
    </w:p>
    <w:p w14:paraId="3A84C157"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10. </w:t>
      </w:r>
      <w:r>
        <w:rPr>
          <w:rStyle w:val="atag"/>
          <w:b/>
          <w:bCs/>
          <w:sz w:val="20"/>
          <w:szCs w:val="20"/>
          <w:u w:val="single"/>
        </w:rPr>
        <w:t>Directors, Executive Officers and Corporate Governanc</w:t>
      </w:r>
      <w:r>
        <w:rPr>
          <w:rStyle w:val="atag"/>
          <w:b/>
          <w:bCs/>
          <w:sz w:val="20"/>
          <w:szCs w:val="20"/>
          <w:u w:val="single"/>
        </w:rPr>
        <w:t>e</w:t>
      </w:r>
    </w:p>
    <w:p w14:paraId="11F9FAC1" w14:textId="77777777" w:rsidR="00000000" w:rsidRDefault="0015578C">
      <w:pPr>
        <w:pStyle w:val="a3"/>
        <w:spacing w:before="0" w:beforeAutospacing="0" w:after="0" w:afterAutospacing="0"/>
        <w:jc w:val="both"/>
        <w:rPr>
          <w:sz w:val="20"/>
          <w:szCs w:val="20"/>
        </w:rPr>
      </w:pPr>
      <w:r>
        <w:rPr>
          <w:sz w:val="20"/>
          <w:szCs w:val="20"/>
        </w:rPr>
        <w:t> </w:t>
      </w:r>
    </w:p>
    <w:p w14:paraId="3E1570EA" w14:textId="77777777" w:rsidR="00000000" w:rsidRDefault="0015578C">
      <w:pPr>
        <w:pStyle w:val="a3"/>
        <w:spacing w:before="0" w:beforeAutospacing="0" w:after="0" w:afterAutospacing="0"/>
        <w:ind w:firstLine="675"/>
        <w:jc w:val="both"/>
        <w:rPr>
          <w:sz w:val="20"/>
          <w:szCs w:val="20"/>
        </w:rPr>
      </w:pPr>
      <w:r>
        <w:rPr>
          <w:sz w:val="20"/>
          <w:szCs w:val="20"/>
        </w:rPr>
        <w:t>The information required under Item 10 is incorporated herein by reference to the information set forth in our definitive proxy statement in connection with the annual meeting of shareholders to be filed with the SEC within 120 days after the end of our fi</w:t>
      </w:r>
      <w:r>
        <w:rPr>
          <w:sz w:val="20"/>
          <w:szCs w:val="20"/>
        </w:rPr>
        <w:t>scal year ended December 31, 2022 pursuant to Section 14(a) of the Exchange Act (the "2023 Proxy").</w:t>
      </w:r>
    </w:p>
    <w:p w14:paraId="5799A0B1" w14:textId="77777777" w:rsidR="00000000" w:rsidRDefault="0015578C">
      <w:pPr>
        <w:pStyle w:val="a3"/>
        <w:spacing w:before="0" w:beforeAutospacing="0" w:after="0" w:afterAutospacing="0"/>
        <w:jc w:val="both"/>
        <w:rPr>
          <w:sz w:val="20"/>
          <w:szCs w:val="20"/>
        </w:rPr>
      </w:pPr>
      <w:r>
        <w:rPr>
          <w:sz w:val="20"/>
          <w:szCs w:val="20"/>
        </w:rPr>
        <w:t> </w:t>
      </w:r>
    </w:p>
    <w:p w14:paraId="3BB67E6B"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11. </w:t>
      </w:r>
      <w:r>
        <w:rPr>
          <w:rStyle w:val="atag"/>
          <w:b/>
          <w:bCs/>
          <w:sz w:val="20"/>
          <w:szCs w:val="20"/>
          <w:u w:val="single"/>
        </w:rPr>
        <w:t>Executive Compensatio</w:t>
      </w:r>
      <w:r>
        <w:rPr>
          <w:rStyle w:val="atag"/>
          <w:b/>
          <w:bCs/>
          <w:sz w:val="20"/>
          <w:szCs w:val="20"/>
          <w:u w:val="single"/>
        </w:rPr>
        <w:t>n</w:t>
      </w:r>
    </w:p>
    <w:p w14:paraId="631C99B9" w14:textId="77777777" w:rsidR="00000000" w:rsidRDefault="0015578C">
      <w:pPr>
        <w:pStyle w:val="a3"/>
        <w:spacing w:before="0" w:beforeAutospacing="0" w:after="0" w:afterAutospacing="0"/>
        <w:jc w:val="both"/>
        <w:rPr>
          <w:sz w:val="20"/>
          <w:szCs w:val="20"/>
        </w:rPr>
      </w:pPr>
      <w:r>
        <w:rPr>
          <w:sz w:val="20"/>
          <w:szCs w:val="20"/>
        </w:rPr>
        <w:t> </w:t>
      </w:r>
    </w:p>
    <w:p w14:paraId="5B4239A7" w14:textId="77777777" w:rsidR="00000000" w:rsidRDefault="0015578C">
      <w:pPr>
        <w:pStyle w:val="a3"/>
        <w:spacing w:before="0" w:beforeAutospacing="0" w:after="0" w:afterAutospacing="0"/>
        <w:ind w:firstLine="675"/>
        <w:jc w:val="both"/>
        <w:rPr>
          <w:sz w:val="20"/>
          <w:szCs w:val="20"/>
        </w:rPr>
      </w:pPr>
      <w:r>
        <w:rPr>
          <w:sz w:val="20"/>
          <w:szCs w:val="20"/>
        </w:rPr>
        <w:t>The information required under Item 11 is incorporated herein by reference to the information set forth in the 2023 Prox</w:t>
      </w:r>
      <w:r>
        <w:rPr>
          <w:sz w:val="20"/>
          <w:szCs w:val="20"/>
        </w:rPr>
        <w:t>y.</w:t>
      </w:r>
    </w:p>
    <w:p w14:paraId="16AAA7A4" w14:textId="77777777" w:rsidR="00000000" w:rsidRDefault="0015578C">
      <w:pPr>
        <w:pStyle w:val="a3"/>
        <w:spacing w:before="0" w:beforeAutospacing="0" w:after="0" w:afterAutospacing="0"/>
        <w:jc w:val="both"/>
        <w:rPr>
          <w:sz w:val="20"/>
          <w:szCs w:val="20"/>
        </w:rPr>
      </w:pPr>
      <w:r>
        <w:rPr>
          <w:sz w:val="20"/>
          <w:szCs w:val="20"/>
        </w:rPr>
        <w:t> </w:t>
      </w:r>
    </w:p>
    <w:p w14:paraId="2BEE0E9A"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12. </w:t>
      </w:r>
      <w:r>
        <w:rPr>
          <w:rStyle w:val="atag"/>
          <w:b/>
          <w:bCs/>
          <w:sz w:val="20"/>
          <w:szCs w:val="20"/>
          <w:u w:val="single"/>
        </w:rPr>
        <w:t>Security Ownership of Certain Beneficial Owners and Management and Related Stockholder Matter</w:t>
      </w:r>
      <w:r>
        <w:rPr>
          <w:rStyle w:val="atag"/>
          <w:b/>
          <w:bCs/>
          <w:sz w:val="20"/>
          <w:szCs w:val="20"/>
          <w:u w:val="single"/>
        </w:rPr>
        <w:t>s</w:t>
      </w:r>
    </w:p>
    <w:p w14:paraId="66B3037C" w14:textId="77777777" w:rsidR="00000000" w:rsidRDefault="0015578C">
      <w:pPr>
        <w:pStyle w:val="a3"/>
        <w:spacing w:before="0" w:beforeAutospacing="0" w:after="0" w:afterAutospacing="0"/>
        <w:jc w:val="both"/>
        <w:rPr>
          <w:sz w:val="20"/>
          <w:szCs w:val="20"/>
        </w:rPr>
      </w:pPr>
      <w:r>
        <w:rPr>
          <w:sz w:val="20"/>
          <w:szCs w:val="20"/>
        </w:rPr>
        <w:t> </w:t>
      </w:r>
    </w:p>
    <w:p w14:paraId="7C998835" w14:textId="77777777" w:rsidR="00000000" w:rsidRDefault="0015578C">
      <w:pPr>
        <w:pStyle w:val="a3"/>
        <w:spacing w:before="0" w:beforeAutospacing="0" w:after="0" w:afterAutospacing="0"/>
        <w:ind w:firstLine="675"/>
        <w:jc w:val="both"/>
        <w:rPr>
          <w:sz w:val="20"/>
          <w:szCs w:val="20"/>
        </w:rPr>
      </w:pPr>
      <w:r>
        <w:rPr>
          <w:sz w:val="20"/>
          <w:szCs w:val="20"/>
        </w:rPr>
        <w:t>Except for the information with respect to our equity compensation plan included below, the information with respect to Item 12 is incorporated h</w:t>
      </w:r>
      <w:r>
        <w:rPr>
          <w:sz w:val="20"/>
          <w:szCs w:val="20"/>
        </w:rPr>
        <w:t>erein by reference to the information set forth in the 2023 Proxy</w:t>
      </w:r>
      <w:r>
        <w:rPr>
          <w:rStyle w:val="a4"/>
          <w:sz w:val="20"/>
          <w:szCs w:val="20"/>
        </w:rPr>
        <w:t>.</w:t>
      </w:r>
    </w:p>
    <w:p w14:paraId="290B4321" w14:textId="77777777" w:rsidR="00000000" w:rsidRDefault="0015578C">
      <w:pPr>
        <w:pStyle w:val="a3"/>
        <w:spacing w:before="0" w:beforeAutospacing="0" w:after="0" w:afterAutospacing="0"/>
        <w:ind w:firstLine="675"/>
        <w:jc w:val="both"/>
        <w:rPr>
          <w:sz w:val="20"/>
          <w:szCs w:val="20"/>
        </w:rPr>
      </w:pPr>
      <w:r>
        <w:rPr>
          <w:sz w:val="20"/>
          <w:szCs w:val="20"/>
        </w:rPr>
        <w:t> </w:t>
      </w:r>
    </w:p>
    <w:p w14:paraId="301B15CB" w14:textId="77777777" w:rsidR="00000000" w:rsidRDefault="0015578C">
      <w:pPr>
        <w:pStyle w:val="a3"/>
        <w:spacing w:before="0" w:beforeAutospacing="0" w:after="0" w:afterAutospacing="0"/>
        <w:ind w:firstLine="675"/>
        <w:jc w:val="both"/>
        <w:rPr>
          <w:sz w:val="20"/>
          <w:szCs w:val="20"/>
        </w:rPr>
      </w:pPr>
      <w:r>
        <w:rPr>
          <w:sz w:val="20"/>
          <w:szCs w:val="20"/>
        </w:rPr>
        <w:t>Shares authorized for issuance under equity compensation plans.</w:t>
      </w:r>
    </w:p>
    <w:p w14:paraId="1A1FC731" w14:textId="77777777" w:rsidR="00000000" w:rsidRDefault="0015578C">
      <w:pPr>
        <w:pStyle w:val="a3"/>
        <w:spacing w:before="0" w:beforeAutospacing="0" w:after="0" w:afterAutospacing="0"/>
        <w:ind w:firstLine="675"/>
        <w:jc w:val="both"/>
        <w:rPr>
          <w:sz w:val="20"/>
          <w:szCs w:val="20"/>
        </w:rPr>
      </w:pPr>
      <w:r>
        <w:rPr>
          <w:sz w:val="20"/>
          <w:szCs w:val="20"/>
        </w:rPr>
        <w:t> </w:t>
      </w:r>
    </w:p>
    <w:p w14:paraId="5029705A" w14:textId="77777777" w:rsidR="00000000" w:rsidRDefault="0015578C">
      <w:pPr>
        <w:pStyle w:val="a3"/>
        <w:spacing w:before="0" w:beforeAutospacing="0" w:after="0" w:afterAutospacing="0"/>
        <w:ind w:firstLine="675"/>
        <w:jc w:val="both"/>
        <w:rPr>
          <w:sz w:val="20"/>
          <w:szCs w:val="20"/>
        </w:rPr>
      </w:pPr>
      <w:r>
        <w:rPr>
          <w:sz w:val="20"/>
          <w:szCs w:val="20"/>
        </w:rPr>
        <w:t>On June 18, 2013, Solitario’s shareholders approved the 2013 Solitario Exploration &amp; Royalty Corp. Omnibus Stock and Ince</w:t>
      </w:r>
      <w:r>
        <w:rPr>
          <w:sz w:val="20"/>
          <w:szCs w:val="20"/>
        </w:rPr>
        <w:t>ntive Plan (the “2013 Plan”). On June 29, 2017, Solitario shareholders approved an amendment to the 2013 Plan which increased the number of shares of common stock available for issuance under the 2013 Plan from 1,750,000 to 5,750,000. Under the terms of th</w:t>
      </w:r>
      <w:r>
        <w:rPr>
          <w:sz w:val="20"/>
          <w:szCs w:val="20"/>
        </w:rPr>
        <w:t>e 2013 Plan, the Board of Directors may grant awards to directors, officers, employees and consultants. Such awards may take the form of stock options, stock appreciation rights, restricted stock, and restricted stock units. The terms and conditions of the</w:t>
      </w:r>
      <w:r>
        <w:rPr>
          <w:sz w:val="20"/>
          <w:szCs w:val="20"/>
        </w:rPr>
        <w:t xml:space="preserve"> awards are pursuant to the 2013 Plan and awards are granted by the Board of Directors or a committee appointed by the Board of Directors.</w:t>
      </w:r>
    </w:p>
    <w:p w14:paraId="60C80675" w14:textId="77777777" w:rsidR="00000000" w:rsidRDefault="0015578C">
      <w:pPr>
        <w:pStyle w:val="a3"/>
        <w:spacing w:before="0" w:beforeAutospacing="0" w:after="0" w:afterAutospacing="0"/>
        <w:ind w:firstLine="675"/>
        <w:jc w:val="both"/>
        <w:rPr>
          <w:sz w:val="20"/>
          <w:szCs w:val="20"/>
        </w:rPr>
      </w:pPr>
      <w:r>
        <w:rPr>
          <w:sz w:val="20"/>
          <w:szCs w:val="20"/>
        </w:rPr>
        <w:t> </w:t>
      </w:r>
    </w:p>
    <w:p w14:paraId="74ACA791" w14:textId="77777777" w:rsidR="00000000" w:rsidRDefault="0015578C">
      <w:pPr>
        <w:pStyle w:val="a3"/>
        <w:spacing w:before="0" w:beforeAutospacing="0" w:after="0" w:afterAutospacing="0"/>
        <w:ind w:firstLine="675"/>
        <w:jc w:val="both"/>
        <w:rPr>
          <w:sz w:val="20"/>
          <w:szCs w:val="20"/>
        </w:rPr>
      </w:pPr>
      <w:r>
        <w:rPr>
          <w:sz w:val="20"/>
          <w:szCs w:val="20"/>
        </w:rPr>
        <w:t xml:space="preserve">On September 8, 2022, the Board of Directors granted options to acquire 2,360,000 shares of Solitario common stock </w:t>
      </w:r>
      <w:r>
        <w:rPr>
          <w:sz w:val="20"/>
          <w:szCs w:val="20"/>
        </w:rPr>
        <w:t>under the 2013 Plan. The options have an exercise price of $0.60 per share, a five-year term, vested 25% on the date of grant, vest 25% on each of the next three anniversary dates and have a grant date fair value of $876,000 based upon a Black-Scholes mode</w:t>
      </w:r>
      <w:r>
        <w:rPr>
          <w:sz w:val="20"/>
          <w:szCs w:val="20"/>
        </w:rPr>
        <w:t>l, with a 73% volatility and a 3.4% risk-free interest rate.</w:t>
      </w:r>
    </w:p>
    <w:p w14:paraId="1EA5698D" w14:textId="77777777" w:rsidR="00000000" w:rsidRDefault="0015578C">
      <w:pPr>
        <w:pStyle w:val="a3"/>
        <w:spacing w:before="0" w:beforeAutospacing="0" w:after="0" w:afterAutospacing="0"/>
        <w:ind w:firstLine="675"/>
        <w:jc w:val="both"/>
        <w:rPr>
          <w:sz w:val="20"/>
          <w:szCs w:val="20"/>
        </w:rPr>
      </w:pPr>
      <w:r>
        <w:rPr>
          <w:sz w:val="20"/>
          <w:szCs w:val="20"/>
        </w:rPr>
        <w:t> </w:t>
      </w:r>
    </w:p>
    <w:p w14:paraId="4ACF1413" w14:textId="77777777" w:rsidR="00000000" w:rsidRDefault="0015578C">
      <w:pPr>
        <w:pStyle w:val="a3"/>
        <w:spacing w:before="0" w:beforeAutospacing="0" w:after="0" w:afterAutospacing="0"/>
        <w:ind w:firstLine="675"/>
        <w:jc w:val="both"/>
        <w:rPr>
          <w:sz w:val="20"/>
          <w:szCs w:val="20"/>
        </w:rPr>
      </w:pPr>
      <w:r>
        <w:rPr>
          <w:sz w:val="20"/>
          <w:szCs w:val="20"/>
        </w:rPr>
        <w:t xml:space="preserve">On May 5, 2021, the Board of Directors granted options to acquire 90,000 shares of Solitario common stock under the 2013 Plan. These options have a five-year life, vested 25% on the date of grant and vest 25% on each of the next three anniversary dates of </w:t>
      </w:r>
      <w:r>
        <w:rPr>
          <w:sz w:val="20"/>
          <w:szCs w:val="20"/>
        </w:rPr>
        <w:t>the date of grant, have an exercise price of $0.67 per share, and a grant date fair value of $37,000, based upon a Black-Scholes model with an expected volatility of 76%, and a risk-free interest rate of 0.9%. On June 10, 2021, the Board of Directors grant</w:t>
      </w:r>
      <w:r>
        <w:rPr>
          <w:sz w:val="20"/>
          <w:szCs w:val="20"/>
        </w:rPr>
        <w:t>ed options to acquire 50,000 shares of Solitario common stock under the 2013 Plan. These options have a five-year life, vested 25% on the date of grant and vest 25% on each of the next three anniversary dates of the date of grant, have an exercise price of</w:t>
      </w:r>
      <w:r>
        <w:rPr>
          <w:sz w:val="20"/>
          <w:szCs w:val="20"/>
        </w:rPr>
        <w:t xml:space="preserve"> $0.69 per share, and a grant date fair value of $20,000, based upon a Black-Scholes model with an expected volatility of 76%, and a risk-free interest rate of 0.9%.</w:t>
      </w:r>
    </w:p>
    <w:p w14:paraId="0541EC2E"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709"/>
        <w:gridCol w:w="85"/>
        <w:gridCol w:w="121"/>
        <w:gridCol w:w="843"/>
        <w:gridCol w:w="85"/>
        <w:gridCol w:w="85"/>
        <w:gridCol w:w="121"/>
        <w:gridCol w:w="843"/>
        <w:gridCol w:w="86"/>
        <w:gridCol w:w="86"/>
        <w:gridCol w:w="139"/>
        <w:gridCol w:w="1002"/>
        <w:gridCol w:w="101"/>
      </w:tblGrid>
      <w:tr w:rsidR="00000000" w14:paraId="3AC33B78" w14:textId="77777777">
        <w:trPr>
          <w:trHeight w:val="225"/>
          <w:tblCellSpacing w:w="15" w:type="dxa"/>
        </w:trPr>
        <w:tc>
          <w:tcPr>
            <w:tcW w:w="0" w:type="auto"/>
            <w:gridSpan w:val="13"/>
            <w:hideMark/>
          </w:tcPr>
          <w:p w14:paraId="4D0E5AEE" w14:textId="77777777" w:rsidR="00000000" w:rsidRDefault="0015578C">
            <w:pPr>
              <w:pStyle w:val="a3"/>
              <w:spacing w:before="0" w:beforeAutospacing="0" w:after="0" w:afterAutospacing="0"/>
              <w:jc w:val="both"/>
              <w:rPr>
                <w:sz w:val="20"/>
                <w:szCs w:val="20"/>
              </w:rPr>
            </w:pPr>
            <w:r>
              <w:rPr>
                <w:sz w:val="20"/>
                <w:szCs w:val="20"/>
              </w:rPr>
              <w:t>Equity Compensation Plan Information as of December 31, 2022:</w:t>
            </w:r>
          </w:p>
        </w:tc>
      </w:tr>
      <w:tr w:rsidR="00000000" w14:paraId="6E101F44" w14:textId="77777777">
        <w:trPr>
          <w:trHeight w:val="225"/>
          <w:tblCellSpacing w:w="15" w:type="dxa"/>
        </w:trPr>
        <w:tc>
          <w:tcPr>
            <w:tcW w:w="0" w:type="auto"/>
            <w:tcBorders>
              <w:bottom w:val="single" w:sz="6" w:space="0" w:color="000000"/>
            </w:tcBorders>
            <w:vAlign w:val="bottom"/>
            <w:hideMark/>
          </w:tcPr>
          <w:p w14:paraId="6ECD50B8" w14:textId="77777777" w:rsidR="00000000" w:rsidRDefault="0015578C">
            <w:pPr>
              <w:pStyle w:val="a3"/>
              <w:spacing w:before="0" w:beforeAutospacing="0" w:after="0" w:afterAutospacing="0"/>
              <w:jc w:val="center"/>
              <w:rPr>
                <w:sz w:val="20"/>
                <w:szCs w:val="20"/>
              </w:rPr>
            </w:pPr>
            <w:r>
              <w:rPr>
                <w:sz w:val="20"/>
                <w:szCs w:val="20"/>
              </w:rPr>
              <w:t>Plan category</w:t>
            </w:r>
          </w:p>
        </w:tc>
        <w:tc>
          <w:tcPr>
            <w:tcW w:w="0" w:type="auto"/>
            <w:noWrap/>
            <w:vAlign w:val="center"/>
            <w:hideMark/>
          </w:tcPr>
          <w:p w14:paraId="559E92C9"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14:paraId="3F72113F" w14:textId="77777777" w:rsidR="00000000" w:rsidRDefault="0015578C">
            <w:pPr>
              <w:pStyle w:val="a3"/>
              <w:spacing w:before="0" w:beforeAutospacing="0" w:after="0" w:afterAutospacing="0"/>
              <w:jc w:val="center"/>
              <w:rPr>
                <w:sz w:val="20"/>
                <w:szCs w:val="20"/>
              </w:rPr>
            </w:pPr>
            <w:r>
              <w:rPr>
                <w:sz w:val="20"/>
                <w:szCs w:val="20"/>
              </w:rPr>
              <w:t>Number of securities to be issued upon exercise of outstanding options, warrants and rights</w:t>
            </w:r>
          </w:p>
        </w:tc>
        <w:tc>
          <w:tcPr>
            <w:tcW w:w="0" w:type="auto"/>
            <w:noWrap/>
            <w:tcMar>
              <w:top w:w="0" w:type="dxa"/>
              <w:left w:w="0" w:type="dxa"/>
              <w:bottom w:w="15" w:type="dxa"/>
              <w:right w:w="0" w:type="dxa"/>
            </w:tcMar>
            <w:vAlign w:val="center"/>
            <w:hideMark/>
          </w:tcPr>
          <w:p w14:paraId="160C6AC4"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7568A29D"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14:paraId="4A3350D4" w14:textId="77777777" w:rsidR="00000000" w:rsidRDefault="0015578C">
            <w:pPr>
              <w:pStyle w:val="a3"/>
              <w:spacing w:before="0" w:beforeAutospacing="0" w:after="0" w:afterAutospacing="0"/>
              <w:jc w:val="center"/>
              <w:rPr>
                <w:sz w:val="20"/>
                <w:szCs w:val="20"/>
              </w:rPr>
            </w:pPr>
            <w:r>
              <w:rPr>
                <w:sz w:val="20"/>
                <w:szCs w:val="20"/>
              </w:rPr>
              <w:t>Weighted-average exercise price of outstanding options, warrants and rights</w:t>
            </w:r>
          </w:p>
          <w:p w14:paraId="2DB0AF28" w14:textId="77777777" w:rsidR="00000000" w:rsidRDefault="0015578C">
            <w:pPr>
              <w:pStyle w:val="a3"/>
              <w:spacing w:before="0" w:beforeAutospacing="0" w:after="0" w:afterAutospacing="0"/>
              <w:jc w:val="center"/>
              <w:rPr>
                <w:sz w:val="20"/>
                <w:szCs w:val="20"/>
              </w:rPr>
            </w:pPr>
            <w:r>
              <w:rPr>
                <w:sz w:val="20"/>
                <w:szCs w:val="20"/>
              </w:rPr>
              <w:t>(2013 Plan – US$)</w:t>
            </w:r>
          </w:p>
        </w:tc>
        <w:tc>
          <w:tcPr>
            <w:tcW w:w="0" w:type="auto"/>
            <w:noWrap/>
            <w:tcMar>
              <w:top w:w="0" w:type="dxa"/>
              <w:left w:w="0" w:type="dxa"/>
              <w:bottom w:w="15" w:type="dxa"/>
              <w:right w:w="0" w:type="dxa"/>
            </w:tcMar>
            <w:vAlign w:val="center"/>
            <w:hideMark/>
          </w:tcPr>
          <w:p w14:paraId="6E3C58B6"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1C242D6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14:paraId="32EDFEC4" w14:textId="77777777" w:rsidR="00000000" w:rsidRDefault="0015578C">
            <w:pPr>
              <w:pStyle w:val="a3"/>
              <w:spacing w:before="0" w:beforeAutospacing="0" w:after="0" w:afterAutospacing="0"/>
              <w:jc w:val="center"/>
              <w:rPr>
                <w:sz w:val="20"/>
                <w:szCs w:val="20"/>
              </w:rPr>
            </w:pPr>
            <w:r>
              <w:rPr>
                <w:sz w:val="20"/>
                <w:szCs w:val="20"/>
              </w:rPr>
              <w:t>Number of securities remaining available for future issuance under equity compensation plans (excluding securities reflected in column (a)</w:t>
            </w:r>
          </w:p>
        </w:tc>
        <w:tc>
          <w:tcPr>
            <w:tcW w:w="0" w:type="auto"/>
            <w:noWrap/>
            <w:vAlign w:val="center"/>
            <w:hideMark/>
          </w:tcPr>
          <w:p w14:paraId="6F5369D6" w14:textId="77777777" w:rsidR="00000000" w:rsidRDefault="0015578C">
            <w:pPr>
              <w:pStyle w:val="a3"/>
              <w:spacing w:before="0" w:beforeAutospacing="0" w:after="0" w:afterAutospacing="0"/>
              <w:rPr>
                <w:sz w:val="20"/>
                <w:szCs w:val="20"/>
              </w:rPr>
            </w:pPr>
            <w:r>
              <w:rPr>
                <w:sz w:val="20"/>
                <w:szCs w:val="20"/>
              </w:rPr>
              <w:t> </w:t>
            </w:r>
          </w:p>
        </w:tc>
      </w:tr>
      <w:tr w:rsidR="00000000" w14:paraId="7AA84559" w14:textId="77777777">
        <w:trPr>
          <w:trHeight w:val="225"/>
          <w:tblCellSpacing w:w="15" w:type="dxa"/>
        </w:trPr>
        <w:tc>
          <w:tcPr>
            <w:tcW w:w="0" w:type="auto"/>
            <w:vAlign w:val="bottom"/>
            <w:hideMark/>
          </w:tcPr>
          <w:p w14:paraId="7B8C5C86" w14:textId="77777777" w:rsidR="00000000" w:rsidRDefault="0015578C">
            <w:pPr>
              <w:pStyle w:val="a3"/>
              <w:spacing w:before="0" w:beforeAutospacing="0" w:after="0" w:afterAutospacing="0"/>
              <w:rPr>
                <w:sz w:val="20"/>
                <w:szCs w:val="20"/>
              </w:rPr>
            </w:pPr>
            <w:r>
              <w:rPr>
                <w:rStyle w:val="a4"/>
                <w:sz w:val="20"/>
                <w:szCs w:val="20"/>
              </w:rPr>
              <w:t>2013 Plan</w:t>
            </w:r>
          </w:p>
        </w:tc>
        <w:tc>
          <w:tcPr>
            <w:tcW w:w="0" w:type="auto"/>
            <w:noWrap/>
            <w:vAlign w:val="center"/>
            <w:hideMark/>
          </w:tcPr>
          <w:p w14:paraId="52C68560"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24F7A817" w14:textId="77777777" w:rsidR="00000000" w:rsidRDefault="0015578C">
            <w:pPr>
              <w:pStyle w:val="a3"/>
              <w:spacing w:before="0" w:beforeAutospacing="0" w:after="0" w:afterAutospacing="0"/>
              <w:jc w:val="center"/>
              <w:rPr>
                <w:sz w:val="20"/>
                <w:szCs w:val="20"/>
              </w:rPr>
            </w:pPr>
            <w:r>
              <w:rPr>
                <w:sz w:val="20"/>
                <w:szCs w:val="20"/>
              </w:rPr>
              <w:t>(a)</w:t>
            </w:r>
          </w:p>
        </w:tc>
        <w:tc>
          <w:tcPr>
            <w:tcW w:w="0" w:type="auto"/>
            <w:noWrap/>
            <w:tcMar>
              <w:top w:w="0" w:type="dxa"/>
              <w:left w:w="0" w:type="dxa"/>
              <w:bottom w:w="15" w:type="dxa"/>
              <w:right w:w="0" w:type="dxa"/>
            </w:tcMar>
            <w:vAlign w:val="center"/>
            <w:hideMark/>
          </w:tcPr>
          <w:p w14:paraId="4BF849A1"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0F2D8613"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607D3F8C" w14:textId="77777777" w:rsidR="00000000" w:rsidRDefault="0015578C">
            <w:pPr>
              <w:pStyle w:val="a3"/>
              <w:spacing w:before="0" w:beforeAutospacing="0" w:after="0" w:afterAutospacing="0"/>
              <w:jc w:val="center"/>
              <w:rPr>
                <w:sz w:val="20"/>
                <w:szCs w:val="20"/>
              </w:rPr>
            </w:pPr>
            <w:r>
              <w:rPr>
                <w:sz w:val="20"/>
                <w:szCs w:val="20"/>
              </w:rPr>
              <w:t>(b)</w:t>
            </w:r>
          </w:p>
        </w:tc>
        <w:tc>
          <w:tcPr>
            <w:tcW w:w="0" w:type="auto"/>
            <w:noWrap/>
            <w:tcMar>
              <w:top w:w="0" w:type="dxa"/>
              <w:left w:w="0" w:type="dxa"/>
              <w:bottom w:w="15" w:type="dxa"/>
              <w:right w:w="0" w:type="dxa"/>
            </w:tcMar>
            <w:vAlign w:val="center"/>
            <w:hideMark/>
          </w:tcPr>
          <w:p w14:paraId="3FFBC3FD" w14:textId="77777777" w:rsidR="00000000" w:rsidRDefault="0015578C">
            <w:pPr>
              <w:pStyle w:val="a3"/>
              <w:spacing w:before="0" w:beforeAutospacing="0" w:after="0" w:afterAutospacing="0"/>
              <w:rPr>
                <w:sz w:val="20"/>
                <w:szCs w:val="20"/>
              </w:rPr>
            </w:pPr>
            <w:r>
              <w:rPr>
                <w:sz w:val="20"/>
                <w:szCs w:val="20"/>
              </w:rPr>
              <w:t> </w:t>
            </w:r>
          </w:p>
        </w:tc>
        <w:tc>
          <w:tcPr>
            <w:tcW w:w="0" w:type="auto"/>
            <w:noWrap/>
            <w:vAlign w:val="center"/>
            <w:hideMark/>
          </w:tcPr>
          <w:p w14:paraId="389A8A7E" w14:textId="77777777" w:rsidR="00000000" w:rsidRDefault="0015578C">
            <w:pPr>
              <w:pStyle w:val="a3"/>
              <w:spacing w:before="0" w:beforeAutospacing="0" w:after="0" w:afterAutospacing="0"/>
              <w:rPr>
                <w:sz w:val="20"/>
                <w:szCs w:val="20"/>
              </w:rPr>
            </w:pPr>
            <w:r>
              <w:rPr>
                <w:sz w:val="20"/>
                <w:szCs w:val="20"/>
              </w:rPr>
              <w:t> </w:t>
            </w:r>
          </w:p>
        </w:tc>
        <w:tc>
          <w:tcPr>
            <w:tcW w:w="450" w:type="pct"/>
            <w:gridSpan w:val="2"/>
            <w:vAlign w:val="bottom"/>
            <w:hideMark/>
          </w:tcPr>
          <w:p w14:paraId="1BBFC57D" w14:textId="77777777" w:rsidR="00000000" w:rsidRDefault="0015578C">
            <w:pPr>
              <w:pStyle w:val="a3"/>
              <w:spacing w:before="0" w:beforeAutospacing="0" w:after="0" w:afterAutospacing="0"/>
              <w:jc w:val="center"/>
              <w:rPr>
                <w:sz w:val="20"/>
                <w:szCs w:val="20"/>
              </w:rPr>
            </w:pPr>
            <w:r>
              <w:rPr>
                <w:sz w:val="20"/>
                <w:szCs w:val="20"/>
              </w:rPr>
              <w:t>(c)</w:t>
            </w:r>
          </w:p>
        </w:tc>
        <w:tc>
          <w:tcPr>
            <w:tcW w:w="0" w:type="auto"/>
            <w:noWrap/>
            <w:vAlign w:val="center"/>
            <w:hideMark/>
          </w:tcPr>
          <w:p w14:paraId="27080B5A" w14:textId="77777777" w:rsidR="00000000" w:rsidRDefault="0015578C">
            <w:pPr>
              <w:pStyle w:val="a3"/>
              <w:spacing w:before="0" w:beforeAutospacing="0" w:after="0" w:afterAutospacing="0"/>
              <w:rPr>
                <w:sz w:val="20"/>
                <w:szCs w:val="20"/>
              </w:rPr>
            </w:pPr>
            <w:r>
              <w:rPr>
                <w:sz w:val="20"/>
                <w:szCs w:val="20"/>
              </w:rPr>
              <w:t> </w:t>
            </w:r>
          </w:p>
        </w:tc>
      </w:tr>
      <w:tr w:rsidR="00000000" w14:paraId="31AAA6E4" w14:textId="77777777">
        <w:trPr>
          <w:trHeight w:val="225"/>
          <w:tblCellSpacing w:w="15" w:type="dxa"/>
        </w:trPr>
        <w:tc>
          <w:tcPr>
            <w:tcW w:w="0" w:type="auto"/>
            <w:shd w:val="clear" w:color="auto" w:fill="CCEEFF"/>
            <w:hideMark/>
          </w:tcPr>
          <w:p w14:paraId="24795661" w14:textId="77777777" w:rsidR="00000000" w:rsidRDefault="0015578C">
            <w:pPr>
              <w:pStyle w:val="a3"/>
              <w:spacing w:before="0" w:beforeAutospacing="0" w:after="0" w:afterAutospacing="0"/>
              <w:rPr>
                <w:sz w:val="20"/>
                <w:szCs w:val="20"/>
              </w:rPr>
            </w:pPr>
            <w:r>
              <w:rPr>
                <w:sz w:val="20"/>
                <w:szCs w:val="20"/>
              </w:rPr>
              <w:t>Equity compensation plans approved by security holders</w:t>
            </w:r>
          </w:p>
        </w:tc>
        <w:tc>
          <w:tcPr>
            <w:tcW w:w="50" w:type="pct"/>
            <w:shd w:val="clear" w:color="auto" w:fill="CCEEFF"/>
            <w:noWrap/>
            <w:vAlign w:val="center"/>
            <w:hideMark/>
          </w:tcPr>
          <w:p w14:paraId="5DF3823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61D7033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10A35EA0" w14:textId="77777777" w:rsidR="00000000" w:rsidRDefault="0015578C">
            <w:pPr>
              <w:jc w:val="right"/>
              <w:rPr>
                <w:rFonts w:eastAsia="Times New Roman"/>
                <w:sz w:val="20"/>
                <w:szCs w:val="20"/>
              </w:rPr>
            </w:pPr>
            <w:r>
              <w:rPr>
                <w:rFonts w:eastAsia="Times New Roman"/>
                <w:sz w:val="20"/>
                <w:szCs w:val="20"/>
              </w:rPr>
              <w:t>5,390,000</w:t>
            </w:r>
          </w:p>
        </w:tc>
        <w:tc>
          <w:tcPr>
            <w:tcW w:w="50" w:type="pct"/>
            <w:shd w:val="clear" w:color="auto" w:fill="CCEEFF"/>
            <w:noWrap/>
            <w:tcMar>
              <w:top w:w="0" w:type="dxa"/>
              <w:left w:w="0" w:type="dxa"/>
              <w:bottom w:w="15" w:type="dxa"/>
              <w:right w:w="0" w:type="dxa"/>
            </w:tcMar>
            <w:vAlign w:val="center"/>
            <w:hideMark/>
          </w:tcPr>
          <w:p w14:paraId="6671ED7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BAF4000"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371711"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57CC390" w14:textId="77777777" w:rsidR="00000000" w:rsidRDefault="0015578C">
            <w:pPr>
              <w:jc w:val="right"/>
              <w:rPr>
                <w:rFonts w:eastAsia="Times New Roman"/>
                <w:sz w:val="20"/>
                <w:szCs w:val="20"/>
              </w:rPr>
            </w:pPr>
            <w:r>
              <w:rPr>
                <w:rFonts w:eastAsia="Times New Roman"/>
                <w:sz w:val="20"/>
                <w:szCs w:val="20"/>
              </w:rPr>
              <w:t>0.42</w:t>
            </w:r>
          </w:p>
        </w:tc>
        <w:tc>
          <w:tcPr>
            <w:tcW w:w="50" w:type="pct"/>
            <w:shd w:val="clear" w:color="auto" w:fill="CCEEFF"/>
            <w:noWrap/>
            <w:tcMar>
              <w:top w:w="0" w:type="dxa"/>
              <w:left w:w="0" w:type="dxa"/>
              <w:bottom w:w="15" w:type="dxa"/>
              <w:right w:w="0" w:type="dxa"/>
            </w:tcMar>
            <w:vAlign w:val="center"/>
            <w:hideMark/>
          </w:tcPr>
          <w:p w14:paraId="2E6743BB"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A9E1D4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2ED6C79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0B31983" w14:textId="77777777" w:rsidR="00000000" w:rsidRDefault="0015578C">
            <w:pPr>
              <w:jc w:val="right"/>
              <w:rPr>
                <w:rFonts w:eastAsia="Times New Roman"/>
                <w:sz w:val="20"/>
                <w:szCs w:val="20"/>
              </w:rPr>
            </w:pPr>
            <w:r>
              <w:rPr>
                <w:rFonts w:eastAsia="Times New Roman"/>
                <w:sz w:val="20"/>
                <w:szCs w:val="20"/>
              </w:rPr>
              <w:t>10,180</w:t>
            </w:r>
          </w:p>
        </w:tc>
        <w:tc>
          <w:tcPr>
            <w:tcW w:w="50" w:type="pct"/>
            <w:shd w:val="clear" w:color="auto" w:fill="CCEEFF"/>
            <w:noWrap/>
            <w:vAlign w:val="center"/>
            <w:hideMark/>
          </w:tcPr>
          <w:p w14:paraId="71E67886" w14:textId="77777777" w:rsidR="00000000" w:rsidRDefault="0015578C">
            <w:pPr>
              <w:pStyle w:val="a3"/>
              <w:spacing w:before="0" w:beforeAutospacing="0" w:after="0" w:afterAutospacing="0"/>
              <w:rPr>
                <w:sz w:val="20"/>
                <w:szCs w:val="20"/>
              </w:rPr>
            </w:pPr>
            <w:r>
              <w:rPr>
                <w:sz w:val="20"/>
                <w:szCs w:val="20"/>
              </w:rPr>
              <w:t> </w:t>
            </w:r>
          </w:p>
        </w:tc>
      </w:tr>
      <w:tr w:rsidR="00000000" w14:paraId="20F17268" w14:textId="77777777">
        <w:trPr>
          <w:trHeight w:val="225"/>
          <w:tblCellSpacing w:w="15" w:type="dxa"/>
        </w:trPr>
        <w:tc>
          <w:tcPr>
            <w:tcW w:w="0" w:type="auto"/>
            <w:shd w:val="clear" w:color="auto" w:fill="FFFFFF"/>
            <w:hideMark/>
          </w:tcPr>
          <w:p w14:paraId="7AD141BB" w14:textId="77777777" w:rsidR="00000000" w:rsidRDefault="0015578C">
            <w:pPr>
              <w:pStyle w:val="a3"/>
              <w:spacing w:before="0" w:beforeAutospacing="0" w:after="0" w:afterAutospacing="0"/>
              <w:rPr>
                <w:sz w:val="20"/>
                <w:szCs w:val="20"/>
              </w:rPr>
            </w:pPr>
            <w:r>
              <w:rPr>
                <w:sz w:val="20"/>
                <w:szCs w:val="20"/>
              </w:rPr>
              <w:t>Equity compensation plans not approved by security holders</w:t>
            </w:r>
          </w:p>
        </w:tc>
        <w:tc>
          <w:tcPr>
            <w:tcW w:w="50" w:type="pct"/>
            <w:shd w:val="clear" w:color="auto" w:fill="FFFFFF"/>
            <w:noWrap/>
            <w:vAlign w:val="center"/>
            <w:hideMark/>
          </w:tcPr>
          <w:p w14:paraId="48D39905"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8A238D8"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26BA31E"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14:paraId="765D780F"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7AD3C033"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288152E6"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4560A77" w14:textId="77777777" w:rsidR="00000000" w:rsidRDefault="0015578C">
            <w:pPr>
              <w:jc w:val="right"/>
              <w:rPr>
                <w:rFonts w:eastAsia="Times New Roman"/>
                <w:sz w:val="20"/>
                <w:szCs w:val="20"/>
              </w:rPr>
            </w:pPr>
            <w:r>
              <w:rPr>
                <w:rFonts w:eastAsia="Times New Roman"/>
                <w:sz w:val="20"/>
                <w:szCs w:val="20"/>
              </w:rPr>
              <w:t>N/A</w:t>
            </w:r>
          </w:p>
        </w:tc>
        <w:tc>
          <w:tcPr>
            <w:tcW w:w="50" w:type="pct"/>
            <w:shd w:val="clear" w:color="auto" w:fill="FFFFFF"/>
            <w:noWrap/>
            <w:tcMar>
              <w:top w:w="0" w:type="dxa"/>
              <w:left w:w="0" w:type="dxa"/>
              <w:bottom w:w="15" w:type="dxa"/>
              <w:right w:w="0" w:type="dxa"/>
            </w:tcMar>
            <w:vAlign w:val="center"/>
            <w:hideMark/>
          </w:tcPr>
          <w:p w14:paraId="73DC2097"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5EDB24E2"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14:paraId="1822DED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14:paraId="0CCB0DA3" w14:textId="77777777" w:rsidR="00000000" w:rsidRDefault="0015578C">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14:paraId="64D6D68B" w14:textId="77777777" w:rsidR="00000000" w:rsidRDefault="0015578C">
            <w:pPr>
              <w:pStyle w:val="a3"/>
              <w:spacing w:before="0" w:beforeAutospacing="0" w:after="0" w:afterAutospacing="0"/>
              <w:rPr>
                <w:sz w:val="20"/>
                <w:szCs w:val="20"/>
              </w:rPr>
            </w:pPr>
            <w:r>
              <w:rPr>
                <w:sz w:val="20"/>
                <w:szCs w:val="20"/>
              </w:rPr>
              <w:t> </w:t>
            </w:r>
          </w:p>
        </w:tc>
      </w:tr>
      <w:tr w:rsidR="00000000" w14:paraId="4797B617" w14:textId="77777777">
        <w:trPr>
          <w:trHeight w:val="225"/>
          <w:tblCellSpacing w:w="15" w:type="dxa"/>
        </w:trPr>
        <w:tc>
          <w:tcPr>
            <w:tcW w:w="0" w:type="auto"/>
            <w:shd w:val="clear" w:color="auto" w:fill="CCEEFF"/>
            <w:hideMark/>
          </w:tcPr>
          <w:p w14:paraId="69BEC670" w14:textId="77777777" w:rsidR="00000000" w:rsidRDefault="0015578C">
            <w:pPr>
              <w:pStyle w:val="a3"/>
              <w:spacing w:before="0" w:beforeAutospacing="0" w:after="0" w:afterAutospacing="0"/>
              <w:ind w:left="225"/>
              <w:rPr>
                <w:sz w:val="20"/>
                <w:szCs w:val="20"/>
              </w:rPr>
            </w:pPr>
            <w:r>
              <w:rPr>
                <w:sz w:val="20"/>
                <w:szCs w:val="20"/>
              </w:rPr>
              <w:t>Total 2013 Plan</w:t>
            </w:r>
          </w:p>
        </w:tc>
        <w:tc>
          <w:tcPr>
            <w:tcW w:w="50" w:type="pct"/>
            <w:shd w:val="clear" w:color="auto" w:fill="CCEEFF"/>
            <w:noWrap/>
            <w:vAlign w:val="center"/>
            <w:hideMark/>
          </w:tcPr>
          <w:p w14:paraId="56CF9B8A"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758EE9B3"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06A87FCD" w14:textId="77777777" w:rsidR="00000000" w:rsidRDefault="0015578C">
            <w:pPr>
              <w:jc w:val="right"/>
              <w:rPr>
                <w:rFonts w:eastAsia="Times New Roman"/>
                <w:sz w:val="20"/>
                <w:szCs w:val="20"/>
              </w:rPr>
            </w:pPr>
            <w:r>
              <w:rPr>
                <w:rFonts w:eastAsia="Times New Roman"/>
                <w:sz w:val="20"/>
                <w:szCs w:val="20"/>
              </w:rPr>
              <w:t>5,390,000</w:t>
            </w:r>
          </w:p>
        </w:tc>
        <w:tc>
          <w:tcPr>
            <w:tcW w:w="50" w:type="pct"/>
            <w:shd w:val="clear" w:color="auto" w:fill="CCEEFF"/>
            <w:noWrap/>
            <w:tcMar>
              <w:top w:w="0" w:type="dxa"/>
              <w:left w:w="0" w:type="dxa"/>
              <w:bottom w:w="15" w:type="dxa"/>
              <w:right w:w="0" w:type="dxa"/>
            </w:tcMar>
            <w:vAlign w:val="center"/>
            <w:hideMark/>
          </w:tcPr>
          <w:p w14:paraId="093B940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4DAB4928"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F22513B"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22932C23" w14:textId="77777777" w:rsidR="00000000" w:rsidRDefault="0015578C">
            <w:pPr>
              <w:jc w:val="right"/>
              <w:rPr>
                <w:rFonts w:eastAsia="Times New Roman"/>
                <w:sz w:val="20"/>
                <w:szCs w:val="20"/>
              </w:rPr>
            </w:pPr>
            <w:r>
              <w:rPr>
                <w:rFonts w:eastAsia="Times New Roman"/>
                <w:sz w:val="20"/>
                <w:szCs w:val="20"/>
              </w:rPr>
              <w:t>0.42</w:t>
            </w:r>
          </w:p>
        </w:tc>
        <w:tc>
          <w:tcPr>
            <w:tcW w:w="50" w:type="pct"/>
            <w:shd w:val="clear" w:color="auto" w:fill="CCEEFF"/>
            <w:noWrap/>
            <w:tcMar>
              <w:top w:w="0" w:type="dxa"/>
              <w:left w:w="0" w:type="dxa"/>
              <w:bottom w:w="15" w:type="dxa"/>
              <w:right w:w="0" w:type="dxa"/>
            </w:tcMar>
            <w:vAlign w:val="center"/>
            <w:hideMark/>
          </w:tcPr>
          <w:p w14:paraId="0310FD2E"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3DCD859C" w14:textId="77777777" w:rsidR="00000000" w:rsidRDefault="0015578C">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14:paraId="108B787C" w14:textId="77777777" w:rsidR="00000000" w:rsidRDefault="0015578C">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14:paraId="5199EA1D" w14:textId="77777777" w:rsidR="00000000" w:rsidRDefault="0015578C">
            <w:pPr>
              <w:jc w:val="right"/>
              <w:rPr>
                <w:rFonts w:eastAsia="Times New Roman"/>
                <w:sz w:val="20"/>
                <w:szCs w:val="20"/>
              </w:rPr>
            </w:pPr>
            <w:r>
              <w:rPr>
                <w:rFonts w:eastAsia="Times New Roman"/>
                <w:sz w:val="20"/>
                <w:szCs w:val="20"/>
              </w:rPr>
              <w:t>10,180</w:t>
            </w:r>
          </w:p>
        </w:tc>
        <w:tc>
          <w:tcPr>
            <w:tcW w:w="50" w:type="pct"/>
            <w:shd w:val="clear" w:color="auto" w:fill="CCEEFF"/>
            <w:noWrap/>
            <w:vAlign w:val="center"/>
            <w:hideMark/>
          </w:tcPr>
          <w:p w14:paraId="18B735CD" w14:textId="77777777" w:rsidR="00000000" w:rsidRDefault="0015578C">
            <w:pPr>
              <w:pStyle w:val="a3"/>
              <w:spacing w:before="0" w:beforeAutospacing="0" w:after="0" w:afterAutospacing="0"/>
              <w:rPr>
                <w:sz w:val="20"/>
                <w:szCs w:val="20"/>
              </w:rPr>
            </w:pPr>
            <w:r>
              <w:rPr>
                <w:sz w:val="20"/>
                <w:szCs w:val="20"/>
              </w:rPr>
              <w:t> </w:t>
            </w:r>
          </w:p>
        </w:tc>
      </w:tr>
    </w:tbl>
    <w:p w14:paraId="2231682C" w14:textId="77777777" w:rsidR="00000000" w:rsidRDefault="0015578C">
      <w:pPr>
        <w:pStyle w:val="a3"/>
        <w:spacing w:before="0" w:beforeAutospacing="0" w:after="0" w:afterAutospacing="0"/>
        <w:jc w:val="both"/>
        <w:rPr>
          <w:sz w:val="20"/>
          <w:szCs w:val="20"/>
        </w:rPr>
      </w:pPr>
      <w:r>
        <w:rPr>
          <w:sz w:val="20"/>
          <w:szCs w:val="20"/>
        </w:rPr>
        <w:t> </w:t>
      </w:r>
    </w:p>
    <w:p w14:paraId="5C763554"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13. </w:t>
      </w:r>
      <w:r>
        <w:rPr>
          <w:rStyle w:val="atag"/>
          <w:b/>
          <w:bCs/>
          <w:sz w:val="20"/>
          <w:szCs w:val="20"/>
          <w:u w:val="single"/>
        </w:rPr>
        <w:t>Certain Relationships and Related Transactions, and Director Independenc</w:t>
      </w:r>
      <w:r>
        <w:rPr>
          <w:rStyle w:val="atag"/>
          <w:b/>
          <w:bCs/>
          <w:sz w:val="20"/>
          <w:szCs w:val="20"/>
          <w:u w:val="single"/>
        </w:rPr>
        <w:t>e</w:t>
      </w:r>
    </w:p>
    <w:p w14:paraId="3DE8AD16" w14:textId="77777777" w:rsidR="00000000" w:rsidRDefault="0015578C">
      <w:pPr>
        <w:pStyle w:val="a3"/>
        <w:spacing w:before="0" w:beforeAutospacing="0" w:after="0" w:afterAutospacing="0"/>
        <w:jc w:val="both"/>
        <w:rPr>
          <w:sz w:val="20"/>
          <w:szCs w:val="20"/>
        </w:rPr>
      </w:pPr>
      <w:r>
        <w:rPr>
          <w:sz w:val="20"/>
          <w:szCs w:val="20"/>
        </w:rPr>
        <w:t> </w:t>
      </w:r>
    </w:p>
    <w:p w14:paraId="2244E91B" w14:textId="77777777" w:rsidR="00000000" w:rsidRDefault="0015578C">
      <w:pPr>
        <w:pStyle w:val="a3"/>
        <w:spacing w:before="0" w:beforeAutospacing="0" w:after="0" w:afterAutospacing="0"/>
        <w:ind w:firstLine="675"/>
        <w:jc w:val="both"/>
        <w:rPr>
          <w:sz w:val="20"/>
          <w:szCs w:val="20"/>
        </w:rPr>
      </w:pPr>
      <w:r>
        <w:rPr>
          <w:sz w:val="20"/>
          <w:szCs w:val="20"/>
        </w:rPr>
        <w:t>The information with respect to Item 13 is incorporated herein by reference to the information set forth in the 2023 Proxy</w:t>
      </w:r>
      <w:r>
        <w:rPr>
          <w:rStyle w:val="a4"/>
          <w:sz w:val="20"/>
          <w:szCs w:val="20"/>
        </w:rPr>
        <w:t>.</w:t>
      </w:r>
    </w:p>
    <w:p w14:paraId="48AF688E" w14:textId="77777777" w:rsidR="00000000" w:rsidRDefault="0015578C">
      <w:pPr>
        <w:pStyle w:val="a3"/>
        <w:spacing w:before="0" w:beforeAutospacing="0" w:after="0" w:afterAutospacing="0"/>
        <w:jc w:val="both"/>
        <w:rPr>
          <w:sz w:val="20"/>
          <w:szCs w:val="20"/>
        </w:rPr>
      </w:pPr>
      <w:r>
        <w:rPr>
          <w:sz w:val="20"/>
          <w:szCs w:val="20"/>
        </w:rPr>
        <w:t> </w:t>
      </w:r>
    </w:p>
    <w:p w14:paraId="0C4AEED3"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14. </w:t>
      </w:r>
      <w:r>
        <w:rPr>
          <w:rStyle w:val="atag"/>
          <w:b/>
          <w:bCs/>
          <w:sz w:val="20"/>
          <w:szCs w:val="20"/>
          <w:u w:val="single"/>
        </w:rPr>
        <w:t>Principal Accounting Fees and Servic</w:t>
      </w:r>
      <w:r>
        <w:rPr>
          <w:rStyle w:val="atag"/>
          <w:b/>
          <w:bCs/>
          <w:sz w:val="20"/>
          <w:szCs w:val="20"/>
          <w:u w:val="single"/>
        </w:rPr>
        <w:t>e</w:t>
      </w:r>
      <w:r>
        <w:rPr>
          <w:rStyle w:val="atag"/>
          <w:b/>
          <w:bCs/>
          <w:sz w:val="20"/>
          <w:szCs w:val="20"/>
          <w:u w:val="single"/>
        </w:rPr>
        <w:t>s</w:t>
      </w:r>
    </w:p>
    <w:p w14:paraId="31B8C2F6" w14:textId="77777777" w:rsidR="00000000" w:rsidRDefault="0015578C">
      <w:pPr>
        <w:pStyle w:val="a3"/>
        <w:spacing w:before="0" w:beforeAutospacing="0" w:after="0" w:afterAutospacing="0"/>
        <w:jc w:val="both"/>
        <w:rPr>
          <w:sz w:val="20"/>
          <w:szCs w:val="20"/>
        </w:rPr>
      </w:pPr>
      <w:r>
        <w:rPr>
          <w:sz w:val="20"/>
          <w:szCs w:val="20"/>
        </w:rPr>
        <w:t> </w:t>
      </w:r>
    </w:p>
    <w:p w14:paraId="181C1496" w14:textId="77777777" w:rsidR="00000000" w:rsidRDefault="0015578C">
      <w:pPr>
        <w:pStyle w:val="a3"/>
        <w:spacing w:before="0" w:beforeAutospacing="0" w:after="0" w:afterAutospacing="0"/>
        <w:ind w:firstLine="675"/>
        <w:jc w:val="both"/>
        <w:rPr>
          <w:sz w:val="20"/>
          <w:szCs w:val="20"/>
        </w:rPr>
      </w:pPr>
      <w:r>
        <w:rPr>
          <w:sz w:val="20"/>
          <w:szCs w:val="20"/>
        </w:rPr>
        <w:t>The information required under Item 14 is incorporated herein by reference to the information set forth in the 2023 Proxy</w:t>
      </w:r>
      <w:r>
        <w:rPr>
          <w:rStyle w:val="a4"/>
          <w:sz w:val="20"/>
          <w:szCs w:val="20"/>
        </w:rPr>
        <w:t>.</w:t>
      </w:r>
    </w:p>
    <w:p w14:paraId="084E815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3FAEC2D" w14:textId="77777777">
        <w:trPr>
          <w:trHeight w:val="225"/>
          <w:tblCellSpacing w:w="15" w:type="dxa"/>
        </w:trPr>
        <w:tc>
          <w:tcPr>
            <w:tcW w:w="0" w:type="auto"/>
            <w:vAlign w:val="center"/>
            <w:hideMark/>
          </w:tcPr>
          <w:p w14:paraId="46C44E41" w14:textId="77777777" w:rsidR="00000000" w:rsidRDefault="0015578C">
            <w:pPr>
              <w:rPr>
                <w:rFonts w:eastAsia="Times New Roman"/>
                <w:sz w:val="20"/>
                <w:szCs w:val="20"/>
              </w:rPr>
            </w:pPr>
            <w:r>
              <w:rPr>
                <w:rFonts w:eastAsia="Times New Roman"/>
                <w:sz w:val="20"/>
                <w:szCs w:val="20"/>
              </w:rPr>
              <w:t> </w:t>
            </w:r>
          </w:p>
        </w:tc>
      </w:tr>
      <w:tr w:rsidR="00000000" w14:paraId="420698E3" w14:textId="77777777">
        <w:trPr>
          <w:trHeight w:val="225"/>
          <w:tblCellSpacing w:w="15" w:type="dxa"/>
        </w:trPr>
        <w:tc>
          <w:tcPr>
            <w:tcW w:w="0" w:type="auto"/>
            <w:tcBorders>
              <w:bottom w:val="single" w:sz="6" w:space="0" w:color="000000"/>
            </w:tcBorders>
            <w:vAlign w:val="center"/>
            <w:hideMark/>
          </w:tcPr>
          <w:p w14:paraId="7C436F02" w14:textId="77777777" w:rsidR="00000000" w:rsidRDefault="0015578C">
            <w:pPr>
              <w:jc w:val="center"/>
              <w:rPr>
                <w:rFonts w:eastAsia="Times New Roman"/>
                <w:sz w:val="20"/>
                <w:szCs w:val="20"/>
              </w:rPr>
            </w:pPr>
            <w:r>
              <w:rPr>
                <w:rFonts w:eastAsia="Times New Roman"/>
                <w:sz w:val="20"/>
                <w:szCs w:val="20"/>
              </w:rPr>
              <w:t>48</w:t>
            </w:r>
          </w:p>
        </w:tc>
      </w:tr>
      <w:tr w:rsidR="00000000" w14:paraId="0BD4D2E5" w14:textId="77777777">
        <w:trPr>
          <w:trHeight w:val="225"/>
          <w:tblCellSpacing w:w="15" w:type="dxa"/>
        </w:trPr>
        <w:tc>
          <w:tcPr>
            <w:tcW w:w="0" w:type="auto"/>
            <w:vAlign w:val="center"/>
            <w:hideMark/>
          </w:tcPr>
          <w:p w14:paraId="12240B5E" w14:textId="77777777" w:rsidR="00000000" w:rsidRDefault="0015578C">
            <w:pPr>
              <w:rPr>
                <w:rFonts w:eastAsia="Times New Roman"/>
                <w:sz w:val="20"/>
                <w:szCs w:val="20"/>
              </w:rPr>
            </w:pPr>
          </w:p>
        </w:tc>
      </w:tr>
      <w:tr w:rsidR="00000000" w14:paraId="0B12DD86" w14:textId="77777777">
        <w:trPr>
          <w:trHeight w:val="225"/>
          <w:tblCellSpacing w:w="15" w:type="dxa"/>
        </w:trPr>
        <w:tc>
          <w:tcPr>
            <w:tcW w:w="0" w:type="auto"/>
            <w:vAlign w:val="center"/>
            <w:hideMark/>
          </w:tcPr>
          <w:p w14:paraId="7EAB4213"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DC912A7" w14:textId="77777777" w:rsidR="00000000" w:rsidRDefault="0015578C">
      <w:pPr>
        <w:pStyle w:val="a3"/>
        <w:spacing w:before="0" w:beforeAutospacing="0" w:after="0" w:afterAutospacing="0"/>
        <w:jc w:val="both"/>
        <w:rPr>
          <w:sz w:val="20"/>
          <w:szCs w:val="20"/>
        </w:rPr>
      </w:pPr>
      <w:r>
        <w:rPr>
          <w:sz w:val="20"/>
          <w:szCs w:val="20"/>
        </w:rPr>
        <w:t> </w:t>
      </w:r>
    </w:p>
    <w:p w14:paraId="55DD7A9E" w14:textId="77777777" w:rsidR="00000000" w:rsidRDefault="0015578C">
      <w:pPr>
        <w:pStyle w:val="a3"/>
        <w:spacing w:before="0" w:beforeAutospacing="0" w:after="0" w:afterAutospacing="0"/>
        <w:jc w:val="center"/>
        <w:rPr>
          <w:sz w:val="20"/>
          <w:szCs w:val="20"/>
        </w:rPr>
      </w:pPr>
      <w:r>
        <w:rPr>
          <w:rStyle w:val="atag"/>
          <w:b/>
          <w:bCs/>
          <w:sz w:val="20"/>
          <w:szCs w:val="20"/>
        </w:rPr>
        <w:t>PART I</w:t>
      </w:r>
      <w:r>
        <w:rPr>
          <w:rStyle w:val="atag"/>
          <w:b/>
          <w:bCs/>
          <w:sz w:val="20"/>
          <w:szCs w:val="20"/>
        </w:rPr>
        <w:t>V</w:t>
      </w:r>
    </w:p>
    <w:p w14:paraId="2CB5D33F" w14:textId="77777777" w:rsidR="00000000" w:rsidRDefault="0015578C">
      <w:pPr>
        <w:pStyle w:val="a3"/>
        <w:spacing w:before="0" w:beforeAutospacing="0" w:after="0" w:afterAutospacing="0"/>
        <w:jc w:val="both"/>
        <w:rPr>
          <w:sz w:val="20"/>
          <w:szCs w:val="20"/>
        </w:rPr>
      </w:pPr>
      <w:r>
        <w:rPr>
          <w:sz w:val="20"/>
          <w:szCs w:val="20"/>
        </w:rPr>
        <w:t> </w:t>
      </w:r>
    </w:p>
    <w:p w14:paraId="5675D52D" w14:textId="77777777" w:rsidR="00000000" w:rsidRDefault="0015578C">
      <w:pPr>
        <w:pStyle w:val="a3"/>
        <w:spacing w:before="0" w:beforeAutospacing="0" w:after="0" w:afterAutospacing="0"/>
        <w:jc w:val="both"/>
        <w:rPr>
          <w:sz w:val="20"/>
          <w:szCs w:val="20"/>
        </w:rPr>
      </w:pPr>
      <w:r>
        <w:rPr>
          <w:rStyle w:val="atag"/>
          <w:b/>
          <w:bCs/>
          <w:sz w:val="20"/>
          <w:szCs w:val="20"/>
        </w:rPr>
        <w:t xml:space="preserve">Item 15. </w:t>
      </w:r>
      <w:r>
        <w:rPr>
          <w:rStyle w:val="atag"/>
          <w:b/>
          <w:bCs/>
          <w:sz w:val="20"/>
          <w:szCs w:val="20"/>
          <w:u w:val="single"/>
        </w:rPr>
        <w:t xml:space="preserve">Exhibits, </w:t>
      </w:r>
      <w:r>
        <w:rPr>
          <w:rStyle w:val="atag"/>
          <w:b/>
          <w:bCs/>
          <w:sz w:val="20"/>
          <w:szCs w:val="20"/>
          <w:u w:val="single"/>
        </w:rPr>
        <w:t>Financial Statement Schedule</w:t>
      </w:r>
      <w:r>
        <w:rPr>
          <w:rStyle w:val="atag"/>
          <w:b/>
          <w:bCs/>
          <w:sz w:val="20"/>
          <w:szCs w:val="20"/>
          <w:u w:val="single"/>
        </w:rPr>
        <w:t>s</w:t>
      </w:r>
    </w:p>
    <w:p w14:paraId="01800F85" w14:textId="77777777" w:rsidR="00000000" w:rsidRDefault="0015578C">
      <w:pPr>
        <w:pStyle w:val="a3"/>
        <w:spacing w:before="0" w:beforeAutospacing="0" w:after="0" w:afterAutospacing="0"/>
        <w:jc w:val="both"/>
        <w:rPr>
          <w:sz w:val="20"/>
          <w:szCs w:val="20"/>
        </w:rPr>
      </w:pPr>
      <w:r>
        <w:rPr>
          <w:sz w:val="20"/>
          <w:szCs w:val="20"/>
        </w:rPr>
        <w:t> </w:t>
      </w:r>
    </w:p>
    <w:p w14:paraId="28E01192" w14:textId="77777777" w:rsidR="00000000" w:rsidRDefault="0015578C">
      <w:pPr>
        <w:pStyle w:val="a3"/>
        <w:spacing w:before="0" w:beforeAutospacing="0" w:after="0" w:afterAutospacing="0"/>
        <w:ind w:firstLine="675"/>
        <w:jc w:val="both"/>
        <w:rPr>
          <w:sz w:val="20"/>
          <w:szCs w:val="20"/>
        </w:rPr>
      </w:pPr>
      <w:r>
        <w:rPr>
          <w:sz w:val="20"/>
          <w:szCs w:val="20"/>
        </w:rPr>
        <w:t>The following documents are filed as a part of this Annual Report on Form 10-K:</w:t>
      </w:r>
    </w:p>
    <w:p w14:paraId="370EE6FB" w14:textId="77777777" w:rsidR="00000000" w:rsidRDefault="0015578C">
      <w:pPr>
        <w:pStyle w:val="a3"/>
        <w:spacing w:before="0" w:beforeAutospacing="0" w:after="0" w:afterAutospacing="0"/>
        <w:jc w:val="both"/>
        <w:rPr>
          <w:sz w:val="20"/>
          <w:szCs w:val="20"/>
        </w:rPr>
      </w:pPr>
      <w:r>
        <w:rPr>
          <w:sz w:val="20"/>
          <w:szCs w:val="20"/>
        </w:rPr>
        <w:t> </w:t>
      </w:r>
    </w:p>
    <w:p w14:paraId="51C00176" w14:textId="77777777" w:rsidR="00000000" w:rsidRDefault="0015578C">
      <w:pPr>
        <w:pStyle w:val="a3"/>
        <w:spacing w:before="0" w:beforeAutospacing="0" w:after="0" w:afterAutospacing="0"/>
        <w:jc w:val="both"/>
        <w:rPr>
          <w:sz w:val="20"/>
          <w:szCs w:val="20"/>
        </w:rPr>
      </w:pPr>
      <w:r>
        <w:rPr>
          <w:sz w:val="20"/>
          <w:szCs w:val="20"/>
        </w:rPr>
        <w:t>1. Financial Statements</w:t>
      </w:r>
    </w:p>
    <w:p w14:paraId="4E04FEF5" w14:textId="77777777" w:rsidR="00000000" w:rsidRDefault="0015578C">
      <w:pPr>
        <w:pStyle w:val="a3"/>
        <w:spacing w:before="0" w:beforeAutospacing="0" w:after="0" w:afterAutospacing="0"/>
        <w:jc w:val="both"/>
        <w:rPr>
          <w:sz w:val="20"/>
          <w:szCs w:val="20"/>
        </w:rPr>
      </w:pPr>
      <w:r>
        <w:rPr>
          <w:sz w:val="20"/>
          <w:szCs w:val="20"/>
        </w:rPr>
        <w:t xml:space="preserve">   </w:t>
      </w:r>
    </w:p>
    <w:p w14:paraId="30B5D6D8" w14:textId="77777777" w:rsidR="00000000" w:rsidRDefault="0015578C">
      <w:pPr>
        <w:pStyle w:val="a3"/>
        <w:spacing w:before="0" w:beforeAutospacing="0" w:after="0" w:afterAutospacing="0"/>
        <w:ind w:firstLine="675"/>
        <w:jc w:val="both"/>
        <w:rPr>
          <w:sz w:val="20"/>
          <w:szCs w:val="20"/>
        </w:rPr>
      </w:pPr>
      <w:r>
        <w:rPr>
          <w:sz w:val="20"/>
          <w:szCs w:val="20"/>
        </w:rPr>
        <w:t>The following financial statements contained in Part II, Item 8 are filed as part of this Annual Report on Form 10-K:</w:t>
      </w:r>
    </w:p>
    <w:p w14:paraId="4AFFEE24"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412"/>
        <w:gridCol w:w="112"/>
        <w:gridCol w:w="782"/>
      </w:tblGrid>
      <w:tr w:rsidR="00000000" w14:paraId="5E4A7AF9" w14:textId="77777777">
        <w:trPr>
          <w:trHeight w:val="225"/>
          <w:tblCellSpacing w:w="15" w:type="dxa"/>
        </w:trPr>
        <w:tc>
          <w:tcPr>
            <w:tcW w:w="0" w:type="auto"/>
            <w:hideMark/>
          </w:tcPr>
          <w:p w14:paraId="575FB477" w14:textId="77777777" w:rsidR="00000000" w:rsidRDefault="0015578C">
            <w:pPr>
              <w:pStyle w:val="a3"/>
              <w:spacing w:before="0" w:beforeAutospacing="0" w:after="0" w:afterAutospacing="0"/>
              <w:rPr>
                <w:sz w:val="20"/>
                <w:szCs w:val="20"/>
              </w:rPr>
            </w:pPr>
            <w:r>
              <w:rPr>
                <w:sz w:val="20"/>
                <w:szCs w:val="20"/>
              </w:rPr>
              <w:t>Consolidated Financial Statements</w:t>
            </w:r>
          </w:p>
        </w:tc>
        <w:tc>
          <w:tcPr>
            <w:tcW w:w="50" w:type="pct"/>
            <w:vAlign w:val="center"/>
            <w:hideMark/>
          </w:tcPr>
          <w:p w14:paraId="0D9B2DD3" w14:textId="77777777" w:rsidR="00000000" w:rsidRDefault="0015578C">
            <w:pPr>
              <w:pStyle w:val="a3"/>
              <w:spacing w:before="0" w:beforeAutospacing="0" w:after="0" w:afterAutospacing="0"/>
              <w:rPr>
                <w:sz w:val="20"/>
                <w:szCs w:val="20"/>
              </w:rPr>
            </w:pPr>
            <w:r>
              <w:rPr>
                <w:sz w:val="20"/>
                <w:szCs w:val="20"/>
              </w:rPr>
              <w:t> </w:t>
            </w:r>
          </w:p>
        </w:tc>
        <w:tc>
          <w:tcPr>
            <w:tcW w:w="450" w:type="pct"/>
            <w:vAlign w:val="center"/>
            <w:hideMark/>
          </w:tcPr>
          <w:p w14:paraId="15399D0B" w14:textId="77777777" w:rsidR="00000000" w:rsidRDefault="0015578C">
            <w:pPr>
              <w:pStyle w:val="a3"/>
              <w:spacing w:before="0" w:beforeAutospacing="0" w:after="0" w:afterAutospacing="0"/>
              <w:rPr>
                <w:sz w:val="20"/>
                <w:szCs w:val="20"/>
              </w:rPr>
            </w:pPr>
            <w:r>
              <w:rPr>
                <w:sz w:val="20"/>
                <w:szCs w:val="20"/>
              </w:rPr>
              <w:t> </w:t>
            </w:r>
          </w:p>
        </w:tc>
      </w:tr>
      <w:tr w:rsidR="00000000" w14:paraId="63C07C38" w14:textId="77777777">
        <w:trPr>
          <w:trHeight w:val="225"/>
          <w:tblCellSpacing w:w="15" w:type="dxa"/>
        </w:trPr>
        <w:tc>
          <w:tcPr>
            <w:tcW w:w="0" w:type="auto"/>
            <w:shd w:val="clear" w:color="auto" w:fill="CCEEFF"/>
            <w:hideMark/>
          </w:tcPr>
          <w:p w14:paraId="6A5C8356" w14:textId="77777777" w:rsidR="00000000" w:rsidRDefault="0015578C">
            <w:pPr>
              <w:pStyle w:val="a3"/>
              <w:spacing w:before="0" w:beforeAutospacing="0" w:after="0" w:afterAutospacing="0"/>
              <w:rPr>
                <w:sz w:val="20"/>
                <w:szCs w:val="20"/>
              </w:rPr>
            </w:pPr>
            <w:r>
              <w:rPr>
                <w:sz w:val="20"/>
                <w:szCs w:val="20"/>
              </w:rPr>
              <w:t>Report of Independent Registered Public Accounting Firm (Plante Moran, PLLC, Denver, Colorado, PC</w:t>
            </w:r>
            <w:r>
              <w:rPr>
                <w:sz w:val="20"/>
                <w:szCs w:val="20"/>
              </w:rPr>
              <w:t>AOB ID 166)</w:t>
            </w:r>
          </w:p>
        </w:tc>
        <w:tc>
          <w:tcPr>
            <w:tcW w:w="0" w:type="auto"/>
            <w:shd w:val="clear" w:color="auto" w:fill="CCEEFF"/>
            <w:vAlign w:val="center"/>
            <w:hideMark/>
          </w:tcPr>
          <w:p w14:paraId="7A27751F"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56C52244" w14:textId="77777777" w:rsidR="00000000" w:rsidRDefault="0015578C">
            <w:pPr>
              <w:pStyle w:val="a3"/>
              <w:spacing w:before="0" w:beforeAutospacing="0" w:after="0" w:afterAutospacing="0"/>
              <w:rPr>
                <w:sz w:val="20"/>
                <w:szCs w:val="20"/>
              </w:rPr>
            </w:pPr>
            <w:r>
              <w:rPr>
                <w:sz w:val="20"/>
                <w:szCs w:val="20"/>
              </w:rPr>
              <w:t> </w:t>
            </w:r>
          </w:p>
        </w:tc>
      </w:tr>
      <w:tr w:rsidR="00000000" w14:paraId="064429C9" w14:textId="77777777">
        <w:trPr>
          <w:trHeight w:val="225"/>
          <w:tblCellSpacing w:w="15" w:type="dxa"/>
        </w:trPr>
        <w:tc>
          <w:tcPr>
            <w:tcW w:w="0" w:type="auto"/>
            <w:shd w:val="clear" w:color="auto" w:fill="FFFFFF"/>
            <w:hideMark/>
          </w:tcPr>
          <w:p w14:paraId="6A6A514C" w14:textId="77777777" w:rsidR="00000000" w:rsidRDefault="0015578C">
            <w:pPr>
              <w:pStyle w:val="a3"/>
              <w:spacing w:before="0" w:beforeAutospacing="0" w:after="0" w:afterAutospacing="0"/>
              <w:rPr>
                <w:sz w:val="20"/>
                <w:szCs w:val="20"/>
              </w:rPr>
            </w:pPr>
            <w:r>
              <w:rPr>
                <w:sz w:val="20"/>
                <w:szCs w:val="20"/>
              </w:rPr>
              <w:t xml:space="preserve">Consolidated Balance Sheets as of December 31, 2022 and 2021 </w:t>
            </w:r>
          </w:p>
        </w:tc>
        <w:tc>
          <w:tcPr>
            <w:tcW w:w="0" w:type="auto"/>
            <w:shd w:val="clear" w:color="auto" w:fill="FFFFFF"/>
            <w:vAlign w:val="center"/>
            <w:hideMark/>
          </w:tcPr>
          <w:p w14:paraId="0BBDD277"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0C3FCA65" w14:textId="77777777" w:rsidR="00000000" w:rsidRDefault="0015578C">
            <w:pPr>
              <w:pStyle w:val="a3"/>
              <w:spacing w:before="0" w:beforeAutospacing="0" w:after="0" w:afterAutospacing="0"/>
              <w:rPr>
                <w:sz w:val="20"/>
                <w:szCs w:val="20"/>
              </w:rPr>
            </w:pPr>
            <w:r>
              <w:rPr>
                <w:sz w:val="20"/>
                <w:szCs w:val="20"/>
              </w:rPr>
              <w:t> </w:t>
            </w:r>
          </w:p>
        </w:tc>
      </w:tr>
      <w:tr w:rsidR="00000000" w14:paraId="5ADDFDC7" w14:textId="77777777">
        <w:trPr>
          <w:trHeight w:val="225"/>
          <w:tblCellSpacing w:w="15" w:type="dxa"/>
        </w:trPr>
        <w:tc>
          <w:tcPr>
            <w:tcW w:w="0" w:type="auto"/>
            <w:shd w:val="clear" w:color="auto" w:fill="CCEEFF"/>
            <w:hideMark/>
          </w:tcPr>
          <w:p w14:paraId="0003B421" w14:textId="77777777" w:rsidR="00000000" w:rsidRDefault="0015578C">
            <w:pPr>
              <w:pStyle w:val="a3"/>
              <w:spacing w:before="0" w:beforeAutospacing="0" w:after="0" w:afterAutospacing="0"/>
              <w:rPr>
                <w:sz w:val="20"/>
                <w:szCs w:val="20"/>
              </w:rPr>
            </w:pPr>
            <w:r>
              <w:rPr>
                <w:sz w:val="20"/>
                <w:szCs w:val="20"/>
              </w:rPr>
              <w:t>Consolidated Statements of Operations for the years ended December 31, 2022 and 2021</w:t>
            </w:r>
          </w:p>
        </w:tc>
        <w:tc>
          <w:tcPr>
            <w:tcW w:w="0" w:type="auto"/>
            <w:shd w:val="clear" w:color="auto" w:fill="CCEEFF"/>
            <w:vAlign w:val="center"/>
            <w:hideMark/>
          </w:tcPr>
          <w:p w14:paraId="2921FAA1"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1798C583" w14:textId="77777777" w:rsidR="00000000" w:rsidRDefault="0015578C">
            <w:pPr>
              <w:pStyle w:val="a3"/>
              <w:spacing w:before="0" w:beforeAutospacing="0" w:after="0" w:afterAutospacing="0"/>
              <w:rPr>
                <w:sz w:val="20"/>
                <w:szCs w:val="20"/>
              </w:rPr>
            </w:pPr>
            <w:r>
              <w:rPr>
                <w:sz w:val="20"/>
                <w:szCs w:val="20"/>
              </w:rPr>
              <w:t> </w:t>
            </w:r>
          </w:p>
        </w:tc>
      </w:tr>
      <w:tr w:rsidR="00000000" w14:paraId="62AB72CF" w14:textId="77777777">
        <w:trPr>
          <w:trHeight w:val="225"/>
          <w:tblCellSpacing w:w="15" w:type="dxa"/>
        </w:trPr>
        <w:tc>
          <w:tcPr>
            <w:tcW w:w="0" w:type="auto"/>
            <w:shd w:val="clear" w:color="auto" w:fill="FFFFFF"/>
            <w:hideMark/>
          </w:tcPr>
          <w:p w14:paraId="115DB2EB" w14:textId="77777777" w:rsidR="00000000" w:rsidRDefault="0015578C">
            <w:pPr>
              <w:pStyle w:val="a3"/>
              <w:spacing w:before="0" w:beforeAutospacing="0" w:after="0" w:afterAutospacing="0"/>
              <w:rPr>
                <w:sz w:val="20"/>
                <w:szCs w:val="20"/>
              </w:rPr>
            </w:pPr>
            <w:r>
              <w:rPr>
                <w:sz w:val="20"/>
                <w:szCs w:val="20"/>
              </w:rPr>
              <w:t xml:space="preserve">Consolidated Statements of Shareholders’ </w:t>
            </w:r>
            <w:r>
              <w:rPr>
                <w:sz w:val="20"/>
                <w:szCs w:val="20"/>
              </w:rPr>
              <w:t xml:space="preserve">Equity for the years ended December 31, 2022 and 2021 </w:t>
            </w:r>
          </w:p>
        </w:tc>
        <w:tc>
          <w:tcPr>
            <w:tcW w:w="0" w:type="auto"/>
            <w:shd w:val="clear" w:color="auto" w:fill="FFFFFF"/>
            <w:vAlign w:val="center"/>
            <w:hideMark/>
          </w:tcPr>
          <w:p w14:paraId="52A5A7A7"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381D9A0B" w14:textId="77777777" w:rsidR="00000000" w:rsidRDefault="0015578C">
            <w:pPr>
              <w:pStyle w:val="a3"/>
              <w:spacing w:before="0" w:beforeAutospacing="0" w:after="0" w:afterAutospacing="0"/>
              <w:rPr>
                <w:sz w:val="20"/>
                <w:szCs w:val="20"/>
              </w:rPr>
            </w:pPr>
            <w:r>
              <w:rPr>
                <w:sz w:val="20"/>
                <w:szCs w:val="20"/>
              </w:rPr>
              <w:t> </w:t>
            </w:r>
          </w:p>
        </w:tc>
      </w:tr>
      <w:tr w:rsidR="00000000" w14:paraId="35044835" w14:textId="77777777">
        <w:trPr>
          <w:trHeight w:val="225"/>
          <w:tblCellSpacing w:w="15" w:type="dxa"/>
        </w:trPr>
        <w:tc>
          <w:tcPr>
            <w:tcW w:w="0" w:type="auto"/>
            <w:shd w:val="clear" w:color="auto" w:fill="CCEEFF"/>
            <w:hideMark/>
          </w:tcPr>
          <w:p w14:paraId="66604EBB" w14:textId="77777777" w:rsidR="00000000" w:rsidRDefault="0015578C">
            <w:pPr>
              <w:pStyle w:val="a3"/>
              <w:spacing w:before="0" w:beforeAutospacing="0" w:after="0" w:afterAutospacing="0"/>
              <w:rPr>
                <w:sz w:val="20"/>
                <w:szCs w:val="20"/>
              </w:rPr>
            </w:pPr>
            <w:r>
              <w:rPr>
                <w:sz w:val="20"/>
                <w:szCs w:val="20"/>
              </w:rPr>
              <w:t>Consolidated Statements of Cash Flows for the years ended December 31, 2022 and 2021</w:t>
            </w:r>
          </w:p>
        </w:tc>
        <w:tc>
          <w:tcPr>
            <w:tcW w:w="0" w:type="auto"/>
            <w:shd w:val="clear" w:color="auto" w:fill="CCEEFF"/>
            <w:vAlign w:val="center"/>
            <w:hideMark/>
          </w:tcPr>
          <w:p w14:paraId="17B94C7B"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14:paraId="3AB7B76B" w14:textId="77777777" w:rsidR="00000000" w:rsidRDefault="0015578C">
            <w:pPr>
              <w:pStyle w:val="a3"/>
              <w:spacing w:before="0" w:beforeAutospacing="0" w:after="0" w:afterAutospacing="0"/>
              <w:rPr>
                <w:sz w:val="20"/>
                <w:szCs w:val="20"/>
              </w:rPr>
            </w:pPr>
            <w:r>
              <w:rPr>
                <w:sz w:val="20"/>
                <w:szCs w:val="20"/>
              </w:rPr>
              <w:t> </w:t>
            </w:r>
          </w:p>
        </w:tc>
      </w:tr>
      <w:tr w:rsidR="00000000" w14:paraId="5E07A5C2" w14:textId="77777777">
        <w:trPr>
          <w:trHeight w:val="225"/>
          <w:tblCellSpacing w:w="15" w:type="dxa"/>
        </w:trPr>
        <w:tc>
          <w:tcPr>
            <w:tcW w:w="0" w:type="auto"/>
            <w:shd w:val="clear" w:color="auto" w:fill="FFFFFF"/>
            <w:hideMark/>
          </w:tcPr>
          <w:p w14:paraId="0052E5E9" w14:textId="77777777" w:rsidR="00000000" w:rsidRDefault="0015578C">
            <w:pPr>
              <w:pStyle w:val="a3"/>
              <w:spacing w:before="0" w:beforeAutospacing="0" w:after="0" w:afterAutospacing="0"/>
              <w:rPr>
                <w:sz w:val="20"/>
                <w:szCs w:val="20"/>
              </w:rPr>
            </w:pPr>
            <w:r>
              <w:rPr>
                <w:sz w:val="20"/>
                <w:szCs w:val="20"/>
              </w:rPr>
              <w:t xml:space="preserve">Notes to Consolidated Financial Statements </w:t>
            </w:r>
          </w:p>
        </w:tc>
        <w:tc>
          <w:tcPr>
            <w:tcW w:w="0" w:type="auto"/>
            <w:shd w:val="clear" w:color="auto" w:fill="FFFFFF"/>
            <w:vAlign w:val="center"/>
            <w:hideMark/>
          </w:tcPr>
          <w:p w14:paraId="074AC828" w14:textId="77777777" w:rsidR="00000000" w:rsidRDefault="0015578C">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14:paraId="5AED55F6" w14:textId="77777777" w:rsidR="00000000" w:rsidRDefault="0015578C">
            <w:pPr>
              <w:pStyle w:val="a3"/>
              <w:spacing w:before="0" w:beforeAutospacing="0" w:after="0" w:afterAutospacing="0"/>
              <w:rPr>
                <w:sz w:val="20"/>
                <w:szCs w:val="20"/>
              </w:rPr>
            </w:pPr>
            <w:r>
              <w:rPr>
                <w:sz w:val="20"/>
                <w:szCs w:val="20"/>
              </w:rPr>
              <w:t> </w:t>
            </w:r>
          </w:p>
        </w:tc>
      </w:tr>
    </w:tbl>
    <w:p w14:paraId="666EE781" w14:textId="77777777" w:rsidR="00000000" w:rsidRDefault="0015578C">
      <w:pPr>
        <w:pStyle w:val="a3"/>
        <w:spacing w:before="0" w:beforeAutospacing="0" w:after="0" w:afterAutospacing="0"/>
        <w:jc w:val="both"/>
        <w:rPr>
          <w:sz w:val="20"/>
          <w:szCs w:val="20"/>
        </w:rPr>
      </w:pPr>
      <w:r>
        <w:rPr>
          <w:sz w:val="20"/>
          <w:szCs w:val="20"/>
        </w:rPr>
        <w:t> </w:t>
      </w:r>
    </w:p>
    <w:p w14:paraId="47B42C82" w14:textId="77777777" w:rsidR="00000000" w:rsidRDefault="0015578C">
      <w:pPr>
        <w:pStyle w:val="a3"/>
        <w:spacing w:before="0" w:beforeAutospacing="0" w:after="0" w:afterAutospacing="0"/>
        <w:jc w:val="both"/>
        <w:rPr>
          <w:sz w:val="20"/>
          <w:szCs w:val="20"/>
        </w:rPr>
      </w:pPr>
      <w:r>
        <w:rPr>
          <w:sz w:val="20"/>
          <w:szCs w:val="20"/>
        </w:rPr>
        <w:t>2. Financial Statement Schedules</w:t>
      </w:r>
    </w:p>
    <w:p w14:paraId="661C5F9A" w14:textId="77777777" w:rsidR="00000000" w:rsidRDefault="0015578C">
      <w:pPr>
        <w:pStyle w:val="a3"/>
        <w:spacing w:before="0" w:beforeAutospacing="0" w:after="0" w:afterAutospacing="0"/>
        <w:jc w:val="both"/>
        <w:rPr>
          <w:sz w:val="20"/>
          <w:szCs w:val="20"/>
        </w:rPr>
      </w:pPr>
      <w:r>
        <w:rPr>
          <w:sz w:val="20"/>
          <w:szCs w:val="20"/>
        </w:rPr>
        <w:t xml:space="preserve">  </w:t>
      </w:r>
    </w:p>
    <w:p w14:paraId="698C71C2" w14:textId="77777777" w:rsidR="00000000" w:rsidRDefault="0015578C">
      <w:pPr>
        <w:pStyle w:val="a3"/>
        <w:spacing w:before="0" w:beforeAutospacing="0" w:after="0" w:afterAutospacing="0"/>
        <w:ind w:firstLine="675"/>
        <w:jc w:val="both"/>
        <w:rPr>
          <w:sz w:val="20"/>
          <w:szCs w:val="20"/>
        </w:rPr>
      </w:pPr>
      <w:r>
        <w:rPr>
          <w:sz w:val="20"/>
          <w:szCs w:val="20"/>
        </w:rPr>
        <w:t>Financial statement</w:t>
      </w:r>
      <w:r>
        <w:rPr>
          <w:sz w:val="20"/>
          <w:szCs w:val="20"/>
        </w:rPr>
        <w:t xml:space="preserve"> schedules are omitted because they are not required or are not applicable, or the required information is provided in the consolidated financial statements or notes thereto described in Item 15(1) above.</w:t>
      </w:r>
    </w:p>
    <w:p w14:paraId="4BF4FF02" w14:textId="77777777" w:rsidR="00000000" w:rsidRDefault="0015578C">
      <w:pPr>
        <w:pStyle w:val="a3"/>
        <w:spacing w:before="0" w:beforeAutospacing="0" w:after="0" w:afterAutospacing="0"/>
        <w:jc w:val="both"/>
        <w:rPr>
          <w:sz w:val="20"/>
          <w:szCs w:val="20"/>
        </w:rPr>
      </w:pPr>
      <w:r>
        <w:rPr>
          <w:sz w:val="20"/>
          <w:szCs w:val="20"/>
        </w:rPr>
        <w:t> </w:t>
      </w:r>
    </w:p>
    <w:p w14:paraId="10E7E046" w14:textId="77777777" w:rsidR="00000000" w:rsidRDefault="0015578C">
      <w:pPr>
        <w:pStyle w:val="a3"/>
        <w:spacing w:before="0" w:beforeAutospacing="0" w:after="0" w:afterAutospacing="0"/>
        <w:jc w:val="both"/>
        <w:rPr>
          <w:sz w:val="20"/>
          <w:szCs w:val="20"/>
        </w:rPr>
      </w:pPr>
      <w:r>
        <w:rPr>
          <w:sz w:val="20"/>
          <w:szCs w:val="20"/>
        </w:rPr>
        <w:t>3. Exhibits</w:t>
      </w:r>
    </w:p>
    <w:p w14:paraId="2A938A2A" w14:textId="77777777" w:rsidR="00000000" w:rsidRDefault="0015578C">
      <w:pPr>
        <w:pStyle w:val="a3"/>
        <w:spacing w:before="0" w:beforeAutospacing="0" w:after="0" w:afterAutospacing="0"/>
        <w:jc w:val="both"/>
        <w:rPr>
          <w:sz w:val="20"/>
          <w:szCs w:val="20"/>
        </w:rPr>
      </w:pPr>
      <w:r>
        <w:rPr>
          <w:sz w:val="20"/>
          <w:szCs w:val="20"/>
        </w:rPr>
        <w:t xml:space="preserve">  </w:t>
      </w:r>
    </w:p>
    <w:p w14:paraId="79283197" w14:textId="77777777" w:rsidR="00000000" w:rsidRDefault="0015578C">
      <w:pPr>
        <w:pStyle w:val="a3"/>
        <w:spacing w:before="0" w:beforeAutospacing="0" w:after="0" w:afterAutospacing="0"/>
        <w:ind w:firstLine="675"/>
        <w:jc w:val="both"/>
        <w:rPr>
          <w:sz w:val="20"/>
          <w:szCs w:val="20"/>
        </w:rPr>
      </w:pPr>
      <w:r>
        <w:rPr>
          <w:sz w:val="20"/>
          <w:szCs w:val="20"/>
        </w:rPr>
        <w:t>The Exhibits listed in the Index to Exhibits, which appears immediately following the signature page and is incorporated herein by reference, are filed as part of this Annual Report on Form 10-K.</w:t>
      </w:r>
    </w:p>
    <w:p w14:paraId="160360E0" w14:textId="77777777" w:rsidR="00000000" w:rsidRDefault="0015578C">
      <w:pPr>
        <w:pStyle w:val="a3"/>
        <w:spacing w:before="0" w:beforeAutospacing="0" w:after="0" w:afterAutospacing="0"/>
        <w:jc w:val="both"/>
        <w:rPr>
          <w:sz w:val="20"/>
          <w:szCs w:val="20"/>
        </w:rPr>
      </w:pPr>
      <w:r>
        <w:rPr>
          <w:sz w:val="20"/>
          <w:szCs w:val="20"/>
        </w:rPr>
        <w:t> </w:t>
      </w:r>
    </w:p>
    <w:p w14:paraId="1AA81DF6" w14:textId="77777777" w:rsidR="00000000" w:rsidRDefault="0015578C">
      <w:pPr>
        <w:pStyle w:val="a3"/>
        <w:spacing w:before="0" w:beforeAutospacing="0" w:after="0" w:afterAutospacing="0"/>
        <w:jc w:val="both"/>
        <w:rPr>
          <w:sz w:val="20"/>
          <w:szCs w:val="20"/>
        </w:rPr>
      </w:pPr>
      <w:r>
        <w:rPr>
          <w:rStyle w:val="atag"/>
          <w:b/>
          <w:bCs/>
          <w:sz w:val="20"/>
          <w:szCs w:val="20"/>
        </w:rPr>
        <w:t>Item 16. Form 10-K Summar</w:t>
      </w:r>
      <w:r>
        <w:rPr>
          <w:rStyle w:val="atag"/>
          <w:b/>
          <w:bCs/>
          <w:sz w:val="20"/>
          <w:szCs w:val="20"/>
        </w:rPr>
        <w:t>y</w:t>
      </w:r>
    </w:p>
    <w:p w14:paraId="3E921CC4" w14:textId="77777777" w:rsidR="00000000" w:rsidRDefault="0015578C">
      <w:pPr>
        <w:pStyle w:val="a3"/>
        <w:spacing w:before="0" w:beforeAutospacing="0" w:after="0" w:afterAutospacing="0"/>
        <w:jc w:val="both"/>
        <w:rPr>
          <w:sz w:val="20"/>
          <w:szCs w:val="20"/>
        </w:rPr>
      </w:pPr>
      <w:r>
        <w:rPr>
          <w:sz w:val="20"/>
          <w:szCs w:val="20"/>
        </w:rPr>
        <w:t> </w:t>
      </w:r>
    </w:p>
    <w:p w14:paraId="0666601A" w14:textId="77777777" w:rsidR="00000000" w:rsidRDefault="0015578C">
      <w:pPr>
        <w:pStyle w:val="a3"/>
        <w:spacing w:before="0" w:beforeAutospacing="0" w:after="0" w:afterAutospacing="0"/>
        <w:jc w:val="both"/>
        <w:rPr>
          <w:sz w:val="20"/>
          <w:szCs w:val="20"/>
        </w:rPr>
      </w:pPr>
      <w:r>
        <w:rPr>
          <w:sz w:val="20"/>
          <w:szCs w:val="20"/>
        </w:rPr>
        <w:t>None.</w:t>
      </w:r>
    </w:p>
    <w:p w14:paraId="20817135"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67821F6E" w14:textId="77777777">
        <w:trPr>
          <w:trHeight w:val="225"/>
          <w:tblCellSpacing w:w="15" w:type="dxa"/>
        </w:trPr>
        <w:tc>
          <w:tcPr>
            <w:tcW w:w="0" w:type="auto"/>
            <w:vAlign w:val="center"/>
            <w:hideMark/>
          </w:tcPr>
          <w:p w14:paraId="20E0B4BB" w14:textId="77777777" w:rsidR="00000000" w:rsidRDefault="0015578C">
            <w:pPr>
              <w:rPr>
                <w:rFonts w:eastAsia="Times New Roman"/>
                <w:sz w:val="20"/>
                <w:szCs w:val="20"/>
              </w:rPr>
            </w:pPr>
            <w:r>
              <w:rPr>
                <w:rFonts w:eastAsia="Times New Roman"/>
                <w:sz w:val="20"/>
                <w:szCs w:val="20"/>
              </w:rPr>
              <w:t> </w:t>
            </w:r>
          </w:p>
        </w:tc>
      </w:tr>
      <w:tr w:rsidR="00000000" w14:paraId="4A78545D" w14:textId="77777777">
        <w:trPr>
          <w:trHeight w:val="225"/>
          <w:tblCellSpacing w:w="15" w:type="dxa"/>
        </w:trPr>
        <w:tc>
          <w:tcPr>
            <w:tcW w:w="0" w:type="auto"/>
            <w:tcBorders>
              <w:bottom w:val="single" w:sz="6" w:space="0" w:color="000000"/>
            </w:tcBorders>
            <w:vAlign w:val="center"/>
            <w:hideMark/>
          </w:tcPr>
          <w:p w14:paraId="05FCB354" w14:textId="77777777" w:rsidR="00000000" w:rsidRDefault="0015578C">
            <w:pPr>
              <w:jc w:val="center"/>
              <w:rPr>
                <w:rFonts w:eastAsia="Times New Roman"/>
                <w:sz w:val="20"/>
                <w:szCs w:val="20"/>
              </w:rPr>
            </w:pPr>
            <w:r>
              <w:rPr>
                <w:rFonts w:eastAsia="Times New Roman"/>
                <w:sz w:val="20"/>
                <w:szCs w:val="20"/>
              </w:rPr>
              <w:t>49</w:t>
            </w:r>
          </w:p>
        </w:tc>
      </w:tr>
      <w:tr w:rsidR="00000000" w14:paraId="67FA4762" w14:textId="77777777">
        <w:trPr>
          <w:trHeight w:val="225"/>
          <w:tblCellSpacing w:w="15" w:type="dxa"/>
        </w:trPr>
        <w:tc>
          <w:tcPr>
            <w:tcW w:w="0" w:type="auto"/>
            <w:vAlign w:val="center"/>
            <w:hideMark/>
          </w:tcPr>
          <w:p w14:paraId="05494C21" w14:textId="77777777" w:rsidR="00000000" w:rsidRDefault="0015578C">
            <w:pPr>
              <w:rPr>
                <w:rFonts w:eastAsia="Times New Roman"/>
                <w:sz w:val="20"/>
                <w:szCs w:val="20"/>
              </w:rPr>
            </w:pPr>
          </w:p>
        </w:tc>
      </w:tr>
      <w:tr w:rsidR="00000000" w14:paraId="6E2A7BAB" w14:textId="77777777">
        <w:trPr>
          <w:trHeight w:val="225"/>
          <w:tblCellSpacing w:w="15" w:type="dxa"/>
        </w:trPr>
        <w:tc>
          <w:tcPr>
            <w:tcW w:w="0" w:type="auto"/>
            <w:vAlign w:val="center"/>
            <w:hideMark/>
          </w:tcPr>
          <w:p w14:paraId="079159B0"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6ED73AF1" w14:textId="77777777" w:rsidR="00000000" w:rsidRDefault="0015578C">
      <w:pPr>
        <w:pStyle w:val="a3"/>
        <w:spacing w:before="0" w:beforeAutospacing="0" w:after="0" w:afterAutospacing="0"/>
        <w:jc w:val="both"/>
        <w:rPr>
          <w:sz w:val="20"/>
          <w:szCs w:val="20"/>
        </w:rPr>
      </w:pPr>
      <w:r>
        <w:rPr>
          <w:sz w:val="20"/>
          <w:szCs w:val="20"/>
        </w:rPr>
        <w:t> </w:t>
      </w:r>
    </w:p>
    <w:p w14:paraId="51FD1813" w14:textId="77777777" w:rsidR="00000000" w:rsidRDefault="0015578C">
      <w:pPr>
        <w:pStyle w:val="a3"/>
        <w:spacing w:before="0" w:beforeAutospacing="0" w:after="0" w:afterAutospacing="0"/>
        <w:jc w:val="center"/>
        <w:rPr>
          <w:sz w:val="20"/>
          <w:szCs w:val="20"/>
        </w:rPr>
      </w:pPr>
      <w:r>
        <w:rPr>
          <w:rStyle w:val="atag"/>
          <w:b/>
          <w:bCs/>
          <w:sz w:val="20"/>
          <w:szCs w:val="20"/>
          <w:u w:val="single"/>
        </w:rPr>
        <w:t>SIGNATURE</w:t>
      </w:r>
      <w:r>
        <w:rPr>
          <w:rStyle w:val="atag"/>
          <w:b/>
          <w:bCs/>
          <w:sz w:val="20"/>
          <w:szCs w:val="20"/>
          <w:u w:val="single"/>
        </w:rPr>
        <w:t>S</w:t>
      </w:r>
    </w:p>
    <w:p w14:paraId="759179B9" w14:textId="77777777" w:rsidR="00000000" w:rsidRDefault="0015578C">
      <w:pPr>
        <w:pStyle w:val="a3"/>
        <w:spacing w:before="0" w:beforeAutospacing="0" w:after="0" w:afterAutospacing="0"/>
        <w:jc w:val="both"/>
        <w:rPr>
          <w:sz w:val="20"/>
          <w:szCs w:val="20"/>
        </w:rPr>
      </w:pPr>
      <w:r>
        <w:rPr>
          <w:sz w:val="20"/>
          <w:szCs w:val="20"/>
        </w:rPr>
        <w:t> </w:t>
      </w:r>
    </w:p>
    <w:p w14:paraId="68F7B2D4" w14:textId="77777777" w:rsidR="00000000" w:rsidRDefault="0015578C">
      <w:pPr>
        <w:pStyle w:val="a3"/>
        <w:spacing w:before="0" w:beforeAutospacing="0" w:after="0" w:afterAutospacing="0"/>
        <w:ind w:firstLine="675"/>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14:paraId="01945C57"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54"/>
        <w:gridCol w:w="2895"/>
        <w:gridCol w:w="4957"/>
      </w:tblGrid>
      <w:tr w:rsidR="00000000" w14:paraId="61004019" w14:textId="77777777">
        <w:trPr>
          <w:trHeight w:val="225"/>
          <w:tblCellSpacing w:w="15" w:type="dxa"/>
        </w:trPr>
        <w:tc>
          <w:tcPr>
            <w:tcW w:w="0" w:type="auto"/>
            <w:gridSpan w:val="2"/>
            <w:vAlign w:val="bottom"/>
            <w:hideMark/>
          </w:tcPr>
          <w:p w14:paraId="33A7299B" w14:textId="77777777" w:rsidR="00000000" w:rsidRDefault="0015578C">
            <w:pPr>
              <w:pStyle w:val="a3"/>
              <w:spacing w:before="0" w:beforeAutospacing="0" w:after="0" w:afterAutospacing="0"/>
              <w:rPr>
                <w:sz w:val="20"/>
                <w:szCs w:val="20"/>
              </w:rPr>
            </w:pPr>
            <w:r>
              <w:rPr>
                <w:sz w:val="20"/>
                <w:szCs w:val="20"/>
              </w:rPr>
              <w:t xml:space="preserve">SOLITARIO ZINC CORP. </w:t>
            </w:r>
          </w:p>
        </w:tc>
        <w:tc>
          <w:tcPr>
            <w:tcW w:w="0" w:type="auto"/>
            <w:vAlign w:val="center"/>
            <w:hideMark/>
          </w:tcPr>
          <w:p w14:paraId="2EF3FB66" w14:textId="77777777" w:rsidR="00000000" w:rsidRDefault="0015578C">
            <w:pPr>
              <w:pStyle w:val="a3"/>
              <w:spacing w:before="0" w:beforeAutospacing="0" w:after="0" w:afterAutospacing="0"/>
              <w:rPr>
                <w:sz w:val="20"/>
                <w:szCs w:val="20"/>
              </w:rPr>
            </w:pPr>
            <w:r>
              <w:rPr>
                <w:sz w:val="20"/>
                <w:szCs w:val="20"/>
              </w:rPr>
              <w:t> </w:t>
            </w:r>
          </w:p>
        </w:tc>
      </w:tr>
      <w:tr w:rsidR="00000000" w14:paraId="2A95B477" w14:textId="77777777">
        <w:trPr>
          <w:trHeight w:val="225"/>
          <w:tblCellSpacing w:w="15" w:type="dxa"/>
        </w:trPr>
        <w:tc>
          <w:tcPr>
            <w:tcW w:w="250" w:type="pct"/>
            <w:vAlign w:val="center"/>
            <w:hideMark/>
          </w:tcPr>
          <w:p w14:paraId="61A7DE94" w14:textId="77777777" w:rsidR="00000000" w:rsidRDefault="0015578C">
            <w:pPr>
              <w:pStyle w:val="a3"/>
              <w:spacing w:before="0" w:beforeAutospacing="0" w:after="0" w:afterAutospacing="0"/>
              <w:rPr>
                <w:sz w:val="20"/>
                <w:szCs w:val="20"/>
              </w:rPr>
            </w:pPr>
            <w:r>
              <w:rPr>
                <w:sz w:val="20"/>
                <w:szCs w:val="20"/>
              </w:rPr>
              <w:t> </w:t>
            </w:r>
          </w:p>
        </w:tc>
        <w:tc>
          <w:tcPr>
            <w:tcW w:w="1750" w:type="pct"/>
            <w:vAlign w:val="center"/>
            <w:hideMark/>
          </w:tcPr>
          <w:p w14:paraId="0012ADA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79DC4D9" w14:textId="77777777" w:rsidR="00000000" w:rsidRDefault="0015578C">
            <w:pPr>
              <w:pStyle w:val="a3"/>
              <w:spacing w:before="0" w:beforeAutospacing="0" w:after="0" w:afterAutospacing="0"/>
              <w:rPr>
                <w:sz w:val="20"/>
                <w:szCs w:val="20"/>
              </w:rPr>
            </w:pPr>
            <w:r>
              <w:rPr>
                <w:sz w:val="20"/>
                <w:szCs w:val="20"/>
              </w:rPr>
              <w:t> </w:t>
            </w:r>
          </w:p>
        </w:tc>
      </w:tr>
      <w:tr w:rsidR="00000000" w14:paraId="6390B170" w14:textId="77777777">
        <w:trPr>
          <w:trHeight w:val="225"/>
          <w:tblCellSpacing w:w="15" w:type="dxa"/>
        </w:trPr>
        <w:tc>
          <w:tcPr>
            <w:tcW w:w="0" w:type="auto"/>
            <w:hideMark/>
          </w:tcPr>
          <w:p w14:paraId="4C391577" w14:textId="77777777" w:rsidR="00000000" w:rsidRDefault="0015578C">
            <w:pPr>
              <w:pStyle w:val="a3"/>
              <w:spacing w:before="0" w:beforeAutospacing="0" w:after="0" w:afterAutospacing="0"/>
              <w:rPr>
                <w:sz w:val="20"/>
                <w:szCs w:val="20"/>
              </w:rPr>
            </w:pPr>
            <w:r>
              <w:rPr>
                <w:sz w:val="20"/>
                <w:szCs w:val="20"/>
              </w:rPr>
              <w:t>By:</w:t>
            </w:r>
          </w:p>
        </w:tc>
        <w:tc>
          <w:tcPr>
            <w:tcW w:w="0" w:type="auto"/>
            <w:tcBorders>
              <w:bottom w:val="single" w:sz="6" w:space="0" w:color="000000"/>
            </w:tcBorders>
            <w:hideMark/>
          </w:tcPr>
          <w:p w14:paraId="44F96713" w14:textId="77777777" w:rsidR="00000000" w:rsidRDefault="0015578C">
            <w:pPr>
              <w:pStyle w:val="a3"/>
              <w:spacing w:before="0" w:beforeAutospacing="0" w:after="0" w:afterAutospacing="0"/>
              <w:rPr>
                <w:sz w:val="20"/>
                <w:szCs w:val="20"/>
              </w:rPr>
            </w:pPr>
            <w:r>
              <w:rPr>
                <w:sz w:val="20"/>
                <w:szCs w:val="20"/>
              </w:rPr>
              <w:t>/s/ Jame</w:t>
            </w:r>
            <w:r>
              <w:rPr>
                <w:sz w:val="20"/>
                <w:szCs w:val="20"/>
              </w:rPr>
              <w:t>s R. Maronick</w:t>
            </w:r>
          </w:p>
        </w:tc>
        <w:tc>
          <w:tcPr>
            <w:tcW w:w="0" w:type="auto"/>
            <w:vAlign w:val="center"/>
            <w:hideMark/>
          </w:tcPr>
          <w:p w14:paraId="2EF40C82" w14:textId="77777777" w:rsidR="00000000" w:rsidRDefault="0015578C">
            <w:pPr>
              <w:pStyle w:val="a3"/>
              <w:spacing w:before="0" w:beforeAutospacing="0" w:after="0" w:afterAutospacing="0"/>
              <w:rPr>
                <w:sz w:val="20"/>
                <w:szCs w:val="20"/>
              </w:rPr>
            </w:pPr>
            <w:r>
              <w:rPr>
                <w:sz w:val="20"/>
                <w:szCs w:val="20"/>
              </w:rPr>
              <w:t> </w:t>
            </w:r>
          </w:p>
        </w:tc>
      </w:tr>
      <w:tr w:rsidR="00000000" w14:paraId="0476E980" w14:textId="77777777">
        <w:trPr>
          <w:trHeight w:val="225"/>
          <w:tblCellSpacing w:w="15" w:type="dxa"/>
        </w:trPr>
        <w:tc>
          <w:tcPr>
            <w:tcW w:w="0" w:type="auto"/>
            <w:vAlign w:val="center"/>
            <w:hideMark/>
          </w:tcPr>
          <w:p w14:paraId="40F40A3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D3831AC" w14:textId="77777777" w:rsidR="00000000" w:rsidRDefault="0015578C">
            <w:pPr>
              <w:pStyle w:val="a3"/>
              <w:spacing w:before="0" w:beforeAutospacing="0" w:after="0" w:afterAutospacing="0"/>
              <w:rPr>
                <w:sz w:val="20"/>
                <w:szCs w:val="20"/>
              </w:rPr>
            </w:pPr>
            <w:r>
              <w:rPr>
                <w:sz w:val="20"/>
                <w:szCs w:val="20"/>
              </w:rPr>
              <w:t>James R. Maronick</w:t>
            </w:r>
          </w:p>
        </w:tc>
        <w:tc>
          <w:tcPr>
            <w:tcW w:w="0" w:type="auto"/>
            <w:vAlign w:val="center"/>
            <w:hideMark/>
          </w:tcPr>
          <w:p w14:paraId="1FD689F3" w14:textId="77777777" w:rsidR="00000000" w:rsidRDefault="0015578C">
            <w:pPr>
              <w:pStyle w:val="a3"/>
              <w:spacing w:before="0" w:beforeAutospacing="0" w:after="0" w:afterAutospacing="0"/>
              <w:rPr>
                <w:sz w:val="20"/>
                <w:szCs w:val="20"/>
              </w:rPr>
            </w:pPr>
            <w:r>
              <w:rPr>
                <w:sz w:val="20"/>
                <w:szCs w:val="20"/>
              </w:rPr>
              <w:t> </w:t>
            </w:r>
          </w:p>
        </w:tc>
      </w:tr>
      <w:tr w:rsidR="00000000" w14:paraId="3FCACC79" w14:textId="77777777">
        <w:trPr>
          <w:trHeight w:val="225"/>
          <w:tblCellSpacing w:w="15" w:type="dxa"/>
        </w:trPr>
        <w:tc>
          <w:tcPr>
            <w:tcW w:w="0" w:type="auto"/>
            <w:vAlign w:val="center"/>
            <w:hideMark/>
          </w:tcPr>
          <w:p w14:paraId="60E88C25" w14:textId="77777777" w:rsidR="00000000" w:rsidRDefault="0015578C">
            <w:pPr>
              <w:pStyle w:val="a3"/>
              <w:spacing w:before="0" w:beforeAutospacing="0" w:after="0" w:afterAutospacing="0"/>
              <w:rPr>
                <w:sz w:val="20"/>
                <w:szCs w:val="20"/>
              </w:rPr>
            </w:pPr>
            <w:r>
              <w:rPr>
                <w:sz w:val="20"/>
                <w:szCs w:val="20"/>
              </w:rPr>
              <w:t> </w:t>
            </w:r>
          </w:p>
        </w:tc>
        <w:tc>
          <w:tcPr>
            <w:tcW w:w="0" w:type="auto"/>
            <w:hideMark/>
          </w:tcPr>
          <w:p w14:paraId="54554D91" w14:textId="77777777" w:rsidR="00000000" w:rsidRDefault="0015578C">
            <w:pPr>
              <w:pStyle w:val="a3"/>
              <w:spacing w:before="0" w:beforeAutospacing="0" w:after="0" w:afterAutospacing="0"/>
              <w:rPr>
                <w:sz w:val="20"/>
                <w:szCs w:val="20"/>
              </w:rPr>
            </w:pPr>
            <w:r>
              <w:rPr>
                <w:sz w:val="20"/>
                <w:szCs w:val="20"/>
              </w:rPr>
              <w:t>Chief Financial Officer</w:t>
            </w:r>
          </w:p>
        </w:tc>
        <w:tc>
          <w:tcPr>
            <w:tcW w:w="0" w:type="auto"/>
            <w:vAlign w:val="center"/>
            <w:hideMark/>
          </w:tcPr>
          <w:p w14:paraId="678DA39E" w14:textId="77777777" w:rsidR="00000000" w:rsidRDefault="0015578C">
            <w:pPr>
              <w:pStyle w:val="a3"/>
              <w:spacing w:before="0" w:beforeAutospacing="0" w:after="0" w:afterAutospacing="0"/>
              <w:rPr>
                <w:sz w:val="20"/>
                <w:szCs w:val="20"/>
              </w:rPr>
            </w:pPr>
            <w:r>
              <w:rPr>
                <w:sz w:val="20"/>
                <w:szCs w:val="20"/>
              </w:rPr>
              <w:t> </w:t>
            </w:r>
          </w:p>
        </w:tc>
      </w:tr>
      <w:tr w:rsidR="00000000" w14:paraId="50E4019B" w14:textId="77777777">
        <w:trPr>
          <w:trHeight w:val="225"/>
          <w:tblCellSpacing w:w="15" w:type="dxa"/>
        </w:trPr>
        <w:tc>
          <w:tcPr>
            <w:tcW w:w="0" w:type="auto"/>
            <w:vAlign w:val="center"/>
            <w:hideMark/>
          </w:tcPr>
          <w:p w14:paraId="62132342"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33C8AF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4AD2152" w14:textId="77777777" w:rsidR="00000000" w:rsidRDefault="0015578C">
            <w:pPr>
              <w:pStyle w:val="a3"/>
              <w:spacing w:before="0" w:beforeAutospacing="0" w:after="0" w:afterAutospacing="0"/>
              <w:rPr>
                <w:sz w:val="20"/>
                <w:szCs w:val="20"/>
              </w:rPr>
            </w:pPr>
            <w:r>
              <w:rPr>
                <w:sz w:val="20"/>
                <w:szCs w:val="20"/>
              </w:rPr>
              <w:t> </w:t>
            </w:r>
          </w:p>
        </w:tc>
      </w:tr>
      <w:tr w:rsidR="00000000" w14:paraId="3F68F2CD" w14:textId="77777777">
        <w:trPr>
          <w:trHeight w:val="225"/>
          <w:tblCellSpacing w:w="15" w:type="dxa"/>
        </w:trPr>
        <w:tc>
          <w:tcPr>
            <w:tcW w:w="0" w:type="auto"/>
            <w:gridSpan w:val="2"/>
            <w:hideMark/>
          </w:tcPr>
          <w:p w14:paraId="561E87B3" w14:textId="77777777" w:rsidR="00000000" w:rsidRDefault="0015578C">
            <w:pPr>
              <w:pStyle w:val="a3"/>
              <w:spacing w:before="0" w:beforeAutospacing="0" w:after="0" w:afterAutospacing="0"/>
              <w:rPr>
                <w:sz w:val="20"/>
                <w:szCs w:val="20"/>
              </w:rPr>
            </w:pPr>
            <w:r>
              <w:rPr>
                <w:sz w:val="20"/>
                <w:szCs w:val="20"/>
              </w:rPr>
              <w:t>Date: March 15, 2023</w:t>
            </w:r>
          </w:p>
        </w:tc>
        <w:tc>
          <w:tcPr>
            <w:tcW w:w="0" w:type="auto"/>
            <w:vAlign w:val="center"/>
            <w:hideMark/>
          </w:tcPr>
          <w:p w14:paraId="6C48C98C" w14:textId="77777777" w:rsidR="00000000" w:rsidRDefault="0015578C">
            <w:pPr>
              <w:pStyle w:val="a3"/>
              <w:spacing w:before="0" w:beforeAutospacing="0" w:after="0" w:afterAutospacing="0"/>
              <w:rPr>
                <w:sz w:val="20"/>
                <w:szCs w:val="20"/>
              </w:rPr>
            </w:pPr>
            <w:r>
              <w:rPr>
                <w:sz w:val="20"/>
                <w:szCs w:val="20"/>
              </w:rPr>
              <w:t> </w:t>
            </w:r>
          </w:p>
        </w:tc>
      </w:tr>
    </w:tbl>
    <w:p w14:paraId="38376E87" w14:textId="77777777" w:rsidR="00000000" w:rsidRDefault="0015578C">
      <w:pPr>
        <w:pStyle w:val="a3"/>
        <w:spacing w:before="0" w:beforeAutospacing="0" w:after="0" w:afterAutospacing="0"/>
        <w:jc w:val="both"/>
        <w:rPr>
          <w:sz w:val="20"/>
          <w:szCs w:val="20"/>
        </w:rPr>
      </w:pPr>
      <w:r>
        <w:rPr>
          <w:sz w:val="20"/>
          <w:szCs w:val="20"/>
        </w:rPr>
        <w:t> </w:t>
      </w:r>
    </w:p>
    <w:p w14:paraId="4197F288" w14:textId="77777777" w:rsidR="00000000" w:rsidRDefault="0015578C">
      <w:pPr>
        <w:pStyle w:val="a3"/>
        <w:spacing w:before="0" w:beforeAutospacing="0" w:after="0" w:afterAutospacing="0"/>
        <w:ind w:firstLine="675"/>
        <w:jc w:val="both"/>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14:paraId="7D401BCD"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88"/>
        <w:gridCol w:w="193"/>
        <w:gridCol w:w="3362"/>
        <w:gridCol w:w="193"/>
        <w:gridCol w:w="1670"/>
      </w:tblGrid>
      <w:tr w:rsidR="00000000" w14:paraId="7EE127CE" w14:textId="77777777">
        <w:trPr>
          <w:trHeight w:val="225"/>
          <w:tblCellSpacing w:w="15" w:type="dxa"/>
        </w:trPr>
        <w:tc>
          <w:tcPr>
            <w:tcW w:w="1750" w:type="pct"/>
            <w:tcBorders>
              <w:bottom w:val="single" w:sz="6" w:space="0" w:color="000000"/>
            </w:tcBorders>
            <w:vAlign w:val="bottom"/>
            <w:hideMark/>
          </w:tcPr>
          <w:p w14:paraId="1F7783DB" w14:textId="77777777" w:rsidR="00000000" w:rsidRDefault="0015578C">
            <w:pPr>
              <w:pStyle w:val="a3"/>
              <w:spacing w:before="0" w:beforeAutospacing="0" w:after="0" w:afterAutospacing="0"/>
              <w:rPr>
                <w:sz w:val="20"/>
                <w:szCs w:val="20"/>
              </w:rPr>
            </w:pPr>
            <w:r>
              <w:rPr>
                <w:rStyle w:val="a4"/>
                <w:sz w:val="20"/>
                <w:szCs w:val="20"/>
              </w:rPr>
              <w:t>Signature</w:t>
            </w:r>
          </w:p>
        </w:tc>
        <w:tc>
          <w:tcPr>
            <w:tcW w:w="100" w:type="pct"/>
            <w:vAlign w:val="center"/>
            <w:hideMark/>
          </w:tcPr>
          <w:p w14:paraId="470A301D" w14:textId="77777777" w:rsidR="00000000" w:rsidRDefault="0015578C">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14:paraId="6CE4B448" w14:textId="77777777" w:rsidR="00000000" w:rsidRDefault="0015578C">
            <w:pPr>
              <w:pStyle w:val="a3"/>
              <w:spacing w:before="0" w:beforeAutospacing="0" w:after="0" w:afterAutospacing="0"/>
              <w:rPr>
                <w:sz w:val="20"/>
                <w:szCs w:val="20"/>
              </w:rPr>
            </w:pPr>
            <w:r>
              <w:rPr>
                <w:rStyle w:val="a4"/>
                <w:sz w:val="20"/>
                <w:szCs w:val="20"/>
              </w:rPr>
              <w:t>Title</w:t>
            </w:r>
          </w:p>
        </w:tc>
        <w:tc>
          <w:tcPr>
            <w:tcW w:w="100" w:type="pct"/>
            <w:vAlign w:val="center"/>
            <w:hideMark/>
          </w:tcPr>
          <w:p w14:paraId="1CE50FA4" w14:textId="77777777" w:rsidR="00000000" w:rsidRDefault="0015578C">
            <w:pPr>
              <w:pStyle w:val="a3"/>
              <w:spacing w:before="0" w:beforeAutospacing="0" w:after="0" w:afterAutospacing="0"/>
              <w:rPr>
                <w:sz w:val="20"/>
                <w:szCs w:val="20"/>
              </w:rPr>
            </w:pPr>
            <w:r>
              <w:rPr>
                <w:sz w:val="20"/>
                <w:szCs w:val="20"/>
              </w:rPr>
              <w:t> </w:t>
            </w:r>
          </w:p>
        </w:tc>
        <w:tc>
          <w:tcPr>
            <w:tcW w:w="1000" w:type="pct"/>
            <w:tcBorders>
              <w:bottom w:val="single" w:sz="6" w:space="0" w:color="000000"/>
            </w:tcBorders>
            <w:vAlign w:val="bottom"/>
            <w:hideMark/>
          </w:tcPr>
          <w:p w14:paraId="1A95C632" w14:textId="77777777" w:rsidR="00000000" w:rsidRDefault="0015578C">
            <w:pPr>
              <w:pStyle w:val="a3"/>
              <w:spacing w:before="0" w:beforeAutospacing="0" w:after="0" w:afterAutospacing="0"/>
              <w:rPr>
                <w:sz w:val="20"/>
                <w:szCs w:val="20"/>
              </w:rPr>
            </w:pPr>
            <w:r>
              <w:rPr>
                <w:rStyle w:val="a4"/>
                <w:sz w:val="20"/>
                <w:szCs w:val="20"/>
              </w:rPr>
              <w:t>Date</w:t>
            </w:r>
          </w:p>
        </w:tc>
      </w:tr>
      <w:tr w:rsidR="00000000" w14:paraId="64BBDB3F" w14:textId="77777777">
        <w:trPr>
          <w:trHeight w:val="225"/>
          <w:tblCellSpacing w:w="15" w:type="dxa"/>
        </w:trPr>
        <w:tc>
          <w:tcPr>
            <w:tcW w:w="0" w:type="auto"/>
            <w:vAlign w:val="center"/>
            <w:hideMark/>
          </w:tcPr>
          <w:p w14:paraId="1EC0FA28"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C498EC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CF7FFC6"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11C3CDA"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3573C95" w14:textId="77777777" w:rsidR="00000000" w:rsidRDefault="0015578C">
            <w:pPr>
              <w:pStyle w:val="a3"/>
              <w:spacing w:before="0" w:beforeAutospacing="0" w:after="0" w:afterAutospacing="0"/>
              <w:rPr>
                <w:sz w:val="20"/>
                <w:szCs w:val="20"/>
              </w:rPr>
            </w:pPr>
            <w:r>
              <w:rPr>
                <w:sz w:val="20"/>
                <w:szCs w:val="20"/>
              </w:rPr>
              <w:t> </w:t>
            </w:r>
          </w:p>
        </w:tc>
      </w:tr>
      <w:tr w:rsidR="00000000" w14:paraId="787105EA" w14:textId="77777777">
        <w:trPr>
          <w:trHeight w:val="225"/>
          <w:tblCellSpacing w:w="15" w:type="dxa"/>
        </w:trPr>
        <w:tc>
          <w:tcPr>
            <w:tcW w:w="0" w:type="auto"/>
            <w:tcBorders>
              <w:bottom w:val="single" w:sz="6" w:space="0" w:color="000000"/>
            </w:tcBorders>
            <w:vAlign w:val="bottom"/>
            <w:hideMark/>
          </w:tcPr>
          <w:p w14:paraId="15D6E5CB" w14:textId="77777777" w:rsidR="00000000" w:rsidRDefault="0015578C">
            <w:pPr>
              <w:pStyle w:val="a3"/>
              <w:spacing w:before="0" w:beforeAutospacing="0" w:after="0" w:afterAutospacing="0"/>
              <w:rPr>
                <w:sz w:val="20"/>
                <w:szCs w:val="20"/>
              </w:rPr>
            </w:pPr>
            <w:r>
              <w:rPr>
                <w:sz w:val="20"/>
                <w:szCs w:val="20"/>
              </w:rPr>
              <w:t>/s/ Christopher E. Herald</w:t>
            </w:r>
          </w:p>
        </w:tc>
        <w:tc>
          <w:tcPr>
            <w:tcW w:w="0" w:type="auto"/>
            <w:vAlign w:val="center"/>
            <w:hideMark/>
          </w:tcPr>
          <w:p w14:paraId="703A516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8526A5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CC53D0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5C317B4" w14:textId="77777777" w:rsidR="00000000" w:rsidRDefault="0015578C">
            <w:pPr>
              <w:pStyle w:val="a3"/>
              <w:spacing w:before="0" w:beforeAutospacing="0" w:after="0" w:afterAutospacing="0"/>
              <w:rPr>
                <w:sz w:val="20"/>
                <w:szCs w:val="20"/>
              </w:rPr>
            </w:pPr>
            <w:r>
              <w:rPr>
                <w:sz w:val="20"/>
                <w:szCs w:val="20"/>
              </w:rPr>
              <w:t> </w:t>
            </w:r>
          </w:p>
        </w:tc>
      </w:tr>
      <w:tr w:rsidR="00000000" w14:paraId="7A0BC49D" w14:textId="77777777">
        <w:trPr>
          <w:trHeight w:val="225"/>
          <w:tblCellSpacing w:w="15" w:type="dxa"/>
        </w:trPr>
        <w:tc>
          <w:tcPr>
            <w:tcW w:w="0" w:type="auto"/>
            <w:vAlign w:val="bottom"/>
            <w:hideMark/>
          </w:tcPr>
          <w:p w14:paraId="22FCE4AF" w14:textId="77777777" w:rsidR="00000000" w:rsidRDefault="0015578C">
            <w:pPr>
              <w:pStyle w:val="a3"/>
              <w:spacing w:before="0" w:beforeAutospacing="0" w:after="0" w:afterAutospacing="0"/>
              <w:rPr>
                <w:sz w:val="20"/>
                <w:szCs w:val="20"/>
              </w:rPr>
            </w:pPr>
            <w:r>
              <w:rPr>
                <w:sz w:val="20"/>
                <w:szCs w:val="20"/>
              </w:rPr>
              <w:t>Christopher E. Herald,</w:t>
            </w:r>
          </w:p>
          <w:p w14:paraId="5ADDDF05" w14:textId="77777777" w:rsidR="00000000" w:rsidRDefault="0015578C">
            <w:pPr>
              <w:pStyle w:val="a3"/>
              <w:spacing w:before="0" w:beforeAutospacing="0" w:after="0" w:afterAutospacing="0"/>
              <w:rPr>
                <w:sz w:val="20"/>
                <w:szCs w:val="20"/>
              </w:rPr>
            </w:pPr>
            <w:r>
              <w:rPr>
                <w:sz w:val="20"/>
                <w:szCs w:val="20"/>
              </w:rPr>
              <w:t>Chief Executive Officer</w:t>
            </w:r>
          </w:p>
        </w:tc>
        <w:tc>
          <w:tcPr>
            <w:tcW w:w="0" w:type="auto"/>
            <w:vAlign w:val="center"/>
            <w:hideMark/>
          </w:tcPr>
          <w:p w14:paraId="0CC1ADAB"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7D302D58" w14:textId="77777777" w:rsidR="00000000" w:rsidRDefault="0015578C">
            <w:pPr>
              <w:pStyle w:val="a3"/>
              <w:spacing w:before="0" w:beforeAutospacing="0" w:after="0" w:afterAutospacing="0"/>
              <w:rPr>
                <w:sz w:val="20"/>
                <w:szCs w:val="20"/>
              </w:rPr>
            </w:pPr>
            <w:r>
              <w:rPr>
                <w:sz w:val="20"/>
                <w:szCs w:val="20"/>
              </w:rPr>
              <w:t>Principal Executive Officer and Director</w:t>
            </w:r>
          </w:p>
        </w:tc>
        <w:tc>
          <w:tcPr>
            <w:tcW w:w="0" w:type="auto"/>
            <w:vAlign w:val="center"/>
            <w:hideMark/>
          </w:tcPr>
          <w:p w14:paraId="3C4879F6"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437BA8E9" w14:textId="77777777" w:rsidR="00000000" w:rsidRDefault="0015578C">
            <w:pPr>
              <w:pStyle w:val="a3"/>
              <w:spacing w:before="0" w:beforeAutospacing="0" w:after="0" w:afterAutospacing="0"/>
              <w:rPr>
                <w:sz w:val="20"/>
                <w:szCs w:val="20"/>
              </w:rPr>
            </w:pPr>
            <w:r>
              <w:rPr>
                <w:sz w:val="20"/>
                <w:szCs w:val="20"/>
              </w:rPr>
              <w:t>March 15, 2023</w:t>
            </w:r>
          </w:p>
        </w:tc>
      </w:tr>
      <w:tr w:rsidR="00000000" w14:paraId="44ABA760" w14:textId="77777777">
        <w:trPr>
          <w:trHeight w:val="225"/>
          <w:tblCellSpacing w:w="15" w:type="dxa"/>
        </w:trPr>
        <w:tc>
          <w:tcPr>
            <w:tcW w:w="0" w:type="auto"/>
            <w:vAlign w:val="center"/>
            <w:hideMark/>
          </w:tcPr>
          <w:p w14:paraId="3082B04D"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0B237CA"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0131499"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70A3815"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E1632E7" w14:textId="77777777" w:rsidR="00000000" w:rsidRDefault="0015578C">
            <w:pPr>
              <w:pStyle w:val="a3"/>
              <w:spacing w:before="0" w:beforeAutospacing="0" w:after="0" w:afterAutospacing="0"/>
              <w:rPr>
                <w:sz w:val="20"/>
                <w:szCs w:val="20"/>
              </w:rPr>
            </w:pPr>
            <w:r>
              <w:rPr>
                <w:sz w:val="20"/>
                <w:szCs w:val="20"/>
              </w:rPr>
              <w:t> </w:t>
            </w:r>
          </w:p>
        </w:tc>
      </w:tr>
      <w:tr w:rsidR="00000000" w14:paraId="04E1BFDB" w14:textId="77777777">
        <w:trPr>
          <w:trHeight w:val="225"/>
          <w:tblCellSpacing w:w="15" w:type="dxa"/>
        </w:trPr>
        <w:tc>
          <w:tcPr>
            <w:tcW w:w="0" w:type="auto"/>
            <w:tcBorders>
              <w:bottom w:val="single" w:sz="6" w:space="0" w:color="000000"/>
            </w:tcBorders>
            <w:vAlign w:val="bottom"/>
            <w:hideMark/>
          </w:tcPr>
          <w:p w14:paraId="0840F774" w14:textId="77777777" w:rsidR="00000000" w:rsidRDefault="0015578C">
            <w:pPr>
              <w:pStyle w:val="a3"/>
              <w:spacing w:before="0" w:beforeAutospacing="0" w:after="0" w:afterAutospacing="0"/>
              <w:rPr>
                <w:sz w:val="20"/>
                <w:szCs w:val="20"/>
              </w:rPr>
            </w:pPr>
            <w:r>
              <w:rPr>
                <w:sz w:val="20"/>
                <w:szCs w:val="20"/>
              </w:rPr>
              <w:t>/s/ James R. Maronick</w:t>
            </w:r>
          </w:p>
        </w:tc>
        <w:tc>
          <w:tcPr>
            <w:tcW w:w="0" w:type="auto"/>
            <w:vAlign w:val="center"/>
            <w:hideMark/>
          </w:tcPr>
          <w:p w14:paraId="3F61CDF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6287399"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8E784C1"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4DCC796" w14:textId="77777777" w:rsidR="00000000" w:rsidRDefault="0015578C">
            <w:pPr>
              <w:pStyle w:val="a3"/>
              <w:spacing w:before="0" w:beforeAutospacing="0" w:after="0" w:afterAutospacing="0"/>
              <w:rPr>
                <w:sz w:val="20"/>
                <w:szCs w:val="20"/>
              </w:rPr>
            </w:pPr>
            <w:r>
              <w:rPr>
                <w:sz w:val="20"/>
                <w:szCs w:val="20"/>
              </w:rPr>
              <w:t> </w:t>
            </w:r>
          </w:p>
        </w:tc>
      </w:tr>
      <w:tr w:rsidR="00000000" w14:paraId="68B0A301" w14:textId="77777777">
        <w:trPr>
          <w:trHeight w:val="225"/>
          <w:tblCellSpacing w:w="15" w:type="dxa"/>
        </w:trPr>
        <w:tc>
          <w:tcPr>
            <w:tcW w:w="0" w:type="auto"/>
            <w:vAlign w:val="bottom"/>
            <w:hideMark/>
          </w:tcPr>
          <w:p w14:paraId="6389D96C" w14:textId="77777777" w:rsidR="00000000" w:rsidRDefault="0015578C">
            <w:pPr>
              <w:pStyle w:val="a3"/>
              <w:spacing w:before="0" w:beforeAutospacing="0" w:after="0" w:afterAutospacing="0"/>
              <w:rPr>
                <w:sz w:val="20"/>
                <w:szCs w:val="20"/>
              </w:rPr>
            </w:pPr>
            <w:r>
              <w:rPr>
                <w:sz w:val="20"/>
                <w:szCs w:val="20"/>
              </w:rPr>
              <w:t>James R. Maronick,</w:t>
            </w:r>
          </w:p>
          <w:p w14:paraId="3A66EC29" w14:textId="77777777" w:rsidR="00000000" w:rsidRDefault="0015578C">
            <w:pPr>
              <w:pStyle w:val="a3"/>
              <w:spacing w:before="0" w:beforeAutospacing="0" w:after="0" w:afterAutospacing="0"/>
              <w:rPr>
                <w:sz w:val="20"/>
                <w:szCs w:val="20"/>
              </w:rPr>
            </w:pPr>
            <w:r>
              <w:rPr>
                <w:sz w:val="20"/>
                <w:szCs w:val="20"/>
              </w:rPr>
              <w:t>Chief Financial Officer</w:t>
            </w:r>
          </w:p>
        </w:tc>
        <w:tc>
          <w:tcPr>
            <w:tcW w:w="0" w:type="auto"/>
            <w:vAlign w:val="center"/>
            <w:hideMark/>
          </w:tcPr>
          <w:p w14:paraId="197EB843"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2D6FB43D" w14:textId="77777777" w:rsidR="00000000" w:rsidRDefault="0015578C">
            <w:pPr>
              <w:pStyle w:val="a3"/>
              <w:spacing w:before="0" w:beforeAutospacing="0" w:after="0" w:afterAutospacing="0"/>
              <w:rPr>
                <w:sz w:val="20"/>
                <w:szCs w:val="20"/>
              </w:rPr>
            </w:pPr>
            <w:r>
              <w:rPr>
                <w:sz w:val="20"/>
                <w:szCs w:val="20"/>
              </w:rPr>
              <w:t>Principal Financial and Accounting Officer</w:t>
            </w:r>
          </w:p>
        </w:tc>
        <w:tc>
          <w:tcPr>
            <w:tcW w:w="0" w:type="auto"/>
            <w:vAlign w:val="center"/>
            <w:hideMark/>
          </w:tcPr>
          <w:p w14:paraId="31625018"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23A76A95" w14:textId="77777777" w:rsidR="00000000" w:rsidRDefault="0015578C">
            <w:pPr>
              <w:pStyle w:val="a3"/>
              <w:spacing w:before="0" w:beforeAutospacing="0" w:after="0" w:afterAutospacing="0"/>
              <w:rPr>
                <w:sz w:val="20"/>
                <w:szCs w:val="20"/>
              </w:rPr>
            </w:pPr>
            <w:r>
              <w:rPr>
                <w:sz w:val="20"/>
                <w:szCs w:val="20"/>
              </w:rPr>
              <w:t>March 15, 2023</w:t>
            </w:r>
          </w:p>
        </w:tc>
      </w:tr>
      <w:tr w:rsidR="00000000" w14:paraId="52DFDCD1" w14:textId="77777777">
        <w:trPr>
          <w:trHeight w:val="225"/>
          <w:tblCellSpacing w:w="15" w:type="dxa"/>
        </w:trPr>
        <w:tc>
          <w:tcPr>
            <w:tcW w:w="0" w:type="auto"/>
            <w:vAlign w:val="center"/>
            <w:hideMark/>
          </w:tcPr>
          <w:p w14:paraId="5B6A4523"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6EB3F83"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9F0385D"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FAF355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F9DC6C9" w14:textId="77777777" w:rsidR="00000000" w:rsidRDefault="0015578C">
            <w:pPr>
              <w:pStyle w:val="a3"/>
              <w:spacing w:before="0" w:beforeAutospacing="0" w:after="0" w:afterAutospacing="0"/>
              <w:rPr>
                <w:sz w:val="20"/>
                <w:szCs w:val="20"/>
              </w:rPr>
            </w:pPr>
            <w:r>
              <w:rPr>
                <w:sz w:val="20"/>
                <w:szCs w:val="20"/>
              </w:rPr>
              <w:t> </w:t>
            </w:r>
          </w:p>
        </w:tc>
      </w:tr>
      <w:tr w:rsidR="00000000" w14:paraId="05FF0F3D" w14:textId="77777777">
        <w:trPr>
          <w:trHeight w:val="225"/>
          <w:tblCellSpacing w:w="15" w:type="dxa"/>
        </w:trPr>
        <w:tc>
          <w:tcPr>
            <w:tcW w:w="0" w:type="auto"/>
            <w:tcBorders>
              <w:bottom w:val="single" w:sz="6" w:space="0" w:color="000000"/>
            </w:tcBorders>
            <w:vAlign w:val="bottom"/>
            <w:hideMark/>
          </w:tcPr>
          <w:p w14:paraId="712728EC" w14:textId="77777777" w:rsidR="00000000" w:rsidRDefault="0015578C">
            <w:pPr>
              <w:pStyle w:val="a3"/>
              <w:spacing w:before="0" w:beforeAutospacing="0" w:after="0" w:afterAutospacing="0"/>
              <w:rPr>
                <w:sz w:val="20"/>
                <w:szCs w:val="20"/>
              </w:rPr>
            </w:pPr>
            <w:r>
              <w:rPr>
                <w:sz w:val="20"/>
                <w:szCs w:val="20"/>
              </w:rPr>
              <w:t>/s/ John Labate</w:t>
            </w:r>
          </w:p>
        </w:tc>
        <w:tc>
          <w:tcPr>
            <w:tcW w:w="0" w:type="auto"/>
            <w:vAlign w:val="center"/>
            <w:hideMark/>
          </w:tcPr>
          <w:p w14:paraId="0659CE43"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E4AA2CD"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05470B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275A31A" w14:textId="77777777" w:rsidR="00000000" w:rsidRDefault="0015578C">
            <w:pPr>
              <w:pStyle w:val="a3"/>
              <w:spacing w:before="0" w:beforeAutospacing="0" w:after="0" w:afterAutospacing="0"/>
              <w:rPr>
                <w:sz w:val="20"/>
                <w:szCs w:val="20"/>
              </w:rPr>
            </w:pPr>
            <w:r>
              <w:rPr>
                <w:sz w:val="20"/>
                <w:szCs w:val="20"/>
              </w:rPr>
              <w:t> </w:t>
            </w:r>
          </w:p>
        </w:tc>
      </w:tr>
      <w:tr w:rsidR="00000000" w14:paraId="23BF58E3" w14:textId="77777777">
        <w:trPr>
          <w:trHeight w:val="225"/>
          <w:tblCellSpacing w:w="15" w:type="dxa"/>
        </w:trPr>
        <w:tc>
          <w:tcPr>
            <w:tcW w:w="0" w:type="auto"/>
            <w:vAlign w:val="bottom"/>
            <w:hideMark/>
          </w:tcPr>
          <w:p w14:paraId="24F85521" w14:textId="77777777" w:rsidR="00000000" w:rsidRDefault="0015578C">
            <w:pPr>
              <w:pStyle w:val="a3"/>
              <w:spacing w:before="0" w:beforeAutospacing="0" w:after="0" w:afterAutospacing="0"/>
              <w:rPr>
                <w:sz w:val="20"/>
                <w:szCs w:val="20"/>
              </w:rPr>
            </w:pPr>
            <w:r>
              <w:rPr>
                <w:sz w:val="20"/>
                <w:szCs w:val="20"/>
              </w:rPr>
              <w:t>John Labate</w:t>
            </w:r>
          </w:p>
        </w:tc>
        <w:tc>
          <w:tcPr>
            <w:tcW w:w="0" w:type="auto"/>
            <w:vAlign w:val="center"/>
            <w:hideMark/>
          </w:tcPr>
          <w:p w14:paraId="65E68EC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900668C"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F6AE52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2E69A6E" w14:textId="77777777" w:rsidR="00000000" w:rsidRDefault="0015578C">
            <w:pPr>
              <w:pStyle w:val="a3"/>
              <w:spacing w:before="0" w:beforeAutospacing="0" w:after="0" w:afterAutospacing="0"/>
              <w:rPr>
                <w:sz w:val="20"/>
                <w:szCs w:val="20"/>
              </w:rPr>
            </w:pPr>
            <w:r>
              <w:rPr>
                <w:sz w:val="20"/>
                <w:szCs w:val="20"/>
              </w:rPr>
              <w:t> </w:t>
            </w:r>
          </w:p>
        </w:tc>
      </w:tr>
      <w:tr w:rsidR="00000000" w14:paraId="5F200EAF" w14:textId="77777777">
        <w:trPr>
          <w:trHeight w:val="225"/>
          <w:tblCellSpacing w:w="15" w:type="dxa"/>
        </w:trPr>
        <w:tc>
          <w:tcPr>
            <w:tcW w:w="0" w:type="auto"/>
            <w:vAlign w:val="center"/>
            <w:hideMark/>
          </w:tcPr>
          <w:p w14:paraId="7EC1B7A8"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8AF94E6"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32F038E9" w14:textId="77777777" w:rsidR="00000000" w:rsidRDefault="0015578C">
            <w:pPr>
              <w:pStyle w:val="a3"/>
              <w:spacing w:before="0" w:beforeAutospacing="0" w:after="0" w:afterAutospacing="0"/>
              <w:rPr>
                <w:sz w:val="20"/>
                <w:szCs w:val="20"/>
              </w:rPr>
            </w:pPr>
            <w:r>
              <w:rPr>
                <w:sz w:val="20"/>
                <w:szCs w:val="20"/>
              </w:rPr>
              <w:t>A majority of</w:t>
            </w:r>
          </w:p>
        </w:tc>
        <w:tc>
          <w:tcPr>
            <w:tcW w:w="0" w:type="auto"/>
            <w:vAlign w:val="center"/>
            <w:hideMark/>
          </w:tcPr>
          <w:p w14:paraId="44C4181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1DBFA5A" w14:textId="77777777" w:rsidR="00000000" w:rsidRDefault="0015578C">
            <w:pPr>
              <w:pStyle w:val="a3"/>
              <w:spacing w:before="0" w:beforeAutospacing="0" w:after="0" w:afterAutospacing="0"/>
              <w:rPr>
                <w:sz w:val="20"/>
                <w:szCs w:val="20"/>
              </w:rPr>
            </w:pPr>
            <w:r>
              <w:rPr>
                <w:sz w:val="20"/>
                <w:szCs w:val="20"/>
              </w:rPr>
              <w:t> </w:t>
            </w:r>
          </w:p>
        </w:tc>
      </w:tr>
      <w:tr w:rsidR="00000000" w14:paraId="731C5869" w14:textId="77777777">
        <w:trPr>
          <w:trHeight w:val="225"/>
          <w:tblCellSpacing w:w="15" w:type="dxa"/>
        </w:trPr>
        <w:tc>
          <w:tcPr>
            <w:tcW w:w="0" w:type="auto"/>
            <w:tcBorders>
              <w:bottom w:val="single" w:sz="6" w:space="0" w:color="000000"/>
            </w:tcBorders>
            <w:vAlign w:val="bottom"/>
            <w:hideMark/>
          </w:tcPr>
          <w:p w14:paraId="6BE02E0E" w14:textId="77777777" w:rsidR="00000000" w:rsidRDefault="0015578C">
            <w:pPr>
              <w:pStyle w:val="a3"/>
              <w:spacing w:before="0" w:beforeAutospacing="0" w:after="0" w:afterAutospacing="0"/>
              <w:rPr>
                <w:sz w:val="20"/>
                <w:szCs w:val="20"/>
              </w:rPr>
            </w:pPr>
            <w:r>
              <w:rPr>
                <w:sz w:val="20"/>
                <w:szCs w:val="20"/>
              </w:rPr>
              <w:t>/s/ Brian Labadie</w:t>
            </w:r>
          </w:p>
        </w:tc>
        <w:tc>
          <w:tcPr>
            <w:tcW w:w="0" w:type="auto"/>
            <w:vAlign w:val="center"/>
            <w:hideMark/>
          </w:tcPr>
          <w:p w14:paraId="1253D12A"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348BF853" w14:textId="77777777" w:rsidR="00000000" w:rsidRDefault="0015578C">
            <w:pPr>
              <w:pStyle w:val="a3"/>
              <w:spacing w:before="0" w:beforeAutospacing="0" w:after="0" w:afterAutospacing="0"/>
              <w:rPr>
                <w:sz w:val="20"/>
                <w:szCs w:val="20"/>
              </w:rPr>
            </w:pPr>
            <w:r>
              <w:rPr>
                <w:sz w:val="20"/>
                <w:szCs w:val="20"/>
              </w:rPr>
              <w:t>the Board of</w:t>
            </w:r>
          </w:p>
        </w:tc>
        <w:tc>
          <w:tcPr>
            <w:tcW w:w="0" w:type="auto"/>
            <w:vAlign w:val="center"/>
            <w:hideMark/>
          </w:tcPr>
          <w:p w14:paraId="78C2473D"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5033ED1D" w14:textId="77777777" w:rsidR="00000000" w:rsidRDefault="0015578C">
            <w:pPr>
              <w:pStyle w:val="a3"/>
              <w:spacing w:before="0" w:beforeAutospacing="0" w:after="0" w:afterAutospacing="0"/>
              <w:rPr>
                <w:sz w:val="20"/>
                <w:szCs w:val="20"/>
              </w:rPr>
            </w:pPr>
            <w:r>
              <w:rPr>
                <w:sz w:val="20"/>
                <w:szCs w:val="20"/>
              </w:rPr>
              <w:t>March 15, 2023</w:t>
            </w:r>
          </w:p>
        </w:tc>
      </w:tr>
      <w:tr w:rsidR="00000000" w14:paraId="37CEFF7F" w14:textId="77777777">
        <w:trPr>
          <w:trHeight w:val="225"/>
          <w:tblCellSpacing w:w="15" w:type="dxa"/>
        </w:trPr>
        <w:tc>
          <w:tcPr>
            <w:tcW w:w="0" w:type="auto"/>
            <w:vAlign w:val="bottom"/>
            <w:hideMark/>
          </w:tcPr>
          <w:p w14:paraId="21789D0C" w14:textId="77777777" w:rsidR="00000000" w:rsidRDefault="0015578C">
            <w:pPr>
              <w:pStyle w:val="a3"/>
              <w:spacing w:before="0" w:beforeAutospacing="0" w:after="0" w:afterAutospacing="0"/>
              <w:rPr>
                <w:sz w:val="20"/>
                <w:szCs w:val="20"/>
              </w:rPr>
            </w:pPr>
            <w:r>
              <w:rPr>
                <w:sz w:val="20"/>
                <w:szCs w:val="20"/>
              </w:rPr>
              <w:t>Brian Labadie</w:t>
            </w:r>
          </w:p>
        </w:tc>
        <w:tc>
          <w:tcPr>
            <w:tcW w:w="0" w:type="auto"/>
            <w:vAlign w:val="center"/>
            <w:hideMark/>
          </w:tcPr>
          <w:p w14:paraId="2B2D943A"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0E9C37C3" w14:textId="77777777" w:rsidR="00000000" w:rsidRDefault="0015578C">
            <w:pPr>
              <w:pStyle w:val="a3"/>
              <w:spacing w:before="0" w:beforeAutospacing="0" w:after="0" w:afterAutospacing="0"/>
              <w:rPr>
                <w:sz w:val="20"/>
                <w:szCs w:val="20"/>
              </w:rPr>
            </w:pPr>
            <w:r>
              <w:rPr>
                <w:sz w:val="20"/>
                <w:szCs w:val="20"/>
              </w:rPr>
              <w:t>Directors</w:t>
            </w:r>
          </w:p>
        </w:tc>
        <w:tc>
          <w:tcPr>
            <w:tcW w:w="0" w:type="auto"/>
            <w:vAlign w:val="center"/>
            <w:hideMark/>
          </w:tcPr>
          <w:p w14:paraId="1A13DA48"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6A9B69B" w14:textId="77777777" w:rsidR="00000000" w:rsidRDefault="0015578C">
            <w:pPr>
              <w:pStyle w:val="a3"/>
              <w:spacing w:before="0" w:beforeAutospacing="0" w:after="0" w:afterAutospacing="0"/>
              <w:rPr>
                <w:sz w:val="20"/>
                <w:szCs w:val="20"/>
              </w:rPr>
            </w:pPr>
            <w:r>
              <w:rPr>
                <w:sz w:val="20"/>
                <w:szCs w:val="20"/>
              </w:rPr>
              <w:t> </w:t>
            </w:r>
          </w:p>
        </w:tc>
      </w:tr>
      <w:tr w:rsidR="00000000" w14:paraId="4AC065B1" w14:textId="77777777">
        <w:trPr>
          <w:trHeight w:val="225"/>
          <w:tblCellSpacing w:w="15" w:type="dxa"/>
        </w:trPr>
        <w:tc>
          <w:tcPr>
            <w:tcW w:w="0" w:type="auto"/>
            <w:vAlign w:val="center"/>
            <w:hideMark/>
          </w:tcPr>
          <w:p w14:paraId="1B2C84E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5F35CA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4351D46"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4B0D44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ECC9D6E" w14:textId="77777777" w:rsidR="00000000" w:rsidRDefault="0015578C">
            <w:pPr>
              <w:pStyle w:val="a3"/>
              <w:spacing w:before="0" w:beforeAutospacing="0" w:after="0" w:afterAutospacing="0"/>
              <w:rPr>
                <w:sz w:val="20"/>
                <w:szCs w:val="20"/>
              </w:rPr>
            </w:pPr>
            <w:r>
              <w:rPr>
                <w:sz w:val="20"/>
                <w:szCs w:val="20"/>
              </w:rPr>
              <w:t> </w:t>
            </w:r>
          </w:p>
        </w:tc>
      </w:tr>
      <w:tr w:rsidR="00000000" w14:paraId="1D98E87A" w14:textId="77777777">
        <w:trPr>
          <w:trHeight w:val="225"/>
          <w:tblCellSpacing w:w="15" w:type="dxa"/>
        </w:trPr>
        <w:tc>
          <w:tcPr>
            <w:tcW w:w="0" w:type="auto"/>
            <w:tcBorders>
              <w:bottom w:val="single" w:sz="6" w:space="0" w:color="000000"/>
            </w:tcBorders>
            <w:vAlign w:val="bottom"/>
            <w:hideMark/>
          </w:tcPr>
          <w:p w14:paraId="520A243F" w14:textId="77777777" w:rsidR="00000000" w:rsidRDefault="0015578C">
            <w:pPr>
              <w:pStyle w:val="a3"/>
              <w:spacing w:before="0" w:beforeAutospacing="0" w:after="0" w:afterAutospacing="0"/>
              <w:rPr>
                <w:sz w:val="20"/>
                <w:szCs w:val="20"/>
              </w:rPr>
            </w:pPr>
            <w:r>
              <w:rPr>
                <w:sz w:val="20"/>
                <w:szCs w:val="20"/>
              </w:rPr>
              <w:t>/s/ James Hesketh</w:t>
            </w:r>
          </w:p>
        </w:tc>
        <w:tc>
          <w:tcPr>
            <w:tcW w:w="0" w:type="auto"/>
            <w:vAlign w:val="center"/>
            <w:hideMark/>
          </w:tcPr>
          <w:p w14:paraId="6A1D62C5"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4631043"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7739502"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828502E" w14:textId="77777777" w:rsidR="00000000" w:rsidRDefault="0015578C">
            <w:pPr>
              <w:pStyle w:val="a3"/>
              <w:spacing w:before="0" w:beforeAutospacing="0" w:after="0" w:afterAutospacing="0"/>
              <w:rPr>
                <w:sz w:val="20"/>
                <w:szCs w:val="20"/>
              </w:rPr>
            </w:pPr>
            <w:r>
              <w:rPr>
                <w:sz w:val="20"/>
                <w:szCs w:val="20"/>
              </w:rPr>
              <w:t> </w:t>
            </w:r>
          </w:p>
        </w:tc>
      </w:tr>
      <w:tr w:rsidR="00000000" w14:paraId="3CDE7975" w14:textId="77777777">
        <w:trPr>
          <w:trHeight w:val="225"/>
          <w:tblCellSpacing w:w="15" w:type="dxa"/>
        </w:trPr>
        <w:tc>
          <w:tcPr>
            <w:tcW w:w="0" w:type="auto"/>
            <w:vAlign w:val="bottom"/>
            <w:hideMark/>
          </w:tcPr>
          <w:p w14:paraId="0E1B5C27" w14:textId="77777777" w:rsidR="00000000" w:rsidRDefault="0015578C">
            <w:pPr>
              <w:pStyle w:val="a3"/>
              <w:spacing w:before="0" w:beforeAutospacing="0" w:after="0" w:afterAutospacing="0"/>
              <w:rPr>
                <w:sz w:val="20"/>
                <w:szCs w:val="20"/>
              </w:rPr>
            </w:pPr>
            <w:r>
              <w:rPr>
                <w:sz w:val="20"/>
                <w:szCs w:val="20"/>
              </w:rPr>
              <w:t>James Hesketh</w:t>
            </w:r>
          </w:p>
        </w:tc>
        <w:tc>
          <w:tcPr>
            <w:tcW w:w="0" w:type="auto"/>
            <w:vAlign w:val="center"/>
            <w:hideMark/>
          </w:tcPr>
          <w:p w14:paraId="4AAAF0C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AE2D28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AB2C07D"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68F272C" w14:textId="77777777" w:rsidR="00000000" w:rsidRDefault="0015578C">
            <w:pPr>
              <w:pStyle w:val="a3"/>
              <w:spacing w:before="0" w:beforeAutospacing="0" w:after="0" w:afterAutospacing="0"/>
              <w:rPr>
                <w:sz w:val="20"/>
                <w:szCs w:val="20"/>
              </w:rPr>
            </w:pPr>
            <w:r>
              <w:rPr>
                <w:sz w:val="20"/>
                <w:szCs w:val="20"/>
              </w:rPr>
              <w:t> </w:t>
            </w:r>
          </w:p>
        </w:tc>
      </w:tr>
      <w:tr w:rsidR="00000000" w14:paraId="2C589707" w14:textId="77777777">
        <w:trPr>
          <w:trHeight w:val="225"/>
          <w:tblCellSpacing w:w="15" w:type="dxa"/>
        </w:trPr>
        <w:tc>
          <w:tcPr>
            <w:tcW w:w="0" w:type="auto"/>
            <w:vAlign w:val="center"/>
            <w:hideMark/>
          </w:tcPr>
          <w:p w14:paraId="3DE6595E"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8FF3926"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2404405"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67E25CA"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07CBC81" w14:textId="77777777" w:rsidR="00000000" w:rsidRDefault="0015578C">
            <w:pPr>
              <w:pStyle w:val="a3"/>
              <w:spacing w:before="0" w:beforeAutospacing="0" w:after="0" w:afterAutospacing="0"/>
              <w:rPr>
                <w:sz w:val="20"/>
                <w:szCs w:val="20"/>
              </w:rPr>
            </w:pPr>
            <w:r>
              <w:rPr>
                <w:sz w:val="20"/>
                <w:szCs w:val="20"/>
              </w:rPr>
              <w:t> </w:t>
            </w:r>
          </w:p>
        </w:tc>
      </w:tr>
      <w:tr w:rsidR="00000000" w14:paraId="5050FE35" w14:textId="77777777">
        <w:trPr>
          <w:trHeight w:val="225"/>
          <w:tblCellSpacing w:w="15" w:type="dxa"/>
        </w:trPr>
        <w:tc>
          <w:tcPr>
            <w:tcW w:w="0" w:type="auto"/>
            <w:tcBorders>
              <w:bottom w:val="single" w:sz="6" w:space="0" w:color="000000"/>
            </w:tcBorders>
            <w:vAlign w:val="bottom"/>
            <w:hideMark/>
          </w:tcPr>
          <w:p w14:paraId="5DA6AC2D" w14:textId="77777777" w:rsidR="00000000" w:rsidRDefault="0015578C">
            <w:pPr>
              <w:pStyle w:val="a3"/>
              <w:spacing w:before="0" w:beforeAutospacing="0" w:after="0" w:afterAutospacing="0"/>
              <w:rPr>
                <w:sz w:val="20"/>
                <w:szCs w:val="20"/>
              </w:rPr>
            </w:pPr>
            <w:r>
              <w:rPr>
                <w:sz w:val="20"/>
                <w:szCs w:val="20"/>
              </w:rPr>
              <w:t>/s/ Gil Atzmon</w:t>
            </w:r>
          </w:p>
        </w:tc>
        <w:tc>
          <w:tcPr>
            <w:tcW w:w="0" w:type="auto"/>
            <w:vAlign w:val="center"/>
            <w:hideMark/>
          </w:tcPr>
          <w:p w14:paraId="5E2822D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4CEADC3"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7ECE922"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6B88847" w14:textId="77777777" w:rsidR="00000000" w:rsidRDefault="0015578C">
            <w:pPr>
              <w:pStyle w:val="a3"/>
              <w:spacing w:before="0" w:beforeAutospacing="0" w:after="0" w:afterAutospacing="0"/>
              <w:rPr>
                <w:sz w:val="20"/>
                <w:szCs w:val="20"/>
              </w:rPr>
            </w:pPr>
            <w:r>
              <w:rPr>
                <w:sz w:val="20"/>
                <w:szCs w:val="20"/>
              </w:rPr>
              <w:t> </w:t>
            </w:r>
          </w:p>
        </w:tc>
      </w:tr>
      <w:tr w:rsidR="00000000" w14:paraId="560D47E0" w14:textId="77777777">
        <w:trPr>
          <w:trHeight w:val="225"/>
          <w:tblCellSpacing w:w="15" w:type="dxa"/>
        </w:trPr>
        <w:tc>
          <w:tcPr>
            <w:tcW w:w="0" w:type="auto"/>
            <w:vAlign w:val="center"/>
            <w:hideMark/>
          </w:tcPr>
          <w:p w14:paraId="4E351F1B" w14:textId="77777777" w:rsidR="00000000" w:rsidRDefault="0015578C">
            <w:pPr>
              <w:pStyle w:val="a3"/>
              <w:spacing w:before="0" w:beforeAutospacing="0" w:after="0" w:afterAutospacing="0"/>
              <w:rPr>
                <w:sz w:val="20"/>
                <w:szCs w:val="20"/>
              </w:rPr>
            </w:pPr>
            <w:r>
              <w:rPr>
                <w:sz w:val="20"/>
                <w:szCs w:val="20"/>
              </w:rPr>
              <w:t>Gil Atzmon</w:t>
            </w:r>
          </w:p>
        </w:tc>
        <w:tc>
          <w:tcPr>
            <w:tcW w:w="0" w:type="auto"/>
            <w:vAlign w:val="center"/>
            <w:hideMark/>
          </w:tcPr>
          <w:p w14:paraId="66F71F3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1750A46"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217E6FC"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1A053D4C" w14:textId="77777777" w:rsidR="00000000" w:rsidRDefault="0015578C">
            <w:pPr>
              <w:pStyle w:val="a3"/>
              <w:spacing w:before="0" w:beforeAutospacing="0" w:after="0" w:afterAutospacing="0"/>
              <w:rPr>
                <w:sz w:val="20"/>
                <w:szCs w:val="20"/>
              </w:rPr>
            </w:pPr>
            <w:r>
              <w:rPr>
                <w:sz w:val="20"/>
                <w:szCs w:val="20"/>
              </w:rPr>
              <w:t> </w:t>
            </w:r>
          </w:p>
        </w:tc>
      </w:tr>
      <w:tr w:rsidR="00000000" w14:paraId="2B0C3A76" w14:textId="77777777">
        <w:trPr>
          <w:trHeight w:val="225"/>
          <w:tblCellSpacing w:w="15" w:type="dxa"/>
        </w:trPr>
        <w:tc>
          <w:tcPr>
            <w:tcW w:w="0" w:type="auto"/>
            <w:vAlign w:val="center"/>
            <w:hideMark/>
          </w:tcPr>
          <w:p w14:paraId="568B503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99120C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FA3411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505F90A"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12F9FA4" w14:textId="77777777" w:rsidR="00000000" w:rsidRDefault="0015578C">
            <w:pPr>
              <w:pStyle w:val="a3"/>
              <w:spacing w:before="0" w:beforeAutospacing="0" w:after="0" w:afterAutospacing="0"/>
              <w:rPr>
                <w:sz w:val="20"/>
                <w:szCs w:val="20"/>
              </w:rPr>
            </w:pPr>
            <w:r>
              <w:rPr>
                <w:sz w:val="20"/>
                <w:szCs w:val="20"/>
              </w:rPr>
              <w:t> </w:t>
            </w:r>
          </w:p>
        </w:tc>
      </w:tr>
      <w:tr w:rsidR="00000000" w14:paraId="1FCE4765" w14:textId="77777777">
        <w:trPr>
          <w:trHeight w:val="225"/>
          <w:tblCellSpacing w:w="15" w:type="dxa"/>
        </w:trPr>
        <w:tc>
          <w:tcPr>
            <w:tcW w:w="0" w:type="auto"/>
            <w:tcBorders>
              <w:bottom w:val="single" w:sz="6" w:space="0" w:color="000000"/>
            </w:tcBorders>
            <w:vAlign w:val="center"/>
            <w:hideMark/>
          </w:tcPr>
          <w:p w14:paraId="0F2B7937" w14:textId="77777777" w:rsidR="00000000" w:rsidRDefault="0015578C">
            <w:pPr>
              <w:pStyle w:val="a3"/>
              <w:spacing w:before="0" w:beforeAutospacing="0" w:after="0" w:afterAutospacing="0"/>
              <w:rPr>
                <w:sz w:val="20"/>
                <w:szCs w:val="20"/>
              </w:rPr>
            </w:pPr>
            <w:r>
              <w:rPr>
                <w:sz w:val="20"/>
                <w:szCs w:val="20"/>
              </w:rPr>
              <w:t>/s/ Debbie Austin</w:t>
            </w:r>
          </w:p>
        </w:tc>
        <w:tc>
          <w:tcPr>
            <w:tcW w:w="0" w:type="auto"/>
            <w:vAlign w:val="center"/>
            <w:hideMark/>
          </w:tcPr>
          <w:p w14:paraId="11D5FD3D"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960C0DC"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FD39E7F"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24746187" w14:textId="77777777" w:rsidR="00000000" w:rsidRDefault="0015578C">
            <w:pPr>
              <w:pStyle w:val="a3"/>
              <w:spacing w:before="0" w:beforeAutospacing="0" w:after="0" w:afterAutospacing="0"/>
              <w:rPr>
                <w:sz w:val="20"/>
                <w:szCs w:val="20"/>
              </w:rPr>
            </w:pPr>
            <w:r>
              <w:rPr>
                <w:sz w:val="20"/>
                <w:szCs w:val="20"/>
              </w:rPr>
              <w:t> </w:t>
            </w:r>
          </w:p>
        </w:tc>
      </w:tr>
      <w:tr w:rsidR="00000000" w14:paraId="3C947190" w14:textId="77777777">
        <w:trPr>
          <w:trHeight w:val="225"/>
          <w:tblCellSpacing w:w="15" w:type="dxa"/>
        </w:trPr>
        <w:tc>
          <w:tcPr>
            <w:tcW w:w="0" w:type="auto"/>
            <w:vAlign w:val="center"/>
            <w:hideMark/>
          </w:tcPr>
          <w:p w14:paraId="4795AEE1" w14:textId="77777777" w:rsidR="00000000" w:rsidRDefault="0015578C">
            <w:pPr>
              <w:pStyle w:val="a3"/>
              <w:spacing w:before="0" w:beforeAutospacing="0" w:after="0" w:afterAutospacing="0"/>
              <w:rPr>
                <w:sz w:val="20"/>
                <w:szCs w:val="20"/>
              </w:rPr>
            </w:pPr>
            <w:r>
              <w:rPr>
                <w:sz w:val="20"/>
                <w:szCs w:val="20"/>
              </w:rPr>
              <w:t>Debbie Austin</w:t>
            </w:r>
          </w:p>
        </w:tc>
        <w:tc>
          <w:tcPr>
            <w:tcW w:w="0" w:type="auto"/>
            <w:vAlign w:val="center"/>
            <w:hideMark/>
          </w:tcPr>
          <w:p w14:paraId="5462C8A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CB788A0"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8014E8C"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52F2468" w14:textId="77777777" w:rsidR="00000000" w:rsidRDefault="0015578C">
            <w:pPr>
              <w:pStyle w:val="a3"/>
              <w:spacing w:before="0" w:beforeAutospacing="0" w:after="0" w:afterAutospacing="0"/>
              <w:rPr>
                <w:sz w:val="20"/>
                <w:szCs w:val="20"/>
              </w:rPr>
            </w:pPr>
            <w:r>
              <w:rPr>
                <w:sz w:val="20"/>
                <w:szCs w:val="20"/>
              </w:rPr>
              <w:t> </w:t>
            </w:r>
          </w:p>
        </w:tc>
      </w:tr>
      <w:tr w:rsidR="00000000" w14:paraId="78572D8C" w14:textId="77777777">
        <w:trPr>
          <w:trHeight w:val="225"/>
          <w:tblCellSpacing w:w="15" w:type="dxa"/>
        </w:trPr>
        <w:tc>
          <w:tcPr>
            <w:tcW w:w="0" w:type="auto"/>
            <w:vAlign w:val="center"/>
            <w:hideMark/>
          </w:tcPr>
          <w:p w14:paraId="25D57B9A"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9F39811"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11D84D6"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447DFC9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304F96C1" w14:textId="77777777" w:rsidR="00000000" w:rsidRDefault="0015578C">
            <w:pPr>
              <w:pStyle w:val="a3"/>
              <w:spacing w:before="0" w:beforeAutospacing="0" w:after="0" w:afterAutospacing="0"/>
              <w:rPr>
                <w:sz w:val="20"/>
                <w:szCs w:val="20"/>
              </w:rPr>
            </w:pPr>
            <w:r>
              <w:rPr>
                <w:sz w:val="20"/>
                <w:szCs w:val="20"/>
              </w:rPr>
              <w:t> </w:t>
            </w:r>
          </w:p>
        </w:tc>
      </w:tr>
      <w:tr w:rsidR="00000000" w14:paraId="56BA3421" w14:textId="77777777">
        <w:trPr>
          <w:trHeight w:val="225"/>
          <w:tblCellSpacing w:w="15" w:type="dxa"/>
        </w:trPr>
        <w:tc>
          <w:tcPr>
            <w:tcW w:w="0" w:type="auto"/>
            <w:tcBorders>
              <w:bottom w:val="single" w:sz="6" w:space="0" w:color="000000"/>
            </w:tcBorders>
            <w:vAlign w:val="center"/>
            <w:hideMark/>
          </w:tcPr>
          <w:p w14:paraId="437B3FFB" w14:textId="77777777" w:rsidR="00000000" w:rsidRDefault="0015578C">
            <w:pPr>
              <w:pStyle w:val="a3"/>
              <w:spacing w:before="0" w:beforeAutospacing="0" w:after="0" w:afterAutospacing="0"/>
              <w:rPr>
                <w:sz w:val="20"/>
                <w:szCs w:val="20"/>
              </w:rPr>
            </w:pPr>
            <w:r>
              <w:rPr>
                <w:sz w:val="20"/>
                <w:szCs w:val="20"/>
              </w:rPr>
              <w:t>/s/ Joshua D. Crumb</w:t>
            </w:r>
          </w:p>
        </w:tc>
        <w:tc>
          <w:tcPr>
            <w:tcW w:w="0" w:type="auto"/>
            <w:vAlign w:val="center"/>
            <w:hideMark/>
          </w:tcPr>
          <w:p w14:paraId="6A525E3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4F5629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4D4D377"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73C13925" w14:textId="77777777" w:rsidR="00000000" w:rsidRDefault="0015578C">
            <w:pPr>
              <w:pStyle w:val="a3"/>
              <w:spacing w:before="0" w:beforeAutospacing="0" w:after="0" w:afterAutospacing="0"/>
              <w:rPr>
                <w:sz w:val="20"/>
                <w:szCs w:val="20"/>
              </w:rPr>
            </w:pPr>
            <w:r>
              <w:rPr>
                <w:sz w:val="20"/>
                <w:szCs w:val="20"/>
              </w:rPr>
              <w:t> </w:t>
            </w:r>
          </w:p>
        </w:tc>
      </w:tr>
      <w:tr w:rsidR="00000000" w14:paraId="2DFF7875" w14:textId="77777777">
        <w:trPr>
          <w:trHeight w:val="225"/>
          <w:tblCellSpacing w:w="15" w:type="dxa"/>
        </w:trPr>
        <w:tc>
          <w:tcPr>
            <w:tcW w:w="0" w:type="auto"/>
            <w:vAlign w:val="center"/>
            <w:hideMark/>
          </w:tcPr>
          <w:p w14:paraId="406EC136" w14:textId="77777777" w:rsidR="00000000" w:rsidRDefault="0015578C">
            <w:pPr>
              <w:pStyle w:val="a3"/>
              <w:spacing w:before="0" w:beforeAutospacing="0" w:after="0" w:afterAutospacing="0"/>
              <w:rPr>
                <w:sz w:val="20"/>
                <w:szCs w:val="20"/>
              </w:rPr>
            </w:pPr>
            <w:r>
              <w:rPr>
                <w:sz w:val="20"/>
                <w:szCs w:val="20"/>
              </w:rPr>
              <w:t>Joshua D. Crumb</w:t>
            </w:r>
          </w:p>
        </w:tc>
        <w:tc>
          <w:tcPr>
            <w:tcW w:w="0" w:type="auto"/>
            <w:vAlign w:val="center"/>
            <w:hideMark/>
          </w:tcPr>
          <w:p w14:paraId="73F70BAE"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78814F5"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6A98F9DB"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09B63442" w14:textId="77777777" w:rsidR="00000000" w:rsidRDefault="0015578C">
            <w:pPr>
              <w:pStyle w:val="a3"/>
              <w:spacing w:before="0" w:beforeAutospacing="0" w:after="0" w:afterAutospacing="0"/>
              <w:rPr>
                <w:sz w:val="20"/>
                <w:szCs w:val="20"/>
              </w:rPr>
            </w:pPr>
            <w:r>
              <w:rPr>
                <w:sz w:val="20"/>
                <w:szCs w:val="20"/>
              </w:rPr>
              <w:t> </w:t>
            </w:r>
          </w:p>
        </w:tc>
      </w:tr>
    </w:tbl>
    <w:p w14:paraId="3CBCE7FC"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334"/>
        <w:gridCol w:w="2873"/>
        <w:gridCol w:w="5099"/>
      </w:tblGrid>
      <w:tr w:rsidR="00000000" w14:paraId="1E67FB24" w14:textId="77777777">
        <w:trPr>
          <w:trHeight w:val="225"/>
          <w:tblCellSpacing w:w="15" w:type="dxa"/>
        </w:trPr>
        <w:tc>
          <w:tcPr>
            <w:tcW w:w="150" w:type="pct"/>
            <w:vAlign w:val="center"/>
            <w:hideMark/>
          </w:tcPr>
          <w:p w14:paraId="361C9354" w14:textId="77777777" w:rsidR="00000000" w:rsidRDefault="0015578C">
            <w:pPr>
              <w:pStyle w:val="a3"/>
              <w:spacing w:before="0" w:beforeAutospacing="0" w:after="0" w:afterAutospacing="0"/>
              <w:rPr>
                <w:sz w:val="20"/>
                <w:szCs w:val="20"/>
              </w:rPr>
            </w:pPr>
            <w:r>
              <w:rPr>
                <w:sz w:val="20"/>
                <w:szCs w:val="20"/>
              </w:rPr>
              <w:t xml:space="preserve">By: </w:t>
            </w:r>
          </w:p>
        </w:tc>
        <w:tc>
          <w:tcPr>
            <w:tcW w:w="1750" w:type="pct"/>
            <w:tcBorders>
              <w:bottom w:val="single" w:sz="6" w:space="0" w:color="000000"/>
            </w:tcBorders>
            <w:vAlign w:val="bottom"/>
            <w:hideMark/>
          </w:tcPr>
          <w:p w14:paraId="014CBCC2" w14:textId="77777777" w:rsidR="00000000" w:rsidRDefault="0015578C">
            <w:pPr>
              <w:pStyle w:val="a3"/>
              <w:spacing w:before="0" w:beforeAutospacing="0" w:after="0" w:afterAutospacing="0"/>
              <w:rPr>
                <w:sz w:val="20"/>
                <w:szCs w:val="20"/>
              </w:rPr>
            </w:pPr>
            <w:r>
              <w:rPr>
                <w:sz w:val="20"/>
                <w:szCs w:val="20"/>
              </w:rPr>
              <w:t>/s/ James R. Maronick</w:t>
            </w:r>
          </w:p>
        </w:tc>
        <w:tc>
          <w:tcPr>
            <w:tcW w:w="0" w:type="auto"/>
            <w:vAlign w:val="center"/>
            <w:hideMark/>
          </w:tcPr>
          <w:p w14:paraId="77F21DA3" w14:textId="77777777" w:rsidR="00000000" w:rsidRDefault="0015578C">
            <w:pPr>
              <w:pStyle w:val="a3"/>
              <w:spacing w:before="0" w:beforeAutospacing="0" w:after="0" w:afterAutospacing="0"/>
              <w:rPr>
                <w:sz w:val="20"/>
                <w:szCs w:val="20"/>
              </w:rPr>
            </w:pPr>
            <w:r>
              <w:rPr>
                <w:sz w:val="20"/>
                <w:szCs w:val="20"/>
              </w:rPr>
              <w:t> </w:t>
            </w:r>
          </w:p>
        </w:tc>
      </w:tr>
      <w:tr w:rsidR="00000000" w14:paraId="5237AFFE" w14:textId="77777777">
        <w:trPr>
          <w:trHeight w:val="225"/>
          <w:tblCellSpacing w:w="15" w:type="dxa"/>
        </w:trPr>
        <w:tc>
          <w:tcPr>
            <w:tcW w:w="0" w:type="auto"/>
            <w:vAlign w:val="center"/>
            <w:hideMark/>
          </w:tcPr>
          <w:p w14:paraId="161A5BF0" w14:textId="77777777" w:rsidR="00000000" w:rsidRDefault="0015578C">
            <w:pPr>
              <w:pStyle w:val="a3"/>
              <w:spacing w:before="0" w:beforeAutospacing="0" w:after="0" w:afterAutospacing="0"/>
              <w:rPr>
                <w:sz w:val="20"/>
                <w:szCs w:val="20"/>
              </w:rPr>
            </w:pPr>
            <w:r>
              <w:rPr>
                <w:sz w:val="20"/>
                <w:szCs w:val="20"/>
              </w:rPr>
              <w:t> </w:t>
            </w:r>
          </w:p>
        </w:tc>
        <w:tc>
          <w:tcPr>
            <w:tcW w:w="0" w:type="auto"/>
            <w:vAlign w:val="bottom"/>
            <w:hideMark/>
          </w:tcPr>
          <w:p w14:paraId="0C45C116" w14:textId="77777777" w:rsidR="00000000" w:rsidRDefault="0015578C">
            <w:pPr>
              <w:pStyle w:val="a3"/>
              <w:spacing w:before="0" w:beforeAutospacing="0" w:after="0" w:afterAutospacing="0"/>
              <w:rPr>
                <w:sz w:val="20"/>
                <w:szCs w:val="20"/>
              </w:rPr>
            </w:pPr>
            <w:r>
              <w:rPr>
                <w:sz w:val="20"/>
                <w:szCs w:val="20"/>
              </w:rPr>
              <w:t>James R. Maronick,</w:t>
            </w:r>
          </w:p>
          <w:p w14:paraId="6B0D13A0" w14:textId="77777777" w:rsidR="00000000" w:rsidRDefault="0015578C">
            <w:pPr>
              <w:pStyle w:val="a3"/>
              <w:spacing w:before="0" w:beforeAutospacing="0" w:after="0" w:afterAutospacing="0"/>
              <w:rPr>
                <w:sz w:val="20"/>
                <w:szCs w:val="20"/>
              </w:rPr>
            </w:pPr>
            <w:r>
              <w:rPr>
                <w:sz w:val="20"/>
                <w:szCs w:val="20"/>
              </w:rPr>
              <w:t>Attorney-in-fact</w:t>
            </w:r>
          </w:p>
        </w:tc>
        <w:tc>
          <w:tcPr>
            <w:tcW w:w="0" w:type="auto"/>
            <w:vAlign w:val="center"/>
            <w:hideMark/>
          </w:tcPr>
          <w:p w14:paraId="6FB6C886" w14:textId="77777777" w:rsidR="00000000" w:rsidRDefault="0015578C">
            <w:pPr>
              <w:pStyle w:val="a3"/>
              <w:spacing w:before="0" w:beforeAutospacing="0" w:after="0" w:afterAutospacing="0"/>
              <w:rPr>
                <w:sz w:val="20"/>
                <w:szCs w:val="20"/>
              </w:rPr>
            </w:pPr>
            <w:r>
              <w:rPr>
                <w:sz w:val="20"/>
                <w:szCs w:val="20"/>
              </w:rPr>
              <w:t> </w:t>
            </w:r>
          </w:p>
        </w:tc>
      </w:tr>
    </w:tbl>
    <w:p w14:paraId="3D679218" w14:textId="77777777" w:rsidR="00000000" w:rsidRDefault="0015578C">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7A1B0307" w14:textId="77777777">
        <w:trPr>
          <w:trHeight w:val="225"/>
          <w:tblCellSpacing w:w="15" w:type="dxa"/>
        </w:trPr>
        <w:tc>
          <w:tcPr>
            <w:tcW w:w="0" w:type="auto"/>
            <w:vAlign w:val="center"/>
            <w:hideMark/>
          </w:tcPr>
          <w:p w14:paraId="495C6EFF" w14:textId="77777777" w:rsidR="00000000" w:rsidRDefault="0015578C">
            <w:pPr>
              <w:rPr>
                <w:rFonts w:eastAsia="Times New Roman"/>
                <w:sz w:val="20"/>
                <w:szCs w:val="20"/>
              </w:rPr>
            </w:pPr>
            <w:r>
              <w:rPr>
                <w:rFonts w:eastAsia="Times New Roman"/>
                <w:sz w:val="20"/>
                <w:szCs w:val="20"/>
              </w:rPr>
              <w:t> </w:t>
            </w:r>
          </w:p>
        </w:tc>
      </w:tr>
      <w:tr w:rsidR="00000000" w14:paraId="0F33ADB2" w14:textId="77777777">
        <w:trPr>
          <w:trHeight w:val="225"/>
          <w:tblCellSpacing w:w="15" w:type="dxa"/>
        </w:trPr>
        <w:tc>
          <w:tcPr>
            <w:tcW w:w="0" w:type="auto"/>
            <w:tcBorders>
              <w:bottom w:val="single" w:sz="6" w:space="0" w:color="000000"/>
            </w:tcBorders>
            <w:vAlign w:val="center"/>
            <w:hideMark/>
          </w:tcPr>
          <w:p w14:paraId="79500DF0" w14:textId="77777777" w:rsidR="00000000" w:rsidRDefault="0015578C">
            <w:pPr>
              <w:jc w:val="center"/>
              <w:rPr>
                <w:rFonts w:eastAsia="Times New Roman"/>
                <w:sz w:val="20"/>
                <w:szCs w:val="20"/>
              </w:rPr>
            </w:pPr>
            <w:r>
              <w:rPr>
                <w:rFonts w:eastAsia="Times New Roman"/>
                <w:sz w:val="20"/>
                <w:szCs w:val="20"/>
              </w:rPr>
              <w:t>50</w:t>
            </w:r>
          </w:p>
        </w:tc>
      </w:tr>
      <w:tr w:rsidR="00000000" w14:paraId="7B5BDB31" w14:textId="77777777">
        <w:trPr>
          <w:trHeight w:val="225"/>
          <w:tblCellSpacing w:w="15" w:type="dxa"/>
        </w:trPr>
        <w:tc>
          <w:tcPr>
            <w:tcW w:w="0" w:type="auto"/>
            <w:vAlign w:val="center"/>
            <w:hideMark/>
          </w:tcPr>
          <w:p w14:paraId="4C9B42BB" w14:textId="77777777" w:rsidR="00000000" w:rsidRDefault="0015578C">
            <w:pPr>
              <w:rPr>
                <w:rFonts w:eastAsia="Times New Roman"/>
                <w:sz w:val="20"/>
                <w:szCs w:val="20"/>
              </w:rPr>
            </w:pPr>
          </w:p>
        </w:tc>
      </w:tr>
      <w:tr w:rsidR="00000000" w14:paraId="08AD9356" w14:textId="77777777">
        <w:trPr>
          <w:trHeight w:val="225"/>
          <w:tblCellSpacing w:w="15" w:type="dxa"/>
        </w:trPr>
        <w:tc>
          <w:tcPr>
            <w:tcW w:w="0" w:type="auto"/>
            <w:vAlign w:val="center"/>
            <w:hideMark/>
          </w:tcPr>
          <w:p w14:paraId="0DF4F026" w14:textId="77777777" w:rsidR="00000000" w:rsidRDefault="0015578C">
            <w:pPr>
              <w:rPr>
                <w:rFonts w:eastAsia="Times New Roman"/>
                <w:sz w:val="20"/>
                <w:szCs w:val="20"/>
              </w:rPr>
            </w:pPr>
            <w:hyperlink w:anchor="toc1" w:history="1">
              <w:r>
                <w:rPr>
                  <w:rStyle w:val="a5"/>
                  <w:rFonts w:eastAsia="Times New Roman"/>
                  <w:i/>
                  <w:iCs/>
                  <w:sz w:val="20"/>
                  <w:szCs w:val="20"/>
                </w:rPr>
                <w:t>Table of Contents</w:t>
              </w:r>
            </w:hyperlink>
          </w:p>
        </w:tc>
      </w:tr>
    </w:tbl>
    <w:p w14:paraId="05FA0032" w14:textId="77777777" w:rsidR="00000000" w:rsidRDefault="0015578C">
      <w:pPr>
        <w:pStyle w:val="a3"/>
        <w:spacing w:before="0" w:beforeAutospacing="0" w:after="0" w:afterAutospacing="0"/>
        <w:jc w:val="both"/>
        <w:rPr>
          <w:sz w:val="20"/>
          <w:szCs w:val="20"/>
        </w:rPr>
      </w:pPr>
      <w:r>
        <w:rPr>
          <w:sz w:val="20"/>
          <w:szCs w:val="20"/>
        </w:rPr>
        <w:t> </w:t>
      </w:r>
    </w:p>
    <w:p w14:paraId="62E6293F" w14:textId="77777777" w:rsidR="00000000" w:rsidRDefault="0015578C">
      <w:pPr>
        <w:pStyle w:val="a3"/>
        <w:spacing w:before="0" w:beforeAutospacing="0" w:after="0" w:afterAutospacing="0"/>
        <w:jc w:val="center"/>
        <w:rPr>
          <w:sz w:val="20"/>
          <w:szCs w:val="20"/>
        </w:rPr>
      </w:pPr>
      <w:r>
        <w:rPr>
          <w:sz w:val="20"/>
          <w:szCs w:val="20"/>
          <w:u w:val="single"/>
        </w:rPr>
        <w:t xml:space="preserve">INDEX TO EXHIBITS </w:t>
      </w:r>
    </w:p>
    <w:p w14:paraId="32C940BC"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93"/>
        <w:gridCol w:w="111"/>
        <w:gridCol w:w="6945"/>
        <w:gridCol w:w="462"/>
        <w:gridCol w:w="30"/>
        <w:gridCol w:w="65"/>
      </w:tblGrid>
      <w:tr w:rsidR="00000000" w14:paraId="2DA71450" w14:textId="77777777">
        <w:trPr>
          <w:trHeight w:val="225"/>
          <w:tblCellSpacing w:w="15" w:type="dxa"/>
        </w:trPr>
        <w:tc>
          <w:tcPr>
            <w:tcW w:w="0" w:type="auto"/>
            <w:gridSpan w:val="3"/>
            <w:tcBorders>
              <w:bottom w:val="single" w:sz="6" w:space="0" w:color="000000"/>
            </w:tcBorders>
            <w:hideMark/>
          </w:tcPr>
          <w:p w14:paraId="6DC546E2" w14:textId="77777777" w:rsidR="00000000" w:rsidRDefault="0015578C">
            <w:pPr>
              <w:pStyle w:val="a3"/>
              <w:spacing w:before="0" w:beforeAutospacing="0" w:after="0" w:afterAutospacing="0"/>
              <w:jc w:val="both"/>
              <w:rPr>
                <w:sz w:val="20"/>
                <w:szCs w:val="20"/>
              </w:rPr>
            </w:pPr>
            <w:r>
              <w:rPr>
                <w:sz w:val="20"/>
                <w:szCs w:val="20"/>
              </w:rPr>
              <w:t>Description</w:t>
            </w:r>
          </w:p>
        </w:tc>
        <w:tc>
          <w:tcPr>
            <w:tcW w:w="0" w:type="auto"/>
            <w:tcBorders>
              <w:bottom w:val="single" w:sz="6" w:space="0" w:color="000000"/>
            </w:tcBorders>
            <w:vAlign w:val="center"/>
            <w:hideMark/>
          </w:tcPr>
          <w:p w14:paraId="443D3D18"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center"/>
            <w:hideMark/>
          </w:tcPr>
          <w:p w14:paraId="7C5D9842" w14:textId="77777777" w:rsidR="00000000" w:rsidRDefault="0015578C">
            <w:pPr>
              <w:pStyle w:val="a3"/>
              <w:spacing w:before="0" w:beforeAutospacing="0" w:after="0" w:afterAutospacing="0"/>
              <w:rPr>
                <w:sz w:val="20"/>
                <w:szCs w:val="20"/>
              </w:rPr>
            </w:pPr>
            <w:r>
              <w:rPr>
                <w:sz w:val="20"/>
                <w:szCs w:val="20"/>
              </w:rPr>
              <w:t> </w:t>
            </w:r>
          </w:p>
        </w:tc>
      </w:tr>
      <w:tr w:rsidR="00000000" w14:paraId="66E3E4EE" w14:textId="77777777">
        <w:trPr>
          <w:trHeight w:val="225"/>
          <w:tblCellSpacing w:w="15" w:type="dxa"/>
        </w:trPr>
        <w:tc>
          <w:tcPr>
            <w:tcW w:w="400" w:type="pct"/>
            <w:vAlign w:val="center"/>
            <w:hideMark/>
          </w:tcPr>
          <w:p w14:paraId="7DC3101C" w14:textId="77777777" w:rsidR="00000000" w:rsidRDefault="0015578C">
            <w:pPr>
              <w:pStyle w:val="a3"/>
              <w:spacing w:before="0" w:beforeAutospacing="0" w:after="0" w:afterAutospacing="0"/>
              <w:rPr>
                <w:sz w:val="20"/>
                <w:szCs w:val="20"/>
              </w:rPr>
            </w:pPr>
            <w:r>
              <w:rPr>
                <w:sz w:val="20"/>
                <w:szCs w:val="20"/>
              </w:rPr>
              <w:t> </w:t>
            </w:r>
          </w:p>
        </w:tc>
        <w:tc>
          <w:tcPr>
            <w:tcW w:w="50" w:type="pct"/>
            <w:vAlign w:val="center"/>
            <w:hideMark/>
          </w:tcPr>
          <w:p w14:paraId="3F4DF437" w14:textId="77777777" w:rsidR="00000000" w:rsidRDefault="0015578C">
            <w:pPr>
              <w:pStyle w:val="a3"/>
              <w:spacing w:before="0" w:beforeAutospacing="0" w:after="0" w:afterAutospacing="0"/>
              <w:rPr>
                <w:sz w:val="20"/>
                <w:szCs w:val="20"/>
              </w:rPr>
            </w:pPr>
            <w:r>
              <w:rPr>
                <w:sz w:val="20"/>
                <w:szCs w:val="20"/>
              </w:rPr>
              <w:t> </w:t>
            </w:r>
          </w:p>
        </w:tc>
        <w:tc>
          <w:tcPr>
            <w:tcW w:w="0" w:type="auto"/>
            <w:gridSpan w:val="3"/>
            <w:vAlign w:val="center"/>
            <w:hideMark/>
          </w:tcPr>
          <w:p w14:paraId="2C9EA724" w14:textId="77777777" w:rsidR="00000000" w:rsidRDefault="0015578C">
            <w:pPr>
              <w:pStyle w:val="a3"/>
              <w:spacing w:before="0" w:beforeAutospacing="0" w:after="0" w:afterAutospacing="0"/>
              <w:rPr>
                <w:sz w:val="20"/>
                <w:szCs w:val="20"/>
              </w:rPr>
            </w:pPr>
            <w:r>
              <w:rPr>
                <w:sz w:val="20"/>
                <w:szCs w:val="20"/>
              </w:rPr>
              <w:t> </w:t>
            </w:r>
          </w:p>
        </w:tc>
        <w:tc>
          <w:tcPr>
            <w:tcW w:w="0" w:type="auto"/>
            <w:vAlign w:val="center"/>
            <w:hideMark/>
          </w:tcPr>
          <w:p w14:paraId="5D7EDCA7" w14:textId="77777777" w:rsidR="00000000" w:rsidRDefault="0015578C">
            <w:pPr>
              <w:rPr>
                <w:rFonts w:eastAsia="Times New Roman"/>
                <w:sz w:val="20"/>
                <w:szCs w:val="20"/>
              </w:rPr>
            </w:pPr>
          </w:p>
        </w:tc>
      </w:tr>
      <w:tr w:rsidR="00000000" w14:paraId="1D04F4DC" w14:textId="77777777">
        <w:trPr>
          <w:trHeight w:val="225"/>
          <w:tblCellSpacing w:w="15" w:type="dxa"/>
        </w:trPr>
        <w:tc>
          <w:tcPr>
            <w:tcW w:w="0" w:type="auto"/>
            <w:shd w:val="clear" w:color="auto" w:fill="CCEEFF"/>
            <w:hideMark/>
          </w:tcPr>
          <w:p w14:paraId="4FD27EBD" w14:textId="77777777" w:rsidR="00000000" w:rsidRDefault="0015578C">
            <w:pPr>
              <w:pStyle w:val="a3"/>
              <w:spacing w:before="0" w:beforeAutospacing="0" w:after="0" w:afterAutospacing="0"/>
              <w:rPr>
                <w:sz w:val="20"/>
                <w:szCs w:val="20"/>
              </w:rPr>
            </w:pPr>
            <w:hyperlink r:id="rId11" w:history="1">
              <w:r>
                <w:rPr>
                  <w:rStyle w:val="a5"/>
                  <w:sz w:val="20"/>
                  <w:szCs w:val="20"/>
                </w:rPr>
                <w:t>3.1</w:t>
              </w:r>
            </w:hyperlink>
          </w:p>
        </w:tc>
        <w:tc>
          <w:tcPr>
            <w:tcW w:w="0" w:type="auto"/>
            <w:shd w:val="clear" w:color="auto" w:fill="CCEEFF"/>
            <w:vAlign w:val="center"/>
            <w:hideMark/>
          </w:tcPr>
          <w:p w14:paraId="5954F14D" w14:textId="77777777" w:rsidR="00000000" w:rsidRDefault="0015578C">
            <w:pPr>
              <w:pStyle w:val="a3"/>
              <w:spacing w:before="0" w:beforeAutospacing="0" w:after="0" w:afterAutospacing="0"/>
              <w:rPr>
                <w:sz w:val="20"/>
                <w:szCs w:val="20"/>
              </w:rPr>
            </w:pPr>
            <w:r>
              <w:rPr>
                <w:sz w:val="20"/>
                <w:szCs w:val="20"/>
              </w:rPr>
              <w:t> </w:t>
            </w:r>
          </w:p>
        </w:tc>
        <w:tc>
          <w:tcPr>
            <w:tcW w:w="0" w:type="auto"/>
            <w:gridSpan w:val="3"/>
            <w:shd w:val="clear" w:color="auto" w:fill="CCEEFF"/>
            <w:vAlign w:val="bottom"/>
            <w:hideMark/>
          </w:tcPr>
          <w:p w14:paraId="2AB9EC3E" w14:textId="77777777" w:rsidR="00000000" w:rsidRDefault="0015578C">
            <w:pPr>
              <w:pStyle w:val="a3"/>
              <w:spacing w:before="0" w:beforeAutospacing="0" w:after="0" w:afterAutospacing="0"/>
              <w:jc w:val="both"/>
              <w:rPr>
                <w:sz w:val="20"/>
                <w:szCs w:val="20"/>
              </w:rPr>
            </w:pPr>
            <w:hyperlink r:id="rId12" w:history="1">
              <w:r>
                <w:rPr>
                  <w:rStyle w:val="a5"/>
                  <w:sz w:val="20"/>
                  <w:szCs w:val="20"/>
                </w:rPr>
                <w:t>Amended and Restated Articles of Incorporation of Solitario Explorat</w:t>
              </w:r>
              <w:r>
                <w:rPr>
                  <w:rStyle w:val="a5"/>
                  <w:sz w:val="20"/>
                  <w:szCs w:val="20"/>
                </w:rPr>
                <w:t>ion &amp; Royalty Corp., as Amended (incorporated by reference to Exhibit 3.1 to Solitario’s Form 10-Q filed on August 10, 2010)</w:t>
              </w:r>
            </w:hyperlink>
          </w:p>
        </w:tc>
        <w:tc>
          <w:tcPr>
            <w:tcW w:w="0" w:type="auto"/>
            <w:shd w:val="clear" w:color="auto" w:fill="CCEEFF"/>
            <w:vAlign w:val="center"/>
            <w:hideMark/>
          </w:tcPr>
          <w:p w14:paraId="39A8D520" w14:textId="77777777" w:rsidR="00000000" w:rsidRDefault="0015578C">
            <w:pPr>
              <w:rPr>
                <w:rFonts w:eastAsia="Times New Roman"/>
                <w:sz w:val="20"/>
                <w:szCs w:val="20"/>
              </w:rPr>
            </w:pPr>
          </w:p>
        </w:tc>
      </w:tr>
      <w:tr w:rsidR="00000000" w14:paraId="11C4EA2A" w14:textId="77777777">
        <w:trPr>
          <w:trHeight w:val="225"/>
          <w:tblCellSpacing w:w="15" w:type="dxa"/>
        </w:trPr>
        <w:tc>
          <w:tcPr>
            <w:tcW w:w="0" w:type="auto"/>
            <w:shd w:val="clear" w:color="auto" w:fill="FFFFFF"/>
            <w:vAlign w:val="center"/>
            <w:hideMark/>
          </w:tcPr>
          <w:p w14:paraId="6232534B"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B24700"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355AB446"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C2C322" w14:textId="77777777" w:rsidR="00000000" w:rsidRDefault="0015578C">
            <w:pPr>
              <w:rPr>
                <w:rFonts w:eastAsia="Times New Roman"/>
                <w:sz w:val="20"/>
                <w:szCs w:val="20"/>
              </w:rPr>
            </w:pPr>
          </w:p>
        </w:tc>
      </w:tr>
      <w:tr w:rsidR="00000000" w14:paraId="7AFC0991" w14:textId="77777777">
        <w:trPr>
          <w:trHeight w:val="225"/>
          <w:tblCellSpacing w:w="15" w:type="dxa"/>
        </w:trPr>
        <w:tc>
          <w:tcPr>
            <w:tcW w:w="0" w:type="auto"/>
            <w:shd w:val="clear" w:color="auto" w:fill="CCEEFF"/>
            <w:hideMark/>
          </w:tcPr>
          <w:p w14:paraId="4A57F5A5" w14:textId="77777777" w:rsidR="00000000" w:rsidRDefault="0015578C">
            <w:pPr>
              <w:pStyle w:val="a3"/>
              <w:spacing w:before="0" w:beforeAutospacing="0" w:after="0" w:afterAutospacing="0"/>
              <w:jc w:val="both"/>
              <w:rPr>
                <w:sz w:val="20"/>
                <w:szCs w:val="20"/>
              </w:rPr>
            </w:pPr>
            <w:hyperlink r:id="rId13" w:history="1">
              <w:r>
                <w:rPr>
                  <w:rStyle w:val="a5"/>
                  <w:sz w:val="20"/>
                  <w:szCs w:val="20"/>
                </w:rPr>
                <w:t>3.1.1</w:t>
              </w:r>
            </w:hyperlink>
          </w:p>
        </w:tc>
        <w:tc>
          <w:tcPr>
            <w:tcW w:w="0" w:type="auto"/>
            <w:shd w:val="clear" w:color="auto" w:fill="CCEEFF"/>
            <w:vAlign w:val="center"/>
            <w:hideMark/>
          </w:tcPr>
          <w:p w14:paraId="2B77911C"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2506B4AB" w14:textId="77777777" w:rsidR="00000000" w:rsidRDefault="0015578C">
            <w:pPr>
              <w:pStyle w:val="a3"/>
              <w:spacing w:before="0" w:beforeAutospacing="0" w:after="0" w:afterAutospacing="0"/>
              <w:jc w:val="both"/>
              <w:rPr>
                <w:sz w:val="20"/>
                <w:szCs w:val="20"/>
              </w:rPr>
            </w:pPr>
            <w:hyperlink r:id="rId14" w:history="1">
              <w:r>
                <w:rPr>
                  <w:rStyle w:val="a5"/>
                  <w:sz w:val="20"/>
                  <w:szCs w:val="20"/>
                </w:rPr>
                <w:t>Articles of Amendment to Restated Articles of Incorporation of Solitario Zinc Corp. (incorporated by reference to Exhibit 3.1 to Solitario’s Current Report on Form 8-K filed on July 1</w:t>
              </w:r>
              <w:r>
                <w:rPr>
                  <w:rStyle w:val="a5"/>
                  <w:sz w:val="20"/>
                  <w:szCs w:val="20"/>
                </w:rPr>
                <w:t>4, 2017)</w:t>
              </w:r>
            </w:hyperlink>
          </w:p>
        </w:tc>
        <w:tc>
          <w:tcPr>
            <w:tcW w:w="0" w:type="auto"/>
            <w:shd w:val="clear" w:color="auto" w:fill="CCEEFF"/>
            <w:vAlign w:val="center"/>
            <w:hideMark/>
          </w:tcPr>
          <w:p w14:paraId="0D4DC144" w14:textId="77777777" w:rsidR="00000000" w:rsidRDefault="0015578C">
            <w:pPr>
              <w:rPr>
                <w:rFonts w:eastAsia="Times New Roman"/>
                <w:sz w:val="20"/>
                <w:szCs w:val="20"/>
              </w:rPr>
            </w:pPr>
          </w:p>
        </w:tc>
      </w:tr>
      <w:tr w:rsidR="00000000" w14:paraId="78267A41" w14:textId="77777777">
        <w:trPr>
          <w:trHeight w:val="225"/>
          <w:tblCellSpacing w:w="15" w:type="dxa"/>
        </w:trPr>
        <w:tc>
          <w:tcPr>
            <w:tcW w:w="0" w:type="auto"/>
            <w:shd w:val="clear" w:color="auto" w:fill="FFFFFF"/>
            <w:vAlign w:val="center"/>
            <w:hideMark/>
          </w:tcPr>
          <w:p w14:paraId="320804E6"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B0C3E4"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305807F3"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35D483" w14:textId="77777777" w:rsidR="00000000" w:rsidRDefault="0015578C">
            <w:pPr>
              <w:rPr>
                <w:rFonts w:eastAsia="Times New Roman"/>
                <w:sz w:val="20"/>
                <w:szCs w:val="20"/>
              </w:rPr>
            </w:pPr>
          </w:p>
        </w:tc>
      </w:tr>
      <w:tr w:rsidR="00000000" w14:paraId="575B6763" w14:textId="77777777">
        <w:trPr>
          <w:trHeight w:val="225"/>
          <w:tblCellSpacing w:w="15" w:type="dxa"/>
        </w:trPr>
        <w:tc>
          <w:tcPr>
            <w:tcW w:w="0" w:type="auto"/>
            <w:shd w:val="clear" w:color="auto" w:fill="CCEEFF"/>
            <w:hideMark/>
          </w:tcPr>
          <w:p w14:paraId="772D198E" w14:textId="77777777" w:rsidR="00000000" w:rsidRDefault="0015578C">
            <w:pPr>
              <w:pStyle w:val="a3"/>
              <w:spacing w:before="0" w:beforeAutospacing="0" w:after="0" w:afterAutospacing="0"/>
              <w:jc w:val="both"/>
              <w:rPr>
                <w:sz w:val="20"/>
                <w:szCs w:val="20"/>
              </w:rPr>
            </w:pPr>
            <w:hyperlink r:id="rId15" w:history="1">
              <w:r>
                <w:rPr>
                  <w:rStyle w:val="a5"/>
                  <w:sz w:val="20"/>
                  <w:szCs w:val="20"/>
                </w:rPr>
                <w:t>3.2</w:t>
              </w:r>
            </w:hyperlink>
          </w:p>
        </w:tc>
        <w:tc>
          <w:tcPr>
            <w:tcW w:w="0" w:type="auto"/>
            <w:shd w:val="clear" w:color="auto" w:fill="CCEEFF"/>
            <w:vAlign w:val="center"/>
            <w:hideMark/>
          </w:tcPr>
          <w:p w14:paraId="183A45DD"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0E96EAB5" w14:textId="77777777" w:rsidR="00000000" w:rsidRDefault="0015578C">
            <w:pPr>
              <w:pStyle w:val="a3"/>
              <w:spacing w:before="0" w:beforeAutospacing="0" w:after="0" w:afterAutospacing="0"/>
              <w:jc w:val="both"/>
              <w:rPr>
                <w:sz w:val="20"/>
                <w:szCs w:val="20"/>
              </w:rPr>
            </w:pPr>
            <w:hyperlink r:id="rId16" w:history="1">
              <w:r>
                <w:rPr>
                  <w:rStyle w:val="a5"/>
                  <w:sz w:val="20"/>
                  <w:szCs w:val="20"/>
                </w:rPr>
                <w:t>Amended and Restated By-laws of Solitario Zinc Corp., as amended (incorporated by reference to Exhibit 3.1 to Solitario’s Form 8-K filed on April 23, 2021)</w:t>
              </w:r>
            </w:hyperlink>
          </w:p>
        </w:tc>
        <w:tc>
          <w:tcPr>
            <w:tcW w:w="0" w:type="auto"/>
            <w:shd w:val="clear" w:color="auto" w:fill="CCEEFF"/>
            <w:vAlign w:val="center"/>
            <w:hideMark/>
          </w:tcPr>
          <w:p w14:paraId="4EB6D6CD" w14:textId="77777777" w:rsidR="00000000" w:rsidRDefault="0015578C">
            <w:pPr>
              <w:rPr>
                <w:rFonts w:eastAsia="Times New Roman"/>
                <w:sz w:val="20"/>
                <w:szCs w:val="20"/>
              </w:rPr>
            </w:pPr>
          </w:p>
        </w:tc>
      </w:tr>
      <w:tr w:rsidR="00000000" w14:paraId="4D488E40" w14:textId="77777777">
        <w:trPr>
          <w:trHeight w:val="225"/>
          <w:tblCellSpacing w:w="15" w:type="dxa"/>
        </w:trPr>
        <w:tc>
          <w:tcPr>
            <w:tcW w:w="0" w:type="auto"/>
            <w:shd w:val="clear" w:color="auto" w:fill="FFFFFF"/>
            <w:vAlign w:val="center"/>
            <w:hideMark/>
          </w:tcPr>
          <w:p w14:paraId="689A36E6"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F391202"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4B74CB9D"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B42DA9" w14:textId="77777777" w:rsidR="00000000" w:rsidRDefault="0015578C">
            <w:pPr>
              <w:rPr>
                <w:rFonts w:eastAsia="Times New Roman"/>
                <w:sz w:val="20"/>
                <w:szCs w:val="20"/>
              </w:rPr>
            </w:pPr>
          </w:p>
        </w:tc>
      </w:tr>
      <w:tr w:rsidR="00000000" w14:paraId="679D2169" w14:textId="77777777">
        <w:trPr>
          <w:trHeight w:val="225"/>
          <w:tblCellSpacing w:w="15" w:type="dxa"/>
        </w:trPr>
        <w:tc>
          <w:tcPr>
            <w:tcW w:w="0" w:type="auto"/>
            <w:shd w:val="clear" w:color="auto" w:fill="CCEEFF"/>
            <w:hideMark/>
          </w:tcPr>
          <w:p w14:paraId="73860FA1" w14:textId="77777777" w:rsidR="00000000" w:rsidRDefault="0015578C">
            <w:pPr>
              <w:pStyle w:val="a3"/>
              <w:spacing w:before="0" w:beforeAutospacing="0" w:after="0" w:afterAutospacing="0"/>
              <w:jc w:val="both"/>
              <w:rPr>
                <w:sz w:val="20"/>
                <w:szCs w:val="20"/>
              </w:rPr>
            </w:pPr>
            <w:hyperlink r:id="rId17" w:history="1">
              <w:r>
                <w:rPr>
                  <w:rStyle w:val="a5"/>
                  <w:sz w:val="20"/>
                  <w:szCs w:val="20"/>
                </w:rPr>
                <w:t>4.1</w:t>
              </w:r>
            </w:hyperlink>
          </w:p>
        </w:tc>
        <w:tc>
          <w:tcPr>
            <w:tcW w:w="0" w:type="auto"/>
            <w:shd w:val="clear" w:color="auto" w:fill="CCEEFF"/>
            <w:vAlign w:val="center"/>
            <w:hideMark/>
          </w:tcPr>
          <w:p w14:paraId="79128048"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55D04078" w14:textId="77777777" w:rsidR="00000000" w:rsidRDefault="0015578C">
            <w:pPr>
              <w:pStyle w:val="a3"/>
              <w:spacing w:before="0" w:beforeAutospacing="0" w:after="0" w:afterAutospacing="0"/>
              <w:jc w:val="both"/>
              <w:rPr>
                <w:sz w:val="20"/>
                <w:szCs w:val="20"/>
              </w:rPr>
            </w:pPr>
            <w:hyperlink r:id="rId18" w:history="1">
              <w:r>
                <w:rPr>
                  <w:rStyle w:val="a5"/>
                  <w:sz w:val="20"/>
                  <w:szCs w:val="20"/>
                </w:rPr>
                <w:t>Form of Common Stock Certificate of Solitario Zinc (incorpor</w:t>
              </w:r>
              <w:r>
                <w:rPr>
                  <w:rStyle w:val="a5"/>
                  <w:sz w:val="20"/>
                  <w:szCs w:val="20"/>
                </w:rPr>
                <w:t>ated by reference to Exhibit 4.1 to Solitario’s Form 10-Q filed on November 8, 2017)</w:t>
              </w:r>
            </w:hyperlink>
          </w:p>
        </w:tc>
        <w:tc>
          <w:tcPr>
            <w:tcW w:w="0" w:type="auto"/>
            <w:shd w:val="clear" w:color="auto" w:fill="CCEEFF"/>
            <w:vAlign w:val="center"/>
            <w:hideMark/>
          </w:tcPr>
          <w:p w14:paraId="31460E3E" w14:textId="77777777" w:rsidR="00000000" w:rsidRDefault="0015578C">
            <w:pPr>
              <w:rPr>
                <w:rFonts w:eastAsia="Times New Roman"/>
                <w:sz w:val="20"/>
                <w:szCs w:val="20"/>
              </w:rPr>
            </w:pPr>
          </w:p>
        </w:tc>
      </w:tr>
      <w:tr w:rsidR="00000000" w14:paraId="5BF84142" w14:textId="77777777">
        <w:trPr>
          <w:trHeight w:val="225"/>
          <w:tblCellSpacing w:w="15" w:type="dxa"/>
        </w:trPr>
        <w:tc>
          <w:tcPr>
            <w:tcW w:w="0" w:type="auto"/>
            <w:shd w:val="clear" w:color="auto" w:fill="FFFFFF"/>
            <w:vAlign w:val="center"/>
            <w:hideMark/>
          </w:tcPr>
          <w:p w14:paraId="12179E87"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294B4E"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5E3AB3E5"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D1439C0" w14:textId="77777777" w:rsidR="00000000" w:rsidRDefault="0015578C">
            <w:pPr>
              <w:rPr>
                <w:rFonts w:eastAsia="Times New Roman"/>
                <w:sz w:val="20"/>
                <w:szCs w:val="20"/>
              </w:rPr>
            </w:pPr>
          </w:p>
        </w:tc>
      </w:tr>
      <w:tr w:rsidR="00000000" w14:paraId="3EF3BAF0" w14:textId="77777777">
        <w:trPr>
          <w:trHeight w:val="225"/>
          <w:tblCellSpacing w:w="15" w:type="dxa"/>
        </w:trPr>
        <w:tc>
          <w:tcPr>
            <w:tcW w:w="0" w:type="auto"/>
            <w:shd w:val="clear" w:color="auto" w:fill="CCEEFF"/>
            <w:hideMark/>
          </w:tcPr>
          <w:p w14:paraId="5DEC57E4" w14:textId="77777777" w:rsidR="00000000" w:rsidRDefault="0015578C">
            <w:pPr>
              <w:pStyle w:val="a3"/>
              <w:spacing w:before="0" w:beforeAutospacing="0" w:after="0" w:afterAutospacing="0"/>
              <w:jc w:val="both"/>
              <w:rPr>
                <w:sz w:val="20"/>
                <w:szCs w:val="20"/>
              </w:rPr>
            </w:pPr>
            <w:hyperlink r:id="rId19" w:history="1">
              <w:r>
                <w:rPr>
                  <w:rStyle w:val="a5"/>
                  <w:sz w:val="20"/>
                  <w:szCs w:val="20"/>
                </w:rPr>
                <w:t>4.2</w:t>
              </w:r>
            </w:hyperlink>
          </w:p>
        </w:tc>
        <w:tc>
          <w:tcPr>
            <w:tcW w:w="0" w:type="auto"/>
            <w:shd w:val="clear" w:color="auto" w:fill="CCEEFF"/>
            <w:vAlign w:val="center"/>
            <w:hideMark/>
          </w:tcPr>
          <w:p w14:paraId="4EF4BAA4"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1DA9063D" w14:textId="77777777" w:rsidR="00000000" w:rsidRDefault="0015578C">
            <w:pPr>
              <w:pStyle w:val="a3"/>
              <w:spacing w:before="0" w:beforeAutospacing="0" w:after="0" w:afterAutospacing="0"/>
              <w:jc w:val="both"/>
              <w:rPr>
                <w:sz w:val="20"/>
                <w:szCs w:val="20"/>
              </w:rPr>
            </w:pPr>
            <w:hyperlink r:id="rId20" w:history="1">
              <w:r>
                <w:rPr>
                  <w:rStyle w:val="a5"/>
                  <w:sz w:val="20"/>
                  <w:szCs w:val="20"/>
                </w:rPr>
                <w:t>Description of Common Stock (incorporated by reference to Exhi</w:t>
              </w:r>
              <w:r>
                <w:rPr>
                  <w:rStyle w:val="a5"/>
                  <w:sz w:val="20"/>
                  <w:szCs w:val="20"/>
                </w:rPr>
                <w:t>bit 4.2 to Solitario’s Form 10-K filed on March 2, 2020)</w:t>
              </w:r>
            </w:hyperlink>
          </w:p>
        </w:tc>
        <w:tc>
          <w:tcPr>
            <w:tcW w:w="0" w:type="auto"/>
            <w:shd w:val="clear" w:color="auto" w:fill="CCEEFF"/>
            <w:vAlign w:val="center"/>
            <w:hideMark/>
          </w:tcPr>
          <w:p w14:paraId="786111C5" w14:textId="77777777" w:rsidR="00000000" w:rsidRDefault="0015578C">
            <w:pPr>
              <w:rPr>
                <w:rFonts w:eastAsia="Times New Roman"/>
                <w:sz w:val="20"/>
                <w:szCs w:val="20"/>
              </w:rPr>
            </w:pPr>
          </w:p>
        </w:tc>
      </w:tr>
      <w:tr w:rsidR="00000000" w14:paraId="76B19E2F" w14:textId="77777777">
        <w:trPr>
          <w:trHeight w:val="225"/>
          <w:tblCellSpacing w:w="15" w:type="dxa"/>
        </w:trPr>
        <w:tc>
          <w:tcPr>
            <w:tcW w:w="0" w:type="auto"/>
            <w:shd w:val="clear" w:color="auto" w:fill="FFFFFF"/>
            <w:vAlign w:val="center"/>
            <w:hideMark/>
          </w:tcPr>
          <w:p w14:paraId="27575325"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C1D70A1"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7076C78C"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7D237C1" w14:textId="77777777" w:rsidR="00000000" w:rsidRDefault="0015578C">
            <w:pPr>
              <w:rPr>
                <w:rFonts w:eastAsia="Times New Roman"/>
                <w:sz w:val="20"/>
                <w:szCs w:val="20"/>
              </w:rPr>
            </w:pPr>
          </w:p>
        </w:tc>
      </w:tr>
      <w:tr w:rsidR="00000000" w14:paraId="30B622B7" w14:textId="77777777">
        <w:trPr>
          <w:trHeight w:val="225"/>
          <w:tblCellSpacing w:w="15" w:type="dxa"/>
        </w:trPr>
        <w:tc>
          <w:tcPr>
            <w:tcW w:w="0" w:type="auto"/>
            <w:shd w:val="clear" w:color="auto" w:fill="CCEEFF"/>
            <w:hideMark/>
          </w:tcPr>
          <w:p w14:paraId="170E5E53" w14:textId="77777777" w:rsidR="00000000" w:rsidRDefault="0015578C">
            <w:pPr>
              <w:pStyle w:val="a3"/>
              <w:spacing w:before="0" w:beforeAutospacing="0" w:after="0" w:afterAutospacing="0"/>
              <w:jc w:val="both"/>
              <w:rPr>
                <w:sz w:val="20"/>
                <w:szCs w:val="20"/>
              </w:rPr>
            </w:pPr>
            <w:hyperlink r:id="rId21" w:history="1">
              <w:r>
                <w:rPr>
                  <w:rStyle w:val="a5"/>
                  <w:sz w:val="20"/>
                  <w:szCs w:val="20"/>
                </w:rPr>
                <w:t>10.1#</w:t>
              </w:r>
            </w:hyperlink>
          </w:p>
        </w:tc>
        <w:tc>
          <w:tcPr>
            <w:tcW w:w="0" w:type="auto"/>
            <w:shd w:val="clear" w:color="auto" w:fill="CCEEFF"/>
            <w:vAlign w:val="center"/>
            <w:hideMark/>
          </w:tcPr>
          <w:p w14:paraId="1D454356"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hideMark/>
          </w:tcPr>
          <w:p w14:paraId="05350207" w14:textId="77777777" w:rsidR="00000000" w:rsidRDefault="0015578C">
            <w:pPr>
              <w:pStyle w:val="a3"/>
              <w:spacing w:before="0" w:beforeAutospacing="0" w:after="0" w:afterAutospacing="0"/>
              <w:jc w:val="both"/>
              <w:rPr>
                <w:sz w:val="20"/>
                <w:szCs w:val="20"/>
              </w:rPr>
            </w:pPr>
            <w:hyperlink r:id="rId22" w:history="1">
              <w:r>
                <w:rPr>
                  <w:rStyle w:val="a5"/>
                  <w:sz w:val="20"/>
                  <w:szCs w:val="20"/>
                </w:rPr>
                <w:t>2013 Solitario Exploration &amp; Royalty Corp. Omnibus Stock and Incentive Plan (incorporated by reference to Exhibit 10.2 to Solitario’s Form 8-K filed on June 20, 201</w:t>
              </w:r>
              <w:r>
                <w:rPr>
                  <w:rStyle w:val="a5"/>
                  <w:sz w:val="20"/>
                  <w:szCs w:val="20"/>
                </w:rPr>
                <w:t>3)</w:t>
              </w:r>
            </w:hyperlink>
          </w:p>
        </w:tc>
        <w:tc>
          <w:tcPr>
            <w:tcW w:w="0" w:type="auto"/>
            <w:shd w:val="clear" w:color="auto" w:fill="CCEEFF"/>
            <w:vAlign w:val="center"/>
            <w:hideMark/>
          </w:tcPr>
          <w:p w14:paraId="5D9B7A78" w14:textId="77777777" w:rsidR="00000000" w:rsidRDefault="0015578C">
            <w:pPr>
              <w:rPr>
                <w:rFonts w:eastAsia="Times New Roman"/>
                <w:sz w:val="20"/>
                <w:szCs w:val="20"/>
              </w:rPr>
            </w:pPr>
          </w:p>
        </w:tc>
      </w:tr>
      <w:tr w:rsidR="00000000" w14:paraId="663B83A9" w14:textId="77777777">
        <w:trPr>
          <w:trHeight w:val="225"/>
          <w:tblCellSpacing w:w="15" w:type="dxa"/>
        </w:trPr>
        <w:tc>
          <w:tcPr>
            <w:tcW w:w="0" w:type="auto"/>
            <w:shd w:val="clear" w:color="auto" w:fill="FFFFFF"/>
            <w:vAlign w:val="center"/>
            <w:hideMark/>
          </w:tcPr>
          <w:p w14:paraId="565E8724"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37366EB"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7D3FFBFE"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B32913" w14:textId="77777777" w:rsidR="00000000" w:rsidRDefault="0015578C">
            <w:pPr>
              <w:rPr>
                <w:rFonts w:eastAsia="Times New Roman"/>
                <w:sz w:val="20"/>
                <w:szCs w:val="20"/>
              </w:rPr>
            </w:pPr>
          </w:p>
        </w:tc>
      </w:tr>
      <w:tr w:rsidR="00000000" w14:paraId="5C0CECFA" w14:textId="77777777">
        <w:trPr>
          <w:trHeight w:val="225"/>
          <w:tblCellSpacing w:w="15" w:type="dxa"/>
        </w:trPr>
        <w:tc>
          <w:tcPr>
            <w:tcW w:w="0" w:type="auto"/>
            <w:shd w:val="clear" w:color="auto" w:fill="CCEEFF"/>
            <w:hideMark/>
          </w:tcPr>
          <w:p w14:paraId="1436C85C" w14:textId="77777777" w:rsidR="00000000" w:rsidRDefault="0015578C">
            <w:pPr>
              <w:pStyle w:val="a3"/>
              <w:spacing w:before="0" w:beforeAutospacing="0" w:after="0" w:afterAutospacing="0"/>
              <w:jc w:val="both"/>
              <w:rPr>
                <w:sz w:val="20"/>
                <w:szCs w:val="20"/>
              </w:rPr>
            </w:pPr>
            <w:hyperlink r:id="rId23" w:history="1">
              <w:r>
                <w:rPr>
                  <w:rStyle w:val="a5"/>
                  <w:sz w:val="20"/>
                  <w:szCs w:val="20"/>
                </w:rPr>
                <w:t>10.2#</w:t>
              </w:r>
            </w:hyperlink>
          </w:p>
        </w:tc>
        <w:tc>
          <w:tcPr>
            <w:tcW w:w="0" w:type="auto"/>
            <w:shd w:val="clear" w:color="auto" w:fill="CCEEFF"/>
            <w:vAlign w:val="center"/>
            <w:hideMark/>
          </w:tcPr>
          <w:p w14:paraId="14B11C5C"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6999ABF8" w14:textId="77777777" w:rsidR="00000000" w:rsidRDefault="0015578C">
            <w:pPr>
              <w:pStyle w:val="a3"/>
              <w:spacing w:before="0" w:beforeAutospacing="0" w:after="0" w:afterAutospacing="0"/>
              <w:jc w:val="both"/>
              <w:rPr>
                <w:sz w:val="20"/>
                <w:szCs w:val="20"/>
              </w:rPr>
            </w:pPr>
            <w:hyperlink r:id="rId24" w:history="1">
              <w:r>
                <w:rPr>
                  <w:rStyle w:val="a5"/>
                  <w:sz w:val="20"/>
                  <w:szCs w:val="20"/>
                </w:rPr>
                <w:t xml:space="preserve">Change in Control Severance Benefits Agreement </w:t>
              </w:r>
              <w:r>
                <w:rPr>
                  <w:rStyle w:val="a5"/>
                  <w:sz w:val="20"/>
                  <w:szCs w:val="20"/>
                </w:rPr>
                <w:t xml:space="preserve">between Solitario Resources Corporation and Christopher E. Herald, dated as of March 14, 2007 (incorporated by reference to Exhibit 99.1 to Solitario's Form 8-K filed on March 14, 2007) </w:t>
              </w:r>
            </w:hyperlink>
          </w:p>
        </w:tc>
        <w:tc>
          <w:tcPr>
            <w:tcW w:w="0" w:type="auto"/>
            <w:shd w:val="clear" w:color="auto" w:fill="CCEEFF"/>
            <w:vAlign w:val="center"/>
            <w:hideMark/>
          </w:tcPr>
          <w:p w14:paraId="47672BED" w14:textId="77777777" w:rsidR="00000000" w:rsidRDefault="0015578C">
            <w:pPr>
              <w:rPr>
                <w:rFonts w:eastAsia="Times New Roman"/>
                <w:sz w:val="20"/>
                <w:szCs w:val="20"/>
              </w:rPr>
            </w:pPr>
          </w:p>
        </w:tc>
      </w:tr>
      <w:tr w:rsidR="00000000" w14:paraId="3D2CB41F" w14:textId="77777777">
        <w:trPr>
          <w:trHeight w:val="225"/>
          <w:tblCellSpacing w:w="15" w:type="dxa"/>
        </w:trPr>
        <w:tc>
          <w:tcPr>
            <w:tcW w:w="0" w:type="auto"/>
            <w:shd w:val="clear" w:color="auto" w:fill="FFFFFF"/>
            <w:vAlign w:val="center"/>
            <w:hideMark/>
          </w:tcPr>
          <w:p w14:paraId="76EC1067"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3E3A99"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435AF119"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E02D0B" w14:textId="77777777" w:rsidR="00000000" w:rsidRDefault="0015578C">
            <w:pPr>
              <w:rPr>
                <w:rFonts w:eastAsia="Times New Roman"/>
                <w:sz w:val="20"/>
                <w:szCs w:val="20"/>
              </w:rPr>
            </w:pPr>
          </w:p>
        </w:tc>
      </w:tr>
      <w:tr w:rsidR="00000000" w14:paraId="011C34DD" w14:textId="77777777">
        <w:trPr>
          <w:trHeight w:val="225"/>
          <w:tblCellSpacing w:w="15" w:type="dxa"/>
        </w:trPr>
        <w:tc>
          <w:tcPr>
            <w:tcW w:w="0" w:type="auto"/>
            <w:shd w:val="clear" w:color="auto" w:fill="CCEEFF"/>
            <w:hideMark/>
          </w:tcPr>
          <w:p w14:paraId="7706DAC8" w14:textId="77777777" w:rsidR="00000000" w:rsidRDefault="0015578C">
            <w:pPr>
              <w:pStyle w:val="a3"/>
              <w:spacing w:before="0" w:beforeAutospacing="0" w:after="0" w:afterAutospacing="0"/>
              <w:jc w:val="both"/>
              <w:rPr>
                <w:sz w:val="20"/>
                <w:szCs w:val="20"/>
              </w:rPr>
            </w:pPr>
            <w:hyperlink r:id="rId25" w:history="1">
              <w:r>
                <w:rPr>
                  <w:rStyle w:val="a5"/>
                  <w:sz w:val="20"/>
                  <w:szCs w:val="20"/>
                </w:rPr>
                <w:t>10.3#</w:t>
              </w:r>
            </w:hyperlink>
          </w:p>
        </w:tc>
        <w:tc>
          <w:tcPr>
            <w:tcW w:w="0" w:type="auto"/>
            <w:shd w:val="clear" w:color="auto" w:fill="CCEEFF"/>
            <w:vAlign w:val="center"/>
            <w:hideMark/>
          </w:tcPr>
          <w:p w14:paraId="5D041C79"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01C52481" w14:textId="77777777" w:rsidR="00000000" w:rsidRDefault="0015578C">
            <w:pPr>
              <w:pStyle w:val="a3"/>
              <w:spacing w:before="0" w:beforeAutospacing="0" w:after="0" w:afterAutospacing="0"/>
              <w:jc w:val="both"/>
              <w:rPr>
                <w:sz w:val="20"/>
                <w:szCs w:val="20"/>
              </w:rPr>
            </w:pPr>
            <w:hyperlink r:id="rId26" w:history="1">
              <w:r>
                <w:rPr>
                  <w:rStyle w:val="a5"/>
                  <w:sz w:val="20"/>
                  <w:szCs w:val="20"/>
                </w:rPr>
                <w:t>Change in Control Severance Benefits Agreement between Solitario</w:t>
              </w:r>
              <w:r>
                <w:rPr>
                  <w:rStyle w:val="a5"/>
                  <w:sz w:val="20"/>
                  <w:szCs w:val="20"/>
                </w:rPr>
                <w:t xml:space="preserve"> Resources Corporation and James R. Maronick, dated as of March 14, 2007 (incorporated by reference to Exhibit 99.2 to Solitario's Form 8-K filed on March 14, 2007) </w:t>
              </w:r>
            </w:hyperlink>
          </w:p>
        </w:tc>
        <w:tc>
          <w:tcPr>
            <w:tcW w:w="0" w:type="auto"/>
            <w:shd w:val="clear" w:color="auto" w:fill="CCEEFF"/>
            <w:vAlign w:val="center"/>
            <w:hideMark/>
          </w:tcPr>
          <w:p w14:paraId="0316147A" w14:textId="77777777" w:rsidR="00000000" w:rsidRDefault="0015578C">
            <w:pPr>
              <w:rPr>
                <w:rFonts w:eastAsia="Times New Roman"/>
                <w:sz w:val="20"/>
                <w:szCs w:val="20"/>
              </w:rPr>
            </w:pPr>
          </w:p>
        </w:tc>
      </w:tr>
      <w:tr w:rsidR="00000000" w14:paraId="6A47CA2D" w14:textId="77777777">
        <w:trPr>
          <w:trHeight w:val="225"/>
          <w:tblCellSpacing w:w="15" w:type="dxa"/>
        </w:trPr>
        <w:tc>
          <w:tcPr>
            <w:tcW w:w="0" w:type="auto"/>
            <w:shd w:val="clear" w:color="auto" w:fill="FFFFFF"/>
            <w:vAlign w:val="center"/>
            <w:hideMark/>
          </w:tcPr>
          <w:p w14:paraId="3224B0AA"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9A2651"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8BCBE4D"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BDD77C0" w14:textId="77777777" w:rsidR="00000000" w:rsidRDefault="0015578C">
            <w:pPr>
              <w:rPr>
                <w:rFonts w:eastAsia="Times New Roman"/>
                <w:sz w:val="20"/>
                <w:szCs w:val="20"/>
              </w:rPr>
            </w:pPr>
          </w:p>
        </w:tc>
      </w:tr>
      <w:tr w:rsidR="00000000" w14:paraId="008EFA4B" w14:textId="77777777">
        <w:trPr>
          <w:trHeight w:val="225"/>
          <w:tblCellSpacing w:w="15" w:type="dxa"/>
        </w:trPr>
        <w:tc>
          <w:tcPr>
            <w:tcW w:w="0" w:type="auto"/>
            <w:shd w:val="clear" w:color="auto" w:fill="CCEEFF"/>
            <w:hideMark/>
          </w:tcPr>
          <w:p w14:paraId="5F2420D9" w14:textId="77777777" w:rsidR="00000000" w:rsidRDefault="0015578C">
            <w:pPr>
              <w:pStyle w:val="a3"/>
              <w:spacing w:before="0" w:beforeAutospacing="0" w:after="0" w:afterAutospacing="0"/>
              <w:jc w:val="both"/>
              <w:rPr>
                <w:sz w:val="20"/>
                <w:szCs w:val="20"/>
              </w:rPr>
            </w:pPr>
            <w:hyperlink r:id="rId27" w:history="1">
              <w:r>
                <w:rPr>
                  <w:rStyle w:val="a5"/>
                  <w:sz w:val="20"/>
                  <w:szCs w:val="20"/>
                </w:rPr>
                <w:t>10.4#</w:t>
              </w:r>
            </w:hyperlink>
          </w:p>
        </w:tc>
        <w:tc>
          <w:tcPr>
            <w:tcW w:w="0" w:type="auto"/>
            <w:shd w:val="clear" w:color="auto" w:fill="CCEEFF"/>
            <w:vAlign w:val="center"/>
            <w:hideMark/>
          </w:tcPr>
          <w:p w14:paraId="080D1262"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7886DC24" w14:textId="77777777" w:rsidR="00000000" w:rsidRDefault="0015578C">
            <w:pPr>
              <w:pStyle w:val="a3"/>
              <w:spacing w:before="0" w:beforeAutospacing="0" w:after="0" w:afterAutospacing="0"/>
              <w:jc w:val="both"/>
              <w:rPr>
                <w:sz w:val="20"/>
                <w:szCs w:val="20"/>
              </w:rPr>
            </w:pPr>
            <w:hyperlink r:id="rId28" w:history="1">
              <w:r>
                <w:rPr>
                  <w:rStyle w:val="a5"/>
                  <w:sz w:val="20"/>
                  <w:szCs w:val="20"/>
                </w:rPr>
                <w:t>Change in Control Severance Benefits Agreement between Solitario Resources Corporation and Walter W. Hunt, dated as of March 14, 2007 (incor</w:t>
              </w:r>
              <w:r>
                <w:rPr>
                  <w:rStyle w:val="a5"/>
                  <w:sz w:val="20"/>
                  <w:szCs w:val="20"/>
                </w:rPr>
                <w:t>porated by reference to Exhibit 99.3 to Solitario's Form 8-K filed on March 14, 2007)</w:t>
              </w:r>
            </w:hyperlink>
          </w:p>
        </w:tc>
        <w:tc>
          <w:tcPr>
            <w:tcW w:w="0" w:type="auto"/>
            <w:shd w:val="clear" w:color="auto" w:fill="CCEEFF"/>
            <w:vAlign w:val="center"/>
            <w:hideMark/>
          </w:tcPr>
          <w:p w14:paraId="68B8472A" w14:textId="77777777" w:rsidR="00000000" w:rsidRDefault="0015578C">
            <w:pPr>
              <w:rPr>
                <w:rFonts w:eastAsia="Times New Roman"/>
                <w:sz w:val="20"/>
                <w:szCs w:val="20"/>
              </w:rPr>
            </w:pPr>
          </w:p>
        </w:tc>
      </w:tr>
      <w:tr w:rsidR="00000000" w14:paraId="798CB89B" w14:textId="77777777">
        <w:trPr>
          <w:trHeight w:val="225"/>
          <w:tblCellSpacing w:w="15" w:type="dxa"/>
        </w:trPr>
        <w:tc>
          <w:tcPr>
            <w:tcW w:w="0" w:type="auto"/>
            <w:shd w:val="clear" w:color="auto" w:fill="FFFFFF"/>
            <w:vAlign w:val="center"/>
            <w:hideMark/>
          </w:tcPr>
          <w:p w14:paraId="0824AF2B"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260C6A3"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55B11B2A"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6C0872" w14:textId="77777777" w:rsidR="00000000" w:rsidRDefault="0015578C">
            <w:pPr>
              <w:rPr>
                <w:rFonts w:eastAsia="Times New Roman"/>
                <w:sz w:val="20"/>
                <w:szCs w:val="20"/>
              </w:rPr>
            </w:pPr>
          </w:p>
        </w:tc>
      </w:tr>
      <w:tr w:rsidR="00000000" w14:paraId="79EC63B8" w14:textId="77777777">
        <w:trPr>
          <w:trHeight w:val="225"/>
          <w:tblCellSpacing w:w="15" w:type="dxa"/>
        </w:trPr>
        <w:tc>
          <w:tcPr>
            <w:tcW w:w="0" w:type="auto"/>
            <w:shd w:val="clear" w:color="auto" w:fill="CCEEFF"/>
            <w:hideMark/>
          </w:tcPr>
          <w:p w14:paraId="2692FF2E" w14:textId="77777777" w:rsidR="00000000" w:rsidRDefault="0015578C">
            <w:pPr>
              <w:pStyle w:val="a3"/>
              <w:spacing w:before="0" w:beforeAutospacing="0" w:after="0" w:afterAutospacing="0"/>
              <w:jc w:val="both"/>
              <w:rPr>
                <w:sz w:val="20"/>
                <w:szCs w:val="20"/>
              </w:rPr>
            </w:pPr>
            <w:hyperlink r:id="rId29" w:history="1">
              <w:r>
                <w:rPr>
                  <w:rStyle w:val="a5"/>
                  <w:sz w:val="20"/>
                  <w:szCs w:val="20"/>
                </w:rPr>
                <w:t>10.5</w:t>
              </w:r>
            </w:hyperlink>
          </w:p>
        </w:tc>
        <w:tc>
          <w:tcPr>
            <w:tcW w:w="0" w:type="auto"/>
            <w:shd w:val="clear" w:color="auto" w:fill="CCEEFF"/>
            <w:vAlign w:val="center"/>
            <w:hideMark/>
          </w:tcPr>
          <w:p w14:paraId="70545EB3"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6FC1F4CE" w14:textId="77777777" w:rsidR="00000000" w:rsidRDefault="0015578C">
            <w:pPr>
              <w:pStyle w:val="a3"/>
              <w:spacing w:before="0" w:beforeAutospacing="0" w:after="0" w:afterAutospacing="0"/>
              <w:jc w:val="both"/>
              <w:rPr>
                <w:sz w:val="20"/>
                <w:szCs w:val="20"/>
              </w:rPr>
            </w:pPr>
            <w:hyperlink r:id="rId30" w:history="1">
              <w:r>
                <w:rPr>
                  <w:rStyle w:val="a5"/>
                  <w:sz w:val="20"/>
                  <w:szCs w:val="20"/>
                </w:rPr>
                <w:t>Framework Agreement for the Exploration and Development of Potent</w:t>
              </w:r>
              <w:r>
                <w:rPr>
                  <w:rStyle w:val="a5"/>
                  <w:sz w:val="20"/>
                  <w:szCs w:val="20"/>
                </w:rPr>
                <w:t>ial Mining Properties, related to Solitario's 100% owned Florida Canyon project in Peru between Minera Florida Canyon S.A., Minera Solitario Peru S.A.C., Solitario Resources Corporation, and Votorantim Metais – Cajamarquilla S.A., dated March 24, 2007 (inc</w:t>
              </w:r>
              <w:r>
                <w:rPr>
                  <w:rStyle w:val="a5"/>
                  <w:sz w:val="20"/>
                  <w:szCs w:val="20"/>
                </w:rPr>
                <w:t xml:space="preserve">orporated by reference to Exhibit 10.2 to Solitario's Form 8-K filed on October 4, 2007)  </w:t>
              </w:r>
            </w:hyperlink>
          </w:p>
        </w:tc>
        <w:tc>
          <w:tcPr>
            <w:tcW w:w="0" w:type="auto"/>
            <w:shd w:val="clear" w:color="auto" w:fill="CCEEFF"/>
            <w:vAlign w:val="center"/>
            <w:hideMark/>
          </w:tcPr>
          <w:p w14:paraId="7ED985BB" w14:textId="77777777" w:rsidR="00000000" w:rsidRDefault="0015578C">
            <w:pPr>
              <w:rPr>
                <w:rFonts w:eastAsia="Times New Roman"/>
                <w:sz w:val="20"/>
                <w:szCs w:val="20"/>
              </w:rPr>
            </w:pPr>
          </w:p>
        </w:tc>
      </w:tr>
      <w:tr w:rsidR="00000000" w14:paraId="653FCE26" w14:textId="77777777">
        <w:trPr>
          <w:trHeight w:val="225"/>
          <w:tblCellSpacing w:w="15" w:type="dxa"/>
        </w:trPr>
        <w:tc>
          <w:tcPr>
            <w:tcW w:w="0" w:type="auto"/>
            <w:shd w:val="clear" w:color="auto" w:fill="FFFFFF"/>
            <w:vAlign w:val="center"/>
            <w:hideMark/>
          </w:tcPr>
          <w:p w14:paraId="7CBA95BB"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0F2BEF"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A15332F"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A59773A" w14:textId="77777777" w:rsidR="00000000" w:rsidRDefault="0015578C">
            <w:pPr>
              <w:rPr>
                <w:rFonts w:eastAsia="Times New Roman"/>
                <w:sz w:val="20"/>
                <w:szCs w:val="20"/>
              </w:rPr>
            </w:pPr>
          </w:p>
        </w:tc>
      </w:tr>
      <w:tr w:rsidR="00000000" w14:paraId="380C206D" w14:textId="77777777">
        <w:trPr>
          <w:trHeight w:val="225"/>
          <w:tblCellSpacing w:w="15" w:type="dxa"/>
        </w:trPr>
        <w:tc>
          <w:tcPr>
            <w:tcW w:w="0" w:type="auto"/>
            <w:shd w:val="clear" w:color="auto" w:fill="CCEEFF"/>
            <w:hideMark/>
          </w:tcPr>
          <w:p w14:paraId="5BD47F17" w14:textId="77777777" w:rsidR="00000000" w:rsidRDefault="0015578C">
            <w:pPr>
              <w:pStyle w:val="a3"/>
              <w:spacing w:before="0" w:beforeAutospacing="0" w:after="0" w:afterAutospacing="0"/>
              <w:jc w:val="both"/>
              <w:rPr>
                <w:sz w:val="20"/>
                <w:szCs w:val="20"/>
              </w:rPr>
            </w:pPr>
            <w:hyperlink r:id="rId31" w:history="1">
              <w:r>
                <w:rPr>
                  <w:rStyle w:val="a5"/>
                  <w:sz w:val="20"/>
                  <w:szCs w:val="20"/>
                </w:rPr>
                <w:t>10.6#</w:t>
              </w:r>
            </w:hyperlink>
          </w:p>
        </w:tc>
        <w:tc>
          <w:tcPr>
            <w:tcW w:w="0" w:type="auto"/>
            <w:shd w:val="clear" w:color="auto" w:fill="CCEEFF"/>
            <w:vAlign w:val="center"/>
            <w:hideMark/>
          </w:tcPr>
          <w:p w14:paraId="021C75CB"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18DF9775" w14:textId="77777777" w:rsidR="00000000" w:rsidRDefault="0015578C">
            <w:pPr>
              <w:pStyle w:val="a3"/>
              <w:spacing w:before="0" w:beforeAutospacing="0" w:after="0" w:afterAutospacing="0"/>
              <w:jc w:val="both"/>
              <w:rPr>
                <w:sz w:val="20"/>
                <w:szCs w:val="20"/>
              </w:rPr>
            </w:pPr>
            <w:hyperlink r:id="rId32" w:history="1">
              <w:r>
                <w:rPr>
                  <w:rStyle w:val="a5"/>
                  <w:sz w:val="20"/>
                  <w:szCs w:val="20"/>
                </w:rPr>
                <w:t>First Amendment to the 2013 Solitario Exploration &amp; Royalty Corp. Omnibus Stock and Incentive Plan (incorporated by reference to Exhibit 10.1 to Solitario’s Form 8-</w:t>
              </w:r>
              <w:r>
                <w:rPr>
                  <w:rStyle w:val="a5"/>
                  <w:sz w:val="20"/>
                  <w:szCs w:val="20"/>
                </w:rPr>
                <w:t>K filed on June 29, 2017)</w:t>
              </w:r>
            </w:hyperlink>
          </w:p>
        </w:tc>
        <w:tc>
          <w:tcPr>
            <w:tcW w:w="0" w:type="auto"/>
            <w:shd w:val="clear" w:color="auto" w:fill="CCEEFF"/>
            <w:vAlign w:val="center"/>
            <w:hideMark/>
          </w:tcPr>
          <w:p w14:paraId="54C22B83" w14:textId="77777777" w:rsidR="00000000" w:rsidRDefault="0015578C">
            <w:pPr>
              <w:rPr>
                <w:rFonts w:eastAsia="Times New Roman"/>
                <w:sz w:val="20"/>
                <w:szCs w:val="20"/>
              </w:rPr>
            </w:pPr>
          </w:p>
        </w:tc>
      </w:tr>
      <w:tr w:rsidR="00000000" w14:paraId="28B21D5C" w14:textId="77777777">
        <w:trPr>
          <w:trHeight w:val="225"/>
          <w:tblCellSpacing w:w="15" w:type="dxa"/>
        </w:trPr>
        <w:tc>
          <w:tcPr>
            <w:tcW w:w="0" w:type="auto"/>
            <w:shd w:val="clear" w:color="auto" w:fill="FFFFFF"/>
            <w:vAlign w:val="center"/>
            <w:hideMark/>
          </w:tcPr>
          <w:p w14:paraId="4444B549"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EB9A7F"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5B92BFF8"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DB7206" w14:textId="77777777" w:rsidR="00000000" w:rsidRDefault="0015578C">
            <w:pPr>
              <w:rPr>
                <w:rFonts w:eastAsia="Times New Roman"/>
                <w:sz w:val="20"/>
                <w:szCs w:val="20"/>
              </w:rPr>
            </w:pPr>
          </w:p>
        </w:tc>
      </w:tr>
      <w:tr w:rsidR="00000000" w14:paraId="6A0F3C51" w14:textId="77777777">
        <w:trPr>
          <w:trHeight w:val="225"/>
          <w:tblCellSpacing w:w="15" w:type="dxa"/>
        </w:trPr>
        <w:tc>
          <w:tcPr>
            <w:tcW w:w="0" w:type="auto"/>
            <w:shd w:val="clear" w:color="auto" w:fill="CCEEFF"/>
            <w:hideMark/>
          </w:tcPr>
          <w:p w14:paraId="541D0958" w14:textId="77777777" w:rsidR="00000000" w:rsidRDefault="0015578C">
            <w:pPr>
              <w:pStyle w:val="a3"/>
              <w:spacing w:before="0" w:beforeAutospacing="0" w:after="0" w:afterAutospacing="0"/>
              <w:jc w:val="both"/>
              <w:rPr>
                <w:sz w:val="20"/>
                <w:szCs w:val="20"/>
              </w:rPr>
            </w:pPr>
            <w:hyperlink r:id="rId33" w:history="1">
              <w:r>
                <w:rPr>
                  <w:rStyle w:val="a5"/>
                  <w:sz w:val="20"/>
                  <w:szCs w:val="20"/>
                </w:rPr>
                <w:t>10.7</w:t>
              </w:r>
            </w:hyperlink>
          </w:p>
        </w:tc>
        <w:tc>
          <w:tcPr>
            <w:tcW w:w="0" w:type="auto"/>
            <w:shd w:val="clear" w:color="auto" w:fill="CCEEFF"/>
            <w:vAlign w:val="center"/>
            <w:hideMark/>
          </w:tcPr>
          <w:p w14:paraId="78FC5446"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hideMark/>
          </w:tcPr>
          <w:p w14:paraId="033A036F" w14:textId="77777777" w:rsidR="00000000" w:rsidRDefault="0015578C">
            <w:pPr>
              <w:pStyle w:val="a3"/>
              <w:spacing w:before="0" w:beforeAutospacing="0" w:after="0" w:afterAutospacing="0"/>
              <w:jc w:val="both"/>
              <w:rPr>
                <w:sz w:val="20"/>
                <w:szCs w:val="20"/>
              </w:rPr>
            </w:pPr>
            <w:hyperlink r:id="rId34" w:history="1">
              <w:r>
                <w:rPr>
                  <w:rStyle w:val="a5"/>
                  <w:sz w:val="20"/>
                  <w:szCs w:val="20"/>
                </w:rPr>
                <w:t>At The Market Offerin</w:t>
              </w:r>
              <w:r>
                <w:rPr>
                  <w:rStyle w:val="a5"/>
                  <w:sz w:val="20"/>
                  <w:szCs w:val="20"/>
                </w:rPr>
                <w:t>g Agreement between Solitario Zinc Corp. and H.C. Wainwright &amp; Co., LLC, dated February 2, 2021 (incorporated by reference to Solitario’s Form 8-K filed on February 2, 2021)</w:t>
              </w:r>
            </w:hyperlink>
          </w:p>
        </w:tc>
        <w:tc>
          <w:tcPr>
            <w:tcW w:w="0" w:type="auto"/>
            <w:shd w:val="clear" w:color="auto" w:fill="CCEEFF"/>
            <w:vAlign w:val="center"/>
            <w:hideMark/>
          </w:tcPr>
          <w:p w14:paraId="63A2727E" w14:textId="77777777" w:rsidR="00000000" w:rsidRDefault="0015578C">
            <w:pPr>
              <w:rPr>
                <w:rFonts w:eastAsia="Times New Roman"/>
                <w:sz w:val="20"/>
                <w:szCs w:val="20"/>
              </w:rPr>
            </w:pPr>
          </w:p>
        </w:tc>
      </w:tr>
      <w:tr w:rsidR="00000000" w14:paraId="3EA84A07" w14:textId="77777777">
        <w:trPr>
          <w:trHeight w:val="225"/>
          <w:tblCellSpacing w:w="15" w:type="dxa"/>
        </w:trPr>
        <w:tc>
          <w:tcPr>
            <w:tcW w:w="0" w:type="auto"/>
            <w:shd w:val="clear" w:color="auto" w:fill="FFFFFF"/>
            <w:vAlign w:val="center"/>
            <w:hideMark/>
          </w:tcPr>
          <w:p w14:paraId="6589D986"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6ACB4F"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4006898A"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5D74614" w14:textId="77777777" w:rsidR="00000000" w:rsidRDefault="0015578C">
            <w:pPr>
              <w:rPr>
                <w:rFonts w:eastAsia="Times New Roman"/>
                <w:sz w:val="20"/>
                <w:szCs w:val="20"/>
              </w:rPr>
            </w:pPr>
          </w:p>
        </w:tc>
      </w:tr>
      <w:tr w:rsidR="00000000" w14:paraId="2A4BCE5B" w14:textId="77777777">
        <w:trPr>
          <w:trHeight w:val="225"/>
          <w:tblCellSpacing w:w="15" w:type="dxa"/>
        </w:trPr>
        <w:tc>
          <w:tcPr>
            <w:tcW w:w="0" w:type="auto"/>
            <w:shd w:val="clear" w:color="auto" w:fill="CCEEFF"/>
            <w:hideMark/>
          </w:tcPr>
          <w:p w14:paraId="592CC36F" w14:textId="77777777" w:rsidR="00000000" w:rsidRDefault="0015578C">
            <w:pPr>
              <w:pStyle w:val="a3"/>
              <w:spacing w:before="0" w:beforeAutospacing="0" w:after="0" w:afterAutospacing="0"/>
              <w:jc w:val="both"/>
              <w:rPr>
                <w:sz w:val="20"/>
                <w:szCs w:val="20"/>
              </w:rPr>
            </w:pPr>
            <w:hyperlink r:id="rId35" w:history="1">
              <w:r>
                <w:rPr>
                  <w:rStyle w:val="a5"/>
                  <w:sz w:val="20"/>
                  <w:szCs w:val="20"/>
                </w:rPr>
                <w:t>14.1</w:t>
              </w:r>
            </w:hyperlink>
          </w:p>
        </w:tc>
        <w:tc>
          <w:tcPr>
            <w:tcW w:w="0" w:type="auto"/>
            <w:shd w:val="clear" w:color="auto" w:fill="CCEEFF"/>
            <w:vAlign w:val="center"/>
            <w:hideMark/>
          </w:tcPr>
          <w:p w14:paraId="255271D0"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66E4EF09" w14:textId="77777777" w:rsidR="00000000" w:rsidRDefault="0015578C">
            <w:pPr>
              <w:pStyle w:val="a3"/>
              <w:spacing w:before="0" w:beforeAutospacing="0" w:after="0" w:afterAutospacing="0"/>
              <w:jc w:val="both"/>
              <w:rPr>
                <w:sz w:val="20"/>
                <w:szCs w:val="20"/>
              </w:rPr>
            </w:pPr>
            <w:hyperlink r:id="rId36" w:history="1">
              <w:r>
                <w:rPr>
                  <w:rStyle w:val="a5"/>
                  <w:sz w:val="20"/>
                  <w:szCs w:val="20"/>
                </w:rPr>
                <w:t>Code of Ethics for the Chief Executive Officer and Senior Financi</w:t>
              </w:r>
              <w:r>
                <w:rPr>
                  <w:rStyle w:val="a5"/>
                  <w:sz w:val="20"/>
                  <w:szCs w:val="20"/>
                </w:rPr>
                <w:t>al Officer (incorporated by reference to Exhibit 99.1 to Solitario's Form 8-K filed on July 18, 2006)</w:t>
              </w:r>
            </w:hyperlink>
          </w:p>
        </w:tc>
        <w:tc>
          <w:tcPr>
            <w:tcW w:w="0" w:type="auto"/>
            <w:shd w:val="clear" w:color="auto" w:fill="CCEEFF"/>
            <w:vAlign w:val="center"/>
            <w:hideMark/>
          </w:tcPr>
          <w:p w14:paraId="77B30821" w14:textId="77777777" w:rsidR="00000000" w:rsidRDefault="0015578C">
            <w:pPr>
              <w:rPr>
                <w:rFonts w:eastAsia="Times New Roman"/>
                <w:sz w:val="20"/>
                <w:szCs w:val="20"/>
              </w:rPr>
            </w:pPr>
          </w:p>
        </w:tc>
      </w:tr>
      <w:tr w:rsidR="00000000" w14:paraId="4FA27CAB" w14:textId="77777777">
        <w:trPr>
          <w:trHeight w:val="225"/>
          <w:tblCellSpacing w:w="15" w:type="dxa"/>
        </w:trPr>
        <w:tc>
          <w:tcPr>
            <w:tcW w:w="0" w:type="auto"/>
            <w:shd w:val="clear" w:color="auto" w:fill="FFFFFF"/>
            <w:vAlign w:val="center"/>
            <w:hideMark/>
          </w:tcPr>
          <w:p w14:paraId="39382FFB"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B958F7E"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73AEB068"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B28B9B" w14:textId="77777777" w:rsidR="00000000" w:rsidRDefault="0015578C">
            <w:pPr>
              <w:rPr>
                <w:rFonts w:eastAsia="Times New Roman"/>
                <w:sz w:val="20"/>
                <w:szCs w:val="20"/>
              </w:rPr>
            </w:pPr>
          </w:p>
        </w:tc>
      </w:tr>
      <w:tr w:rsidR="00000000" w14:paraId="4CEBAF40" w14:textId="77777777">
        <w:trPr>
          <w:trHeight w:val="225"/>
          <w:tblCellSpacing w:w="15" w:type="dxa"/>
        </w:trPr>
        <w:tc>
          <w:tcPr>
            <w:tcW w:w="0" w:type="auto"/>
            <w:shd w:val="clear" w:color="auto" w:fill="CCEEFF"/>
            <w:hideMark/>
          </w:tcPr>
          <w:p w14:paraId="27959147" w14:textId="77777777" w:rsidR="00000000" w:rsidRDefault="0015578C">
            <w:pPr>
              <w:pStyle w:val="a3"/>
              <w:spacing w:before="0" w:beforeAutospacing="0" w:after="0" w:afterAutospacing="0"/>
              <w:jc w:val="both"/>
              <w:rPr>
                <w:sz w:val="20"/>
                <w:szCs w:val="20"/>
              </w:rPr>
            </w:pPr>
            <w:hyperlink r:id="rId37" w:history="1">
              <w:r>
                <w:rPr>
                  <w:rStyle w:val="a5"/>
                  <w:sz w:val="20"/>
                  <w:szCs w:val="20"/>
                </w:rPr>
                <w:t>21.1*</w:t>
              </w:r>
            </w:hyperlink>
          </w:p>
        </w:tc>
        <w:tc>
          <w:tcPr>
            <w:tcW w:w="0" w:type="auto"/>
            <w:shd w:val="clear" w:color="auto" w:fill="CCEEFF"/>
            <w:vAlign w:val="center"/>
            <w:hideMark/>
          </w:tcPr>
          <w:p w14:paraId="2FF30C83"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1A33CE84" w14:textId="77777777" w:rsidR="00000000" w:rsidRDefault="0015578C">
            <w:pPr>
              <w:pStyle w:val="a3"/>
              <w:spacing w:before="0" w:beforeAutospacing="0" w:after="0" w:afterAutospacing="0"/>
              <w:jc w:val="both"/>
              <w:rPr>
                <w:sz w:val="20"/>
                <w:szCs w:val="20"/>
              </w:rPr>
            </w:pPr>
            <w:hyperlink r:id="rId38" w:history="1">
              <w:r>
                <w:rPr>
                  <w:rStyle w:val="a5"/>
                  <w:sz w:val="20"/>
                  <w:szCs w:val="20"/>
                </w:rPr>
                <w:t xml:space="preserve">Subsidiaries of Solitario Zinc Corp. </w:t>
              </w:r>
            </w:hyperlink>
          </w:p>
        </w:tc>
        <w:tc>
          <w:tcPr>
            <w:tcW w:w="0" w:type="auto"/>
            <w:shd w:val="clear" w:color="auto" w:fill="CCEEFF"/>
            <w:vAlign w:val="center"/>
            <w:hideMark/>
          </w:tcPr>
          <w:p w14:paraId="50865806" w14:textId="77777777" w:rsidR="00000000" w:rsidRDefault="0015578C">
            <w:pPr>
              <w:rPr>
                <w:rFonts w:eastAsia="Times New Roman"/>
                <w:sz w:val="20"/>
                <w:szCs w:val="20"/>
              </w:rPr>
            </w:pPr>
          </w:p>
        </w:tc>
      </w:tr>
      <w:tr w:rsidR="00000000" w14:paraId="70626994" w14:textId="77777777">
        <w:trPr>
          <w:trHeight w:val="225"/>
          <w:tblCellSpacing w:w="15" w:type="dxa"/>
        </w:trPr>
        <w:tc>
          <w:tcPr>
            <w:tcW w:w="0" w:type="auto"/>
            <w:shd w:val="clear" w:color="auto" w:fill="FFFFFF"/>
            <w:vAlign w:val="center"/>
            <w:hideMark/>
          </w:tcPr>
          <w:p w14:paraId="08AF18A0"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505498"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4CA13F9"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76D1F9C" w14:textId="77777777" w:rsidR="00000000" w:rsidRDefault="0015578C">
            <w:pPr>
              <w:rPr>
                <w:rFonts w:eastAsia="Times New Roman"/>
                <w:sz w:val="20"/>
                <w:szCs w:val="20"/>
              </w:rPr>
            </w:pPr>
          </w:p>
        </w:tc>
      </w:tr>
      <w:tr w:rsidR="00000000" w14:paraId="147ED62C" w14:textId="77777777">
        <w:trPr>
          <w:trHeight w:val="225"/>
          <w:tblCellSpacing w:w="15" w:type="dxa"/>
        </w:trPr>
        <w:tc>
          <w:tcPr>
            <w:tcW w:w="0" w:type="auto"/>
            <w:shd w:val="clear" w:color="auto" w:fill="CCEEFF"/>
            <w:hideMark/>
          </w:tcPr>
          <w:p w14:paraId="0A793EAA" w14:textId="77777777" w:rsidR="00000000" w:rsidRDefault="0015578C">
            <w:pPr>
              <w:pStyle w:val="a3"/>
              <w:spacing w:before="0" w:beforeAutospacing="0" w:after="0" w:afterAutospacing="0"/>
              <w:jc w:val="both"/>
              <w:rPr>
                <w:sz w:val="20"/>
                <w:szCs w:val="20"/>
              </w:rPr>
            </w:pPr>
            <w:hyperlink r:id="rId39" w:history="1">
              <w:r>
                <w:rPr>
                  <w:rStyle w:val="a5"/>
                  <w:sz w:val="20"/>
                  <w:szCs w:val="20"/>
                </w:rPr>
                <w:t>23.1*</w:t>
              </w:r>
            </w:hyperlink>
          </w:p>
        </w:tc>
        <w:tc>
          <w:tcPr>
            <w:tcW w:w="0" w:type="auto"/>
            <w:shd w:val="clear" w:color="auto" w:fill="CCEEFF"/>
            <w:vAlign w:val="center"/>
            <w:hideMark/>
          </w:tcPr>
          <w:p w14:paraId="6865C8D0"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23D5B13A" w14:textId="77777777" w:rsidR="00000000" w:rsidRDefault="0015578C">
            <w:pPr>
              <w:pStyle w:val="a3"/>
              <w:spacing w:before="0" w:beforeAutospacing="0" w:after="0" w:afterAutospacing="0"/>
              <w:jc w:val="both"/>
              <w:rPr>
                <w:sz w:val="20"/>
                <w:szCs w:val="20"/>
              </w:rPr>
            </w:pPr>
            <w:hyperlink r:id="rId40" w:history="1">
              <w:r>
                <w:rPr>
                  <w:rStyle w:val="a5"/>
                  <w:sz w:val="20"/>
                  <w:szCs w:val="20"/>
                </w:rPr>
                <w:t xml:space="preserve">Consent of Plante &amp; Moran, PLLC  </w:t>
              </w:r>
            </w:hyperlink>
          </w:p>
        </w:tc>
        <w:tc>
          <w:tcPr>
            <w:tcW w:w="0" w:type="auto"/>
            <w:shd w:val="clear" w:color="auto" w:fill="CCEEFF"/>
            <w:vAlign w:val="center"/>
            <w:hideMark/>
          </w:tcPr>
          <w:p w14:paraId="57FCB37E" w14:textId="77777777" w:rsidR="00000000" w:rsidRDefault="0015578C">
            <w:pPr>
              <w:rPr>
                <w:rFonts w:eastAsia="Times New Roman"/>
                <w:sz w:val="20"/>
                <w:szCs w:val="20"/>
              </w:rPr>
            </w:pPr>
          </w:p>
        </w:tc>
      </w:tr>
      <w:tr w:rsidR="00000000" w14:paraId="6199A2EE" w14:textId="77777777">
        <w:trPr>
          <w:trHeight w:val="225"/>
          <w:tblCellSpacing w:w="15" w:type="dxa"/>
        </w:trPr>
        <w:tc>
          <w:tcPr>
            <w:tcW w:w="0" w:type="auto"/>
            <w:shd w:val="clear" w:color="auto" w:fill="FFFFFF"/>
            <w:vAlign w:val="center"/>
            <w:hideMark/>
          </w:tcPr>
          <w:p w14:paraId="60EB10F4"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4F6389C"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4E67596"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39EF2E" w14:textId="77777777" w:rsidR="00000000" w:rsidRDefault="0015578C">
            <w:pPr>
              <w:rPr>
                <w:rFonts w:eastAsia="Times New Roman"/>
                <w:sz w:val="20"/>
                <w:szCs w:val="20"/>
              </w:rPr>
            </w:pPr>
          </w:p>
        </w:tc>
      </w:tr>
      <w:tr w:rsidR="00000000" w14:paraId="5D8EBA34" w14:textId="77777777">
        <w:trPr>
          <w:trHeight w:val="225"/>
          <w:tblCellSpacing w:w="15" w:type="dxa"/>
        </w:trPr>
        <w:tc>
          <w:tcPr>
            <w:tcW w:w="0" w:type="auto"/>
            <w:shd w:val="clear" w:color="auto" w:fill="CCEEFF"/>
            <w:hideMark/>
          </w:tcPr>
          <w:p w14:paraId="5E0C81F7" w14:textId="77777777" w:rsidR="00000000" w:rsidRDefault="0015578C">
            <w:pPr>
              <w:pStyle w:val="a3"/>
              <w:spacing w:before="0" w:beforeAutospacing="0" w:after="0" w:afterAutospacing="0"/>
              <w:jc w:val="both"/>
              <w:rPr>
                <w:sz w:val="20"/>
                <w:szCs w:val="20"/>
              </w:rPr>
            </w:pPr>
            <w:hyperlink r:id="rId41" w:history="1">
              <w:r>
                <w:rPr>
                  <w:rStyle w:val="a5"/>
                  <w:sz w:val="20"/>
                  <w:szCs w:val="20"/>
                </w:rPr>
                <w:t>24.1*</w:t>
              </w:r>
            </w:hyperlink>
          </w:p>
        </w:tc>
        <w:tc>
          <w:tcPr>
            <w:tcW w:w="0" w:type="auto"/>
            <w:shd w:val="clear" w:color="auto" w:fill="CCEEFF"/>
            <w:vAlign w:val="center"/>
            <w:hideMark/>
          </w:tcPr>
          <w:p w14:paraId="20E2C416"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3689544A" w14:textId="77777777" w:rsidR="00000000" w:rsidRDefault="0015578C">
            <w:pPr>
              <w:pStyle w:val="a3"/>
              <w:spacing w:before="0" w:beforeAutospacing="0" w:after="0" w:afterAutospacing="0"/>
              <w:jc w:val="both"/>
              <w:rPr>
                <w:sz w:val="20"/>
                <w:szCs w:val="20"/>
              </w:rPr>
            </w:pPr>
            <w:hyperlink r:id="rId42" w:history="1">
              <w:r>
                <w:rPr>
                  <w:rStyle w:val="a5"/>
                  <w:sz w:val="20"/>
                  <w:szCs w:val="20"/>
                </w:rPr>
                <w:t>Power of Attorney</w:t>
              </w:r>
            </w:hyperlink>
          </w:p>
        </w:tc>
        <w:tc>
          <w:tcPr>
            <w:tcW w:w="0" w:type="auto"/>
            <w:shd w:val="clear" w:color="auto" w:fill="CCEEFF"/>
            <w:vAlign w:val="center"/>
            <w:hideMark/>
          </w:tcPr>
          <w:p w14:paraId="4D735B9F" w14:textId="77777777" w:rsidR="00000000" w:rsidRDefault="0015578C">
            <w:pPr>
              <w:rPr>
                <w:rFonts w:eastAsia="Times New Roman"/>
                <w:sz w:val="20"/>
                <w:szCs w:val="20"/>
              </w:rPr>
            </w:pPr>
          </w:p>
        </w:tc>
      </w:tr>
      <w:tr w:rsidR="00000000" w14:paraId="0AE54AA6" w14:textId="77777777">
        <w:trPr>
          <w:trHeight w:val="225"/>
          <w:tblCellSpacing w:w="15" w:type="dxa"/>
        </w:trPr>
        <w:tc>
          <w:tcPr>
            <w:tcW w:w="0" w:type="auto"/>
            <w:shd w:val="clear" w:color="auto" w:fill="FFFFFF"/>
            <w:vAlign w:val="center"/>
            <w:hideMark/>
          </w:tcPr>
          <w:p w14:paraId="478A35C1"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3D174A"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EB3341E"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BE3529D" w14:textId="77777777" w:rsidR="00000000" w:rsidRDefault="0015578C">
            <w:pPr>
              <w:rPr>
                <w:rFonts w:eastAsia="Times New Roman"/>
                <w:sz w:val="20"/>
                <w:szCs w:val="20"/>
              </w:rPr>
            </w:pPr>
          </w:p>
        </w:tc>
      </w:tr>
      <w:tr w:rsidR="00000000" w14:paraId="3340CE15" w14:textId="77777777">
        <w:trPr>
          <w:trHeight w:val="225"/>
          <w:tblCellSpacing w:w="15" w:type="dxa"/>
        </w:trPr>
        <w:tc>
          <w:tcPr>
            <w:tcW w:w="0" w:type="auto"/>
            <w:shd w:val="clear" w:color="auto" w:fill="CCEEFF"/>
            <w:hideMark/>
          </w:tcPr>
          <w:p w14:paraId="196D6E4A" w14:textId="77777777" w:rsidR="00000000" w:rsidRDefault="0015578C">
            <w:pPr>
              <w:pStyle w:val="a3"/>
              <w:spacing w:before="0" w:beforeAutospacing="0" w:after="0" w:afterAutospacing="0"/>
              <w:jc w:val="both"/>
              <w:rPr>
                <w:sz w:val="20"/>
                <w:szCs w:val="20"/>
              </w:rPr>
            </w:pPr>
            <w:hyperlink r:id="rId43" w:history="1">
              <w:r>
                <w:rPr>
                  <w:rStyle w:val="a5"/>
                  <w:sz w:val="20"/>
                  <w:szCs w:val="20"/>
                </w:rPr>
                <w:t>31.1*</w:t>
              </w:r>
            </w:hyperlink>
          </w:p>
        </w:tc>
        <w:tc>
          <w:tcPr>
            <w:tcW w:w="0" w:type="auto"/>
            <w:shd w:val="clear" w:color="auto" w:fill="CCEEFF"/>
            <w:vAlign w:val="center"/>
            <w:hideMark/>
          </w:tcPr>
          <w:p w14:paraId="162CD843"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517151D7" w14:textId="77777777" w:rsidR="00000000" w:rsidRDefault="0015578C">
            <w:pPr>
              <w:pStyle w:val="a3"/>
              <w:spacing w:before="0" w:beforeAutospacing="0" w:after="0" w:afterAutospacing="0"/>
              <w:jc w:val="both"/>
              <w:rPr>
                <w:sz w:val="20"/>
                <w:szCs w:val="20"/>
              </w:rPr>
            </w:pPr>
            <w:hyperlink r:id="rId44" w:history="1">
              <w:r>
                <w:rPr>
                  <w:rStyle w:val="a5"/>
                  <w:sz w:val="20"/>
                  <w:szCs w:val="20"/>
                </w:rPr>
                <w:t>Certification of Chief Executive Officer pursuant to SEC Rule 13a-14(a)/15d-14(a) as adopted pursuant to Section 302 of the Sarbanes-Oxley Act of 2002</w:t>
              </w:r>
            </w:hyperlink>
          </w:p>
        </w:tc>
        <w:tc>
          <w:tcPr>
            <w:tcW w:w="0" w:type="auto"/>
            <w:shd w:val="clear" w:color="auto" w:fill="CCEEFF"/>
            <w:vAlign w:val="center"/>
            <w:hideMark/>
          </w:tcPr>
          <w:p w14:paraId="035D743C" w14:textId="77777777" w:rsidR="00000000" w:rsidRDefault="0015578C">
            <w:pPr>
              <w:rPr>
                <w:rFonts w:eastAsia="Times New Roman"/>
                <w:sz w:val="20"/>
                <w:szCs w:val="20"/>
              </w:rPr>
            </w:pPr>
          </w:p>
        </w:tc>
      </w:tr>
      <w:tr w:rsidR="00000000" w14:paraId="023BB7CC" w14:textId="77777777">
        <w:trPr>
          <w:trHeight w:val="225"/>
          <w:tblCellSpacing w:w="15" w:type="dxa"/>
        </w:trPr>
        <w:tc>
          <w:tcPr>
            <w:tcW w:w="0" w:type="auto"/>
            <w:shd w:val="clear" w:color="auto" w:fill="FFFFFF"/>
            <w:vAlign w:val="center"/>
            <w:hideMark/>
          </w:tcPr>
          <w:p w14:paraId="582EBC84"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02F956"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51240280"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80D36C" w14:textId="77777777" w:rsidR="00000000" w:rsidRDefault="0015578C">
            <w:pPr>
              <w:rPr>
                <w:rFonts w:eastAsia="Times New Roman"/>
                <w:sz w:val="20"/>
                <w:szCs w:val="20"/>
              </w:rPr>
            </w:pPr>
          </w:p>
        </w:tc>
      </w:tr>
      <w:tr w:rsidR="00000000" w14:paraId="30AD8121" w14:textId="77777777">
        <w:trPr>
          <w:trHeight w:val="225"/>
          <w:tblCellSpacing w:w="15" w:type="dxa"/>
        </w:trPr>
        <w:tc>
          <w:tcPr>
            <w:tcW w:w="0" w:type="auto"/>
            <w:shd w:val="clear" w:color="auto" w:fill="CCEEFF"/>
            <w:hideMark/>
          </w:tcPr>
          <w:p w14:paraId="4806AD67" w14:textId="77777777" w:rsidR="00000000" w:rsidRDefault="0015578C">
            <w:pPr>
              <w:pStyle w:val="a3"/>
              <w:spacing w:before="0" w:beforeAutospacing="0" w:after="0" w:afterAutospacing="0"/>
              <w:jc w:val="both"/>
              <w:rPr>
                <w:sz w:val="20"/>
                <w:szCs w:val="20"/>
              </w:rPr>
            </w:pPr>
            <w:hyperlink r:id="rId45" w:history="1">
              <w:r>
                <w:rPr>
                  <w:rStyle w:val="a5"/>
                  <w:sz w:val="20"/>
                  <w:szCs w:val="20"/>
                </w:rPr>
                <w:t>31.2*</w:t>
              </w:r>
            </w:hyperlink>
          </w:p>
        </w:tc>
        <w:tc>
          <w:tcPr>
            <w:tcW w:w="0" w:type="auto"/>
            <w:shd w:val="clear" w:color="auto" w:fill="CCEEFF"/>
            <w:vAlign w:val="center"/>
            <w:hideMark/>
          </w:tcPr>
          <w:p w14:paraId="43372D46"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36D0B3A4" w14:textId="77777777" w:rsidR="00000000" w:rsidRDefault="0015578C">
            <w:pPr>
              <w:pStyle w:val="a3"/>
              <w:spacing w:before="0" w:beforeAutospacing="0" w:after="0" w:afterAutospacing="0"/>
              <w:jc w:val="both"/>
              <w:rPr>
                <w:sz w:val="20"/>
                <w:szCs w:val="20"/>
              </w:rPr>
            </w:pPr>
            <w:hyperlink r:id="rId46" w:history="1">
              <w:r>
                <w:rPr>
                  <w:rStyle w:val="a5"/>
                  <w:sz w:val="20"/>
                  <w:szCs w:val="20"/>
                </w:rPr>
                <w:t>Certification of Chief Financial Officer pursuant to SEC Rule 13a-14(a)/15d-14(a) as adopted pursuant to Section 302 of the Sarbanes-Oxley Act of 2002</w:t>
              </w:r>
            </w:hyperlink>
          </w:p>
        </w:tc>
        <w:tc>
          <w:tcPr>
            <w:tcW w:w="0" w:type="auto"/>
            <w:shd w:val="clear" w:color="auto" w:fill="CCEEFF"/>
            <w:vAlign w:val="center"/>
            <w:hideMark/>
          </w:tcPr>
          <w:p w14:paraId="7F8872EA" w14:textId="77777777" w:rsidR="00000000" w:rsidRDefault="0015578C">
            <w:pPr>
              <w:rPr>
                <w:rFonts w:eastAsia="Times New Roman"/>
                <w:sz w:val="20"/>
                <w:szCs w:val="20"/>
              </w:rPr>
            </w:pPr>
          </w:p>
        </w:tc>
      </w:tr>
      <w:tr w:rsidR="00000000" w14:paraId="2DF70258" w14:textId="77777777">
        <w:trPr>
          <w:trHeight w:val="225"/>
          <w:tblCellSpacing w:w="15" w:type="dxa"/>
        </w:trPr>
        <w:tc>
          <w:tcPr>
            <w:tcW w:w="0" w:type="auto"/>
            <w:shd w:val="clear" w:color="auto" w:fill="FFFFFF"/>
            <w:vAlign w:val="center"/>
            <w:hideMark/>
          </w:tcPr>
          <w:p w14:paraId="0B3FAE3A"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0B9561"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486E6774"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E83B657" w14:textId="77777777" w:rsidR="00000000" w:rsidRDefault="0015578C">
            <w:pPr>
              <w:rPr>
                <w:rFonts w:eastAsia="Times New Roman"/>
                <w:sz w:val="20"/>
                <w:szCs w:val="20"/>
              </w:rPr>
            </w:pPr>
          </w:p>
        </w:tc>
      </w:tr>
      <w:tr w:rsidR="00000000" w14:paraId="10A59051" w14:textId="77777777">
        <w:trPr>
          <w:trHeight w:val="225"/>
          <w:tblCellSpacing w:w="15" w:type="dxa"/>
        </w:trPr>
        <w:tc>
          <w:tcPr>
            <w:tcW w:w="0" w:type="auto"/>
            <w:shd w:val="clear" w:color="auto" w:fill="CCEEFF"/>
            <w:hideMark/>
          </w:tcPr>
          <w:p w14:paraId="7821C288" w14:textId="77777777" w:rsidR="00000000" w:rsidRDefault="0015578C">
            <w:pPr>
              <w:pStyle w:val="a3"/>
              <w:spacing w:before="0" w:beforeAutospacing="0" w:after="0" w:afterAutospacing="0"/>
              <w:jc w:val="both"/>
              <w:rPr>
                <w:sz w:val="20"/>
                <w:szCs w:val="20"/>
              </w:rPr>
            </w:pPr>
            <w:hyperlink r:id="rId47" w:history="1">
              <w:r>
                <w:rPr>
                  <w:rStyle w:val="a5"/>
                  <w:sz w:val="20"/>
                  <w:szCs w:val="20"/>
                </w:rPr>
                <w:t>32.1*</w:t>
              </w:r>
            </w:hyperlink>
          </w:p>
        </w:tc>
        <w:tc>
          <w:tcPr>
            <w:tcW w:w="0" w:type="auto"/>
            <w:shd w:val="clear" w:color="auto" w:fill="CCEEFF"/>
            <w:vAlign w:val="center"/>
            <w:hideMark/>
          </w:tcPr>
          <w:p w14:paraId="4230D012"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65AB1555" w14:textId="77777777" w:rsidR="00000000" w:rsidRDefault="0015578C">
            <w:pPr>
              <w:pStyle w:val="a3"/>
              <w:spacing w:before="0" w:beforeAutospacing="0" w:after="0" w:afterAutospacing="0"/>
              <w:jc w:val="both"/>
              <w:rPr>
                <w:sz w:val="20"/>
                <w:szCs w:val="20"/>
              </w:rPr>
            </w:pPr>
            <w:hyperlink r:id="rId48" w:history="1">
              <w:r>
                <w:rPr>
                  <w:rStyle w:val="a5"/>
                  <w:sz w:val="20"/>
                  <w:szCs w:val="20"/>
                </w:rPr>
                <w:t>Certification of Chief Executive Officer and Chief Financial Officer pursuant to 18 U.S.C Section 1350 as adopted pursuant to Section 906 of the Sarbanes-Oxley Act of 2002</w:t>
              </w:r>
            </w:hyperlink>
          </w:p>
        </w:tc>
        <w:tc>
          <w:tcPr>
            <w:tcW w:w="0" w:type="auto"/>
            <w:shd w:val="clear" w:color="auto" w:fill="CCEEFF"/>
            <w:vAlign w:val="center"/>
            <w:hideMark/>
          </w:tcPr>
          <w:p w14:paraId="6F5E5310" w14:textId="77777777" w:rsidR="00000000" w:rsidRDefault="0015578C">
            <w:pPr>
              <w:rPr>
                <w:rFonts w:eastAsia="Times New Roman"/>
                <w:sz w:val="20"/>
                <w:szCs w:val="20"/>
              </w:rPr>
            </w:pPr>
          </w:p>
        </w:tc>
      </w:tr>
      <w:tr w:rsidR="00000000" w14:paraId="2F1AC8F6" w14:textId="77777777">
        <w:trPr>
          <w:trHeight w:val="225"/>
          <w:tblCellSpacing w:w="15" w:type="dxa"/>
        </w:trPr>
        <w:tc>
          <w:tcPr>
            <w:tcW w:w="0" w:type="auto"/>
            <w:shd w:val="clear" w:color="auto" w:fill="FFFFFF"/>
            <w:vAlign w:val="center"/>
            <w:hideMark/>
          </w:tcPr>
          <w:p w14:paraId="3A9E1E83"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F054C13"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9444F7D"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AA5F66" w14:textId="77777777" w:rsidR="00000000" w:rsidRDefault="0015578C">
            <w:pPr>
              <w:rPr>
                <w:rFonts w:eastAsia="Times New Roman"/>
                <w:sz w:val="20"/>
                <w:szCs w:val="20"/>
              </w:rPr>
            </w:pPr>
          </w:p>
        </w:tc>
      </w:tr>
      <w:tr w:rsidR="00000000" w14:paraId="5314DD98" w14:textId="77777777">
        <w:trPr>
          <w:trHeight w:val="225"/>
          <w:tblCellSpacing w:w="15" w:type="dxa"/>
        </w:trPr>
        <w:tc>
          <w:tcPr>
            <w:tcW w:w="0" w:type="auto"/>
            <w:shd w:val="clear" w:color="auto" w:fill="CCEEFF"/>
            <w:hideMark/>
          </w:tcPr>
          <w:p w14:paraId="319C576A" w14:textId="77777777" w:rsidR="00000000" w:rsidRDefault="0015578C">
            <w:pPr>
              <w:pStyle w:val="a3"/>
              <w:spacing w:before="0" w:beforeAutospacing="0" w:after="0" w:afterAutospacing="0"/>
              <w:jc w:val="both"/>
              <w:rPr>
                <w:sz w:val="20"/>
                <w:szCs w:val="20"/>
              </w:rPr>
            </w:pPr>
            <w:hyperlink r:id="rId49" w:history="1">
              <w:r>
                <w:rPr>
                  <w:rStyle w:val="a5"/>
                  <w:sz w:val="20"/>
                  <w:szCs w:val="20"/>
                </w:rPr>
                <w:t>96.1</w:t>
              </w:r>
            </w:hyperlink>
          </w:p>
        </w:tc>
        <w:tc>
          <w:tcPr>
            <w:tcW w:w="0" w:type="auto"/>
            <w:shd w:val="clear" w:color="auto" w:fill="CCEEFF"/>
            <w:vAlign w:val="center"/>
            <w:hideMark/>
          </w:tcPr>
          <w:p w14:paraId="55D25360"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00D569DD" w14:textId="77777777" w:rsidR="00000000" w:rsidRDefault="0015578C">
            <w:pPr>
              <w:pStyle w:val="a3"/>
              <w:spacing w:before="0" w:beforeAutospacing="0" w:after="0" w:afterAutospacing="0"/>
              <w:jc w:val="both"/>
              <w:rPr>
                <w:sz w:val="20"/>
                <w:szCs w:val="20"/>
              </w:rPr>
            </w:pPr>
            <w:hyperlink r:id="rId50" w:history="1">
              <w:r>
                <w:rPr>
                  <w:rStyle w:val="a5"/>
                  <w:sz w:val="20"/>
                  <w:szCs w:val="20"/>
                </w:rPr>
                <w:t>Technical Report Summary for the Florida Canyon Project (</w:t>
              </w:r>
              <w:r>
                <w:rPr>
                  <w:rStyle w:val="a5"/>
                  <w:sz w:val="20"/>
                  <w:szCs w:val="20"/>
                </w:rPr>
                <w:t>incorporated by reference to Exhibit 96.1 to Solitario’s Form 10-K filed on March 30, 2022)</w:t>
              </w:r>
            </w:hyperlink>
          </w:p>
        </w:tc>
        <w:tc>
          <w:tcPr>
            <w:tcW w:w="0" w:type="auto"/>
            <w:shd w:val="clear" w:color="auto" w:fill="CCEEFF"/>
            <w:vAlign w:val="center"/>
            <w:hideMark/>
          </w:tcPr>
          <w:p w14:paraId="164AEA8D" w14:textId="77777777" w:rsidR="00000000" w:rsidRDefault="0015578C">
            <w:pPr>
              <w:rPr>
                <w:rFonts w:eastAsia="Times New Roman"/>
                <w:sz w:val="20"/>
                <w:szCs w:val="20"/>
              </w:rPr>
            </w:pPr>
          </w:p>
        </w:tc>
      </w:tr>
      <w:tr w:rsidR="00000000" w14:paraId="32873327" w14:textId="77777777">
        <w:trPr>
          <w:trHeight w:val="225"/>
          <w:tblCellSpacing w:w="15" w:type="dxa"/>
        </w:trPr>
        <w:tc>
          <w:tcPr>
            <w:tcW w:w="0" w:type="auto"/>
            <w:shd w:val="clear" w:color="auto" w:fill="FFFFFF"/>
            <w:vAlign w:val="center"/>
            <w:hideMark/>
          </w:tcPr>
          <w:p w14:paraId="6285E24D"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479078"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657E2608"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385E3F6" w14:textId="77777777" w:rsidR="00000000" w:rsidRDefault="0015578C">
            <w:pPr>
              <w:rPr>
                <w:rFonts w:eastAsia="Times New Roman"/>
                <w:sz w:val="20"/>
                <w:szCs w:val="20"/>
              </w:rPr>
            </w:pPr>
          </w:p>
        </w:tc>
      </w:tr>
      <w:tr w:rsidR="00000000" w14:paraId="71D3E7E5" w14:textId="77777777">
        <w:trPr>
          <w:trHeight w:val="225"/>
          <w:tblCellSpacing w:w="15" w:type="dxa"/>
        </w:trPr>
        <w:tc>
          <w:tcPr>
            <w:tcW w:w="0" w:type="auto"/>
            <w:shd w:val="clear" w:color="auto" w:fill="CCEEFF"/>
            <w:hideMark/>
          </w:tcPr>
          <w:p w14:paraId="07C23065" w14:textId="77777777" w:rsidR="00000000" w:rsidRDefault="0015578C">
            <w:pPr>
              <w:pStyle w:val="a3"/>
              <w:spacing w:before="0" w:beforeAutospacing="0" w:after="0" w:afterAutospacing="0"/>
              <w:jc w:val="both"/>
              <w:rPr>
                <w:sz w:val="20"/>
                <w:szCs w:val="20"/>
              </w:rPr>
            </w:pPr>
            <w:hyperlink r:id="rId51" w:history="1">
              <w:r>
                <w:rPr>
                  <w:rStyle w:val="a5"/>
                  <w:sz w:val="20"/>
                  <w:szCs w:val="20"/>
                </w:rPr>
                <w:t>96.2</w:t>
              </w:r>
            </w:hyperlink>
          </w:p>
        </w:tc>
        <w:tc>
          <w:tcPr>
            <w:tcW w:w="0" w:type="auto"/>
            <w:shd w:val="clear" w:color="auto" w:fill="CCEEFF"/>
            <w:vAlign w:val="center"/>
            <w:hideMark/>
          </w:tcPr>
          <w:p w14:paraId="3FC74245"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5A463804" w14:textId="77777777" w:rsidR="00000000" w:rsidRDefault="0015578C">
            <w:pPr>
              <w:pStyle w:val="a3"/>
              <w:spacing w:before="0" w:beforeAutospacing="0" w:after="0" w:afterAutospacing="0"/>
              <w:jc w:val="both"/>
              <w:rPr>
                <w:sz w:val="20"/>
                <w:szCs w:val="20"/>
              </w:rPr>
            </w:pPr>
            <w:hyperlink r:id="rId52" w:history="1">
              <w:r>
                <w:rPr>
                  <w:rStyle w:val="a5"/>
                  <w:sz w:val="20"/>
                  <w:szCs w:val="20"/>
                </w:rPr>
                <w:t>Technical Report Summary for the Lik Project (incorporated by reference to Exhibit 96.1 to Solitario’s Form 10-K filed on March 30, 2022)</w:t>
              </w:r>
            </w:hyperlink>
          </w:p>
        </w:tc>
        <w:tc>
          <w:tcPr>
            <w:tcW w:w="0" w:type="auto"/>
            <w:shd w:val="clear" w:color="auto" w:fill="CCEEFF"/>
            <w:vAlign w:val="center"/>
            <w:hideMark/>
          </w:tcPr>
          <w:p w14:paraId="52DFE152" w14:textId="77777777" w:rsidR="00000000" w:rsidRDefault="0015578C">
            <w:pPr>
              <w:rPr>
                <w:rFonts w:eastAsia="Times New Roman"/>
                <w:sz w:val="20"/>
                <w:szCs w:val="20"/>
              </w:rPr>
            </w:pPr>
          </w:p>
        </w:tc>
      </w:tr>
      <w:tr w:rsidR="00000000" w14:paraId="57F2D02F" w14:textId="77777777">
        <w:trPr>
          <w:trHeight w:val="225"/>
          <w:tblCellSpacing w:w="15" w:type="dxa"/>
        </w:trPr>
        <w:tc>
          <w:tcPr>
            <w:tcW w:w="0" w:type="auto"/>
            <w:shd w:val="clear" w:color="auto" w:fill="FFFFFF"/>
            <w:vAlign w:val="center"/>
            <w:hideMark/>
          </w:tcPr>
          <w:p w14:paraId="6974259D"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D3E7C1"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FFFFFF"/>
            <w:vAlign w:val="center"/>
            <w:hideMark/>
          </w:tcPr>
          <w:p w14:paraId="076EAA4A" w14:textId="77777777" w:rsidR="00000000" w:rsidRDefault="0015578C">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B877DD3" w14:textId="77777777" w:rsidR="00000000" w:rsidRDefault="0015578C">
            <w:pPr>
              <w:rPr>
                <w:rFonts w:eastAsia="Times New Roman"/>
                <w:sz w:val="20"/>
                <w:szCs w:val="20"/>
              </w:rPr>
            </w:pPr>
          </w:p>
        </w:tc>
      </w:tr>
      <w:tr w:rsidR="00000000" w14:paraId="142CDF45" w14:textId="77777777">
        <w:trPr>
          <w:trHeight w:val="225"/>
          <w:tblCellSpacing w:w="15" w:type="dxa"/>
        </w:trPr>
        <w:tc>
          <w:tcPr>
            <w:tcW w:w="0" w:type="auto"/>
            <w:shd w:val="clear" w:color="auto" w:fill="CCEEFF"/>
            <w:hideMark/>
          </w:tcPr>
          <w:p w14:paraId="19296E52" w14:textId="77777777" w:rsidR="00000000" w:rsidRDefault="0015578C">
            <w:pPr>
              <w:pStyle w:val="a3"/>
              <w:spacing w:before="0" w:beforeAutospacing="0" w:after="0" w:afterAutospacing="0"/>
              <w:jc w:val="both"/>
              <w:rPr>
                <w:sz w:val="20"/>
                <w:szCs w:val="20"/>
              </w:rPr>
            </w:pPr>
            <w:r>
              <w:rPr>
                <w:sz w:val="20"/>
                <w:szCs w:val="20"/>
              </w:rPr>
              <w:t>101*</w:t>
            </w:r>
          </w:p>
        </w:tc>
        <w:tc>
          <w:tcPr>
            <w:tcW w:w="0" w:type="auto"/>
            <w:shd w:val="clear" w:color="auto" w:fill="CCEEFF"/>
            <w:vAlign w:val="center"/>
            <w:hideMark/>
          </w:tcPr>
          <w:p w14:paraId="657A120F" w14:textId="77777777" w:rsidR="00000000" w:rsidRDefault="0015578C">
            <w:pPr>
              <w:pStyle w:val="a3"/>
              <w:spacing w:before="0" w:beforeAutospacing="0" w:after="0" w:afterAutospacing="0"/>
              <w:jc w:val="both"/>
              <w:rPr>
                <w:sz w:val="20"/>
                <w:szCs w:val="20"/>
              </w:rPr>
            </w:pPr>
            <w:r>
              <w:rPr>
                <w:sz w:val="20"/>
                <w:szCs w:val="20"/>
              </w:rPr>
              <w:t> </w:t>
            </w:r>
          </w:p>
        </w:tc>
        <w:tc>
          <w:tcPr>
            <w:tcW w:w="0" w:type="auto"/>
            <w:gridSpan w:val="3"/>
            <w:shd w:val="clear" w:color="auto" w:fill="CCEEFF"/>
            <w:vAlign w:val="bottom"/>
            <w:hideMark/>
          </w:tcPr>
          <w:p w14:paraId="1713B43A" w14:textId="77777777" w:rsidR="00000000" w:rsidRDefault="0015578C">
            <w:pPr>
              <w:pStyle w:val="a3"/>
              <w:spacing w:before="0" w:beforeAutospacing="0" w:after="0" w:afterAutospacing="0"/>
              <w:jc w:val="both"/>
              <w:rPr>
                <w:sz w:val="20"/>
                <w:szCs w:val="20"/>
              </w:rPr>
            </w:pPr>
            <w:r>
              <w:rPr>
                <w:sz w:val="20"/>
                <w:szCs w:val="20"/>
              </w:rPr>
              <w:t>The following materials from the  Company’s Annual Report on Form 10-K for the year ended December 31, 2021 formatted in Inline eXtensible Business Reporting Language (iXBRL): (i) Condensed Consolidated Balance Sheets as of December 31, 2022 and 2021, (ii)</w:t>
            </w:r>
            <w:r>
              <w:rPr>
                <w:sz w:val="20"/>
                <w:szCs w:val="20"/>
              </w:rPr>
              <w:t xml:space="preserve"> Condensed Consolidated Statements of Operations for the years ended December 31, 2022 and 2021, (iii) Condensed Consolidated Statements of Cash Flows for the years ended December 31, 2022 and 2021; and (iv) Notes to the Condensed Unaudited Consolidated Fi</w:t>
            </w:r>
            <w:r>
              <w:rPr>
                <w:sz w:val="20"/>
                <w:szCs w:val="20"/>
              </w:rPr>
              <w:t xml:space="preserve">nancial Statements.  </w:t>
            </w:r>
          </w:p>
        </w:tc>
        <w:tc>
          <w:tcPr>
            <w:tcW w:w="0" w:type="auto"/>
            <w:shd w:val="clear" w:color="auto" w:fill="CCEEFF"/>
            <w:vAlign w:val="center"/>
            <w:hideMark/>
          </w:tcPr>
          <w:p w14:paraId="69F5C253" w14:textId="77777777" w:rsidR="00000000" w:rsidRDefault="0015578C">
            <w:pPr>
              <w:rPr>
                <w:rFonts w:eastAsia="Times New Roman"/>
                <w:sz w:val="20"/>
                <w:szCs w:val="20"/>
              </w:rPr>
            </w:pPr>
          </w:p>
        </w:tc>
      </w:tr>
    </w:tbl>
    <w:p w14:paraId="187E09E0" w14:textId="77777777" w:rsidR="00000000" w:rsidRDefault="0015578C">
      <w:pPr>
        <w:pStyle w:val="a3"/>
        <w:spacing w:before="0" w:beforeAutospacing="0" w:after="0" w:afterAutospacing="0"/>
        <w:ind w:left="360"/>
        <w:jc w:val="both"/>
        <w:rPr>
          <w:sz w:val="20"/>
          <w:szCs w:val="20"/>
        </w:rPr>
      </w:pPr>
      <w:r>
        <w:rPr>
          <w:sz w:val="20"/>
          <w:szCs w:val="20"/>
        </w:rPr>
        <w:t xml:space="preserve">   </w:t>
      </w:r>
    </w:p>
    <w:p w14:paraId="364D8581" w14:textId="77777777" w:rsidR="00000000" w:rsidRDefault="0015578C">
      <w:pPr>
        <w:pStyle w:val="a3"/>
        <w:spacing w:before="0" w:beforeAutospacing="0" w:after="0" w:afterAutospacing="0"/>
        <w:ind w:left="360"/>
        <w:jc w:val="both"/>
        <w:rPr>
          <w:sz w:val="20"/>
          <w:szCs w:val="20"/>
        </w:rPr>
      </w:pPr>
      <w:r>
        <w:rPr>
          <w:sz w:val="20"/>
          <w:szCs w:val="20"/>
        </w:rPr>
        <w:t>*    Filed herewith</w:t>
      </w:r>
    </w:p>
    <w:p w14:paraId="5707895E" w14:textId="77777777" w:rsidR="00000000" w:rsidRDefault="0015578C">
      <w:pPr>
        <w:pStyle w:val="a3"/>
        <w:spacing w:before="0" w:beforeAutospacing="0" w:after="0" w:afterAutospacing="0"/>
        <w:ind w:left="360"/>
        <w:jc w:val="both"/>
        <w:rPr>
          <w:sz w:val="20"/>
          <w:szCs w:val="20"/>
        </w:rPr>
      </w:pPr>
      <w:r>
        <w:rPr>
          <w:sz w:val="20"/>
          <w:szCs w:val="20"/>
        </w:rPr>
        <w:t>#    Designates a management contract, or a compensatory plan or arrangement.</w:t>
      </w:r>
    </w:p>
    <w:p w14:paraId="572DBD61" w14:textId="77777777" w:rsidR="00000000" w:rsidRDefault="0015578C">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14:paraId="3FE7C446" w14:textId="77777777">
        <w:trPr>
          <w:trHeight w:val="225"/>
          <w:tblCellSpacing w:w="15" w:type="dxa"/>
        </w:trPr>
        <w:tc>
          <w:tcPr>
            <w:tcW w:w="0" w:type="auto"/>
            <w:vAlign w:val="center"/>
            <w:hideMark/>
          </w:tcPr>
          <w:p w14:paraId="10C7111A" w14:textId="77777777" w:rsidR="00000000" w:rsidRDefault="0015578C">
            <w:pPr>
              <w:rPr>
                <w:rFonts w:eastAsia="Times New Roman"/>
                <w:sz w:val="20"/>
                <w:szCs w:val="20"/>
              </w:rPr>
            </w:pPr>
            <w:r>
              <w:rPr>
                <w:rFonts w:eastAsia="Times New Roman"/>
                <w:sz w:val="20"/>
                <w:szCs w:val="20"/>
              </w:rPr>
              <w:t> </w:t>
            </w:r>
          </w:p>
        </w:tc>
      </w:tr>
      <w:tr w:rsidR="00000000" w14:paraId="6CF51593" w14:textId="77777777">
        <w:trPr>
          <w:trHeight w:val="225"/>
          <w:tblCellSpacing w:w="15" w:type="dxa"/>
        </w:trPr>
        <w:tc>
          <w:tcPr>
            <w:tcW w:w="0" w:type="auto"/>
            <w:tcBorders>
              <w:bottom w:val="single" w:sz="6" w:space="0" w:color="000000"/>
            </w:tcBorders>
            <w:vAlign w:val="center"/>
            <w:hideMark/>
          </w:tcPr>
          <w:p w14:paraId="39618341" w14:textId="77777777" w:rsidR="00000000" w:rsidRDefault="0015578C">
            <w:pPr>
              <w:jc w:val="center"/>
              <w:rPr>
                <w:rFonts w:eastAsia="Times New Roman"/>
                <w:sz w:val="20"/>
                <w:szCs w:val="20"/>
              </w:rPr>
            </w:pPr>
            <w:r>
              <w:rPr>
                <w:rFonts w:eastAsia="Times New Roman"/>
                <w:sz w:val="20"/>
                <w:szCs w:val="20"/>
              </w:rPr>
              <w:t>51</w:t>
            </w:r>
          </w:p>
        </w:tc>
      </w:tr>
    </w:tbl>
    <w:p w14:paraId="114994C0" w14:textId="77777777" w:rsidR="0015578C" w:rsidRDefault="0015578C">
      <w:pPr>
        <w:pStyle w:val="a3"/>
        <w:spacing w:before="0" w:beforeAutospacing="0" w:after="0" w:afterAutospacing="0"/>
        <w:jc w:val="both"/>
        <w:rPr>
          <w:sz w:val="20"/>
          <w:szCs w:val="20"/>
        </w:rPr>
      </w:pPr>
      <w:r>
        <w:rPr>
          <w:sz w:val="20"/>
          <w:szCs w:val="20"/>
        </w:rPr>
        <w:t> </w:t>
      </w:r>
    </w:p>
    <w:sectPr w:rsidR="001557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578C"/>
    <w:rsid w:val="0015578C"/>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2"/>
  <w:attachedSchema w:val="http://www.w3.org/1999/xlink"/>
  <w:attachedSchema w:val="http://www.xbrl.org/2003/linkbase"/>
  <w:attachedSchema w:val="http://www.xbrl.org/2003/instance"/>
  <w:attachedSchema w:val="http://xbrl.org/2005/xbrldt"/>
  <w:attachedSchema w:val="http://xbrl.org/2006/xbrldi"/>
  <w:attachedSchema w:val="http://xbrl.sec.gov/dei/2022"/>
  <w:attachedSchema w:val="http://www.xbrl.org/dtr/type/numeric"/>
  <w:attachedSchema w:val="http://www.xbrl.org/dtr/type/non-numeric"/>
  <w:attachedSchema w:val="http://www.xbrl.org/2006/ref"/>
  <w:attachedSchema w:val="http://www.xbrl.org/2003/iso4217"/>
  <w:attachedSchema w:val="http://fasb.org/us-roles/2022"/>
  <w:attachedSchema w:val="http://xbrl.sec.gov/country/2022"/>
  <w:attachedSchema w:val="http://www.xbrl.org/2009/utr"/>
  <w:attachedSchema w:val="http://fasb.org/srt-types/2022"/>
  <w:attachedSchema w:val="http://www.xbrl.org/dtr/type/2020-01-21"/>
  <w:attachedSchema w:val="http://fasb.org/srt/2022"/>
  <w:attachedSchema w:val="http://fasb.org/us-gaap/2022"/>
  <w:attachedSchema w:val="http://sodi.com/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205B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7225/000091722517000020/exh31.htm" TargetMode="External"/><Relationship Id="rId18" Type="http://schemas.openxmlformats.org/officeDocument/2006/relationships/hyperlink" Target="http://www.sec.gov/Archives/edgar/data/917225/000091722517000041/exh41.htm" TargetMode="External"/><Relationship Id="rId26" Type="http://schemas.openxmlformats.org/officeDocument/2006/relationships/hyperlink" Target="http://www.sec.gov/Archives/edgar/data/917225/000091722507000020/jrmcoc.htm" TargetMode="External"/><Relationship Id="rId39" Type="http://schemas.openxmlformats.org/officeDocument/2006/relationships/hyperlink" Target="sodi_ex231.htm" TargetMode="External"/><Relationship Id="rId21" Type="http://schemas.openxmlformats.org/officeDocument/2006/relationships/hyperlink" Target="http://www.sec.gov/Archives/edgar/data/917225/000091722513000027/exh991.htm" TargetMode="External"/><Relationship Id="rId34" Type="http://schemas.openxmlformats.org/officeDocument/2006/relationships/hyperlink" Target="http://www.sec.gov/Archives/edgar/data/917225/000165495421001099/slr_ex11.htm" TargetMode="External"/><Relationship Id="rId42" Type="http://schemas.openxmlformats.org/officeDocument/2006/relationships/hyperlink" Target="sodi_ex241.htm" TargetMode="External"/><Relationship Id="rId47" Type="http://schemas.openxmlformats.org/officeDocument/2006/relationships/hyperlink" Target="sodi_ex321.htm" TargetMode="External"/><Relationship Id="rId50" Type="http://schemas.openxmlformats.org/officeDocument/2006/relationships/hyperlink" Target="http://www.sec.gov/Archives/edgar/data/917225/000165495422004166/sodi_ex961.htm" TargetMode="External"/><Relationship Id="rId7" Type="http://schemas.openxmlformats.org/officeDocument/2006/relationships/image" Target="file:///E:\projects\LLMs\new_data_collection\data_new\htm\SOLITARIO%20RESOURCES%20CORP\sodi_10kimg11.jpg" TargetMode="External"/><Relationship Id="rId2" Type="http://schemas.openxmlformats.org/officeDocument/2006/relationships/settings" Target="settings.xml"/><Relationship Id="rId16" Type="http://schemas.openxmlformats.org/officeDocument/2006/relationships/hyperlink" Target="http://www.sec.gov/Archives/edgar/data/917225/000165495421004579/slr_ex31.htm" TargetMode="External"/><Relationship Id="rId29" Type="http://schemas.openxmlformats.org/officeDocument/2006/relationships/hyperlink" Target="http://www.sec.gov/Archives/edgar/data/917225/000091722507000033/exh102.htm" TargetMode="External"/><Relationship Id="rId11" Type="http://schemas.openxmlformats.org/officeDocument/2006/relationships/hyperlink" Target="http://www.sec.gov/Archives/edgar/data/917225/000091722510000017/exh31.htm" TargetMode="External"/><Relationship Id="rId24" Type="http://schemas.openxmlformats.org/officeDocument/2006/relationships/hyperlink" Target="http://www.sec.gov/Archives/edgar/data/917225/000091722507000020/cehcoc.htm" TargetMode="External"/><Relationship Id="rId32" Type="http://schemas.openxmlformats.org/officeDocument/2006/relationships/hyperlink" Target="http://www.sec.gov/Archives/edgar/data/917225/000091722517000016/exh101.htm" TargetMode="External"/><Relationship Id="rId37" Type="http://schemas.openxmlformats.org/officeDocument/2006/relationships/hyperlink" Target="sodi_ex211.htm" TargetMode="External"/><Relationship Id="rId40" Type="http://schemas.openxmlformats.org/officeDocument/2006/relationships/hyperlink" Target="sodi_ex231.htm" TargetMode="External"/><Relationship Id="rId45" Type="http://schemas.openxmlformats.org/officeDocument/2006/relationships/hyperlink" Target="sodi_ex312.htm" TargetMode="External"/><Relationship Id="rId53" Type="http://schemas.openxmlformats.org/officeDocument/2006/relationships/fontTable" Target="fontTable.xml"/><Relationship Id="rId5" Type="http://schemas.openxmlformats.org/officeDocument/2006/relationships/image" Target="file:///E:\projects\LLMs\new_data_collection\data_new\htm\SOLITARIO%20RESOURCES%20CORP\sodi_10kimg9.jpg" TargetMode="External"/><Relationship Id="rId10" Type="http://schemas.openxmlformats.org/officeDocument/2006/relationships/image" Target="file:///E:\projects\LLMs\new_data_collection\data_new\htm\SOLITARIO%20RESOURCES%20CORP\sodi_10kimg14.jpg" TargetMode="External"/><Relationship Id="rId19" Type="http://schemas.openxmlformats.org/officeDocument/2006/relationships/hyperlink" Target="http://www.sec.gov/Archives/edgar/data/917225/000165495420002140/slr_ex42.htm" TargetMode="External"/><Relationship Id="rId31" Type="http://schemas.openxmlformats.org/officeDocument/2006/relationships/hyperlink" Target="http://www.sec.gov/Archives/edgar/data/917225/000091722517000016/exh101.htm" TargetMode="External"/><Relationship Id="rId44" Type="http://schemas.openxmlformats.org/officeDocument/2006/relationships/hyperlink" Target="sodi_ex311.htm" TargetMode="External"/><Relationship Id="rId52" Type="http://schemas.openxmlformats.org/officeDocument/2006/relationships/hyperlink" Target="http://www.sec.gov/Archives/edgar/data/917225/000165495422004166/sodi_ex962.htm" TargetMode="External"/><Relationship Id="rId4" Type="http://schemas.openxmlformats.org/officeDocument/2006/relationships/image" Target="file:///E:\projects\LLMs\new_data_collection\data_new\htm\SOLITARIO%20RESOURCES%20CORP\sodi_10kimg8.jpg" TargetMode="External"/><Relationship Id="rId9" Type="http://schemas.openxmlformats.org/officeDocument/2006/relationships/image" Target="file:///E:\projects\LLMs\new_data_collection\data_new\htm\SOLITARIO%20RESOURCES%20CORP\sodi_10kimg13.jpg" TargetMode="External"/><Relationship Id="rId14" Type="http://schemas.openxmlformats.org/officeDocument/2006/relationships/hyperlink" Target="http://www.sec.gov/Archives/edgar/data/917225/000091722517000020/exh31.htm" TargetMode="External"/><Relationship Id="rId22" Type="http://schemas.openxmlformats.org/officeDocument/2006/relationships/hyperlink" Target="http://www.sec.gov/Archives/edgar/data/917225/000091722513000027/exh991.htm" TargetMode="External"/><Relationship Id="rId27" Type="http://schemas.openxmlformats.org/officeDocument/2006/relationships/hyperlink" Target="http://www.sec.gov/Archives/edgar/data/917225/000091722507000020/whhcoc.htm" TargetMode="External"/><Relationship Id="rId30" Type="http://schemas.openxmlformats.org/officeDocument/2006/relationships/hyperlink" Target="http://www.sec.gov/Archives/edgar/data/917225/000091722507000033/exh102.htm" TargetMode="External"/><Relationship Id="rId35" Type="http://schemas.openxmlformats.org/officeDocument/2006/relationships/hyperlink" Target="http://www.sec.gov/Archives/edgar/data/917225/000091722506000041/exh991.htm" TargetMode="External"/><Relationship Id="rId43" Type="http://schemas.openxmlformats.org/officeDocument/2006/relationships/hyperlink" Target="sodi_ex311.htm" TargetMode="External"/><Relationship Id="rId48" Type="http://schemas.openxmlformats.org/officeDocument/2006/relationships/hyperlink" Target="sodi_ex321.htm" TargetMode="External"/><Relationship Id="rId8" Type="http://schemas.openxmlformats.org/officeDocument/2006/relationships/image" Target="file:///E:\projects\LLMs\new_data_collection\data_new\htm\SOLITARIO%20RESOURCES%20CORP\sodi_10kimg12.jpg" TargetMode="External"/><Relationship Id="rId51" Type="http://schemas.openxmlformats.org/officeDocument/2006/relationships/hyperlink" Target="http://www.sec.gov/Archives/edgar/data/917225/000165495422004166/sodi_ex962.htm" TargetMode="External"/><Relationship Id="rId3" Type="http://schemas.openxmlformats.org/officeDocument/2006/relationships/webSettings" Target="webSettings.xml"/><Relationship Id="rId12" Type="http://schemas.openxmlformats.org/officeDocument/2006/relationships/hyperlink" Target="http://www.sec.gov/Archives/edgar/data/917225/000091722510000017/exh31.htm" TargetMode="External"/><Relationship Id="rId17" Type="http://schemas.openxmlformats.org/officeDocument/2006/relationships/hyperlink" Target="http://www.sec.gov/Archives/edgar/data/917225/000091722517000041/exh41.htm" TargetMode="External"/><Relationship Id="rId25" Type="http://schemas.openxmlformats.org/officeDocument/2006/relationships/hyperlink" Target="http://www.sec.gov/Archives/edgar/data/917225/000091722507000020/jrmcoc.htm" TargetMode="External"/><Relationship Id="rId33" Type="http://schemas.openxmlformats.org/officeDocument/2006/relationships/hyperlink" Target="http://www.sec.gov/Archives/edgar/data/917225/000165495421001099/slr_ex11.htm" TargetMode="External"/><Relationship Id="rId38" Type="http://schemas.openxmlformats.org/officeDocument/2006/relationships/hyperlink" Target="sodi_ex211.htm" TargetMode="External"/><Relationship Id="rId46" Type="http://schemas.openxmlformats.org/officeDocument/2006/relationships/hyperlink" Target="sodi_ex312.htm" TargetMode="External"/><Relationship Id="rId20" Type="http://schemas.openxmlformats.org/officeDocument/2006/relationships/hyperlink" Target="http://www.sec.gov/Archives/edgar/data/917225/000165495420002140/slr_ex42.htm" TargetMode="External"/><Relationship Id="rId41" Type="http://schemas.openxmlformats.org/officeDocument/2006/relationships/hyperlink" Target="sodi_ex241.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SOLITARIO%20RESOURCES%20CORP\sodi_10kimg10.jpg" TargetMode="External"/><Relationship Id="rId15" Type="http://schemas.openxmlformats.org/officeDocument/2006/relationships/hyperlink" Target="http://www.sec.gov/Archives/edgar/data/917225/000165495421004579/slr_ex31.htm" TargetMode="External"/><Relationship Id="rId23" Type="http://schemas.openxmlformats.org/officeDocument/2006/relationships/hyperlink" Target="http://www.sec.gov/Archives/edgar/data/917225/000091722507000020/cehcoc.htm" TargetMode="External"/><Relationship Id="rId28" Type="http://schemas.openxmlformats.org/officeDocument/2006/relationships/hyperlink" Target="http://www.sec.gov/Archives/edgar/data/917225/000091722507000020/whhcoc.htm" TargetMode="External"/><Relationship Id="rId36" Type="http://schemas.openxmlformats.org/officeDocument/2006/relationships/hyperlink" Target="http://www.sec.gov/Archives/edgar/data/917225/000091722506000041/exh991.htm" TargetMode="External"/><Relationship Id="rId49" Type="http://schemas.openxmlformats.org/officeDocument/2006/relationships/hyperlink" Target="http://www.sec.gov/Archives/edgar/data/917225/000165495422004166/sodi_ex96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43994</Words>
  <Characters>250768</Characters>
  <Application>Microsoft Office Word</Application>
  <DocSecurity>0</DocSecurity>
  <Lines>2089</Lines>
  <Paragraphs>588</Paragraphs>
  <ScaleCrop>false</ScaleCrop>
  <Company/>
  <LinksUpToDate>false</LinksUpToDate>
  <CharactersWithSpaces>294174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sodi_10k.htm</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